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C60F4" w14:textId="66E54073" w:rsidR="00825539" w:rsidRPr="00FB0EC0" w:rsidRDefault="00825539" w:rsidP="00441055">
      <w:pPr>
        <w:pStyle w:val="Heading1"/>
        <w:spacing w:before="2400"/>
        <w:rPr>
          <w14:shadow w14:blurRad="50800" w14:dist="38100" w14:dir="2700000" w14:sx="100000" w14:sy="100000" w14:kx="0" w14:ky="0" w14:algn="tl">
            <w14:srgbClr w14:val="000000">
              <w14:alpha w14:val="60000"/>
            </w14:srgbClr>
          </w14:shadow>
        </w:rPr>
      </w:pPr>
      <w:bookmarkStart w:id="0" w:name="_Toc96003258"/>
      <w:bookmarkStart w:id="1" w:name="_Toc96435311"/>
      <w:bookmarkStart w:id="2" w:name="_Hlk66274127"/>
      <w:r w:rsidRPr="00FB0EC0">
        <w:rPr>
          <w14:shadow w14:blurRad="50800" w14:dist="38100" w14:dir="2700000" w14:sx="100000" w14:sy="100000" w14:kx="0" w14:ky="0" w14:algn="tl">
            <w14:srgbClr w14:val="000000">
              <w14:alpha w14:val="60000"/>
            </w14:srgbClr>
          </w14:shadow>
        </w:rPr>
        <w:t>Technical Assistance on Strengthening Public Private Partnerships Program in the Philippines (2011-2021)</w:t>
      </w:r>
      <w:bookmarkEnd w:id="0"/>
      <w:bookmarkEnd w:id="1"/>
    </w:p>
    <w:bookmarkEnd w:id="2"/>
    <w:p w14:paraId="03E67A09" w14:textId="77777777" w:rsidR="00825539" w:rsidRPr="00FB0EC0" w:rsidRDefault="00825539" w:rsidP="00FB0EC0">
      <w:pPr>
        <w:pStyle w:val="Heading1"/>
        <w:rPr>
          <w14:shadow w14:blurRad="50800" w14:dist="38100" w14:dir="2700000" w14:sx="100000" w14:sy="100000" w14:kx="0" w14:ky="0" w14:algn="tl">
            <w14:srgbClr w14:val="000000">
              <w14:alpha w14:val="60000"/>
            </w14:srgbClr>
          </w14:shadow>
        </w:rPr>
      </w:pPr>
    </w:p>
    <w:p w14:paraId="08C15DB7" w14:textId="77777777" w:rsidR="00825539" w:rsidRPr="00FB0EC0" w:rsidRDefault="00825539" w:rsidP="00FB0EC0">
      <w:pPr>
        <w:pStyle w:val="Heading1"/>
      </w:pPr>
      <w:bookmarkStart w:id="3" w:name="_Toc96003259"/>
      <w:bookmarkStart w:id="4" w:name="_Toc96435312"/>
      <w:r w:rsidRPr="00FB0EC0">
        <w:rPr>
          <w14:shadow w14:blurRad="50800" w14:dist="38100" w14:dir="2700000" w14:sx="100000" w14:sy="100000" w14:kx="0" w14:ky="0" w14:algn="tl">
            <w14:srgbClr w14:val="000000">
              <w14:alpha w14:val="60000"/>
            </w14:srgbClr>
          </w14:shadow>
        </w:rPr>
        <w:t>Final Evaluation Report</w:t>
      </w:r>
      <w:bookmarkEnd w:id="3"/>
      <w:bookmarkEnd w:id="4"/>
    </w:p>
    <w:p w14:paraId="7D34E2C5" w14:textId="77777777" w:rsidR="00825539" w:rsidRPr="00CF323B" w:rsidRDefault="00825539" w:rsidP="00021D43">
      <w:pPr>
        <w:spacing w:line="240" w:lineRule="auto"/>
        <w:jc w:val="right"/>
        <w:rPr>
          <w:lang w:val="en-US"/>
        </w:rPr>
      </w:pPr>
    </w:p>
    <w:p w14:paraId="70ECAB58" w14:textId="77777777" w:rsidR="00825539" w:rsidRDefault="00825539" w:rsidP="00021D43">
      <w:pPr>
        <w:spacing w:line="240" w:lineRule="auto"/>
        <w:rPr>
          <w:rFonts w:ascii="Calibri" w:hAnsi="Calibri"/>
          <w:bCs/>
          <w:iCs/>
          <w:sz w:val="24"/>
          <w:szCs w:val="24"/>
        </w:rPr>
      </w:pPr>
    </w:p>
    <w:p w14:paraId="62DB9DD2" w14:textId="1F738D14" w:rsidR="00F77EB4" w:rsidRDefault="00027CA2" w:rsidP="00021D43">
      <w:pPr>
        <w:spacing w:line="240" w:lineRule="auto"/>
        <w:rPr>
          <w:rFonts w:ascii="Calibri" w:hAnsi="Calibri"/>
          <w:bCs/>
          <w:iCs/>
          <w:sz w:val="24"/>
          <w:szCs w:val="24"/>
        </w:rPr>
      </w:pPr>
      <w:r>
        <w:rPr>
          <w:rFonts w:ascii="Calibri" w:hAnsi="Calibri"/>
          <w:bCs/>
          <w:iCs/>
          <w:sz w:val="24"/>
          <w:szCs w:val="24"/>
        </w:rPr>
        <w:t>13 December</w:t>
      </w:r>
      <w:r w:rsidR="00950F57" w:rsidRPr="00CF323B">
        <w:rPr>
          <w:rFonts w:ascii="Calibri" w:hAnsi="Calibri"/>
          <w:bCs/>
          <w:iCs/>
          <w:sz w:val="24"/>
          <w:szCs w:val="24"/>
        </w:rPr>
        <w:t xml:space="preserve"> </w:t>
      </w:r>
      <w:r w:rsidR="00825539" w:rsidRPr="00CF323B">
        <w:rPr>
          <w:rFonts w:ascii="Calibri" w:hAnsi="Calibri"/>
          <w:bCs/>
          <w:iCs/>
          <w:sz w:val="24"/>
          <w:szCs w:val="24"/>
        </w:rPr>
        <w:t>20</w:t>
      </w:r>
      <w:r w:rsidR="00825539">
        <w:rPr>
          <w:rFonts w:ascii="Calibri" w:hAnsi="Calibri"/>
          <w:bCs/>
          <w:iCs/>
          <w:sz w:val="24"/>
          <w:szCs w:val="24"/>
        </w:rPr>
        <w:t>21</w:t>
      </w:r>
    </w:p>
    <w:p w14:paraId="27DDCF91" w14:textId="77777777" w:rsidR="00F77EB4" w:rsidRDefault="00F77EB4" w:rsidP="00021D43">
      <w:pPr>
        <w:spacing w:line="240" w:lineRule="auto"/>
        <w:rPr>
          <w:sz w:val="24"/>
          <w:szCs w:val="24"/>
        </w:rPr>
        <w:sectPr w:rsidR="00F77EB4" w:rsidSect="008801FC">
          <w:pgSz w:w="11906" w:h="16838"/>
          <w:pgMar w:top="1440" w:right="1440" w:bottom="1440" w:left="1440" w:header="708" w:footer="708" w:gutter="0"/>
          <w:cols w:space="708"/>
          <w:docGrid w:linePitch="360"/>
        </w:sectPr>
      </w:pPr>
    </w:p>
    <w:p w14:paraId="6F03E82E" w14:textId="77777777" w:rsidR="007E6708" w:rsidRPr="00D83CE6" w:rsidRDefault="007E6708" w:rsidP="00D83CE6"/>
    <w:p w14:paraId="03EF20EE" w14:textId="41E58FA6" w:rsidR="007E6708" w:rsidRPr="001D5A66" w:rsidRDefault="008B3C3F" w:rsidP="008B3C3F">
      <w:pPr>
        <w:ind w:left="720"/>
        <w:jc w:val="center"/>
      </w:pPr>
      <w:r w:rsidRPr="008B3C3F">
        <w:rPr>
          <w:noProof/>
        </w:rPr>
        <w:drawing>
          <wp:inline distT="0" distB="0" distL="0" distR="0" wp14:anchorId="6296A632" wp14:editId="0FECAAEF">
            <wp:extent cx="5731510" cy="2494280"/>
            <wp:effectExtent l="0" t="0" r="0" b="0"/>
            <wp:docPr id="3" name="Picture 3" descr=" Final version of the Independent Completion Evaluation Report for Strengthening Public Private Partnership (Philippines) Activity prepared by Michelle Besley (evaluator) for  the  Department of Foreign Affairs and Trade.  Report was approved on 13 Dec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Final version of the Independent Completion Evaluation Report for Strengthening Public Private Partnership (Philippines) Activity prepared by Michelle Besley (evaluator) for  the  Department of Foreign Affairs and Trade.  Report was approved on 13 December 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494280"/>
                    </a:xfrm>
                    <a:prstGeom prst="rect">
                      <a:avLst/>
                    </a:prstGeom>
                    <a:noFill/>
                    <a:ln>
                      <a:noFill/>
                    </a:ln>
                  </pic:spPr>
                </pic:pic>
              </a:graphicData>
            </a:graphic>
          </wp:inline>
        </w:drawing>
      </w:r>
    </w:p>
    <w:p w14:paraId="07CEF373" w14:textId="77777777" w:rsidR="007E6708" w:rsidRDefault="007E6708" w:rsidP="007E6708">
      <w:pPr>
        <w:pStyle w:val="Default"/>
        <w:rPr>
          <w:sz w:val="22"/>
          <w:szCs w:val="22"/>
        </w:rPr>
      </w:pPr>
      <w:r>
        <w:rPr>
          <w:sz w:val="22"/>
          <w:szCs w:val="22"/>
        </w:rPr>
        <w:t xml:space="preserve">This document is the property of DFAT. </w:t>
      </w:r>
    </w:p>
    <w:p w14:paraId="295E43F7" w14:textId="77777777" w:rsidR="007E6708" w:rsidRDefault="007E6708" w:rsidP="007E6708">
      <w:pPr>
        <w:pStyle w:val="Default"/>
        <w:rPr>
          <w:sz w:val="22"/>
          <w:szCs w:val="22"/>
        </w:rPr>
      </w:pPr>
    </w:p>
    <w:p w14:paraId="2062359F" w14:textId="77777777" w:rsidR="007E6708" w:rsidRDefault="007E6708" w:rsidP="007E6708">
      <w:pPr>
        <w:pStyle w:val="Default"/>
        <w:rPr>
          <w:sz w:val="22"/>
          <w:szCs w:val="22"/>
        </w:rPr>
      </w:pPr>
      <w:r>
        <w:rPr>
          <w:sz w:val="22"/>
          <w:szCs w:val="22"/>
        </w:rPr>
        <w:t xml:space="preserve">It is permissible to copy and use any of the material in this report provided that the source is appropriately acknowledged. Further information is available from: </w:t>
      </w:r>
    </w:p>
    <w:p w14:paraId="72AFD4E6" w14:textId="77777777" w:rsidR="007E6708" w:rsidRDefault="007E6708" w:rsidP="007E6708">
      <w:pPr>
        <w:pStyle w:val="Default"/>
        <w:rPr>
          <w:sz w:val="22"/>
          <w:szCs w:val="22"/>
        </w:rPr>
      </w:pPr>
    </w:p>
    <w:p w14:paraId="5E8767F9" w14:textId="0915FA4D" w:rsidR="007E6708" w:rsidRDefault="001D5A66" w:rsidP="007E6708">
      <w:pPr>
        <w:pStyle w:val="Default"/>
        <w:ind w:left="720"/>
        <w:rPr>
          <w:sz w:val="22"/>
          <w:szCs w:val="22"/>
        </w:rPr>
      </w:pPr>
      <w:r>
        <w:rPr>
          <w:b/>
          <w:bCs/>
          <w:sz w:val="22"/>
          <w:szCs w:val="22"/>
        </w:rPr>
        <w:t>Grace Borja</w:t>
      </w:r>
    </w:p>
    <w:p w14:paraId="0BACB55E" w14:textId="1FBF2C8B" w:rsidR="007E6708" w:rsidRDefault="001D5A66" w:rsidP="007E6708">
      <w:pPr>
        <w:pStyle w:val="Default"/>
        <w:ind w:left="720"/>
        <w:rPr>
          <w:sz w:val="22"/>
          <w:szCs w:val="22"/>
        </w:rPr>
      </w:pPr>
      <w:r>
        <w:rPr>
          <w:sz w:val="22"/>
          <w:szCs w:val="22"/>
        </w:rPr>
        <w:t>Senior Program Officer</w:t>
      </w:r>
      <w:r w:rsidR="007E6708">
        <w:rPr>
          <w:sz w:val="22"/>
          <w:szCs w:val="22"/>
        </w:rPr>
        <w:t>, Development</w:t>
      </w:r>
      <w:r>
        <w:rPr>
          <w:sz w:val="22"/>
          <w:szCs w:val="22"/>
        </w:rPr>
        <w:t xml:space="preserve"> Section,</w:t>
      </w:r>
      <w:r w:rsidR="007E6708">
        <w:rPr>
          <w:sz w:val="22"/>
          <w:szCs w:val="22"/>
        </w:rPr>
        <w:t xml:space="preserve"> Australian Embassy </w:t>
      </w:r>
      <w:r>
        <w:rPr>
          <w:sz w:val="22"/>
          <w:szCs w:val="22"/>
        </w:rPr>
        <w:t>in the Philippines</w:t>
      </w:r>
    </w:p>
    <w:p w14:paraId="06699CF3" w14:textId="543B067F" w:rsidR="007E6708" w:rsidRDefault="007E6708" w:rsidP="00D43A30">
      <w:pPr>
        <w:pStyle w:val="Default"/>
        <w:ind w:left="720"/>
        <w:rPr>
          <w:rFonts w:cstheme="minorHAnsi"/>
          <w:b/>
          <w:bCs/>
          <w:caps/>
          <w:color w:val="17365D"/>
          <w:sz w:val="32"/>
          <w:szCs w:val="32"/>
          <w:lang w:val="en-GB"/>
        </w:rPr>
      </w:pPr>
      <w:r>
        <w:rPr>
          <w:sz w:val="22"/>
          <w:szCs w:val="22"/>
        </w:rPr>
        <w:t xml:space="preserve">Email: </w:t>
      </w:r>
      <w:r w:rsidR="001D5A66">
        <w:rPr>
          <w:sz w:val="22"/>
          <w:szCs w:val="22"/>
        </w:rPr>
        <w:t>Grace.Borja</w:t>
      </w:r>
      <w:r>
        <w:rPr>
          <w:sz w:val="22"/>
          <w:szCs w:val="22"/>
        </w:rPr>
        <w:t xml:space="preserve">@dfat.gov.au </w:t>
      </w:r>
      <w:r>
        <w:rPr>
          <w:rFonts w:cstheme="minorHAnsi"/>
          <w:lang w:val="en-GB"/>
        </w:rPr>
        <w:br w:type="page"/>
      </w:r>
    </w:p>
    <w:p w14:paraId="1CB6B78C" w14:textId="314719A5" w:rsidR="007E6708" w:rsidRPr="00FB0EC0" w:rsidRDefault="007E6708" w:rsidP="00FB0EC0">
      <w:pPr>
        <w:pStyle w:val="Heading20"/>
      </w:pPr>
      <w:bookmarkStart w:id="5" w:name="_Toc96435313"/>
      <w:r w:rsidRPr="00FB0EC0">
        <w:lastRenderedPageBreak/>
        <w:t>Activity Summary</w:t>
      </w:r>
      <w:bookmarkEnd w:id="5"/>
      <w:r w:rsidRPr="00FB0EC0">
        <w:t xml:space="preserve"> </w:t>
      </w:r>
    </w:p>
    <w:p w14:paraId="0FAF959A" w14:textId="4CFEF283" w:rsidR="00E27875" w:rsidRDefault="00264314" w:rsidP="00E27875">
      <w:r>
        <w:rPr>
          <w:noProof/>
        </w:rPr>
        <w:drawing>
          <wp:inline distT="0" distB="0" distL="0" distR="0" wp14:anchorId="6BAA588A" wp14:editId="3417B77E">
            <wp:extent cx="5581650" cy="1819275"/>
            <wp:effectExtent l="0" t="0" r="0" b="9525"/>
            <wp:docPr id="8" name="Picture 8" descr="Provides a summary of the activity Strengthening Public Private partnership (Philippines) including start (4 April 2011) and end date (31 March 2021); total funding (USD22 million) administered by the Asian Development Bank with public sector policy and administrative management as its primary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vides a summary of the activity Strengthening Public Private partnership (Philippines) including start (4 April 2011) and end date (31 March 2021); total funding (USD22 million) administered by the Asian Development Bank with public sector policy and administrative management as its primary sector."/>
                    <pic:cNvPicPr/>
                  </pic:nvPicPr>
                  <pic:blipFill>
                    <a:blip r:embed="rId9"/>
                    <a:stretch>
                      <a:fillRect/>
                    </a:stretch>
                  </pic:blipFill>
                  <pic:spPr>
                    <a:xfrm>
                      <a:off x="0" y="0"/>
                      <a:ext cx="5581650" cy="1819275"/>
                    </a:xfrm>
                    <a:prstGeom prst="rect">
                      <a:avLst/>
                    </a:prstGeom>
                  </pic:spPr>
                </pic:pic>
              </a:graphicData>
            </a:graphic>
          </wp:inline>
        </w:drawing>
      </w:r>
    </w:p>
    <w:p w14:paraId="24FE33AD" w14:textId="77777777" w:rsidR="007E6708" w:rsidRPr="007E6708" w:rsidRDefault="007E6708" w:rsidP="00FB0EC0">
      <w:pPr>
        <w:pStyle w:val="Heading20"/>
      </w:pPr>
      <w:bookmarkStart w:id="6" w:name="_Toc499850218"/>
      <w:bookmarkStart w:id="7" w:name="_Toc96435314"/>
      <w:r w:rsidRPr="007E6708">
        <w:t>Evaluator’s Details</w:t>
      </w:r>
      <w:bookmarkEnd w:id="6"/>
      <w:bookmarkEnd w:id="7"/>
    </w:p>
    <w:p w14:paraId="47113602" w14:textId="19F296A2" w:rsidR="007E6708" w:rsidRDefault="007E6708" w:rsidP="007E6708">
      <w:pPr>
        <w:pStyle w:val="Bodytxt"/>
        <w:jc w:val="left"/>
        <w:rPr>
          <w:rFonts w:asciiTheme="minorHAnsi" w:hAnsiTheme="minorHAnsi" w:cstheme="minorHAnsi"/>
          <w:lang w:val="en-GB"/>
        </w:rPr>
      </w:pPr>
      <w:r>
        <w:rPr>
          <w:rFonts w:asciiTheme="minorHAnsi" w:hAnsiTheme="minorHAnsi" w:cstheme="minorHAnsi"/>
          <w:lang w:val="en-GB"/>
        </w:rPr>
        <w:t xml:space="preserve">Michelle Besley (Director, Collective Insights) is a development practitioner with 17 years of experience in international development specialising in monitoring and evaluation and inclusive development. She brings experience working with a range of organisations from small grass roots community-based organisations to international NGOs and UN agencies. Michelle has been an independent consultant since 2011.  </w:t>
      </w:r>
      <w:r w:rsidR="005F4D4F">
        <w:rPr>
          <w:rFonts w:asciiTheme="minorHAnsi" w:hAnsiTheme="minorHAnsi" w:cstheme="minorHAnsi"/>
          <w:lang w:val="en-GB"/>
        </w:rPr>
        <w:t>Michelle holds a Bachelor of Arts Degree</w:t>
      </w:r>
      <w:r>
        <w:rPr>
          <w:rFonts w:asciiTheme="minorHAnsi" w:hAnsiTheme="minorHAnsi" w:cstheme="minorHAnsi"/>
          <w:lang w:val="en-GB"/>
        </w:rPr>
        <w:t xml:space="preserve"> </w:t>
      </w:r>
      <w:r w:rsidR="005F4D4F">
        <w:rPr>
          <w:rFonts w:asciiTheme="minorHAnsi" w:hAnsiTheme="minorHAnsi" w:cstheme="minorHAnsi"/>
          <w:lang w:val="en-GB"/>
        </w:rPr>
        <w:t xml:space="preserve">with Honours in Anthropology and a Masters of Development Studies from the University of Melbourne.  </w:t>
      </w:r>
      <w:r>
        <w:rPr>
          <w:rFonts w:asciiTheme="minorHAnsi" w:hAnsiTheme="minorHAnsi" w:cstheme="minorHAnsi"/>
          <w:lang w:val="en-GB"/>
        </w:rPr>
        <w:t xml:space="preserve">Michelle was a co-recipient of the 2016 Australasian Evaluation Society Indigenous Evaluation Award. </w:t>
      </w:r>
      <w:r w:rsidR="005F4D4F">
        <w:rPr>
          <w:rFonts w:asciiTheme="minorHAnsi" w:hAnsiTheme="minorHAnsi" w:cstheme="minorHAnsi"/>
          <w:lang w:val="en-GB"/>
        </w:rPr>
        <w:t xml:space="preserve">She is a member of the Australasian Evaluation Society.  </w:t>
      </w:r>
      <w:hyperlink r:id="rId10" w:history="1">
        <w:r w:rsidR="00D25BF1" w:rsidRPr="007D79A1">
          <w:rPr>
            <w:rStyle w:val="Hyperlink"/>
            <w:rFonts w:asciiTheme="minorHAnsi" w:hAnsiTheme="minorHAnsi" w:cstheme="minorHAnsi"/>
            <w:lang w:val="en-GB"/>
          </w:rPr>
          <w:t>michelle@collectiveinsights.com.au</w:t>
        </w:r>
      </w:hyperlink>
    </w:p>
    <w:p w14:paraId="73D9C535" w14:textId="0129430F" w:rsidR="00F77EB4" w:rsidRPr="00F77EB4" w:rsidRDefault="00F77EB4" w:rsidP="00FB0EC0">
      <w:pPr>
        <w:pStyle w:val="Heading20"/>
      </w:pPr>
      <w:bookmarkStart w:id="8" w:name="_Toc96435315"/>
      <w:r w:rsidRPr="0045299C">
        <w:t>Acknowledgements</w:t>
      </w:r>
      <w:bookmarkEnd w:id="8"/>
    </w:p>
    <w:p w14:paraId="7A493273" w14:textId="2A73459A" w:rsidR="002021EE" w:rsidRDefault="00F77EB4" w:rsidP="00F77EB4">
      <w:pPr>
        <w:spacing w:line="240" w:lineRule="auto"/>
      </w:pPr>
      <w:r w:rsidRPr="00BF66A6">
        <w:t xml:space="preserve">The </w:t>
      </w:r>
      <w:r>
        <w:t xml:space="preserve">evaluator </w:t>
      </w:r>
      <w:r w:rsidRPr="00BF66A6">
        <w:t xml:space="preserve">would like to thank </w:t>
      </w:r>
      <w:r>
        <w:t xml:space="preserve">all respondents for taking the time to participate in interviews and for sharing their views and insights including Philippines Government officials, </w:t>
      </w:r>
      <w:r w:rsidRPr="00BF66A6">
        <w:t>DFAT</w:t>
      </w:r>
      <w:r>
        <w:t xml:space="preserve"> and ADB</w:t>
      </w:r>
      <w:r w:rsidRPr="00BF66A6">
        <w:t xml:space="preserve"> </w:t>
      </w:r>
      <w:r>
        <w:t xml:space="preserve">officers, and representatives from Australian and Philippine private sector entities and government agencies. The evaluator would particularly like to thank a group of staff for their </w:t>
      </w:r>
      <w:r w:rsidRPr="00017B92">
        <w:t>efforts in facilitating access to information and to people</w:t>
      </w:r>
      <w:r>
        <w:t xml:space="preserve">, including </w:t>
      </w:r>
      <w:r w:rsidRPr="00017B92">
        <w:t>Grace</w:t>
      </w:r>
      <w:r>
        <w:t xml:space="preserve"> </w:t>
      </w:r>
      <w:r w:rsidRPr="00017B92">
        <w:t>Borja</w:t>
      </w:r>
      <w:r>
        <w:t xml:space="preserve"> and </w:t>
      </w:r>
      <w:r w:rsidRPr="00C804B2">
        <w:t>John</w:t>
      </w:r>
      <w:r>
        <w:t xml:space="preserve"> </w:t>
      </w:r>
      <w:r w:rsidRPr="00C804B2">
        <w:t>Alikpala</w:t>
      </w:r>
      <w:r>
        <w:t xml:space="preserve"> (DFAT Post), Carlos Gavino (ADB) and representatives from the Government of Philippines PPP Center. </w:t>
      </w:r>
    </w:p>
    <w:p w14:paraId="2341EC34" w14:textId="77777777" w:rsidR="002021EE" w:rsidRDefault="002021EE">
      <w:r>
        <w:br w:type="page"/>
      </w:r>
    </w:p>
    <w:p w14:paraId="0FDAF982" w14:textId="2ED66CC0" w:rsidR="00825539" w:rsidRPr="0045299C" w:rsidRDefault="00825539" w:rsidP="00FB0EC0">
      <w:pPr>
        <w:pStyle w:val="Heading20"/>
      </w:pPr>
      <w:bookmarkStart w:id="9" w:name="_Toc423711117"/>
      <w:bookmarkStart w:id="10" w:name="_Toc2772935"/>
      <w:bookmarkStart w:id="11" w:name="_Toc96435316"/>
      <w:r w:rsidRPr="0045299C">
        <w:lastRenderedPageBreak/>
        <w:t>Executive Summary</w:t>
      </w:r>
      <w:bookmarkEnd w:id="9"/>
      <w:bookmarkEnd w:id="10"/>
      <w:bookmarkEnd w:id="11"/>
    </w:p>
    <w:p w14:paraId="7EE3300C" w14:textId="77777777" w:rsidR="005B0CE3" w:rsidRDefault="00413C1B" w:rsidP="008B5D48">
      <w:pPr>
        <w:spacing w:line="240" w:lineRule="auto"/>
        <w:rPr>
          <w:rFonts w:cstheme="minorHAnsi"/>
        </w:rPr>
      </w:pPr>
      <w:r>
        <w:rPr>
          <w:rFonts w:cstheme="minorHAnsi"/>
        </w:rPr>
        <w:t>Australia’s contribution to t</w:t>
      </w:r>
      <w:r w:rsidR="00B24D1E">
        <w:rPr>
          <w:rFonts w:cstheme="minorHAnsi"/>
        </w:rPr>
        <w:t xml:space="preserve">he </w:t>
      </w:r>
      <w:r w:rsidR="00B24D1E" w:rsidRPr="00B24D1E">
        <w:rPr>
          <w:rFonts w:cstheme="minorHAnsi"/>
        </w:rPr>
        <w:t xml:space="preserve">Technical Assistance on Strengthening Public Private Partnerships </w:t>
      </w:r>
      <w:r>
        <w:rPr>
          <w:rFonts w:cstheme="minorHAnsi"/>
        </w:rPr>
        <w:t xml:space="preserve">(PPP) </w:t>
      </w:r>
      <w:r w:rsidR="00B24D1E" w:rsidRPr="00B24D1E">
        <w:rPr>
          <w:rFonts w:cstheme="minorHAnsi"/>
        </w:rPr>
        <w:t xml:space="preserve">Program in the Philippines (2011-2021) </w:t>
      </w:r>
      <w:r w:rsidR="00AA3FBC">
        <w:rPr>
          <w:rFonts w:cstheme="minorHAnsi"/>
        </w:rPr>
        <w:t>through the Asian Development Bank (ADB)</w:t>
      </w:r>
      <w:r w:rsidR="005B0CE3">
        <w:rPr>
          <w:rFonts w:cstheme="minorHAnsi"/>
        </w:rPr>
        <w:t xml:space="preserve"> </w:t>
      </w:r>
      <w:r w:rsidR="00AA3FBC">
        <w:rPr>
          <w:rFonts w:cstheme="minorHAnsi"/>
        </w:rPr>
        <w:t>was</w:t>
      </w:r>
      <w:r w:rsidR="00B24D1E" w:rsidRPr="00B24D1E">
        <w:rPr>
          <w:rFonts w:cstheme="minorHAnsi"/>
        </w:rPr>
        <w:t xml:space="preserve"> an effective way to garner </w:t>
      </w:r>
      <w:r w:rsidR="00484C80">
        <w:rPr>
          <w:rFonts w:cstheme="minorHAnsi"/>
        </w:rPr>
        <w:t>private sector</w:t>
      </w:r>
      <w:r w:rsidR="00B24D1E" w:rsidRPr="00B24D1E">
        <w:rPr>
          <w:rFonts w:cstheme="minorHAnsi"/>
        </w:rPr>
        <w:t xml:space="preserve"> investment </w:t>
      </w:r>
      <w:r w:rsidR="00484C80">
        <w:rPr>
          <w:rFonts w:cstheme="minorHAnsi"/>
        </w:rPr>
        <w:t xml:space="preserve">to address infrastructure gaps in the Philippines. </w:t>
      </w:r>
    </w:p>
    <w:p w14:paraId="5060853A" w14:textId="4A5B5A67" w:rsidR="00484C80" w:rsidRDefault="00484C80" w:rsidP="008B5D48">
      <w:pPr>
        <w:spacing w:line="240" w:lineRule="auto"/>
        <w:rPr>
          <w:rFonts w:cstheme="minorHAnsi"/>
        </w:rPr>
      </w:pPr>
      <w:r>
        <w:rPr>
          <w:rFonts w:cstheme="minorHAnsi"/>
        </w:rPr>
        <w:t>Program partners highly value</w:t>
      </w:r>
      <w:r w:rsidR="00413C1B">
        <w:rPr>
          <w:rFonts w:cstheme="minorHAnsi"/>
        </w:rPr>
        <w:t>d</w:t>
      </w:r>
      <w:r>
        <w:rPr>
          <w:rFonts w:cstheme="minorHAnsi"/>
        </w:rPr>
        <w:t xml:space="preserve"> the support provided by DFAT, which </w:t>
      </w:r>
      <w:bookmarkStart w:id="12" w:name="_Hlk90865592"/>
      <w:r>
        <w:rPr>
          <w:rFonts w:cstheme="minorHAnsi"/>
        </w:rPr>
        <w:t>contributed significantly to building a pipeline of PPP projects</w:t>
      </w:r>
      <w:r w:rsidR="001D0647">
        <w:rPr>
          <w:rFonts w:cstheme="minorHAnsi"/>
        </w:rPr>
        <w:t>,</w:t>
      </w:r>
      <w:r w:rsidR="00950F57">
        <w:rPr>
          <w:rFonts w:cstheme="minorHAnsi"/>
        </w:rPr>
        <w:t xml:space="preserve"> </w:t>
      </w:r>
      <w:r w:rsidR="00950F57" w:rsidRPr="00950F57">
        <w:rPr>
          <w:rFonts w:cstheme="minorHAnsi"/>
        </w:rPr>
        <w:t>strengthening the policy environment for PPPs, and improving</w:t>
      </w:r>
      <w:r>
        <w:rPr>
          <w:rFonts w:cstheme="minorHAnsi"/>
        </w:rPr>
        <w:t xml:space="preserve"> governmen</w:t>
      </w:r>
      <w:r w:rsidR="00867BB5">
        <w:rPr>
          <w:rFonts w:cstheme="minorHAnsi"/>
        </w:rPr>
        <w:t>t</w:t>
      </w:r>
      <w:r>
        <w:rPr>
          <w:rFonts w:cstheme="minorHAnsi"/>
        </w:rPr>
        <w:t xml:space="preserve"> capacity to administer PPP projects and integrate safeguarding requirements for climate resilient infrastructure. </w:t>
      </w:r>
    </w:p>
    <w:p w14:paraId="2DA8011A" w14:textId="1D16225E" w:rsidR="00B45865" w:rsidRDefault="00B45865" w:rsidP="008B5D48">
      <w:pPr>
        <w:spacing w:line="240" w:lineRule="auto"/>
        <w:rPr>
          <w:rFonts w:cstheme="minorHAnsi"/>
        </w:rPr>
      </w:pPr>
      <w:r w:rsidRPr="00CE7128">
        <w:rPr>
          <w:rFonts w:ascii="Calibri" w:eastAsia="Calibri" w:hAnsi="Calibri" w:cs="Times New Roman"/>
        </w:rPr>
        <w:t>The Program is referred to as</w:t>
      </w:r>
      <w:r w:rsidR="00554EE4">
        <w:rPr>
          <w:rFonts w:ascii="Calibri" w:eastAsia="Calibri" w:hAnsi="Calibri" w:cs="Times New Roman"/>
        </w:rPr>
        <w:t xml:space="preserve"> the</w:t>
      </w:r>
      <w:r w:rsidRPr="00CE7128">
        <w:rPr>
          <w:rFonts w:ascii="Calibri" w:eastAsia="Calibri" w:hAnsi="Calibri" w:cs="Times New Roman"/>
        </w:rPr>
        <w:t xml:space="preserve"> ‘TA’ throughout this document.</w:t>
      </w:r>
      <w:r>
        <w:rPr>
          <w:rFonts w:ascii="Calibri" w:eastAsia="Calibri" w:hAnsi="Calibri" w:cs="Times New Roman"/>
        </w:rPr>
        <w:t xml:space="preserve"> This is distinct from the ‘PPP Program’, which refers to the national Philippines PPP Program supported by the TA and administered by the ADB.</w:t>
      </w:r>
    </w:p>
    <w:bookmarkEnd w:id="12"/>
    <w:p w14:paraId="22D62664" w14:textId="3A3F830E" w:rsidR="00825539" w:rsidRDefault="00825539" w:rsidP="008B5D48">
      <w:pPr>
        <w:pStyle w:val="SDAbodytext"/>
      </w:pPr>
      <w:r>
        <w:t>Key evaluation findings</w:t>
      </w:r>
      <w:r w:rsidR="0066035D">
        <w:t xml:space="preserve"> were</w:t>
      </w:r>
      <w:r>
        <w:t>:</w:t>
      </w:r>
    </w:p>
    <w:p w14:paraId="5013DA9C" w14:textId="4E898868" w:rsidR="00BF7C54" w:rsidRPr="00BF7C54" w:rsidRDefault="00BF7C54" w:rsidP="007464F3">
      <w:pPr>
        <w:pStyle w:val="SDAbodytext"/>
        <w:numPr>
          <w:ilvl w:val="0"/>
          <w:numId w:val="50"/>
        </w:numPr>
      </w:pPr>
      <w:bookmarkStart w:id="13" w:name="_Hlk75776391"/>
      <w:bookmarkStart w:id="14" w:name="_Hlk66882859"/>
      <w:r>
        <w:t xml:space="preserve">The TA significantly contributed to the Philippines PPP structure and the high capacity and excellence of government agencies which strongly </w:t>
      </w:r>
      <w:r w:rsidRPr="001674D8">
        <w:t>advanc</w:t>
      </w:r>
      <w:r>
        <w:t>ed</w:t>
      </w:r>
      <w:r w:rsidRPr="001674D8">
        <w:t xml:space="preserve"> </w:t>
      </w:r>
      <w:r>
        <w:t>the PPP Program</w:t>
      </w:r>
      <w:r w:rsidR="00413C1B">
        <w:t>.</w:t>
      </w:r>
      <w:r>
        <w:t xml:space="preserve"> </w:t>
      </w:r>
      <w:r w:rsidR="00413C1B">
        <w:t xml:space="preserve">This </w:t>
      </w:r>
      <w:r>
        <w:t>capacity cascad</w:t>
      </w:r>
      <w:r w:rsidR="00413C1B">
        <w:t>ed</w:t>
      </w:r>
      <w:r>
        <w:t xml:space="preserve"> outwards to</w:t>
      </w:r>
      <w:r w:rsidR="00950F57">
        <w:t xml:space="preserve"> </w:t>
      </w:r>
      <w:r w:rsidR="00881E1E">
        <w:t xml:space="preserve">Philippine </w:t>
      </w:r>
      <w:r w:rsidR="00950F57" w:rsidRPr="00950F57">
        <w:t xml:space="preserve">national government partners such as Department of Finance (DOF), National Economic and Development Authority (NEDA), and </w:t>
      </w:r>
      <w:r w:rsidR="00881E1E">
        <w:t xml:space="preserve">the </w:t>
      </w:r>
      <w:r w:rsidR="00950F57" w:rsidRPr="00950F57">
        <w:t xml:space="preserve">PPP Center and downwards to </w:t>
      </w:r>
      <w:r w:rsidR="00E93CFF">
        <w:t>im</w:t>
      </w:r>
      <w:r w:rsidR="00554EE4">
        <w:t xml:space="preserve">plementing agencies </w:t>
      </w:r>
      <w:r>
        <w:t>and</w:t>
      </w:r>
      <w:r w:rsidR="000B35DD">
        <w:t xml:space="preserve"> </w:t>
      </w:r>
      <w:r>
        <w:t xml:space="preserve">Local </w:t>
      </w:r>
      <w:r w:rsidR="000A11DB">
        <w:t>G</w:t>
      </w:r>
      <w:r>
        <w:t xml:space="preserve">overnment Units (LGU), creating awareness of the PPP modality and its use and value, and increasing momentum for PPP projects across the country. </w:t>
      </w:r>
    </w:p>
    <w:bookmarkEnd w:id="13"/>
    <w:p w14:paraId="059E8D11" w14:textId="0D42DDC5" w:rsidR="00BF7C54" w:rsidRPr="00BF7C54" w:rsidRDefault="00BF7C54" w:rsidP="007464F3">
      <w:pPr>
        <w:pStyle w:val="SDAbodytext"/>
        <w:numPr>
          <w:ilvl w:val="0"/>
          <w:numId w:val="50"/>
        </w:numPr>
      </w:pPr>
      <w:r w:rsidRPr="00BF7C54">
        <w:t xml:space="preserve">Sharing of Australian expertise and lessons from practice </w:t>
      </w:r>
      <w:r w:rsidR="00413C1B">
        <w:t>were</w:t>
      </w:r>
      <w:r w:rsidRPr="00BF7C54">
        <w:t xml:space="preserve"> well leveraged through the TA, significantly contributing to </w:t>
      </w:r>
      <w:r w:rsidR="00413C1B">
        <w:t>its</w:t>
      </w:r>
      <w:r w:rsidR="00413C1B" w:rsidRPr="00BF7C54">
        <w:t xml:space="preserve"> </w:t>
      </w:r>
      <w:r w:rsidRPr="00BF7C54">
        <w:t xml:space="preserve">effectiveness and </w:t>
      </w:r>
      <w:r w:rsidR="00413C1B">
        <w:t>enhancing</w:t>
      </w:r>
      <w:r w:rsidR="00413C1B" w:rsidRPr="00BF7C54">
        <w:t xml:space="preserve"> </w:t>
      </w:r>
      <w:r w:rsidRPr="00BF7C54">
        <w:t>bilateral relations</w:t>
      </w:r>
      <w:r w:rsidR="00413C1B">
        <w:t xml:space="preserve"> with the Philippines</w:t>
      </w:r>
      <w:r w:rsidRPr="00BF7C54">
        <w:t xml:space="preserve">. While Australian links were firmly formed in the first half of the Program, there </w:t>
      </w:r>
      <w:r w:rsidR="00413C1B">
        <w:t>were some</w:t>
      </w:r>
      <w:r w:rsidRPr="00BF7C54">
        <w:t xml:space="preserve"> missed opportunities to sustain and further embed Australia’s strategic engagement</w:t>
      </w:r>
      <w:r w:rsidR="00950F57">
        <w:t xml:space="preserve"> </w:t>
      </w:r>
      <w:r w:rsidR="00950F57" w:rsidRPr="00950F57">
        <w:t>during the second half of the Program</w:t>
      </w:r>
      <w:r w:rsidRPr="00BF7C54">
        <w:t>.</w:t>
      </w:r>
    </w:p>
    <w:p w14:paraId="5E8E059B" w14:textId="04F6E9AD" w:rsidR="00BF7C54" w:rsidRPr="00BF7C54" w:rsidRDefault="00BF7C54" w:rsidP="007464F3">
      <w:pPr>
        <w:pStyle w:val="SDAbodytext"/>
        <w:numPr>
          <w:ilvl w:val="0"/>
          <w:numId w:val="50"/>
        </w:numPr>
      </w:pPr>
      <w:bookmarkStart w:id="15" w:name="_Hlk66474001"/>
      <w:r w:rsidRPr="00BF7C54">
        <w:t xml:space="preserve">The TA was designed for an era where there was strong political </w:t>
      </w:r>
      <w:r w:rsidR="004843F9" w:rsidRPr="00BF7C54">
        <w:t>support</w:t>
      </w:r>
      <w:r w:rsidR="00F030A5">
        <w:t>. It</w:t>
      </w:r>
      <w:r w:rsidRPr="00BF7C54">
        <w:t xml:space="preserve"> faced challenges when there were significant changes in policy direction. </w:t>
      </w:r>
      <w:r w:rsidR="00413C1B">
        <w:t>The</w:t>
      </w:r>
      <w:r w:rsidRPr="00BF7C54">
        <w:t xml:space="preserve"> TA responded to aspects of the changing </w:t>
      </w:r>
      <w:r w:rsidR="004843F9" w:rsidRPr="00BF7C54">
        <w:t>context</w:t>
      </w:r>
      <w:r w:rsidR="004843F9">
        <w:t xml:space="preserve"> and</w:t>
      </w:r>
      <w:r w:rsidRPr="00BF7C54">
        <w:t xml:space="preserve"> supported the Philippines to harness PPPs to meet critical infrastructure development needs</w:t>
      </w:r>
      <w:r w:rsidR="00413C1B">
        <w:t xml:space="preserve">. However, if </w:t>
      </w:r>
      <w:r w:rsidR="008F709D">
        <w:t>a</w:t>
      </w:r>
      <w:r w:rsidR="008F709D" w:rsidRPr="00BF7C54">
        <w:t xml:space="preserve"> more</w:t>
      </w:r>
      <w:r w:rsidRPr="00BF7C54">
        <w:t xml:space="preserve"> formal</w:t>
      </w:r>
      <w:r w:rsidR="00950F57">
        <w:t xml:space="preserve"> and </w:t>
      </w:r>
      <w:r w:rsidR="00413C1B">
        <w:t>high-level</w:t>
      </w:r>
      <w:r w:rsidRPr="00BF7C54">
        <w:t xml:space="preserve"> TA strategy realignment </w:t>
      </w:r>
      <w:r w:rsidR="00413C1B">
        <w:t>was undertaken in response to</w:t>
      </w:r>
      <w:r w:rsidRPr="00BF7C54">
        <w:t xml:space="preserve"> change</w:t>
      </w:r>
      <w:r w:rsidR="00413C1B">
        <w:t>s</w:t>
      </w:r>
      <w:r w:rsidRPr="00BF7C54">
        <w:t xml:space="preserve"> in the policy environment</w:t>
      </w:r>
      <w:r w:rsidR="004843F9">
        <w:t>, it</w:t>
      </w:r>
      <w:r w:rsidRPr="00BF7C54">
        <w:t xml:space="preserve"> may have resulted in a more targeted approach to advancing the PPP modality in line with </w:t>
      </w:r>
      <w:r w:rsidR="004843F9">
        <w:t xml:space="preserve">Philippine </w:t>
      </w:r>
      <w:r w:rsidRPr="00BF7C54">
        <w:t>government directions, addressing bottlenecks and extending the gains of DFAT’s investment.</w:t>
      </w:r>
    </w:p>
    <w:p w14:paraId="24C30FB2" w14:textId="5A20FE56" w:rsidR="00BF7C54" w:rsidRPr="00BF7C54" w:rsidRDefault="00BF7C54" w:rsidP="007464F3">
      <w:pPr>
        <w:pStyle w:val="SDAbodytext"/>
        <w:numPr>
          <w:ilvl w:val="0"/>
          <w:numId w:val="50"/>
        </w:numPr>
      </w:pPr>
      <w:r>
        <w:t xml:space="preserve">The flexibility of the TA enabled a focusing of support in line with evolving needs marked by a </w:t>
      </w:r>
      <w:bookmarkStart w:id="16" w:name="_Hlk75867904"/>
      <w:r>
        <w:t xml:space="preserve">shift from national big-ticket PPP projects in the earlier years, towards supporting </w:t>
      </w:r>
      <w:r w:rsidR="00E51EF4">
        <w:t>local government</w:t>
      </w:r>
      <w:r w:rsidR="00553E1E">
        <w:t>s</w:t>
      </w:r>
      <w:r>
        <w:t xml:space="preserve"> and non-traditional </w:t>
      </w:r>
      <w:r w:rsidR="007A6861" w:rsidRPr="007A6861">
        <w:t xml:space="preserve">agencies </w:t>
      </w:r>
      <w:bookmarkEnd w:id="16"/>
      <w:r w:rsidR="007A6861" w:rsidRPr="007A6861">
        <w:t>such as water districts, state universities and colleges, and economic zones</w:t>
      </w:r>
      <w:r w:rsidR="007A6861">
        <w:t xml:space="preserve"> </w:t>
      </w:r>
      <w:r>
        <w:t>to develop and advance a diverse range of smaller-scale PPP projects</w:t>
      </w:r>
      <w:r w:rsidR="007A6861">
        <w:t xml:space="preserve"> across the regions</w:t>
      </w:r>
      <w:r>
        <w:t>. This positioned the Government of Philippines</w:t>
      </w:r>
      <w:r w:rsidR="00A2205C">
        <w:t xml:space="preserve"> well</w:t>
      </w:r>
      <w:r>
        <w:t xml:space="preserve"> to respond to</w:t>
      </w:r>
      <w:r w:rsidR="00A2205C">
        <w:t xml:space="preserve"> later</w:t>
      </w:r>
      <w:r>
        <w:t xml:space="preserve"> rulings </w:t>
      </w:r>
      <w:r w:rsidR="00413C1B">
        <w:t xml:space="preserve">on decentralisation </w:t>
      </w:r>
      <w:r>
        <w:t xml:space="preserve">that will result in a substantial increase in funding allocated to </w:t>
      </w:r>
      <w:r w:rsidR="00E51EF4">
        <w:t>local government units</w:t>
      </w:r>
      <w:r>
        <w:t xml:space="preserve"> to meet local infrastructure development needs in 2022.</w:t>
      </w:r>
    </w:p>
    <w:p w14:paraId="60EDFCD8" w14:textId="565300B7" w:rsidR="00BF7C54" w:rsidRPr="00BF7C54" w:rsidRDefault="00BF7C54" w:rsidP="007464F3">
      <w:pPr>
        <w:pStyle w:val="SDAbodytext"/>
        <w:numPr>
          <w:ilvl w:val="0"/>
          <w:numId w:val="50"/>
        </w:numPr>
      </w:pPr>
      <w:bookmarkStart w:id="17" w:name="_Hlk66372481"/>
      <w:bookmarkEnd w:id="15"/>
      <w:r>
        <w:t xml:space="preserve">Support provided through the </w:t>
      </w:r>
      <w:r w:rsidR="00BD00C6" w:rsidRPr="00AC794F">
        <w:t xml:space="preserve">Project Development and </w:t>
      </w:r>
      <w:r w:rsidR="00BD00C6">
        <w:t xml:space="preserve">Monitoring </w:t>
      </w:r>
      <w:r w:rsidR="00BD00C6" w:rsidRPr="00AC794F">
        <w:t xml:space="preserve">Facility </w:t>
      </w:r>
      <w:r w:rsidR="00BD00C6">
        <w:t>(</w:t>
      </w:r>
      <w:r>
        <w:t>PDMF</w:t>
      </w:r>
      <w:r w:rsidR="00BD00C6">
        <w:t>)</w:t>
      </w:r>
      <w:r>
        <w:t xml:space="preserve"> was effective in capitalising on momentum and jumpstarting PPP projects in the early years by </w:t>
      </w:r>
      <w:r w:rsidRPr="00BF7C54">
        <w:t>expediting procurement of pre-selected international consultants</w:t>
      </w:r>
      <w:r w:rsidR="00413C1B">
        <w:t>. This</w:t>
      </w:r>
      <w:r w:rsidR="00413C1B" w:rsidRPr="00BF7C54">
        <w:t xml:space="preserve"> arrangement</w:t>
      </w:r>
      <w:r w:rsidRPr="00BF7C54">
        <w:t xml:space="preserve"> </w:t>
      </w:r>
      <w:r w:rsidR="007A6861">
        <w:t xml:space="preserve">would </w:t>
      </w:r>
      <w:r w:rsidR="00413C1B">
        <w:t xml:space="preserve">ordinarily </w:t>
      </w:r>
      <w:r w:rsidR="007A6861">
        <w:t>be challenging</w:t>
      </w:r>
      <w:r w:rsidRPr="00BF7C54">
        <w:t xml:space="preserve"> without foreign funding </w:t>
      </w:r>
      <w:r w:rsidR="007A6861" w:rsidRPr="007A6861">
        <w:t>and without the cover of an international executive agreement (such as a Technical Assistance Agreement with ADB)</w:t>
      </w:r>
      <w:r w:rsidR="007A6861">
        <w:t xml:space="preserve"> </w:t>
      </w:r>
      <w:r w:rsidRPr="00BF7C54">
        <w:t xml:space="preserve">under </w:t>
      </w:r>
      <w:r w:rsidR="00F10E09">
        <w:t xml:space="preserve">Philippine </w:t>
      </w:r>
      <w:r w:rsidRPr="00BF7C54">
        <w:lastRenderedPageBreak/>
        <w:t>national procurement laws. While the procurement mechanism was appropriate at the time</w:t>
      </w:r>
      <w:r w:rsidR="00F10E09">
        <w:t>,</w:t>
      </w:r>
      <w:r w:rsidRPr="00BF7C54">
        <w:t xml:space="preserve"> and effective in quickly bringing in the right expertise, challenges to sustainability remain.</w:t>
      </w:r>
    </w:p>
    <w:p w14:paraId="0418ACBA" w14:textId="0A720CF3" w:rsidR="00BF7C54" w:rsidRPr="00BF7C54" w:rsidRDefault="00BF7C54" w:rsidP="007464F3">
      <w:pPr>
        <w:pStyle w:val="SDAbodytext"/>
        <w:numPr>
          <w:ilvl w:val="0"/>
          <w:numId w:val="50"/>
        </w:numPr>
      </w:pPr>
      <w:r w:rsidRPr="00FC7850">
        <w:t xml:space="preserve">The modality of working through the ADB </w:t>
      </w:r>
      <w:r w:rsidR="00E226E2">
        <w:t>was</w:t>
      </w:r>
      <w:r w:rsidRPr="00FC7850">
        <w:t xml:space="preserve"> highly effective</w:t>
      </w:r>
      <w:r>
        <w:t xml:space="preserve"> in meeting the support needs of partners</w:t>
      </w:r>
      <w:r w:rsidRPr="00FC7850">
        <w:t xml:space="preserve">, and delivered a flexible and fit-for purpose program well suited to the </w:t>
      </w:r>
      <w:r>
        <w:t xml:space="preserve">high </w:t>
      </w:r>
      <w:r w:rsidRPr="00FC7850">
        <w:t xml:space="preserve">level of capacity among </w:t>
      </w:r>
      <w:r>
        <w:t>Philippine g</w:t>
      </w:r>
      <w:r w:rsidRPr="00FC7850">
        <w:t xml:space="preserve">overnment partners. While the benefits of the modality far outweigh </w:t>
      </w:r>
      <w:r>
        <w:t>associated</w:t>
      </w:r>
      <w:r w:rsidRPr="00FC7850">
        <w:t xml:space="preserve"> limitations</w:t>
      </w:r>
      <w:r>
        <w:t xml:space="preserve"> and inefficiencies</w:t>
      </w:r>
      <w:r w:rsidRPr="00FC7850">
        <w:t xml:space="preserve">, there </w:t>
      </w:r>
      <w:r w:rsidR="00413C1B">
        <w:t>were missed</w:t>
      </w:r>
      <w:r w:rsidRPr="00FC7850">
        <w:t xml:space="preserve"> opportunities for both DFAT and </w:t>
      </w:r>
      <w:r w:rsidR="00E226E2">
        <w:t xml:space="preserve">the </w:t>
      </w:r>
      <w:r w:rsidRPr="00FC7850">
        <w:t>ADB to strengthen engagement and develop a</w:t>
      </w:r>
      <w:r>
        <w:t xml:space="preserve"> more</w:t>
      </w:r>
      <w:r w:rsidRPr="00FC7850">
        <w:t xml:space="preserve"> comprehensive partnership approach.</w:t>
      </w:r>
    </w:p>
    <w:p w14:paraId="40EAB1AE" w14:textId="54677EEC" w:rsidR="00BF7C54" w:rsidRPr="00BF7C54" w:rsidRDefault="00E226E2" w:rsidP="007464F3">
      <w:pPr>
        <w:pStyle w:val="SDAbodytext"/>
        <w:numPr>
          <w:ilvl w:val="0"/>
          <w:numId w:val="50"/>
        </w:numPr>
      </w:pPr>
      <w:bookmarkStart w:id="18" w:name="_Hlk66342803"/>
      <w:bookmarkEnd w:id="17"/>
      <w:r>
        <w:t>S</w:t>
      </w:r>
      <w:r w:rsidR="00BF7C54" w:rsidRPr="00BF7C54">
        <w:t>trong policy and resource foundation</w:t>
      </w:r>
      <w:r>
        <w:t>s</w:t>
      </w:r>
      <w:r w:rsidR="00BF7C54" w:rsidRPr="00BF7C54">
        <w:t xml:space="preserve"> </w:t>
      </w:r>
      <w:r w:rsidR="00EE084F">
        <w:t>were</w:t>
      </w:r>
      <w:r w:rsidR="00BF7C54" w:rsidRPr="00BF7C54">
        <w:t xml:space="preserve"> built for </w:t>
      </w:r>
      <w:r w:rsidR="00EE084F">
        <w:t xml:space="preserve">improving management of </w:t>
      </w:r>
      <w:r w:rsidR="00BF7C54" w:rsidRPr="00BF7C54">
        <w:t>social and environmental safeguard</w:t>
      </w:r>
      <w:r w:rsidR="00EE084F">
        <w:t>s,</w:t>
      </w:r>
      <w:r w:rsidR="00BF7C54" w:rsidRPr="00BF7C54">
        <w:t xml:space="preserve"> along with</w:t>
      </w:r>
      <w:r w:rsidR="00EE084F">
        <w:t xml:space="preserve"> developing</w:t>
      </w:r>
      <w:r w:rsidR="00BF7C54" w:rsidRPr="00BF7C54">
        <w:t xml:space="preserve"> a high level of multi-stakeholder awareness and commitment. Some progress </w:t>
      </w:r>
      <w:r w:rsidR="00EE084F">
        <w:t>was</w:t>
      </w:r>
      <w:r w:rsidR="00BF7C54" w:rsidRPr="00BF7C54">
        <w:t xml:space="preserve"> made in embedding inclusion and safeguarding across various PPP stages</w:t>
      </w:r>
      <w:r w:rsidR="00EE084F">
        <w:t>. But</w:t>
      </w:r>
      <w:r w:rsidR="00EE084F" w:rsidRPr="00BF7C54">
        <w:t xml:space="preserve"> additional</w:t>
      </w:r>
      <w:r w:rsidR="00BF7C54" w:rsidRPr="00BF7C54">
        <w:t xml:space="preserve"> effort </w:t>
      </w:r>
      <w:r w:rsidR="00EE084F">
        <w:t xml:space="preserve">would have been </w:t>
      </w:r>
      <w:r w:rsidR="00BF7C54" w:rsidRPr="00BF7C54">
        <w:t xml:space="preserve">required to build more specialised technical and sectoral capacity and introduce monitoring and accountability measures to ensure inclusion and safeguarding </w:t>
      </w:r>
      <w:r w:rsidR="00EE084F">
        <w:t>were</w:t>
      </w:r>
      <w:r w:rsidR="00BF7C54" w:rsidRPr="00BF7C54">
        <w:t xml:space="preserve"> firmly embedded across PPP projects. </w:t>
      </w:r>
    </w:p>
    <w:bookmarkEnd w:id="18"/>
    <w:p w14:paraId="06AF27D9" w14:textId="54F02CDD" w:rsidR="00BF7C54" w:rsidRPr="00E1695B" w:rsidRDefault="00BF7C54" w:rsidP="007464F3">
      <w:pPr>
        <w:pStyle w:val="SDAbodytext"/>
        <w:numPr>
          <w:ilvl w:val="0"/>
          <w:numId w:val="50"/>
        </w:numPr>
      </w:pPr>
      <w:r w:rsidRPr="00BF7C54">
        <w:t xml:space="preserve">The TA’s </w:t>
      </w:r>
      <w:r w:rsidR="007C3B6B" w:rsidRPr="00BF7C54">
        <w:t xml:space="preserve">monitoring and evaluation </w:t>
      </w:r>
      <w:r w:rsidRPr="00BF7C54">
        <w:t>framework</w:t>
      </w:r>
      <w:r w:rsidR="003770DE">
        <w:rPr>
          <w:rStyle w:val="FootnoteReference"/>
        </w:rPr>
        <w:footnoteReference w:id="2"/>
      </w:r>
      <w:r w:rsidRPr="00BF7C54">
        <w:t xml:space="preserve"> remained relatively rigid and </w:t>
      </w:r>
      <w:r w:rsidR="00EE084F">
        <w:t xml:space="preserve">did </w:t>
      </w:r>
      <w:r w:rsidRPr="00BF7C54">
        <w:t xml:space="preserve">not produce sufficient qualitative information and analysis, </w:t>
      </w:r>
      <w:r w:rsidR="00EE084F">
        <w:t>n</w:t>
      </w:r>
      <w:r w:rsidRPr="00BF7C54">
        <w:t xml:space="preserve">or </w:t>
      </w:r>
      <w:r w:rsidR="00EE084F">
        <w:t xml:space="preserve">did it evolve </w:t>
      </w:r>
      <w:r w:rsidRPr="00BF7C54">
        <w:t xml:space="preserve">appropriately over the </w:t>
      </w:r>
      <w:r w:rsidR="0066035D">
        <w:t>ten</w:t>
      </w:r>
      <w:r w:rsidRPr="00BF7C54">
        <w:t xml:space="preserve">-year period to enable DFAT to </w:t>
      </w:r>
      <w:r w:rsidR="00EE084F">
        <w:t>sufficiently</w:t>
      </w:r>
      <w:r w:rsidR="00EE084F" w:rsidRPr="00BF7C54">
        <w:t xml:space="preserve"> </w:t>
      </w:r>
      <w:r w:rsidRPr="00BF7C54">
        <w:t xml:space="preserve">tell the TA’s performance story or make evidence-based investment decisions. </w:t>
      </w:r>
      <w:r w:rsidR="00EE084F">
        <w:t>Monitoring and evaluation</w:t>
      </w:r>
      <w:r w:rsidRPr="00BF7C54">
        <w:t xml:space="preserve"> could </w:t>
      </w:r>
      <w:r w:rsidR="00EE084F">
        <w:t xml:space="preserve">have </w:t>
      </w:r>
      <w:r w:rsidRPr="00BF7C54">
        <w:t>be</w:t>
      </w:r>
      <w:r w:rsidR="00EE084F">
        <w:t>en</w:t>
      </w:r>
      <w:r w:rsidRPr="00BF7C54">
        <w:t xml:space="preserve"> strengthened by more strongly drawing on and analysing </w:t>
      </w:r>
      <w:r w:rsidR="007C4A62">
        <w:t xml:space="preserve">PPP </w:t>
      </w:r>
      <w:r w:rsidR="000A11DB">
        <w:t>Center</w:t>
      </w:r>
      <w:r w:rsidR="000A11DB" w:rsidRPr="00BF7C54">
        <w:t xml:space="preserve"> </w:t>
      </w:r>
      <w:r w:rsidRPr="00BF7C54">
        <w:t>data as part of political economy monitoring, linked to strategy testing and development.</w:t>
      </w:r>
    </w:p>
    <w:bookmarkEnd w:id="14"/>
    <w:p w14:paraId="7718240E" w14:textId="0901BF50" w:rsidR="00D43945" w:rsidRPr="008504E4" w:rsidRDefault="00CF7ADA" w:rsidP="008B5D48">
      <w:pPr>
        <w:spacing w:line="240" w:lineRule="auto"/>
      </w:pPr>
      <w:r>
        <w:t xml:space="preserve">The evaluation recommended that </w:t>
      </w:r>
      <w:r w:rsidR="00B24D1E">
        <w:t xml:space="preserve">DFAT should remain in the </w:t>
      </w:r>
      <w:r w:rsidR="00AA3FBC">
        <w:t xml:space="preserve">PPP </w:t>
      </w:r>
      <w:r w:rsidR="00B24D1E">
        <w:t>sector</w:t>
      </w:r>
      <w:r w:rsidR="00AA3FBC">
        <w:t xml:space="preserve"> in the </w:t>
      </w:r>
      <w:r w:rsidR="007363E5">
        <w:t>Philippines and</w:t>
      </w:r>
      <w:r w:rsidR="00B24D1E">
        <w:t xml:space="preserve"> continue </w:t>
      </w:r>
      <w:r w:rsidR="00DF7F07">
        <w:t>to</w:t>
      </w:r>
      <w:r w:rsidR="00B24D1E">
        <w:t xml:space="preserve"> </w:t>
      </w:r>
      <w:r w:rsidR="00DF7F07" w:rsidRPr="00DF7F07">
        <w:t>build on its long-standing engagement and contribution</w:t>
      </w:r>
      <w:r w:rsidR="00DF7F07">
        <w:t xml:space="preserve">. </w:t>
      </w:r>
      <w:r w:rsidR="00825539" w:rsidRPr="00FE031A">
        <w:t xml:space="preserve">The implications </w:t>
      </w:r>
      <w:r w:rsidR="00825539">
        <w:t xml:space="preserve">of key findings informed the development of </w:t>
      </w:r>
      <w:r w:rsidR="00C10629">
        <w:t>nine</w:t>
      </w:r>
      <w:r w:rsidR="0074670A">
        <w:t xml:space="preserve"> </w:t>
      </w:r>
      <w:r w:rsidR="00825539">
        <w:t xml:space="preserve">recommendations </w:t>
      </w:r>
      <w:r w:rsidR="00DF7F07">
        <w:t>for consideration as part of a future</w:t>
      </w:r>
      <w:r w:rsidR="00D43945">
        <w:t xml:space="preserve"> program of </w:t>
      </w:r>
      <w:r w:rsidR="00DF7F07">
        <w:t>support</w:t>
      </w:r>
      <w:r w:rsidR="0066035D">
        <w:t xml:space="preserve"> were</w:t>
      </w:r>
      <w:r w:rsidR="00D43945">
        <w:t>:</w:t>
      </w:r>
    </w:p>
    <w:p w14:paraId="41106608" w14:textId="135F16C4" w:rsidR="00560FD0" w:rsidRPr="006B254D" w:rsidRDefault="006B254D" w:rsidP="007464F3">
      <w:pPr>
        <w:pStyle w:val="SDAbodytext"/>
        <w:numPr>
          <w:ilvl w:val="0"/>
          <w:numId w:val="51"/>
        </w:numPr>
        <w:rPr>
          <w:rFonts w:cs="Roboto Light"/>
          <w:color w:val="000000"/>
        </w:rPr>
      </w:pPr>
      <w:r>
        <w:t xml:space="preserve">Bring Australian partners (including private sector) into a </w:t>
      </w:r>
      <w:r w:rsidRPr="000706E6">
        <w:rPr>
          <w:b/>
        </w:rPr>
        <w:t>joined-up W</w:t>
      </w:r>
      <w:r>
        <w:rPr>
          <w:b/>
        </w:rPr>
        <w:t xml:space="preserve">hole of Government </w:t>
      </w:r>
      <w:r w:rsidRPr="000706E6">
        <w:rPr>
          <w:b/>
        </w:rPr>
        <w:t>strategy</w:t>
      </w:r>
      <w:r>
        <w:rPr>
          <w:rFonts w:cs="Roboto Light"/>
          <w:color w:val="000000"/>
        </w:rPr>
        <w:t xml:space="preserve"> </w:t>
      </w:r>
      <w:r w:rsidR="00560FD0" w:rsidRPr="006B254D">
        <w:rPr>
          <w:bCs/>
        </w:rPr>
        <w:t xml:space="preserve">that links other programs and priority areas (good governance, climate change, peace and security, indigenous people) in a holistic approach and seeks to increase Australian </w:t>
      </w:r>
      <w:r w:rsidR="00CD78E5" w:rsidRPr="006B254D">
        <w:rPr>
          <w:bCs/>
        </w:rPr>
        <w:t>private sector</w:t>
      </w:r>
      <w:r w:rsidR="00560FD0" w:rsidRPr="006B254D">
        <w:rPr>
          <w:bCs/>
        </w:rPr>
        <w:t xml:space="preserve"> investment and linkages (such as by providing non-ODA funding to Australian </w:t>
      </w:r>
      <w:r w:rsidR="00CD78E5" w:rsidRPr="006B254D">
        <w:rPr>
          <w:bCs/>
        </w:rPr>
        <w:t xml:space="preserve">private sector </w:t>
      </w:r>
      <w:r w:rsidR="00560FD0" w:rsidRPr="006B254D">
        <w:rPr>
          <w:bCs/>
        </w:rPr>
        <w:t>entities to fund bids to increase engagement).</w:t>
      </w:r>
    </w:p>
    <w:p w14:paraId="2E264CE6" w14:textId="0200D6FC" w:rsidR="00D43945" w:rsidRDefault="00D43945" w:rsidP="007464F3">
      <w:pPr>
        <w:pStyle w:val="SDAbodytext"/>
        <w:numPr>
          <w:ilvl w:val="0"/>
          <w:numId w:val="51"/>
        </w:numPr>
        <w:rPr>
          <w:rFonts w:cs="Roboto Light"/>
          <w:color w:val="000000"/>
        </w:rPr>
      </w:pPr>
      <w:bookmarkStart w:id="19" w:name="_Hlk67930620"/>
      <w:r w:rsidRPr="00D43945">
        <w:rPr>
          <w:rFonts w:cs="Roboto Light"/>
          <w:color w:val="000000"/>
        </w:rPr>
        <w:t xml:space="preserve">Ensure </w:t>
      </w:r>
      <w:r w:rsidR="00560FD0">
        <w:rPr>
          <w:rFonts w:cs="Roboto Light"/>
          <w:color w:val="000000"/>
        </w:rPr>
        <w:t>DFAT undertakes a formal</w:t>
      </w:r>
      <w:r w:rsidRPr="00D43945">
        <w:rPr>
          <w:rFonts w:cs="Roboto Light"/>
          <w:color w:val="000000"/>
        </w:rPr>
        <w:t xml:space="preserve"> </w:t>
      </w:r>
      <w:r w:rsidRPr="00D43945">
        <w:rPr>
          <w:rFonts w:cs="Roboto Light"/>
          <w:b/>
          <w:bCs/>
          <w:color w:val="000000"/>
        </w:rPr>
        <w:t>political economy analysis</w:t>
      </w:r>
      <w:r w:rsidR="00560FD0">
        <w:rPr>
          <w:rFonts w:cs="Roboto Light"/>
          <w:color w:val="000000"/>
        </w:rPr>
        <w:t xml:space="preserve"> in the design </w:t>
      </w:r>
      <w:r w:rsidR="008F709D">
        <w:rPr>
          <w:rFonts w:cs="Roboto Light"/>
          <w:color w:val="000000"/>
        </w:rPr>
        <w:t>of</w:t>
      </w:r>
      <w:r w:rsidR="008F709D" w:rsidRPr="00D43945">
        <w:rPr>
          <w:rFonts w:cs="Roboto Light"/>
          <w:color w:val="000000"/>
        </w:rPr>
        <w:t xml:space="preserve"> new</w:t>
      </w:r>
      <w:r w:rsidRPr="00D43945">
        <w:rPr>
          <w:rFonts w:cs="Roboto Light"/>
          <w:color w:val="000000"/>
        </w:rPr>
        <w:t xml:space="preserve"> </w:t>
      </w:r>
      <w:r w:rsidR="002B7C4C">
        <w:rPr>
          <w:rFonts w:cs="Roboto Light"/>
          <w:color w:val="000000"/>
        </w:rPr>
        <w:t xml:space="preserve">infrastructure </w:t>
      </w:r>
      <w:r w:rsidRPr="00D43945">
        <w:rPr>
          <w:rFonts w:cs="Roboto Light"/>
          <w:color w:val="000000"/>
        </w:rPr>
        <w:t>program</w:t>
      </w:r>
      <w:r w:rsidR="00214764">
        <w:rPr>
          <w:rFonts w:cs="Roboto Light"/>
          <w:color w:val="000000"/>
        </w:rPr>
        <w:t>s</w:t>
      </w:r>
      <w:r w:rsidR="003D2BC5">
        <w:rPr>
          <w:rFonts w:cs="Roboto Light"/>
          <w:color w:val="000000"/>
        </w:rPr>
        <w:t xml:space="preserve"> (and </w:t>
      </w:r>
      <w:r w:rsidR="00560FD0">
        <w:rPr>
          <w:rFonts w:cs="Roboto Light"/>
          <w:color w:val="000000"/>
        </w:rPr>
        <w:t xml:space="preserve">that implementing partners hold </w:t>
      </w:r>
      <w:r w:rsidR="003D2BC5">
        <w:rPr>
          <w:rFonts w:cs="Roboto Light"/>
          <w:color w:val="000000"/>
        </w:rPr>
        <w:t xml:space="preserve">ongoing </w:t>
      </w:r>
      <w:r w:rsidR="00560FD0">
        <w:rPr>
          <w:rFonts w:cs="Roboto Light"/>
          <w:color w:val="000000"/>
        </w:rPr>
        <w:t xml:space="preserve">responsibility for undertaking </w:t>
      </w:r>
      <w:r w:rsidR="00CD78E5">
        <w:rPr>
          <w:rFonts w:cs="Roboto Light"/>
          <w:color w:val="000000"/>
        </w:rPr>
        <w:t>structured</w:t>
      </w:r>
      <w:r w:rsidR="00560FD0">
        <w:rPr>
          <w:rFonts w:cs="Roboto Light"/>
          <w:color w:val="000000"/>
        </w:rPr>
        <w:t xml:space="preserve"> </w:t>
      </w:r>
      <w:r w:rsidR="00362F87">
        <w:rPr>
          <w:rFonts w:cs="Roboto Light"/>
          <w:color w:val="000000"/>
        </w:rPr>
        <w:t>political economy analys</w:t>
      </w:r>
      <w:r w:rsidR="00D54F4B">
        <w:rPr>
          <w:rFonts w:cs="Roboto Light"/>
          <w:color w:val="000000"/>
        </w:rPr>
        <w:t>is,</w:t>
      </w:r>
      <w:r w:rsidR="00560FD0">
        <w:rPr>
          <w:rFonts w:cs="Roboto Light"/>
          <w:color w:val="000000"/>
        </w:rPr>
        <w:t xml:space="preserve"> </w:t>
      </w:r>
      <w:r w:rsidR="003D2BC5">
        <w:rPr>
          <w:rFonts w:cs="Roboto Light"/>
          <w:color w:val="000000"/>
        </w:rPr>
        <w:t xml:space="preserve">including </w:t>
      </w:r>
      <w:r w:rsidR="00560FD0" w:rsidRPr="00560FD0">
        <w:rPr>
          <w:rFonts w:cs="Roboto Light"/>
          <w:color w:val="000000"/>
        </w:rPr>
        <w:t>upon a change of government</w:t>
      </w:r>
      <w:r w:rsidR="003D2BC5">
        <w:rPr>
          <w:rFonts w:cs="Roboto Light"/>
          <w:color w:val="000000"/>
        </w:rPr>
        <w:t>)</w:t>
      </w:r>
      <w:r w:rsidR="00CF7ADA">
        <w:rPr>
          <w:rFonts w:cs="Roboto Light"/>
          <w:color w:val="000000"/>
        </w:rPr>
        <w:t>. P</w:t>
      </w:r>
      <w:r w:rsidRPr="00560FD0">
        <w:rPr>
          <w:rFonts w:cs="Roboto Light"/>
          <w:color w:val="000000"/>
        </w:rPr>
        <w:t xml:space="preserve">ackage support in line with </w:t>
      </w:r>
      <w:r w:rsidR="006B254D">
        <w:rPr>
          <w:rFonts w:cs="Roboto Light"/>
          <w:color w:val="000000"/>
        </w:rPr>
        <w:t xml:space="preserve">a </w:t>
      </w:r>
      <w:r w:rsidRPr="00560FD0">
        <w:rPr>
          <w:rFonts w:cs="Roboto Light"/>
          <w:color w:val="000000"/>
        </w:rPr>
        <w:t>new government</w:t>
      </w:r>
      <w:r w:rsidR="006B254D">
        <w:rPr>
          <w:rFonts w:cs="Roboto Light"/>
          <w:color w:val="000000"/>
        </w:rPr>
        <w:t>’s</w:t>
      </w:r>
      <w:r w:rsidRPr="00560FD0">
        <w:rPr>
          <w:rFonts w:cs="Roboto Light"/>
          <w:color w:val="000000"/>
        </w:rPr>
        <w:t xml:space="preserve"> policy direction and</w:t>
      </w:r>
      <w:r w:rsidR="00CD78E5">
        <w:rPr>
          <w:rFonts w:cs="Roboto Light"/>
          <w:color w:val="000000"/>
        </w:rPr>
        <w:t xml:space="preserve"> preferred</w:t>
      </w:r>
      <w:r w:rsidRPr="00560FD0">
        <w:rPr>
          <w:rFonts w:cs="Roboto Light"/>
          <w:color w:val="000000"/>
        </w:rPr>
        <w:t xml:space="preserve"> brand of PPPs, and ensure communication and engagement with senior government personnel is core to any new </w:t>
      </w:r>
      <w:r w:rsidR="00665186">
        <w:rPr>
          <w:rFonts w:cs="Roboto Light"/>
          <w:color w:val="000000"/>
        </w:rPr>
        <w:t>p</w:t>
      </w:r>
      <w:r w:rsidRPr="00560FD0">
        <w:rPr>
          <w:rFonts w:cs="Roboto Light"/>
          <w:color w:val="000000"/>
        </w:rPr>
        <w:t>rogram.</w:t>
      </w:r>
    </w:p>
    <w:p w14:paraId="6B5F7134" w14:textId="18501907" w:rsidR="0074670A" w:rsidRDefault="00A72390" w:rsidP="007464F3">
      <w:pPr>
        <w:pStyle w:val="SDAbodytext"/>
        <w:numPr>
          <w:ilvl w:val="0"/>
          <w:numId w:val="51"/>
        </w:numPr>
        <w:rPr>
          <w:rFonts w:cs="Roboto Light"/>
          <w:color w:val="000000"/>
        </w:rPr>
      </w:pPr>
      <w:bookmarkStart w:id="20" w:name="_Hlk67931438"/>
      <w:bookmarkEnd w:id="19"/>
      <w:r w:rsidRPr="0074670A">
        <w:rPr>
          <w:rFonts w:cs="Roboto Light"/>
          <w:color w:val="000000"/>
        </w:rPr>
        <w:t xml:space="preserve">Detail a </w:t>
      </w:r>
      <w:r w:rsidRPr="00C10629">
        <w:rPr>
          <w:rFonts w:cs="Roboto Light"/>
          <w:b/>
          <w:bCs/>
          <w:color w:val="000000"/>
        </w:rPr>
        <w:t xml:space="preserve">formal partnership approach </w:t>
      </w:r>
      <w:r w:rsidR="00CD78E5">
        <w:rPr>
          <w:rFonts w:cs="Roboto Light"/>
          <w:b/>
          <w:bCs/>
          <w:color w:val="000000"/>
        </w:rPr>
        <w:t>within</w:t>
      </w:r>
      <w:r w:rsidRPr="00C10629">
        <w:rPr>
          <w:rFonts w:cs="Roboto Light"/>
          <w:b/>
          <w:bCs/>
          <w:color w:val="000000"/>
        </w:rPr>
        <w:t xml:space="preserve"> the design document and contract agreement</w:t>
      </w:r>
      <w:r w:rsidR="00AA3FBC">
        <w:rPr>
          <w:rFonts w:cs="Roboto Light"/>
          <w:b/>
          <w:bCs/>
          <w:color w:val="000000"/>
        </w:rPr>
        <w:t>.</w:t>
      </w:r>
      <w:r w:rsidRPr="0074670A">
        <w:rPr>
          <w:rFonts w:cs="Roboto Light"/>
          <w:color w:val="000000"/>
        </w:rPr>
        <w:t xml:space="preserve"> </w:t>
      </w:r>
      <w:r w:rsidR="00AA3FBC">
        <w:rPr>
          <w:rFonts w:cs="Roboto Light"/>
          <w:color w:val="000000"/>
        </w:rPr>
        <w:t>C</w:t>
      </w:r>
      <w:r w:rsidRPr="0074670A">
        <w:rPr>
          <w:rFonts w:cs="Roboto Light"/>
          <w:color w:val="000000"/>
        </w:rPr>
        <w:t>lear roles and communication mechanisms</w:t>
      </w:r>
      <w:r w:rsidR="00AA3FBC">
        <w:rPr>
          <w:rFonts w:cs="Roboto Light"/>
          <w:color w:val="000000"/>
        </w:rPr>
        <w:t xml:space="preserve"> should be articulated</w:t>
      </w:r>
      <w:r w:rsidRPr="0074670A">
        <w:rPr>
          <w:rFonts w:cs="Roboto Light"/>
          <w:color w:val="000000"/>
        </w:rPr>
        <w:t xml:space="preserve"> to ensure DFAT’s engagement in strategic direction, monitoring and </w:t>
      </w:r>
      <w:r w:rsidR="00AA3FBC" w:rsidRPr="0074670A">
        <w:rPr>
          <w:rFonts w:cs="Roboto Light"/>
          <w:color w:val="000000"/>
        </w:rPr>
        <w:t>governance</w:t>
      </w:r>
      <w:r w:rsidR="00AA3FBC">
        <w:rPr>
          <w:rFonts w:cs="Roboto Light"/>
          <w:color w:val="000000"/>
        </w:rPr>
        <w:t>. Build</w:t>
      </w:r>
      <w:r w:rsidRPr="0074670A">
        <w:rPr>
          <w:rFonts w:cs="Roboto Light"/>
          <w:color w:val="000000"/>
        </w:rPr>
        <w:t xml:space="preserve"> in policy-based triggers to payments, rather than just </w:t>
      </w:r>
      <w:r w:rsidR="00AA3FBC">
        <w:rPr>
          <w:rFonts w:cs="Roboto Light"/>
          <w:color w:val="000000"/>
        </w:rPr>
        <w:t xml:space="preserve">disbursing </w:t>
      </w:r>
      <w:r w:rsidRPr="0074670A">
        <w:rPr>
          <w:rFonts w:cs="Roboto Light"/>
          <w:color w:val="000000"/>
        </w:rPr>
        <w:t xml:space="preserve">tranche payments. </w:t>
      </w:r>
    </w:p>
    <w:bookmarkEnd w:id="20"/>
    <w:p w14:paraId="7A4AEAF2" w14:textId="193BE02E" w:rsidR="00C10629" w:rsidRPr="00C10629" w:rsidRDefault="00C10629" w:rsidP="007464F3">
      <w:pPr>
        <w:pStyle w:val="SDAbodytext"/>
        <w:numPr>
          <w:ilvl w:val="0"/>
          <w:numId w:val="51"/>
        </w:numPr>
        <w:rPr>
          <w:rFonts w:cs="Roboto Light"/>
          <w:color w:val="000000"/>
        </w:rPr>
      </w:pPr>
      <w:r>
        <w:t>Invest in</w:t>
      </w:r>
      <w:r w:rsidR="00145B89">
        <w:t xml:space="preserve"> building</w:t>
      </w:r>
      <w:r>
        <w:t xml:space="preserve"> stronger </w:t>
      </w:r>
      <w:r w:rsidR="00BA5511">
        <w:t xml:space="preserve">building </w:t>
      </w:r>
      <w:r>
        <w:t xml:space="preserve">partnerships and </w:t>
      </w:r>
      <w:r w:rsidR="00214764">
        <w:t xml:space="preserve">maintaining </w:t>
      </w:r>
      <w:r>
        <w:t xml:space="preserve">more proactive engagement when working through </w:t>
      </w:r>
      <w:r w:rsidR="00AA3FBC">
        <w:t xml:space="preserve">the </w:t>
      </w:r>
      <w:r>
        <w:t xml:space="preserve">ADB </w:t>
      </w:r>
      <w:r w:rsidR="00AA3FBC">
        <w:t>or other</w:t>
      </w:r>
      <w:r w:rsidR="002B7C4C">
        <w:t xml:space="preserve"> </w:t>
      </w:r>
      <w:r w:rsidRPr="00D43945">
        <w:rPr>
          <w:b/>
          <w:bCs/>
        </w:rPr>
        <w:t>multilateral institutions</w:t>
      </w:r>
      <w:r w:rsidR="00AA3FBC">
        <w:rPr>
          <w:b/>
          <w:bCs/>
        </w:rPr>
        <w:t>,</w:t>
      </w:r>
      <w:r w:rsidRPr="00D43945">
        <w:rPr>
          <w:b/>
          <w:bCs/>
        </w:rPr>
        <w:t xml:space="preserve"> to ensure strategic relationships and engagement </w:t>
      </w:r>
      <w:r w:rsidRPr="0044738D">
        <w:t>with a broad range of stakeholders</w:t>
      </w:r>
      <w:r>
        <w:t>, including by allocating additional staffing resources within DFAT Post to support strategic and partnership engagement.</w:t>
      </w:r>
    </w:p>
    <w:p w14:paraId="0E4DA310" w14:textId="7E953610" w:rsidR="0074670A" w:rsidRPr="003D2BC5" w:rsidRDefault="0074670A" w:rsidP="007464F3">
      <w:pPr>
        <w:pStyle w:val="ListParagraph"/>
        <w:numPr>
          <w:ilvl w:val="0"/>
          <w:numId w:val="51"/>
        </w:numPr>
        <w:spacing w:after="100" w:afterAutospacing="1" w:line="240" w:lineRule="auto"/>
        <w:contextualSpacing w:val="0"/>
        <w:rPr>
          <w:rFonts w:cstheme="minorHAnsi"/>
        </w:rPr>
      </w:pPr>
      <w:bookmarkStart w:id="21" w:name="_Hlk67931473"/>
      <w:r w:rsidRPr="0074670A">
        <w:rPr>
          <w:rFonts w:cstheme="minorHAnsi"/>
        </w:rPr>
        <w:lastRenderedPageBreak/>
        <w:t>Ensure</w:t>
      </w:r>
      <w:r w:rsidRPr="00C10629">
        <w:rPr>
          <w:rFonts w:cstheme="minorHAnsi"/>
          <w:b/>
          <w:bCs/>
        </w:rPr>
        <w:t xml:space="preserve"> </w:t>
      </w:r>
      <w:r w:rsidR="00AA3FBC">
        <w:rPr>
          <w:rFonts w:cstheme="minorHAnsi"/>
          <w:b/>
          <w:bCs/>
        </w:rPr>
        <w:t>monitoring and evaluation</w:t>
      </w:r>
      <w:r w:rsidRPr="00C10629">
        <w:rPr>
          <w:rFonts w:cstheme="minorHAnsi"/>
          <w:b/>
          <w:bCs/>
        </w:rPr>
        <w:t xml:space="preserve"> supports adaptive management and strategy testing approaches</w:t>
      </w:r>
      <w:r w:rsidRPr="0074670A">
        <w:rPr>
          <w:rFonts w:cstheme="minorHAnsi"/>
        </w:rPr>
        <w:t xml:space="preserve"> for DFAT </w:t>
      </w:r>
      <w:r w:rsidR="00214764">
        <w:rPr>
          <w:rFonts w:cstheme="minorHAnsi"/>
        </w:rPr>
        <w:t>programs</w:t>
      </w:r>
      <w:r w:rsidR="00214764" w:rsidRPr="0074670A">
        <w:rPr>
          <w:rFonts w:cstheme="minorHAnsi"/>
        </w:rPr>
        <w:t xml:space="preserve"> </w:t>
      </w:r>
      <w:r w:rsidRPr="0074670A">
        <w:rPr>
          <w:rFonts w:cstheme="minorHAnsi"/>
        </w:rPr>
        <w:t xml:space="preserve">that are strongly shaped by political-economy factors and work closely with national </w:t>
      </w:r>
      <w:r w:rsidR="00AA3FBC" w:rsidRPr="0074670A">
        <w:rPr>
          <w:rFonts w:cstheme="minorHAnsi"/>
        </w:rPr>
        <w:t>governments</w:t>
      </w:r>
      <w:r w:rsidR="00AA3FBC">
        <w:rPr>
          <w:rFonts w:cstheme="minorHAnsi"/>
        </w:rPr>
        <w:t xml:space="preserve">. This </w:t>
      </w:r>
      <w:r>
        <w:rPr>
          <w:rFonts w:cstheme="minorHAnsi"/>
        </w:rPr>
        <w:t xml:space="preserve">may require DFAT to negotiate, contribute to and resource a separate </w:t>
      </w:r>
      <w:r w:rsidR="00214764">
        <w:rPr>
          <w:rFonts w:cstheme="minorHAnsi"/>
        </w:rPr>
        <w:t xml:space="preserve">monitoring and evaluation </w:t>
      </w:r>
      <w:r>
        <w:rPr>
          <w:rFonts w:cstheme="minorHAnsi"/>
        </w:rPr>
        <w:t xml:space="preserve">framework when working through multilateral institutions. </w:t>
      </w:r>
    </w:p>
    <w:bookmarkEnd w:id="21"/>
    <w:p w14:paraId="03286BF7" w14:textId="195506DA" w:rsidR="00D43945" w:rsidRPr="00D43945" w:rsidRDefault="00D43945" w:rsidP="007464F3">
      <w:pPr>
        <w:pStyle w:val="SDAbodytext"/>
        <w:numPr>
          <w:ilvl w:val="0"/>
          <w:numId w:val="51"/>
        </w:numPr>
        <w:rPr>
          <w:rFonts w:cs="Roboto Light"/>
          <w:color w:val="000000"/>
        </w:rPr>
      </w:pPr>
      <w:r w:rsidRPr="00A07C4D">
        <w:rPr>
          <w:rFonts w:cstheme="minorHAnsi"/>
        </w:rPr>
        <w:t xml:space="preserve">Explore opportunities to </w:t>
      </w:r>
      <w:r w:rsidRPr="00C10629">
        <w:rPr>
          <w:rFonts w:cstheme="minorHAnsi"/>
          <w:b/>
          <w:bCs/>
        </w:rPr>
        <w:t>integrate a future PPP element into existing DFAT</w:t>
      </w:r>
      <w:r w:rsidRPr="00D43945">
        <w:rPr>
          <w:b/>
          <w:bCs/>
        </w:rPr>
        <w:t xml:space="preserve"> investment</w:t>
      </w:r>
      <w:r w:rsidR="00214764">
        <w:rPr>
          <w:b/>
          <w:bCs/>
        </w:rPr>
        <w:t>s</w:t>
      </w:r>
      <w:r>
        <w:t>, with PPPs positioned as one of several modalities to support inclusive infrastructure development</w:t>
      </w:r>
      <w:r w:rsidR="00474DD3">
        <w:t>.</w:t>
      </w:r>
      <w:r>
        <w:t xml:space="preserve"> </w:t>
      </w:r>
    </w:p>
    <w:p w14:paraId="2CFA0606" w14:textId="6DF49BA7" w:rsidR="00D43945" w:rsidRPr="00D43945" w:rsidRDefault="00D43945" w:rsidP="007464F3">
      <w:pPr>
        <w:pStyle w:val="SDAbodytext"/>
        <w:numPr>
          <w:ilvl w:val="0"/>
          <w:numId w:val="51"/>
        </w:numPr>
        <w:rPr>
          <w:rFonts w:cs="Roboto Light"/>
          <w:color w:val="000000"/>
        </w:rPr>
      </w:pPr>
      <w:r>
        <w:t xml:space="preserve">Consider engagement with the </w:t>
      </w:r>
      <w:r w:rsidR="00145B89">
        <w:t xml:space="preserve">Australian </w:t>
      </w:r>
      <w:r>
        <w:t xml:space="preserve">private sector for </w:t>
      </w:r>
      <w:r w:rsidR="00474DD3">
        <w:t xml:space="preserve">proposed </w:t>
      </w:r>
      <w:r>
        <w:t>new project</w:t>
      </w:r>
      <w:r w:rsidR="00474DD3">
        <w:t>s</w:t>
      </w:r>
      <w:r>
        <w:t xml:space="preserve"> in </w:t>
      </w:r>
      <w:r w:rsidRPr="00BE08A7">
        <w:t>targeted</w:t>
      </w:r>
      <w:r>
        <w:t xml:space="preserve"> </w:t>
      </w:r>
      <w:r w:rsidRPr="00D43945">
        <w:rPr>
          <w:b/>
          <w:bCs/>
        </w:rPr>
        <w:t>Australian</w:t>
      </w:r>
      <w:r>
        <w:t xml:space="preserve"> </w:t>
      </w:r>
      <w:r w:rsidRPr="00D43945">
        <w:rPr>
          <w:b/>
          <w:bCs/>
        </w:rPr>
        <w:t>niche areas</w:t>
      </w:r>
      <w:r>
        <w:t xml:space="preserve"> </w:t>
      </w:r>
      <w:r w:rsidR="001A5A69">
        <w:t xml:space="preserve">such </w:t>
      </w:r>
      <w:r w:rsidR="00FC3DB8">
        <w:t xml:space="preserve">as gender equality, disability and social inclusion </w:t>
      </w:r>
      <w:r>
        <w:t>(GED</w:t>
      </w:r>
      <w:r w:rsidR="00A620DB">
        <w:t>S</w:t>
      </w:r>
      <w:r>
        <w:t>I</w:t>
      </w:r>
      <w:r w:rsidR="00A620DB">
        <w:t>)</w:t>
      </w:r>
      <w:r w:rsidR="00474DD3">
        <w:t>,</w:t>
      </w:r>
      <w:r>
        <w:t xml:space="preserve"> and safeguarding, new technology, quality of infrastructure, </w:t>
      </w:r>
      <w:r w:rsidR="005D1524">
        <w:t xml:space="preserve">and </w:t>
      </w:r>
      <w:r>
        <w:t>anti-corruption.</w:t>
      </w:r>
    </w:p>
    <w:p w14:paraId="38D71BCC" w14:textId="5C045A4A" w:rsidR="00D43945" w:rsidRPr="003D2BC5" w:rsidRDefault="00D43945" w:rsidP="007464F3">
      <w:pPr>
        <w:pStyle w:val="SDAbodytext"/>
        <w:numPr>
          <w:ilvl w:val="0"/>
          <w:numId w:val="51"/>
        </w:numPr>
        <w:rPr>
          <w:rFonts w:cs="Roboto Light"/>
          <w:color w:val="000000"/>
        </w:rPr>
      </w:pPr>
      <w:r>
        <w:t xml:space="preserve">Link with </w:t>
      </w:r>
      <w:r w:rsidRPr="00D43945">
        <w:rPr>
          <w:b/>
          <w:bCs/>
        </w:rPr>
        <w:t xml:space="preserve">DFAT’s regional </w:t>
      </w:r>
      <w:r w:rsidR="001E77D9">
        <w:rPr>
          <w:b/>
          <w:bCs/>
        </w:rPr>
        <w:t>initiative</w:t>
      </w:r>
      <w:r w:rsidR="001E77D9" w:rsidRPr="00D43945">
        <w:rPr>
          <w:b/>
          <w:bCs/>
        </w:rPr>
        <w:t xml:space="preserve"> </w:t>
      </w:r>
      <w:r w:rsidRPr="00D43945">
        <w:rPr>
          <w:b/>
          <w:bCs/>
        </w:rPr>
        <w:t xml:space="preserve">‘Partnerships for </w:t>
      </w:r>
      <w:r w:rsidR="00474DD3">
        <w:rPr>
          <w:b/>
          <w:bCs/>
        </w:rPr>
        <w:t>I</w:t>
      </w:r>
      <w:r w:rsidRPr="00D43945">
        <w:rPr>
          <w:b/>
          <w:bCs/>
        </w:rPr>
        <w:t>nfrastructure’</w:t>
      </w:r>
      <w:r>
        <w:t xml:space="preserve"> to support continued sharing of Australian expertise, technical assistance and </w:t>
      </w:r>
      <w:r w:rsidR="00474DD3">
        <w:t xml:space="preserve">to </w:t>
      </w:r>
      <w:r>
        <w:t>strengthen bilateral links.</w:t>
      </w:r>
    </w:p>
    <w:p w14:paraId="71AF10C8" w14:textId="10E5C01E" w:rsidR="00D43945" w:rsidRPr="00D43945" w:rsidRDefault="00D43945" w:rsidP="007464F3">
      <w:pPr>
        <w:pStyle w:val="SDAbodytext"/>
        <w:numPr>
          <w:ilvl w:val="0"/>
          <w:numId w:val="51"/>
        </w:numPr>
        <w:rPr>
          <w:rFonts w:cs="Roboto Light"/>
          <w:color w:val="000000"/>
        </w:rPr>
      </w:pPr>
      <w:r>
        <w:t xml:space="preserve">Prioritise investment in capacity development for </w:t>
      </w:r>
      <w:r w:rsidR="00474DD3">
        <w:t>public financial management</w:t>
      </w:r>
      <w:r>
        <w:t xml:space="preserve">, program development, planning and contract management for </w:t>
      </w:r>
      <w:r w:rsidRPr="00D43945">
        <w:rPr>
          <w:b/>
          <w:bCs/>
        </w:rPr>
        <w:t>enhanced infrastructure development at the local level,</w:t>
      </w:r>
      <w:r>
        <w:t xml:space="preserve"> drawing on the approach used by DFAT’s humanitarian program in the Philippines</w:t>
      </w:r>
      <w:r w:rsidR="001C3976">
        <w:t xml:space="preserve">, </w:t>
      </w:r>
      <w:r w:rsidR="004A23B6">
        <w:t>‘</w:t>
      </w:r>
      <w:r w:rsidR="001C3976" w:rsidRPr="001C3976">
        <w:t>Strengthening Institutions and Empowering Localities against Disasters and Climate Change</w:t>
      </w:r>
      <w:r w:rsidR="004A23B6">
        <w:t>’</w:t>
      </w:r>
      <w:r>
        <w:t xml:space="preserve"> (SHIELD).</w:t>
      </w:r>
    </w:p>
    <w:p w14:paraId="6E4FDDEA" w14:textId="77777777" w:rsidR="007572D3" w:rsidRDefault="007572D3">
      <w:pPr>
        <w:rPr>
          <w:rFonts w:ascii="Calibri" w:eastAsia="MS Gothic" w:hAnsi="Calibri" w:cs="Times New Roman"/>
          <w:b/>
          <w:bCs/>
          <w:color w:val="4472C4" w:themeColor="accent5"/>
          <w:sz w:val="50"/>
          <w:szCs w:val="26"/>
        </w:rPr>
      </w:pPr>
      <w:bookmarkStart w:id="22" w:name="_Toc2772936"/>
      <w:r>
        <w:rPr>
          <w:rFonts w:ascii="Calibri" w:eastAsia="MS Gothic" w:hAnsi="Calibri" w:cs="Times New Roman"/>
          <w:b/>
          <w:bCs/>
          <w:color w:val="4472C4" w:themeColor="accent5"/>
          <w:sz w:val="50"/>
          <w:szCs w:val="26"/>
        </w:rPr>
        <w:br w:type="page"/>
      </w:r>
    </w:p>
    <w:p w14:paraId="2747FB01" w14:textId="5CA59C42" w:rsidR="00825539" w:rsidRPr="0045299C" w:rsidRDefault="00BF3FDB" w:rsidP="00FB0EC0">
      <w:pPr>
        <w:pStyle w:val="Heading20"/>
      </w:pPr>
      <w:bookmarkStart w:id="23" w:name="_Toc96435317"/>
      <w:bookmarkEnd w:id="22"/>
      <w:r>
        <w:lastRenderedPageBreak/>
        <w:t xml:space="preserve">Terminology </w:t>
      </w:r>
      <w:r w:rsidR="00245128">
        <w:t>and Glossary</w:t>
      </w:r>
      <w:bookmarkEnd w:id="23"/>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of acronyms used in the document and the full terms for these acronyms"/>
      </w:tblPr>
      <w:tblGrid>
        <w:gridCol w:w="1555"/>
        <w:gridCol w:w="7659"/>
      </w:tblGrid>
      <w:tr w:rsidR="000C5EA4" w14:paraId="0AEEFED4" w14:textId="77777777" w:rsidTr="000C5EA4">
        <w:trPr>
          <w:cantSplit/>
          <w:trHeight w:val="187"/>
          <w:tblHeader/>
        </w:trPr>
        <w:tc>
          <w:tcPr>
            <w:tcW w:w="1555" w:type="dxa"/>
          </w:tcPr>
          <w:p w14:paraId="170F1C19" w14:textId="631A6376" w:rsidR="000C5EA4" w:rsidRPr="0005408B" w:rsidRDefault="00D9467C" w:rsidP="00D9467C">
            <w:pPr>
              <w:spacing w:after="60"/>
              <w:rPr>
                <w:b/>
                <w:bCs/>
                <w:color w:val="2E74B5" w:themeColor="accent1" w:themeShade="BF"/>
              </w:rPr>
            </w:pPr>
            <w:r>
              <w:rPr>
                <w:b/>
                <w:bCs/>
                <w:color w:val="2E74B5" w:themeColor="accent1" w:themeShade="BF"/>
              </w:rPr>
              <w:t>Acronym</w:t>
            </w:r>
          </w:p>
        </w:tc>
        <w:tc>
          <w:tcPr>
            <w:tcW w:w="7659" w:type="dxa"/>
          </w:tcPr>
          <w:p w14:paraId="39B5B509" w14:textId="54D3B787" w:rsidR="000C5EA4" w:rsidRPr="0005408B" w:rsidRDefault="00264314" w:rsidP="000C5EA4">
            <w:pPr>
              <w:spacing w:after="60"/>
              <w:rPr>
                <w:b/>
                <w:bCs/>
                <w:color w:val="2E74B5" w:themeColor="accent1" w:themeShade="BF"/>
              </w:rPr>
            </w:pPr>
            <w:r>
              <w:rPr>
                <w:b/>
                <w:bCs/>
                <w:color w:val="2E74B5" w:themeColor="accent1" w:themeShade="BF"/>
              </w:rPr>
              <w:t>Terminology and Glossary</w:t>
            </w:r>
          </w:p>
        </w:tc>
      </w:tr>
      <w:tr w:rsidR="00825539" w14:paraId="5AA2E453" w14:textId="77777777" w:rsidTr="000C5EA4">
        <w:trPr>
          <w:trHeight w:val="187"/>
        </w:trPr>
        <w:tc>
          <w:tcPr>
            <w:tcW w:w="1555" w:type="dxa"/>
          </w:tcPr>
          <w:p w14:paraId="457DC427" w14:textId="5D9CFBFE" w:rsidR="00825539" w:rsidRDefault="00825539" w:rsidP="00021D43">
            <w:pPr>
              <w:spacing w:after="60"/>
            </w:pPr>
            <w:r>
              <w:t>A</w:t>
            </w:r>
            <w:r w:rsidR="00AC794F">
              <w:t>DR</w:t>
            </w:r>
          </w:p>
        </w:tc>
        <w:tc>
          <w:tcPr>
            <w:tcW w:w="7659" w:type="dxa"/>
          </w:tcPr>
          <w:p w14:paraId="04DAD826" w14:textId="3EF0EE30" w:rsidR="00825539" w:rsidRDefault="00AC794F" w:rsidP="00021D43">
            <w:pPr>
              <w:spacing w:after="60"/>
            </w:pPr>
            <w:r w:rsidRPr="00AC794F">
              <w:t xml:space="preserve">Alternative </w:t>
            </w:r>
            <w:r w:rsidR="000A11DB" w:rsidRPr="00AC794F">
              <w:t>Dis</w:t>
            </w:r>
            <w:r w:rsidR="000A11DB">
              <w:t>pute</w:t>
            </w:r>
            <w:r w:rsidR="000A11DB" w:rsidRPr="00AC794F">
              <w:t xml:space="preserve"> </w:t>
            </w:r>
            <w:r w:rsidRPr="00AC794F">
              <w:t xml:space="preserve">Resolution </w:t>
            </w:r>
          </w:p>
        </w:tc>
      </w:tr>
      <w:tr w:rsidR="00825539" w14:paraId="50994111" w14:textId="77777777" w:rsidTr="000C5EA4">
        <w:trPr>
          <w:trHeight w:val="187"/>
        </w:trPr>
        <w:tc>
          <w:tcPr>
            <w:tcW w:w="1555" w:type="dxa"/>
          </w:tcPr>
          <w:p w14:paraId="361E18AC" w14:textId="4D2F9323" w:rsidR="00825539" w:rsidRDefault="00373C06" w:rsidP="00021D43">
            <w:pPr>
              <w:spacing w:after="60"/>
            </w:pPr>
            <w:r>
              <w:t>ADB</w:t>
            </w:r>
          </w:p>
        </w:tc>
        <w:tc>
          <w:tcPr>
            <w:tcW w:w="7659" w:type="dxa"/>
          </w:tcPr>
          <w:p w14:paraId="3BA55421" w14:textId="1AB12949" w:rsidR="00825539" w:rsidRDefault="00373C06" w:rsidP="00021D43">
            <w:pPr>
              <w:spacing w:after="60"/>
            </w:pPr>
            <w:r w:rsidRPr="00373C06">
              <w:t>Asian Development Bank</w:t>
            </w:r>
          </w:p>
        </w:tc>
      </w:tr>
      <w:tr w:rsidR="00C15628" w14:paraId="04ED3A96" w14:textId="77777777" w:rsidTr="000C5EA4">
        <w:trPr>
          <w:trHeight w:val="187"/>
        </w:trPr>
        <w:tc>
          <w:tcPr>
            <w:tcW w:w="1555" w:type="dxa"/>
          </w:tcPr>
          <w:p w14:paraId="0DF4F20F" w14:textId="522058FA" w:rsidR="00C15628" w:rsidRDefault="00C15628" w:rsidP="00021D43">
            <w:pPr>
              <w:spacing w:after="60"/>
            </w:pPr>
            <w:r>
              <w:t>BOT</w:t>
            </w:r>
          </w:p>
        </w:tc>
        <w:tc>
          <w:tcPr>
            <w:tcW w:w="7659" w:type="dxa"/>
          </w:tcPr>
          <w:p w14:paraId="08F6F3A2" w14:textId="3D6E0BC7" w:rsidR="00C15628" w:rsidRPr="00373C06" w:rsidRDefault="00C15628" w:rsidP="00021D43">
            <w:pPr>
              <w:spacing w:after="60"/>
            </w:pPr>
            <w:r w:rsidRPr="00C15628">
              <w:t>Build</w:t>
            </w:r>
            <w:r>
              <w:t xml:space="preserve"> O</w:t>
            </w:r>
            <w:r w:rsidRPr="00C15628">
              <w:t>perate</w:t>
            </w:r>
            <w:r>
              <w:t xml:space="preserve"> </w:t>
            </w:r>
            <w:r w:rsidRPr="00C15628">
              <w:t>and</w:t>
            </w:r>
            <w:r>
              <w:t xml:space="preserve"> T</w:t>
            </w:r>
            <w:r w:rsidRPr="00C15628">
              <w:t>ransfer</w:t>
            </w:r>
          </w:p>
        </w:tc>
      </w:tr>
      <w:tr w:rsidR="007A6861" w14:paraId="0C3C59D1" w14:textId="77777777" w:rsidTr="000C5EA4">
        <w:trPr>
          <w:trHeight w:val="187"/>
        </w:trPr>
        <w:tc>
          <w:tcPr>
            <w:tcW w:w="1555" w:type="dxa"/>
          </w:tcPr>
          <w:p w14:paraId="698FED37" w14:textId="65A76D71" w:rsidR="007A6861" w:rsidRDefault="007A6861" w:rsidP="00021D43">
            <w:pPr>
              <w:spacing w:after="60"/>
            </w:pPr>
            <w:r>
              <w:t>DAC</w:t>
            </w:r>
          </w:p>
        </w:tc>
        <w:tc>
          <w:tcPr>
            <w:tcW w:w="7659" w:type="dxa"/>
          </w:tcPr>
          <w:p w14:paraId="518C3E3C" w14:textId="27353F55" w:rsidR="007A6861" w:rsidRPr="00C15628" w:rsidRDefault="00C35755" w:rsidP="00021D43">
            <w:pPr>
              <w:spacing w:after="60"/>
            </w:pPr>
            <w:r w:rsidRPr="00C35755">
              <w:t>Development Assistance Committee</w:t>
            </w:r>
          </w:p>
        </w:tc>
      </w:tr>
      <w:tr w:rsidR="004F536C" w14:paraId="4B8300BC" w14:textId="77777777" w:rsidTr="000C5EA4">
        <w:trPr>
          <w:trHeight w:val="187"/>
        </w:trPr>
        <w:tc>
          <w:tcPr>
            <w:tcW w:w="1555" w:type="dxa"/>
          </w:tcPr>
          <w:p w14:paraId="1037EA27" w14:textId="480CD6F3" w:rsidR="004F536C" w:rsidRDefault="004F536C" w:rsidP="00021D43">
            <w:pPr>
              <w:spacing w:after="60"/>
            </w:pPr>
            <w:r>
              <w:t>DBCC</w:t>
            </w:r>
          </w:p>
        </w:tc>
        <w:tc>
          <w:tcPr>
            <w:tcW w:w="7659" w:type="dxa"/>
          </w:tcPr>
          <w:p w14:paraId="4C1E8FE4" w14:textId="6AF7492A" w:rsidR="004F536C" w:rsidRPr="00373C06" w:rsidRDefault="004F536C" w:rsidP="00021D43">
            <w:pPr>
              <w:spacing w:after="60"/>
            </w:pPr>
            <w:r w:rsidRPr="004F536C">
              <w:t>Development Budget Coordination Committee</w:t>
            </w:r>
          </w:p>
        </w:tc>
      </w:tr>
      <w:tr w:rsidR="00825539" w14:paraId="618BB2CB" w14:textId="77777777" w:rsidTr="000C5EA4">
        <w:trPr>
          <w:trHeight w:val="187"/>
        </w:trPr>
        <w:tc>
          <w:tcPr>
            <w:tcW w:w="1555" w:type="dxa"/>
          </w:tcPr>
          <w:p w14:paraId="2262032B" w14:textId="6C5163E9" w:rsidR="00825539" w:rsidRDefault="00373C06" w:rsidP="00021D43">
            <w:pPr>
              <w:spacing w:after="60"/>
            </w:pPr>
            <w:bookmarkStart w:id="24" w:name="_Hlk66343077"/>
            <w:r>
              <w:t>DFAT</w:t>
            </w:r>
          </w:p>
        </w:tc>
        <w:tc>
          <w:tcPr>
            <w:tcW w:w="7659" w:type="dxa"/>
          </w:tcPr>
          <w:p w14:paraId="252041DE" w14:textId="2382187D" w:rsidR="00825539" w:rsidRDefault="00373C06" w:rsidP="00021D43">
            <w:pPr>
              <w:spacing w:after="60"/>
            </w:pPr>
            <w:r w:rsidRPr="00373C06">
              <w:t xml:space="preserve">Department of Foreign Affairs and Trade </w:t>
            </w:r>
          </w:p>
        </w:tc>
      </w:tr>
      <w:tr w:rsidR="00C9042A" w14:paraId="6BDE6E8A" w14:textId="77777777" w:rsidTr="000C5EA4">
        <w:trPr>
          <w:trHeight w:val="187"/>
        </w:trPr>
        <w:tc>
          <w:tcPr>
            <w:tcW w:w="1555" w:type="dxa"/>
          </w:tcPr>
          <w:p w14:paraId="27E8C0D0" w14:textId="6ED6A213" w:rsidR="00C9042A" w:rsidRDefault="00C9042A" w:rsidP="00021D43">
            <w:pPr>
              <w:spacing w:after="60"/>
            </w:pPr>
            <w:r>
              <w:t>FS</w:t>
            </w:r>
          </w:p>
        </w:tc>
        <w:tc>
          <w:tcPr>
            <w:tcW w:w="7659" w:type="dxa"/>
          </w:tcPr>
          <w:p w14:paraId="2739B4EB" w14:textId="6BB155E9" w:rsidR="00C9042A" w:rsidRPr="00373C06" w:rsidRDefault="00C9042A" w:rsidP="00021D43">
            <w:pPr>
              <w:spacing w:after="60"/>
            </w:pPr>
            <w:r>
              <w:t>Feasibility Study</w:t>
            </w:r>
          </w:p>
        </w:tc>
      </w:tr>
      <w:tr w:rsidR="00CE692F" w14:paraId="61BF6EC3" w14:textId="77777777" w:rsidTr="000C5EA4">
        <w:trPr>
          <w:trHeight w:val="187"/>
        </w:trPr>
        <w:tc>
          <w:tcPr>
            <w:tcW w:w="1555" w:type="dxa"/>
          </w:tcPr>
          <w:p w14:paraId="20C037DA" w14:textId="3BEE78BC" w:rsidR="00CE692F" w:rsidRDefault="00CE692F" w:rsidP="00021D43">
            <w:pPr>
              <w:spacing w:after="60"/>
            </w:pPr>
            <w:r>
              <w:t>D</w:t>
            </w:r>
            <w:r w:rsidR="000A11DB">
              <w:t>M</w:t>
            </w:r>
            <w:r>
              <w:t>F</w:t>
            </w:r>
          </w:p>
        </w:tc>
        <w:tc>
          <w:tcPr>
            <w:tcW w:w="7659" w:type="dxa"/>
          </w:tcPr>
          <w:p w14:paraId="092B6B48" w14:textId="5B9E0A92" w:rsidR="00CE692F" w:rsidRPr="00373C06" w:rsidRDefault="00CE692F" w:rsidP="00021D43">
            <w:pPr>
              <w:spacing w:after="60"/>
            </w:pPr>
            <w:r w:rsidRPr="00CE692F">
              <w:t>Design and Monitoring Framework</w:t>
            </w:r>
          </w:p>
        </w:tc>
      </w:tr>
      <w:tr w:rsidR="00825539" w14:paraId="4DD43585" w14:textId="77777777" w:rsidTr="000C5EA4">
        <w:trPr>
          <w:trHeight w:val="187"/>
        </w:trPr>
        <w:tc>
          <w:tcPr>
            <w:tcW w:w="1555" w:type="dxa"/>
          </w:tcPr>
          <w:p w14:paraId="47570B15" w14:textId="7E44E108" w:rsidR="00825539" w:rsidRDefault="00373C06" w:rsidP="00021D43">
            <w:pPr>
              <w:spacing w:after="60"/>
            </w:pPr>
            <w:r>
              <w:t>DOF</w:t>
            </w:r>
          </w:p>
        </w:tc>
        <w:tc>
          <w:tcPr>
            <w:tcW w:w="7659" w:type="dxa"/>
          </w:tcPr>
          <w:p w14:paraId="71510FB3" w14:textId="5ADECFB3" w:rsidR="00825539" w:rsidRDefault="00373C06" w:rsidP="00021D43">
            <w:pPr>
              <w:spacing w:after="60"/>
            </w:pPr>
            <w:r w:rsidRPr="00373C06">
              <w:t>Department of Finance</w:t>
            </w:r>
          </w:p>
        </w:tc>
      </w:tr>
      <w:tr w:rsidR="00E6700E" w14:paraId="2FA5F8E6" w14:textId="77777777" w:rsidTr="000C5EA4">
        <w:trPr>
          <w:trHeight w:val="187"/>
        </w:trPr>
        <w:tc>
          <w:tcPr>
            <w:tcW w:w="1555" w:type="dxa"/>
          </w:tcPr>
          <w:p w14:paraId="73673B85" w14:textId="469AA135" w:rsidR="00E6700E" w:rsidRDefault="000A11DB" w:rsidP="00021D43">
            <w:pPr>
              <w:spacing w:after="60"/>
            </w:pPr>
            <w:r>
              <w:t>DOTr</w:t>
            </w:r>
          </w:p>
        </w:tc>
        <w:tc>
          <w:tcPr>
            <w:tcW w:w="7659" w:type="dxa"/>
          </w:tcPr>
          <w:p w14:paraId="5A63544D" w14:textId="720EAE87" w:rsidR="00E6700E" w:rsidRPr="00373C06" w:rsidRDefault="00E6700E" w:rsidP="00021D43">
            <w:pPr>
              <w:spacing w:after="60"/>
            </w:pPr>
            <w:r>
              <w:t>Department of Transport</w:t>
            </w:r>
            <w:r w:rsidR="007A6861">
              <w:t>ation</w:t>
            </w:r>
          </w:p>
        </w:tc>
      </w:tr>
      <w:tr w:rsidR="007A6861" w14:paraId="1649EFE8" w14:textId="77777777" w:rsidTr="000C5EA4">
        <w:trPr>
          <w:trHeight w:val="187"/>
        </w:trPr>
        <w:tc>
          <w:tcPr>
            <w:tcW w:w="1555" w:type="dxa"/>
          </w:tcPr>
          <w:p w14:paraId="0A5170DE" w14:textId="7B3FDE39" w:rsidR="007A6861" w:rsidRDefault="007A6861" w:rsidP="00021D43">
            <w:pPr>
              <w:spacing w:after="60"/>
            </w:pPr>
            <w:r>
              <w:t>DPWH</w:t>
            </w:r>
          </w:p>
        </w:tc>
        <w:tc>
          <w:tcPr>
            <w:tcW w:w="7659" w:type="dxa"/>
          </w:tcPr>
          <w:p w14:paraId="7163A1FA" w14:textId="72A7228A" w:rsidR="007A6861" w:rsidRPr="0013463D" w:rsidRDefault="007A6861" w:rsidP="00021D43">
            <w:pPr>
              <w:spacing w:after="60"/>
            </w:pPr>
            <w:r w:rsidRPr="007A6861">
              <w:t>Department of Public Works and Highways</w:t>
            </w:r>
          </w:p>
        </w:tc>
      </w:tr>
      <w:tr w:rsidR="004F536C" w14:paraId="0C612D86" w14:textId="77777777" w:rsidTr="000C5EA4">
        <w:tc>
          <w:tcPr>
            <w:tcW w:w="1555" w:type="dxa"/>
          </w:tcPr>
          <w:p w14:paraId="37D1CC66" w14:textId="0605ABE1" w:rsidR="004F536C" w:rsidRDefault="004F536C" w:rsidP="00021D43">
            <w:pPr>
              <w:spacing w:after="60"/>
            </w:pPr>
            <w:r>
              <w:t>EO</w:t>
            </w:r>
          </w:p>
        </w:tc>
        <w:tc>
          <w:tcPr>
            <w:tcW w:w="7659" w:type="dxa"/>
          </w:tcPr>
          <w:p w14:paraId="069B3C33" w14:textId="0684F6E8" w:rsidR="004F536C" w:rsidRDefault="004F536C" w:rsidP="00021D43">
            <w:pPr>
              <w:spacing w:after="60"/>
            </w:pPr>
            <w:r>
              <w:t>E</w:t>
            </w:r>
            <w:r w:rsidRPr="004F536C">
              <w:t>xecutive order</w:t>
            </w:r>
          </w:p>
        </w:tc>
      </w:tr>
      <w:tr w:rsidR="00825539" w14:paraId="2C565D67" w14:textId="77777777" w:rsidTr="000C5EA4">
        <w:tc>
          <w:tcPr>
            <w:tcW w:w="1555" w:type="dxa"/>
          </w:tcPr>
          <w:p w14:paraId="6BDE838B" w14:textId="3D2C629A" w:rsidR="00825539" w:rsidRDefault="00AC794F" w:rsidP="00021D43">
            <w:pPr>
              <w:spacing w:after="60"/>
            </w:pPr>
            <w:r>
              <w:t>GEDSI</w:t>
            </w:r>
          </w:p>
        </w:tc>
        <w:tc>
          <w:tcPr>
            <w:tcW w:w="7659" w:type="dxa"/>
          </w:tcPr>
          <w:p w14:paraId="52694A5B" w14:textId="4BCA8FD1" w:rsidR="00825539" w:rsidRDefault="00AC794F" w:rsidP="00021D43">
            <w:pPr>
              <w:spacing w:after="60"/>
            </w:pPr>
            <w:r>
              <w:t>Gender Equality, Disability and Social Inclusion</w:t>
            </w:r>
          </w:p>
        </w:tc>
      </w:tr>
      <w:tr w:rsidR="00B46677" w14:paraId="13658605" w14:textId="77777777" w:rsidTr="000C5EA4">
        <w:tc>
          <w:tcPr>
            <w:tcW w:w="1555" w:type="dxa"/>
          </w:tcPr>
          <w:p w14:paraId="7C30ADA5" w14:textId="1501A42E" w:rsidR="00B46677" w:rsidRDefault="00B46677" w:rsidP="00021D43">
            <w:pPr>
              <w:spacing w:after="60"/>
            </w:pPr>
            <w:r>
              <w:t>GOCC</w:t>
            </w:r>
          </w:p>
        </w:tc>
        <w:tc>
          <w:tcPr>
            <w:tcW w:w="7659" w:type="dxa"/>
          </w:tcPr>
          <w:p w14:paraId="72827F96" w14:textId="46AB3E3D" w:rsidR="00B46677" w:rsidRDefault="00B46677" w:rsidP="00021D43">
            <w:pPr>
              <w:spacing w:after="60"/>
            </w:pPr>
            <w:r>
              <w:t>G</w:t>
            </w:r>
            <w:r w:rsidRPr="00B46677">
              <w:t xml:space="preserve">overnment-owned and controlled corporation </w:t>
            </w:r>
          </w:p>
        </w:tc>
      </w:tr>
      <w:tr w:rsidR="00284867" w14:paraId="3C652BE6" w14:textId="77777777" w:rsidTr="000C5EA4">
        <w:tc>
          <w:tcPr>
            <w:tcW w:w="1555" w:type="dxa"/>
          </w:tcPr>
          <w:p w14:paraId="67E5951D" w14:textId="7DA394C2" w:rsidR="00284867" w:rsidRDefault="00284867" w:rsidP="00021D43">
            <w:pPr>
              <w:spacing w:after="60"/>
            </w:pPr>
            <w:r>
              <w:t>IA</w:t>
            </w:r>
          </w:p>
        </w:tc>
        <w:tc>
          <w:tcPr>
            <w:tcW w:w="7659" w:type="dxa"/>
          </w:tcPr>
          <w:p w14:paraId="6D965C70" w14:textId="448C8552" w:rsidR="00284867" w:rsidRDefault="00284867" w:rsidP="00021D43">
            <w:pPr>
              <w:spacing w:after="60"/>
            </w:pPr>
            <w:r>
              <w:t>Implementing Agency</w:t>
            </w:r>
          </w:p>
        </w:tc>
      </w:tr>
      <w:tr w:rsidR="00B21EE4" w14:paraId="397E4902" w14:textId="77777777" w:rsidTr="000C5EA4">
        <w:tc>
          <w:tcPr>
            <w:tcW w:w="1555" w:type="dxa"/>
          </w:tcPr>
          <w:p w14:paraId="451C5B66" w14:textId="2E00439C" w:rsidR="00B21EE4" w:rsidRDefault="00B21EE4" w:rsidP="00021D43">
            <w:pPr>
              <w:spacing w:after="60"/>
            </w:pPr>
            <w:r>
              <w:t>ICC</w:t>
            </w:r>
          </w:p>
        </w:tc>
        <w:tc>
          <w:tcPr>
            <w:tcW w:w="7659" w:type="dxa"/>
          </w:tcPr>
          <w:p w14:paraId="6BEB35DD" w14:textId="29D39C94" w:rsidR="00B21EE4" w:rsidRDefault="00B21EE4" w:rsidP="00021D43">
            <w:pPr>
              <w:spacing w:after="60"/>
            </w:pPr>
            <w:r w:rsidRPr="00B21EE4">
              <w:t xml:space="preserve">Investment Coordination Committee </w:t>
            </w:r>
          </w:p>
        </w:tc>
      </w:tr>
      <w:tr w:rsidR="00C9042A" w14:paraId="5D4402CA" w14:textId="77777777" w:rsidTr="000C5EA4">
        <w:tc>
          <w:tcPr>
            <w:tcW w:w="1555" w:type="dxa"/>
          </w:tcPr>
          <w:p w14:paraId="523367D1" w14:textId="51470E34" w:rsidR="00C9042A" w:rsidRDefault="00C9042A" w:rsidP="00021D43">
            <w:pPr>
              <w:spacing w:after="60"/>
            </w:pPr>
            <w:r>
              <w:t>IC</w:t>
            </w:r>
          </w:p>
        </w:tc>
        <w:tc>
          <w:tcPr>
            <w:tcW w:w="7659" w:type="dxa"/>
          </w:tcPr>
          <w:p w14:paraId="19228B3B" w14:textId="7B27AAB6" w:rsidR="00C9042A" w:rsidRPr="00B21EE4" w:rsidRDefault="00C9042A" w:rsidP="00021D43">
            <w:pPr>
              <w:spacing w:after="60"/>
            </w:pPr>
            <w:r>
              <w:t>Infrastructure Development</w:t>
            </w:r>
          </w:p>
        </w:tc>
      </w:tr>
      <w:tr w:rsidR="004930BE" w14:paraId="3D3CFD45" w14:textId="16C185CF" w:rsidTr="000C5EA4">
        <w:tc>
          <w:tcPr>
            <w:tcW w:w="1555" w:type="dxa"/>
          </w:tcPr>
          <w:p w14:paraId="7B729AF3" w14:textId="3C83882A" w:rsidR="004930BE" w:rsidRDefault="004930BE" w:rsidP="00021D43">
            <w:pPr>
              <w:spacing w:after="60"/>
            </w:pPr>
            <w:r>
              <w:t>IFC</w:t>
            </w:r>
          </w:p>
        </w:tc>
        <w:tc>
          <w:tcPr>
            <w:tcW w:w="7659" w:type="dxa"/>
          </w:tcPr>
          <w:p w14:paraId="76AF46D3" w14:textId="611C53A3" w:rsidR="004930BE" w:rsidRPr="00B21EE4" w:rsidRDefault="004930BE" w:rsidP="00021D43">
            <w:pPr>
              <w:spacing w:after="60"/>
            </w:pPr>
            <w:r w:rsidRPr="004930BE">
              <w:t>International Finance Corporation</w:t>
            </w:r>
          </w:p>
        </w:tc>
      </w:tr>
      <w:tr w:rsidR="00C15628" w14:paraId="33F6658E" w14:textId="77777777" w:rsidTr="000C5EA4">
        <w:tc>
          <w:tcPr>
            <w:tcW w:w="1555" w:type="dxa"/>
          </w:tcPr>
          <w:p w14:paraId="1AC0DE95" w14:textId="697738CD" w:rsidR="00C15628" w:rsidRDefault="00C15628" w:rsidP="00021D43">
            <w:pPr>
              <w:spacing w:after="60"/>
            </w:pPr>
            <w:r w:rsidRPr="00C15628">
              <w:t>INSW</w:t>
            </w:r>
          </w:p>
        </w:tc>
        <w:tc>
          <w:tcPr>
            <w:tcW w:w="7659" w:type="dxa"/>
          </w:tcPr>
          <w:p w14:paraId="7427BFCF" w14:textId="0AF80F7F" w:rsidR="00C15628" w:rsidRDefault="00C15628" w:rsidP="00021D43">
            <w:pPr>
              <w:spacing w:after="60"/>
            </w:pPr>
            <w:r w:rsidRPr="00C15628">
              <w:t xml:space="preserve">Infrastructure New South Wales </w:t>
            </w:r>
          </w:p>
        </w:tc>
      </w:tr>
      <w:bookmarkEnd w:id="24"/>
      <w:tr w:rsidR="00AC794F" w14:paraId="2D4491B9" w14:textId="77777777" w:rsidTr="000C5EA4">
        <w:trPr>
          <w:trHeight w:val="187"/>
        </w:trPr>
        <w:tc>
          <w:tcPr>
            <w:tcW w:w="1555" w:type="dxa"/>
          </w:tcPr>
          <w:p w14:paraId="20F44FB9" w14:textId="1477CD6A" w:rsidR="00AC794F" w:rsidRDefault="00C15628" w:rsidP="00021D43">
            <w:pPr>
              <w:spacing w:after="60"/>
            </w:pPr>
            <w:r w:rsidRPr="00C15628">
              <w:t>KEQs</w:t>
            </w:r>
          </w:p>
        </w:tc>
        <w:tc>
          <w:tcPr>
            <w:tcW w:w="7659" w:type="dxa"/>
          </w:tcPr>
          <w:p w14:paraId="57A342C0" w14:textId="53100AB6" w:rsidR="00AC794F" w:rsidRDefault="00C15628" w:rsidP="00021D43">
            <w:pPr>
              <w:spacing w:after="60"/>
            </w:pPr>
            <w:r w:rsidRPr="00C15628">
              <w:t xml:space="preserve">Key Evaluation Questions </w:t>
            </w:r>
          </w:p>
        </w:tc>
      </w:tr>
      <w:tr w:rsidR="00145F85" w14:paraId="7D1019A4" w14:textId="77777777" w:rsidTr="000C5EA4">
        <w:trPr>
          <w:trHeight w:val="187"/>
        </w:trPr>
        <w:tc>
          <w:tcPr>
            <w:tcW w:w="1555" w:type="dxa"/>
          </w:tcPr>
          <w:p w14:paraId="5909E2ED" w14:textId="643A529F" w:rsidR="00145F85" w:rsidRPr="00C15628" w:rsidRDefault="00145F85" w:rsidP="00021D43">
            <w:pPr>
              <w:spacing w:after="60"/>
            </w:pPr>
            <w:r>
              <w:t>KPI</w:t>
            </w:r>
          </w:p>
        </w:tc>
        <w:tc>
          <w:tcPr>
            <w:tcW w:w="7659" w:type="dxa"/>
          </w:tcPr>
          <w:p w14:paraId="6B537DDB" w14:textId="2C2401D0" w:rsidR="00145F85" w:rsidRPr="00C15628" w:rsidRDefault="00145F85" w:rsidP="00021D43">
            <w:pPr>
              <w:spacing w:after="60"/>
            </w:pPr>
            <w:r w:rsidRPr="00145F85">
              <w:t>Key Performance Indicator</w:t>
            </w:r>
          </w:p>
        </w:tc>
      </w:tr>
      <w:tr w:rsidR="00A42BEB" w14:paraId="56E34DD5" w14:textId="77777777" w:rsidTr="000C5EA4">
        <w:trPr>
          <w:trHeight w:val="187"/>
        </w:trPr>
        <w:tc>
          <w:tcPr>
            <w:tcW w:w="1555" w:type="dxa"/>
          </w:tcPr>
          <w:p w14:paraId="462E1A57" w14:textId="31D12091" w:rsidR="00A42BEB" w:rsidRDefault="00A42BEB" w:rsidP="00021D43">
            <w:pPr>
              <w:spacing w:after="60"/>
            </w:pPr>
            <w:r>
              <w:t>LGU</w:t>
            </w:r>
          </w:p>
        </w:tc>
        <w:tc>
          <w:tcPr>
            <w:tcW w:w="7659" w:type="dxa"/>
          </w:tcPr>
          <w:p w14:paraId="71B564A7" w14:textId="3996F345" w:rsidR="00A42BEB" w:rsidRPr="00145F85" w:rsidRDefault="00A42BEB" w:rsidP="00021D43">
            <w:pPr>
              <w:spacing w:after="60"/>
            </w:pPr>
            <w:r>
              <w:t>Local Government Unit</w:t>
            </w:r>
          </w:p>
        </w:tc>
      </w:tr>
      <w:tr w:rsidR="00AC794F" w14:paraId="3867FD6F" w14:textId="77777777" w:rsidTr="000C5EA4">
        <w:tc>
          <w:tcPr>
            <w:tcW w:w="1555" w:type="dxa"/>
          </w:tcPr>
          <w:p w14:paraId="6D0872DD" w14:textId="0B2E972B" w:rsidR="00AC794F" w:rsidRDefault="00C15628" w:rsidP="00021D43">
            <w:pPr>
              <w:spacing w:after="60"/>
            </w:pPr>
            <w:r>
              <w:t>M&amp;E</w:t>
            </w:r>
          </w:p>
        </w:tc>
        <w:tc>
          <w:tcPr>
            <w:tcW w:w="7659" w:type="dxa"/>
          </w:tcPr>
          <w:p w14:paraId="782B83B0" w14:textId="4F1D8386" w:rsidR="00AC794F" w:rsidRDefault="00C15628" w:rsidP="00021D43">
            <w:pPr>
              <w:spacing w:after="60"/>
            </w:pPr>
            <w:r>
              <w:t>Monitoring and Evaluation</w:t>
            </w:r>
          </w:p>
        </w:tc>
      </w:tr>
      <w:tr w:rsidR="00145F85" w14:paraId="30F23A14" w14:textId="77777777" w:rsidTr="000C5EA4">
        <w:tc>
          <w:tcPr>
            <w:tcW w:w="1555" w:type="dxa"/>
          </w:tcPr>
          <w:p w14:paraId="267AEFCC" w14:textId="599C97CC" w:rsidR="00145F85" w:rsidRDefault="00145F85" w:rsidP="00021D43">
            <w:pPr>
              <w:spacing w:after="60"/>
            </w:pPr>
            <w:r w:rsidRPr="00145F85">
              <w:t>MPSS</w:t>
            </w:r>
          </w:p>
        </w:tc>
        <w:tc>
          <w:tcPr>
            <w:tcW w:w="7659" w:type="dxa"/>
          </w:tcPr>
          <w:p w14:paraId="554E1E6E" w14:textId="67785F39" w:rsidR="00145F85" w:rsidRDefault="00145F85" w:rsidP="00021D43">
            <w:pPr>
              <w:spacing w:after="60"/>
            </w:pPr>
            <w:r w:rsidRPr="00145F85">
              <w:t xml:space="preserve">Minimum Performance Standards and Specifications </w:t>
            </w:r>
          </w:p>
        </w:tc>
      </w:tr>
      <w:tr w:rsidR="00AC794F" w14:paraId="0F45EA3B" w14:textId="77777777" w:rsidTr="000C5EA4">
        <w:tc>
          <w:tcPr>
            <w:tcW w:w="1555" w:type="dxa"/>
          </w:tcPr>
          <w:p w14:paraId="087266F7" w14:textId="4C225F63" w:rsidR="00AC794F" w:rsidRDefault="00373C06" w:rsidP="00021D43">
            <w:pPr>
              <w:spacing w:after="60"/>
            </w:pPr>
            <w:r w:rsidRPr="00373C06">
              <w:t>NEDA</w:t>
            </w:r>
          </w:p>
        </w:tc>
        <w:tc>
          <w:tcPr>
            <w:tcW w:w="7659" w:type="dxa"/>
          </w:tcPr>
          <w:p w14:paraId="27E4CAD4" w14:textId="7BC9C16C" w:rsidR="00AC794F" w:rsidRDefault="00373C06" w:rsidP="00021D43">
            <w:pPr>
              <w:spacing w:after="60"/>
            </w:pPr>
            <w:r w:rsidRPr="00373C06">
              <w:t>National Economic and Development Authority</w:t>
            </w:r>
          </w:p>
        </w:tc>
      </w:tr>
      <w:tr w:rsidR="00C8086F" w14:paraId="38AA0A9A" w14:textId="77777777" w:rsidTr="000C5EA4">
        <w:tc>
          <w:tcPr>
            <w:tcW w:w="1555" w:type="dxa"/>
          </w:tcPr>
          <w:p w14:paraId="51886F3B" w14:textId="7949B40F" w:rsidR="00C8086F" w:rsidRPr="00373C06" w:rsidRDefault="00C8086F" w:rsidP="00021D43">
            <w:pPr>
              <w:spacing w:after="60"/>
            </w:pPr>
            <w:r>
              <w:t>NGA</w:t>
            </w:r>
          </w:p>
        </w:tc>
        <w:tc>
          <w:tcPr>
            <w:tcW w:w="7659" w:type="dxa"/>
          </w:tcPr>
          <w:p w14:paraId="7A1FFFEC" w14:textId="6A133966" w:rsidR="00C8086F" w:rsidRPr="00373C06" w:rsidRDefault="00C8086F" w:rsidP="00021D43">
            <w:pPr>
              <w:spacing w:after="60"/>
            </w:pPr>
            <w:r w:rsidRPr="00C8086F">
              <w:t xml:space="preserve">National Government Agencies </w:t>
            </w:r>
          </w:p>
        </w:tc>
      </w:tr>
      <w:tr w:rsidR="004953EF" w14:paraId="20BE2B17" w14:textId="77777777" w:rsidTr="000C5EA4">
        <w:tc>
          <w:tcPr>
            <w:tcW w:w="1555" w:type="dxa"/>
          </w:tcPr>
          <w:p w14:paraId="70A52EE1" w14:textId="51A4A964" w:rsidR="004953EF" w:rsidRPr="00C35755" w:rsidRDefault="004953EF" w:rsidP="004953EF">
            <w:pPr>
              <w:spacing w:after="60"/>
            </w:pPr>
            <w:r>
              <w:t>ODA</w:t>
            </w:r>
          </w:p>
        </w:tc>
        <w:tc>
          <w:tcPr>
            <w:tcW w:w="7659" w:type="dxa"/>
          </w:tcPr>
          <w:p w14:paraId="0C046C5F" w14:textId="34F050D1" w:rsidR="004953EF" w:rsidRPr="00C35755" w:rsidRDefault="004953EF" w:rsidP="00C35755">
            <w:pPr>
              <w:spacing w:after="60"/>
            </w:pPr>
            <w:r>
              <w:t>Official Development Assistance</w:t>
            </w:r>
          </w:p>
        </w:tc>
      </w:tr>
      <w:tr w:rsidR="00C35755" w14:paraId="0031021C" w14:textId="77777777" w:rsidTr="000C5EA4">
        <w:tc>
          <w:tcPr>
            <w:tcW w:w="1555" w:type="dxa"/>
          </w:tcPr>
          <w:p w14:paraId="78C4B2EC" w14:textId="08B1E196" w:rsidR="00C35755" w:rsidRDefault="00C35755" w:rsidP="00C35755">
            <w:pPr>
              <w:spacing w:after="60"/>
            </w:pPr>
            <w:r w:rsidRPr="00C35755">
              <w:t>OECD</w:t>
            </w:r>
          </w:p>
        </w:tc>
        <w:tc>
          <w:tcPr>
            <w:tcW w:w="7659" w:type="dxa"/>
          </w:tcPr>
          <w:p w14:paraId="2D10FFC5" w14:textId="4BAE994A" w:rsidR="00C35755" w:rsidRPr="00C8086F" w:rsidRDefault="00C35755" w:rsidP="00C35755">
            <w:pPr>
              <w:spacing w:after="60"/>
            </w:pPr>
            <w:r w:rsidRPr="00C35755">
              <w:t>Organisation for Economic Co-operation and Development</w:t>
            </w:r>
          </w:p>
        </w:tc>
      </w:tr>
      <w:tr w:rsidR="00C35755" w14:paraId="3102A602" w14:textId="77777777" w:rsidTr="000C5EA4">
        <w:trPr>
          <w:trHeight w:val="187"/>
        </w:trPr>
        <w:tc>
          <w:tcPr>
            <w:tcW w:w="1555" w:type="dxa"/>
          </w:tcPr>
          <w:p w14:paraId="67B0BAA4" w14:textId="01B2F0C8" w:rsidR="00C35755" w:rsidRDefault="00C35755" w:rsidP="00C35755">
            <w:pPr>
              <w:spacing w:after="60"/>
            </w:pPr>
            <w:r>
              <w:t>PDMF</w:t>
            </w:r>
          </w:p>
        </w:tc>
        <w:tc>
          <w:tcPr>
            <w:tcW w:w="7659" w:type="dxa"/>
          </w:tcPr>
          <w:p w14:paraId="46878F06" w14:textId="77777777" w:rsidR="00C35755" w:rsidRDefault="00C35755" w:rsidP="00E2674A">
            <w:pPr>
              <w:spacing w:after="60"/>
            </w:pPr>
            <w:r w:rsidRPr="00AC794F">
              <w:t xml:space="preserve">Project Development and </w:t>
            </w:r>
            <w:r>
              <w:t xml:space="preserve">Monitoring </w:t>
            </w:r>
            <w:r w:rsidRPr="00AC794F">
              <w:t>Facility</w:t>
            </w:r>
            <w:r w:rsidR="003F5141">
              <w:t xml:space="preserve">: </w:t>
            </w:r>
            <w:r w:rsidR="003F5141" w:rsidRPr="004A088B">
              <w:t>refers to the</w:t>
            </w:r>
            <w:r w:rsidR="007572D3">
              <w:t xml:space="preserve"> Philippine Government’s</w:t>
            </w:r>
            <w:r w:rsidR="003F5141" w:rsidRPr="004A088B">
              <w:t xml:space="preserve"> revolving fund </w:t>
            </w:r>
            <w:r w:rsidR="003F5141">
              <w:t xml:space="preserve">created under Executive Order (EO) No .8, series of 2010 as amended by EO 136, series of 2013 managed by the PPP Center. It </w:t>
            </w:r>
            <w:r w:rsidR="007572D3">
              <w:t>was</w:t>
            </w:r>
            <w:r w:rsidR="003F5141">
              <w:t xml:space="preserve"> established to enhance the investment environment for PPPs and develop a robust pipeline of viable and well-prepared PPP infrastructure project in accordance with the Build-Operate-and-Transfer (BOT) Law, Government Joint Venture</w:t>
            </w:r>
            <w:r w:rsidR="007572D3">
              <w:t xml:space="preserve"> </w:t>
            </w:r>
            <w:r w:rsidR="003F5141">
              <w:t xml:space="preserve">Guidelines, and </w:t>
            </w:r>
            <w:r w:rsidR="009246FF">
              <w:t>Philippines’ Local Government Unit (</w:t>
            </w:r>
            <w:r w:rsidR="003F5141">
              <w:t>LGU</w:t>
            </w:r>
            <w:r w:rsidR="009246FF">
              <w:t>) Public Private Partnership (</w:t>
            </w:r>
            <w:r w:rsidR="003F5141">
              <w:t>PPP</w:t>
            </w:r>
            <w:r w:rsidR="009246FF">
              <w:t>)</w:t>
            </w:r>
            <w:r w:rsidR="003F5141">
              <w:t xml:space="preserve"> Codes.</w:t>
            </w:r>
          </w:p>
          <w:p w14:paraId="220F9BA7" w14:textId="77777777" w:rsidR="000C5EA4" w:rsidRDefault="000C5EA4" w:rsidP="00E2674A">
            <w:pPr>
              <w:spacing w:after="60"/>
              <w:rPr>
                <w:sz w:val="18"/>
                <w:szCs w:val="18"/>
              </w:rPr>
            </w:pPr>
          </w:p>
          <w:p w14:paraId="7A437FE9" w14:textId="77777777" w:rsidR="000C5EA4" w:rsidRDefault="000C5EA4" w:rsidP="00E2674A">
            <w:pPr>
              <w:spacing w:after="60"/>
              <w:rPr>
                <w:sz w:val="18"/>
                <w:szCs w:val="18"/>
              </w:rPr>
            </w:pPr>
          </w:p>
          <w:p w14:paraId="01F50D0F" w14:textId="4BD30A6B" w:rsidR="000C5EA4" w:rsidRPr="004A088B" w:rsidRDefault="000C5EA4" w:rsidP="00E2674A">
            <w:pPr>
              <w:spacing w:after="60"/>
              <w:rPr>
                <w:sz w:val="18"/>
                <w:szCs w:val="18"/>
              </w:rPr>
            </w:pPr>
          </w:p>
        </w:tc>
      </w:tr>
      <w:tr w:rsidR="00937558" w14:paraId="05E5EC91" w14:textId="77777777" w:rsidTr="000C5EA4">
        <w:trPr>
          <w:trHeight w:val="187"/>
        </w:trPr>
        <w:tc>
          <w:tcPr>
            <w:tcW w:w="1555" w:type="dxa"/>
          </w:tcPr>
          <w:p w14:paraId="3AD9ABFE" w14:textId="5404AC74" w:rsidR="00937558" w:rsidRDefault="003F5141" w:rsidP="00C35755">
            <w:pPr>
              <w:spacing w:after="60"/>
            </w:pPr>
            <w:r>
              <w:lastRenderedPageBreak/>
              <w:t>PDMF funds</w:t>
            </w:r>
          </w:p>
        </w:tc>
        <w:tc>
          <w:tcPr>
            <w:tcW w:w="7659" w:type="dxa"/>
          </w:tcPr>
          <w:p w14:paraId="7BCA7FBA" w14:textId="4AF104BB" w:rsidR="00B62F5E" w:rsidRDefault="00B62F5E" w:rsidP="00B62F5E">
            <w:pPr>
              <w:spacing w:after="60"/>
            </w:pPr>
            <w:r>
              <w:t xml:space="preserve">The facility funding amounting to </w:t>
            </w:r>
            <w:r w:rsidRPr="00B62F5E">
              <w:t>USD 104</w:t>
            </w:r>
            <w:r>
              <w:t>.5 M, with contributions from</w:t>
            </w:r>
          </w:p>
          <w:p w14:paraId="2292FC68" w14:textId="3000A836" w:rsidR="00B62F5E" w:rsidRDefault="00B62F5E" w:rsidP="00B62F5E">
            <w:pPr>
              <w:spacing w:after="60"/>
            </w:pPr>
            <w:r>
              <w:t>the Government of Australia, and the Urban Climate Change Resilience</w:t>
            </w:r>
          </w:p>
          <w:p w14:paraId="4BA7F81A" w14:textId="41EA9075" w:rsidR="00937558" w:rsidRPr="00AC794F" w:rsidRDefault="00B62F5E" w:rsidP="00B62F5E">
            <w:pPr>
              <w:spacing w:after="60"/>
            </w:pPr>
            <w:r>
              <w:t xml:space="preserve">Trust Fund through the Asian Development Bank (Technical Assistance7796 -PHI: Strengthening PPPs in the Philippines). </w:t>
            </w:r>
          </w:p>
        </w:tc>
      </w:tr>
      <w:tr w:rsidR="00937558" w14:paraId="4B4E1904" w14:textId="77777777" w:rsidTr="000C5EA4">
        <w:trPr>
          <w:trHeight w:val="187"/>
        </w:trPr>
        <w:tc>
          <w:tcPr>
            <w:tcW w:w="1555" w:type="dxa"/>
          </w:tcPr>
          <w:p w14:paraId="09AF719D" w14:textId="4BF1F72A" w:rsidR="00937558" w:rsidRDefault="003F5141" w:rsidP="00C35755">
            <w:pPr>
              <w:spacing w:after="60"/>
            </w:pPr>
            <w:r>
              <w:t>PDMF Panels</w:t>
            </w:r>
          </w:p>
        </w:tc>
        <w:tc>
          <w:tcPr>
            <w:tcW w:w="7659" w:type="dxa"/>
          </w:tcPr>
          <w:p w14:paraId="2AA65D18" w14:textId="07D94D2D" w:rsidR="00937558" w:rsidRPr="00AC794F" w:rsidRDefault="00B62F5E" w:rsidP="00C35755">
            <w:pPr>
              <w:spacing w:after="60"/>
            </w:pPr>
            <w:r>
              <w:t>Refer</w:t>
            </w:r>
            <w:r w:rsidR="007572D3">
              <w:t>s</w:t>
            </w:r>
            <w:r>
              <w:t xml:space="preserve"> to the</w:t>
            </w:r>
            <w:r w:rsidR="007572D3">
              <w:t xml:space="preserve"> Philippine Government’s</w:t>
            </w:r>
            <w:r>
              <w:t xml:space="preserve"> four panel</w:t>
            </w:r>
            <w:r w:rsidR="007572D3">
              <w:t>s</w:t>
            </w:r>
            <w:r>
              <w:t xml:space="preserve"> of consulting firms (i.e., Project Preparation and Transaction Support, Probity Advisor, Independent Consultant, </w:t>
            </w:r>
            <w:r w:rsidR="001E5D65">
              <w:t xml:space="preserve">Resilient PPPs of Local Implementing Entities) </w:t>
            </w:r>
            <w:r w:rsidR="004F6BFC">
              <w:t>established</w:t>
            </w:r>
            <w:r w:rsidR="001E5D65">
              <w:t xml:space="preserve"> with a view of enhancing the expertise available for PDMF-funded projects.</w:t>
            </w:r>
          </w:p>
        </w:tc>
      </w:tr>
      <w:tr w:rsidR="00B24215" w14:paraId="21C042F1" w14:textId="77777777" w:rsidTr="000C5EA4">
        <w:trPr>
          <w:trHeight w:val="187"/>
        </w:trPr>
        <w:tc>
          <w:tcPr>
            <w:tcW w:w="1555" w:type="dxa"/>
          </w:tcPr>
          <w:p w14:paraId="5AED3CF4" w14:textId="3182210B" w:rsidR="00B24215" w:rsidRDefault="00B24215" w:rsidP="00C35755">
            <w:pPr>
              <w:spacing w:after="60"/>
            </w:pPr>
            <w:r>
              <w:t>PDP</w:t>
            </w:r>
          </w:p>
        </w:tc>
        <w:tc>
          <w:tcPr>
            <w:tcW w:w="7659" w:type="dxa"/>
          </w:tcPr>
          <w:p w14:paraId="5A48465D" w14:textId="463D1319" w:rsidR="00B24215" w:rsidRPr="00AC794F" w:rsidRDefault="00B24215" w:rsidP="00C35755">
            <w:pPr>
              <w:spacing w:after="60"/>
            </w:pPr>
            <w:r w:rsidRPr="00C74F48">
              <w:t>Philippine Development Plan</w:t>
            </w:r>
          </w:p>
        </w:tc>
      </w:tr>
      <w:tr w:rsidR="004900E0" w14:paraId="6269BAE3" w14:textId="77777777" w:rsidTr="000C5EA4">
        <w:trPr>
          <w:trHeight w:val="187"/>
        </w:trPr>
        <w:tc>
          <w:tcPr>
            <w:tcW w:w="1555" w:type="dxa"/>
          </w:tcPr>
          <w:p w14:paraId="727540D8" w14:textId="51C9EAB8" w:rsidR="004900E0" w:rsidRDefault="004900E0" w:rsidP="00C35755">
            <w:pPr>
              <w:spacing w:after="60"/>
            </w:pPr>
            <w:r>
              <w:t>PIMS</w:t>
            </w:r>
          </w:p>
        </w:tc>
        <w:tc>
          <w:tcPr>
            <w:tcW w:w="7659" w:type="dxa"/>
          </w:tcPr>
          <w:p w14:paraId="17458E1D" w14:textId="3D13BC1E" w:rsidR="004900E0" w:rsidRPr="00C74F48" w:rsidRDefault="004900E0" w:rsidP="00C35755">
            <w:pPr>
              <w:spacing w:after="60"/>
            </w:pPr>
            <w:r w:rsidRPr="00BE6C05">
              <w:rPr>
                <w:rFonts w:cstheme="minorHAnsi"/>
              </w:rPr>
              <w:t>Project Information and Management System</w:t>
            </w:r>
          </w:p>
        </w:tc>
      </w:tr>
      <w:tr w:rsidR="00C35755" w14:paraId="62D4B84A" w14:textId="77777777" w:rsidTr="000C5EA4">
        <w:trPr>
          <w:trHeight w:val="187"/>
        </w:trPr>
        <w:tc>
          <w:tcPr>
            <w:tcW w:w="1555" w:type="dxa"/>
          </w:tcPr>
          <w:p w14:paraId="57074AE4" w14:textId="680038B4" w:rsidR="00C35755" w:rsidRDefault="00C35755" w:rsidP="00C35755">
            <w:pPr>
              <w:spacing w:after="60"/>
            </w:pPr>
            <w:r>
              <w:t>PPP</w:t>
            </w:r>
          </w:p>
        </w:tc>
        <w:tc>
          <w:tcPr>
            <w:tcW w:w="7659" w:type="dxa"/>
          </w:tcPr>
          <w:p w14:paraId="4DD0EB03" w14:textId="19E7D22A" w:rsidR="00C35755" w:rsidRPr="00AC794F" w:rsidRDefault="00C35755" w:rsidP="00C35755">
            <w:pPr>
              <w:spacing w:after="60"/>
            </w:pPr>
            <w:r>
              <w:t>Public Private Partnership</w:t>
            </w:r>
          </w:p>
        </w:tc>
      </w:tr>
      <w:tr w:rsidR="007C7D12" w14:paraId="60AB3B4E" w14:textId="77777777" w:rsidTr="000C5EA4">
        <w:trPr>
          <w:trHeight w:val="187"/>
        </w:trPr>
        <w:tc>
          <w:tcPr>
            <w:tcW w:w="1555" w:type="dxa"/>
          </w:tcPr>
          <w:p w14:paraId="5BD8C33E" w14:textId="284D43CA" w:rsidR="007C7D12" w:rsidRDefault="007C7D12" w:rsidP="00C35755">
            <w:pPr>
              <w:spacing w:after="60"/>
            </w:pPr>
            <w:r>
              <w:t>RA</w:t>
            </w:r>
          </w:p>
        </w:tc>
        <w:tc>
          <w:tcPr>
            <w:tcW w:w="7659" w:type="dxa"/>
          </w:tcPr>
          <w:p w14:paraId="25C70F85" w14:textId="2B1AA33E" w:rsidR="007C7D12" w:rsidRDefault="007C7D12" w:rsidP="00C35755">
            <w:pPr>
              <w:spacing w:after="60"/>
            </w:pPr>
            <w:r w:rsidRPr="00FC3ADC">
              <w:rPr>
                <w:rFonts w:cstheme="minorHAnsi"/>
              </w:rPr>
              <w:t xml:space="preserve">Republic Act </w:t>
            </w:r>
          </w:p>
        </w:tc>
      </w:tr>
      <w:tr w:rsidR="00095BC8" w14:paraId="77A4FEF2" w14:textId="77777777" w:rsidTr="000C5EA4">
        <w:trPr>
          <w:trHeight w:val="187"/>
        </w:trPr>
        <w:tc>
          <w:tcPr>
            <w:tcW w:w="1555" w:type="dxa"/>
          </w:tcPr>
          <w:p w14:paraId="25724B6B" w14:textId="23936DC2" w:rsidR="00095BC8" w:rsidRDefault="00095BC8" w:rsidP="00C35755">
            <w:pPr>
              <w:spacing w:after="60"/>
            </w:pPr>
            <w:r>
              <w:t>SUC</w:t>
            </w:r>
          </w:p>
        </w:tc>
        <w:tc>
          <w:tcPr>
            <w:tcW w:w="7659" w:type="dxa"/>
          </w:tcPr>
          <w:p w14:paraId="2CC40949" w14:textId="6127F263" w:rsidR="00095BC8" w:rsidRDefault="00095BC8" w:rsidP="00C35755">
            <w:pPr>
              <w:spacing w:after="60"/>
            </w:pPr>
            <w:r w:rsidRPr="00095BC8">
              <w:t>State Universities and Colleges</w:t>
            </w:r>
          </w:p>
        </w:tc>
      </w:tr>
      <w:tr w:rsidR="00C35755" w14:paraId="46625C78" w14:textId="77777777" w:rsidTr="000C5EA4">
        <w:trPr>
          <w:trHeight w:val="187"/>
        </w:trPr>
        <w:tc>
          <w:tcPr>
            <w:tcW w:w="1555" w:type="dxa"/>
          </w:tcPr>
          <w:p w14:paraId="159D8C79" w14:textId="1AF85678" w:rsidR="00C35755" w:rsidRDefault="00C35755" w:rsidP="00C35755">
            <w:pPr>
              <w:spacing w:after="60"/>
            </w:pPr>
            <w:r>
              <w:t>TA</w:t>
            </w:r>
          </w:p>
        </w:tc>
        <w:tc>
          <w:tcPr>
            <w:tcW w:w="7659" w:type="dxa"/>
          </w:tcPr>
          <w:p w14:paraId="5822B40E" w14:textId="7210D9FE" w:rsidR="00C35755" w:rsidRDefault="00C35755" w:rsidP="00C35755">
            <w:pPr>
              <w:spacing w:after="60"/>
            </w:pPr>
            <w:r w:rsidRPr="00373C06">
              <w:t xml:space="preserve">Technical Assistance </w:t>
            </w:r>
          </w:p>
        </w:tc>
      </w:tr>
      <w:tr w:rsidR="00C35755" w14:paraId="2A379209" w14:textId="77777777" w:rsidTr="000C5EA4">
        <w:trPr>
          <w:trHeight w:val="187"/>
        </w:trPr>
        <w:tc>
          <w:tcPr>
            <w:tcW w:w="1555" w:type="dxa"/>
          </w:tcPr>
          <w:p w14:paraId="218F1CDC" w14:textId="041146B5" w:rsidR="00C35755" w:rsidRDefault="00C35755" w:rsidP="00C35755">
            <w:pPr>
              <w:spacing w:after="60"/>
            </w:pPr>
            <w:r>
              <w:t>TOR</w:t>
            </w:r>
          </w:p>
        </w:tc>
        <w:tc>
          <w:tcPr>
            <w:tcW w:w="7659" w:type="dxa"/>
          </w:tcPr>
          <w:p w14:paraId="0A52EC15" w14:textId="3D5976F8" w:rsidR="00C35755" w:rsidRPr="00373C06" w:rsidRDefault="00C35755" w:rsidP="00C35755">
            <w:pPr>
              <w:spacing w:after="60"/>
            </w:pPr>
            <w:r w:rsidRPr="00325F93">
              <w:t xml:space="preserve">Terms of Reference </w:t>
            </w:r>
          </w:p>
        </w:tc>
      </w:tr>
      <w:tr w:rsidR="00C35755" w14:paraId="0AF7A514" w14:textId="77777777" w:rsidTr="000C5EA4">
        <w:trPr>
          <w:trHeight w:val="187"/>
        </w:trPr>
        <w:tc>
          <w:tcPr>
            <w:tcW w:w="1555" w:type="dxa"/>
          </w:tcPr>
          <w:p w14:paraId="332EE972" w14:textId="2B2EDE64" w:rsidR="00C35755" w:rsidRDefault="00C35755" w:rsidP="00C35755">
            <w:pPr>
              <w:spacing w:after="60"/>
            </w:pPr>
            <w:r>
              <w:t>WOG</w:t>
            </w:r>
          </w:p>
        </w:tc>
        <w:tc>
          <w:tcPr>
            <w:tcW w:w="7659" w:type="dxa"/>
          </w:tcPr>
          <w:p w14:paraId="29BE7768" w14:textId="12FF5806" w:rsidR="00C35755" w:rsidRPr="00325F93" w:rsidRDefault="00C35755" w:rsidP="00C35755">
            <w:pPr>
              <w:spacing w:after="60"/>
            </w:pPr>
            <w:r w:rsidRPr="00A345D6">
              <w:t>Whole of Government</w:t>
            </w:r>
          </w:p>
        </w:tc>
      </w:tr>
    </w:tbl>
    <w:p w14:paraId="20B3B637" w14:textId="77777777" w:rsidR="004A088B" w:rsidRDefault="004A088B" w:rsidP="00021D43">
      <w:pPr>
        <w:spacing w:line="240" w:lineRule="auto"/>
      </w:pPr>
    </w:p>
    <w:p w14:paraId="0E1663D6" w14:textId="6843CA32" w:rsidR="00825539" w:rsidRPr="007E6708" w:rsidRDefault="00245128" w:rsidP="00FB0EC0">
      <w:pPr>
        <w:pStyle w:val="Heading20"/>
      </w:pPr>
      <w:bookmarkStart w:id="25" w:name="_Toc96435318"/>
      <w:r w:rsidRPr="007E6708">
        <w:t>C</w:t>
      </w:r>
      <w:r w:rsidR="001D5A66">
        <w:t xml:space="preserve">urrency </w:t>
      </w:r>
      <w:r w:rsidRPr="007E6708">
        <w:t>E</w:t>
      </w:r>
      <w:r w:rsidR="001D5A66">
        <w:t>quivalents</w:t>
      </w:r>
      <w:bookmarkEnd w:id="25"/>
    </w:p>
    <w:p w14:paraId="426439B2" w14:textId="2BBE0147" w:rsidR="00245128" w:rsidRDefault="00245128" w:rsidP="00245128">
      <w:pPr>
        <w:spacing w:line="240" w:lineRule="auto"/>
        <w:jc w:val="center"/>
      </w:pPr>
      <w:r>
        <w:t>average foreign exchange for February 2021</w:t>
      </w:r>
    </w:p>
    <w:p w14:paraId="1A06428D" w14:textId="6DC9556C" w:rsidR="00245128" w:rsidRDefault="00245128" w:rsidP="00245128">
      <w:pPr>
        <w:spacing w:line="240" w:lineRule="auto"/>
        <w:jc w:val="center"/>
      </w:pPr>
      <w:r>
        <w:t>AUD 1 = USD 0.776</w:t>
      </w:r>
    </w:p>
    <w:p w14:paraId="7BD221AD" w14:textId="3E42725D" w:rsidR="007E6708" w:rsidRDefault="00245128" w:rsidP="004A088B">
      <w:pPr>
        <w:spacing w:line="240" w:lineRule="auto"/>
        <w:jc w:val="center"/>
      </w:pPr>
      <w:r>
        <w:t>AUD 1 = PHP 36.7</w:t>
      </w:r>
    </w:p>
    <w:p w14:paraId="162A2D7C" w14:textId="77777777" w:rsidR="007E6708" w:rsidRDefault="007E6708">
      <w:r>
        <w:br w:type="page"/>
      </w:r>
    </w:p>
    <w:p w14:paraId="33A4131C" w14:textId="77777777" w:rsidR="00825539" w:rsidRPr="007E6708" w:rsidRDefault="00825539" w:rsidP="00FB0EC0">
      <w:pPr>
        <w:pStyle w:val="Heading20"/>
      </w:pPr>
      <w:bookmarkStart w:id="26" w:name="_Toc96003266"/>
      <w:bookmarkStart w:id="27" w:name="_Toc96435319"/>
      <w:bookmarkStart w:id="28" w:name="_Hlk1741089"/>
      <w:r w:rsidRPr="007E6708">
        <w:lastRenderedPageBreak/>
        <w:t>Table of Contents</w:t>
      </w:r>
      <w:bookmarkEnd w:id="26"/>
      <w:bookmarkEnd w:id="27"/>
    </w:p>
    <w:bookmarkEnd w:id="28" w:displacedByCustomXml="next"/>
    <w:sdt>
      <w:sdtPr>
        <w:rPr>
          <w:rFonts w:asciiTheme="minorHAnsi" w:eastAsiaTheme="minorHAnsi" w:hAnsiTheme="minorHAnsi" w:cstheme="minorBidi"/>
          <w:bCs w:val="0"/>
          <w:color w:val="auto"/>
          <w:spacing w:val="0"/>
          <w:kern w:val="0"/>
          <w:sz w:val="22"/>
          <w:szCs w:val="22"/>
          <w:lang w:val="en-AU"/>
        </w:rPr>
        <w:id w:val="1148556483"/>
        <w:docPartObj>
          <w:docPartGallery w:val="Table of Contents"/>
          <w:docPartUnique/>
        </w:docPartObj>
      </w:sdtPr>
      <w:sdtEndPr>
        <w:rPr>
          <w:b/>
          <w:noProof/>
        </w:rPr>
      </w:sdtEndPr>
      <w:sdtContent>
        <w:p w14:paraId="50B2A2E9" w14:textId="44B854FA" w:rsidR="004071A2" w:rsidRPr="004A0590" w:rsidRDefault="004071A2" w:rsidP="00FB0EC0">
          <w:pPr>
            <w:pStyle w:val="TOCHeading"/>
            <w:rPr>
              <w:sz w:val="2"/>
              <w:szCs w:val="2"/>
            </w:rPr>
          </w:pPr>
        </w:p>
        <w:p w14:paraId="626CF966" w14:textId="1894C0DB" w:rsidR="00486D37" w:rsidRDefault="004071A2">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p>
        <w:p w14:paraId="09A8AB14" w14:textId="02A3EB4E" w:rsidR="00486D37" w:rsidRDefault="00D43A30">
          <w:pPr>
            <w:pStyle w:val="TOC2"/>
            <w:tabs>
              <w:tab w:val="right" w:leader="dot" w:pos="9016"/>
            </w:tabs>
            <w:rPr>
              <w:rFonts w:eastAsiaTheme="minorEastAsia"/>
              <w:noProof/>
              <w:lang w:eastAsia="en-AU"/>
            </w:rPr>
          </w:pPr>
          <w:hyperlink w:anchor="_Toc96435313" w:history="1">
            <w:r w:rsidR="00486D37" w:rsidRPr="008B0F78">
              <w:rPr>
                <w:rStyle w:val="Hyperlink"/>
                <w:noProof/>
              </w:rPr>
              <w:t>Activity Summary</w:t>
            </w:r>
            <w:r w:rsidR="00486D37">
              <w:rPr>
                <w:noProof/>
                <w:webHidden/>
              </w:rPr>
              <w:tab/>
            </w:r>
            <w:r w:rsidR="00486D37">
              <w:rPr>
                <w:noProof/>
                <w:webHidden/>
              </w:rPr>
              <w:fldChar w:fldCharType="begin"/>
            </w:r>
            <w:r w:rsidR="00486D37">
              <w:rPr>
                <w:noProof/>
                <w:webHidden/>
              </w:rPr>
              <w:instrText xml:space="preserve"> PAGEREF _Toc96435313 \h </w:instrText>
            </w:r>
            <w:r w:rsidR="00486D37">
              <w:rPr>
                <w:noProof/>
                <w:webHidden/>
              </w:rPr>
            </w:r>
            <w:r w:rsidR="00486D37">
              <w:rPr>
                <w:noProof/>
                <w:webHidden/>
              </w:rPr>
              <w:fldChar w:fldCharType="separate"/>
            </w:r>
            <w:r w:rsidR="00486D37">
              <w:rPr>
                <w:noProof/>
                <w:webHidden/>
              </w:rPr>
              <w:t>iii</w:t>
            </w:r>
            <w:r w:rsidR="00486D37">
              <w:rPr>
                <w:noProof/>
                <w:webHidden/>
              </w:rPr>
              <w:fldChar w:fldCharType="end"/>
            </w:r>
          </w:hyperlink>
        </w:p>
        <w:p w14:paraId="26B7DCC2" w14:textId="64D869B4" w:rsidR="00486D37" w:rsidRDefault="00D43A30">
          <w:pPr>
            <w:pStyle w:val="TOC2"/>
            <w:tabs>
              <w:tab w:val="right" w:leader="dot" w:pos="9016"/>
            </w:tabs>
            <w:rPr>
              <w:rFonts w:eastAsiaTheme="minorEastAsia"/>
              <w:noProof/>
              <w:lang w:eastAsia="en-AU"/>
            </w:rPr>
          </w:pPr>
          <w:hyperlink w:anchor="_Toc96435314" w:history="1">
            <w:r w:rsidR="00486D37" w:rsidRPr="008B0F78">
              <w:rPr>
                <w:rStyle w:val="Hyperlink"/>
                <w:noProof/>
              </w:rPr>
              <w:t>Evaluator’s Details</w:t>
            </w:r>
            <w:r w:rsidR="00486D37">
              <w:rPr>
                <w:noProof/>
                <w:webHidden/>
              </w:rPr>
              <w:tab/>
            </w:r>
            <w:r w:rsidR="00486D37">
              <w:rPr>
                <w:noProof/>
                <w:webHidden/>
              </w:rPr>
              <w:fldChar w:fldCharType="begin"/>
            </w:r>
            <w:r w:rsidR="00486D37">
              <w:rPr>
                <w:noProof/>
                <w:webHidden/>
              </w:rPr>
              <w:instrText xml:space="preserve"> PAGEREF _Toc96435314 \h </w:instrText>
            </w:r>
            <w:r w:rsidR="00486D37">
              <w:rPr>
                <w:noProof/>
                <w:webHidden/>
              </w:rPr>
            </w:r>
            <w:r w:rsidR="00486D37">
              <w:rPr>
                <w:noProof/>
                <w:webHidden/>
              </w:rPr>
              <w:fldChar w:fldCharType="separate"/>
            </w:r>
            <w:r w:rsidR="00486D37">
              <w:rPr>
                <w:noProof/>
                <w:webHidden/>
              </w:rPr>
              <w:t>iii</w:t>
            </w:r>
            <w:r w:rsidR="00486D37">
              <w:rPr>
                <w:noProof/>
                <w:webHidden/>
              </w:rPr>
              <w:fldChar w:fldCharType="end"/>
            </w:r>
          </w:hyperlink>
        </w:p>
        <w:p w14:paraId="769CC4AE" w14:textId="66CF62EE" w:rsidR="00486D37" w:rsidRDefault="00D43A30">
          <w:pPr>
            <w:pStyle w:val="TOC2"/>
            <w:tabs>
              <w:tab w:val="right" w:leader="dot" w:pos="9016"/>
            </w:tabs>
            <w:rPr>
              <w:rFonts w:eastAsiaTheme="minorEastAsia"/>
              <w:noProof/>
              <w:lang w:eastAsia="en-AU"/>
            </w:rPr>
          </w:pPr>
          <w:hyperlink w:anchor="_Toc96435315" w:history="1">
            <w:r w:rsidR="00486D37" w:rsidRPr="008B0F78">
              <w:rPr>
                <w:rStyle w:val="Hyperlink"/>
                <w:noProof/>
              </w:rPr>
              <w:t>Acknowledgements</w:t>
            </w:r>
            <w:r w:rsidR="00486D37">
              <w:rPr>
                <w:noProof/>
                <w:webHidden/>
              </w:rPr>
              <w:tab/>
            </w:r>
            <w:r w:rsidR="00486D37">
              <w:rPr>
                <w:noProof/>
                <w:webHidden/>
              </w:rPr>
              <w:fldChar w:fldCharType="begin"/>
            </w:r>
            <w:r w:rsidR="00486D37">
              <w:rPr>
                <w:noProof/>
                <w:webHidden/>
              </w:rPr>
              <w:instrText xml:space="preserve"> PAGEREF _Toc96435315 \h </w:instrText>
            </w:r>
            <w:r w:rsidR="00486D37">
              <w:rPr>
                <w:noProof/>
                <w:webHidden/>
              </w:rPr>
            </w:r>
            <w:r w:rsidR="00486D37">
              <w:rPr>
                <w:noProof/>
                <w:webHidden/>
              </w:rPr>
              <w:fldChar w:fldCharType="separate"/>
            </w:r>
            <w:r w:rsidR="00486D37">
              <w:rPr>
                <w:noProof/>
                <w:webHidden/>
              </w:rPr>
              <w:t>iii</w:t>
            </w:r>
            <w:r w:rsidR="00486D37">
              <w:rPr>
                <w:noProof/>
                <w:webHidden/>
              </w:rPr>
              <w:fldChar w:fldCharType="end"/>
            </w:r>
          </w:hyperlink>
        </w:p>
        <w:p w14:paraId="77324EFA" w14:textId="5DE769C0" w:rsidR="00486D37" w:rsidRDefault="00D43A30">
          <w:pPr>
            <w:pStyle w:val="TOC2"/>
            <w:tabs>
              <w:tab w:val="right" w:leader="dot" w:pos="9016"/>
            </w:tabs>
            <w:rPr>
              <w:rFonts w:eastAsiaTheme="minorEastAsia"/>
              <w:noProof/>
              <w:lang w:eastAsia="en-AU"/>
            </w:rPr>
          </w:pPr>
          <w:hyperlink w:anchor="_Toc96435316" w:history="1">
            <w:r w:rsidR="00486D37" w:rsidRPr="008B0F78">
              <w:rPr>
                <w:rStyle w:val="Hyperlink"/>
                <w:noProof/>
              </w:rPr>
              <w:t>Executive Summary</w:t>
            </w:r>
            <w:r w:rsidR="00486D37">
              <w:rPr>
                <w:noProof/>
                <w:webHidden/>
              </w:rPr>
              <w:tab/>
            </w:r>
            <w:r w:rsidR="00486D37">
              <w:rPr>
                <w:noProof/>
                <w:webHidden/>
              </w:rPr>
              <w:fldChar w:fldCharType="begin"/>
            </w:r>
            <w:r w:rsidR="00486D37">
              <w:rPr>
                <w:noProof/>
                <w:webHidden/>
              </w:rPr>
              <w:instrText xml:space="preserve"> PAGEREF _Toc96435316 \h </w:instrText>
            </w:r>
            <w:r w:rsidR="00486D37">
              <w:rPr>
                <w:noProof/>
                <w:webHidden/>
              </w:rPr>
            </w:r>
            <w:r w:rsidR="00486D37">
              <w:rPr>
                <w:noProof/>
                <w:webHidden/>
              </w:rPr>
              <w:fldChar w:fldCharType="separate"/>
            </w:r>
            <w:r w:rsidR="00486D37">
              <w:rPr>
                <w:noProof/>
                <w:webHidden/>
              </w:rPr>
              <w:t>iv</w:t>
            </w:r>
            <w:r w:rsidR="00486D37">
              <w:rPr>
                <w:noProof/>
                <w:webHidden/>
              </w:rPr>
              <w:fldChar w:fldCharType="end"/>
            </w:r>
          </w:hyperlink>
        </w:p>
        <w:p w14:paraId="600CD21E" w14:textId="32431ACD" w:rsidR="00486D37" w:rsidRDefault="00D43A30">
          <w:pPr>
            <w:pStyle w:val="TOC2"/>
            <w:tabs>
              <w:tab w:val="right" w:leader="dot" w:pos="9016"/>
            </w:tabs>
            <w:rPr>
              <w:rFonts w:eastAsiaTheme="minorEastAsia"/>
              <w:noProof/>
              <w:lang w:eastAsia="en-AU"/>
            </w:rPr>
          </w:pPr>
          <w:hyperlink w:anchor="_Toc96435317" w:history="1">
            <w:r w:rsidR="00486D37" w:rsidRPr="008B0F78">
              <w:rPr>
                <w:rStyle w:val="Hyperlink"/>
                <w:noProof/>
              </w:rPr>
              <w:t>Terminology and Glossary</w:t>
            </w:r>
            <w:r w:rsidR="00486D37">
              <w:rPr>
                <w:noProof/>
                <w:webHidden/>
              </w:rPr>
              <w:tab/>
            </w:r>
            <w:r w:rsidR="00486D37">
              <w:rPr>
                <w:noProof/>
                <w:webHidden/>
              </w:rPr>
              <w:fldChar w:fldCharType="begin"/>
            </w:r>
            <w:r w:rsidR="00486D37">
              <w:rPr>
                <w:noProof/>
                <w:webHidden/>
              </w:rPr>
              <w:instrText xml:space="preserve"> PAGEREF _Toc96435317 \h </w:instrText>
            </w:r>
            <w:r w:rsidR="00486D37">
              <w:rPr>
                <w:noProof/>
                <w:webHidden/>
              </w:rPr>
            </w:r>
            <w:r w:rsidR="00486D37">
              <w:rPr>
                <w:noProof/>
                <w:webHidden/>
              </w:rPr>
              <w:fldChar w:fldCharType="separate"/>
            </w:r>
            <w:r w:rsidR="00486D37">
              <w:rPr>
                <w:noProof/>
                <w:webHidden/>
              </w:rPr>
              <w:t>vii</w:t>
            </w:r>
            <w:r w:rsidR="00486D37">
              <w:rPr>
                <w:noProof/>
                <w:webHidden/>
              </w:rPr>
              <w:fldChar w:fldCharType="end"/>
            </w:r>
          </w:hyperlink>
        </w:p>
        <w:p w14:paraId="66E5A821" w14:textId="606B7074" w:rsidR="00486D37" w:rsidRDefault="00D43A30">
          <w:pPr>
            <w:pStyle w:val="TOC2"/>
            <w:tabs>
              <w:tab w:val="right" w:leader="dot" w:pos="9016"/>
            </w:tabs>
            <w:rPr>
              <w:rFonts w:eastAsiaTheme="minorEastAsia"/>
              <w:noProof/>
              <w:lang w:eastAsia="en-AU"/>
            </w:rPr>
          </w:pPr>
          <w:hyperlink w:anchor="_Toc96435318" w:history="1">
            <w:r w:rsidR="00486D37" w:rsidRPr="008B0F78">
              <w:rPr>
                <w:rStyle w:val="Hyperlink"/>
                <w:noProof/>
              </w:rPr>
              <w:t>Currency Equivalents</w:t>
            </w:r>
            <w:r w:rsidR="00486D37">
              <w:rPr>
                <w:noProof/>
                <w:webHidden/>
              </w:rPr>
              <w:tab/>
            </w:r>
            <w:r w:rsidR="00486D37">
              <w:rPr>
                <w:noProof/>
                <w:webHidden/>
              </w:rPr>
              <w:fldChar w:fldCharType="begin"/>
            </w:r>
            <w:r w:rsidR="00486D37">
              <w:rPr>
                <w:noProof/>
                <w:webHidden/>
              </w:rPr>
              <w:instrText xml:space="preserve"> PAGEREF _Toc96435318 \h </w:instrText>
            </w:r>
            <w:r w:rsidR="00486D37">
              <w:rPr>
                <w:noProof/>
                <w:webHidden/>
              </w:rPr>
            </w:r>
            <w:r w:rsidR="00486D37">
              <w:rPr>
                <w:noProof/>
                <w:webHidden/>
              </w:rPr>
              <w:fldChar w:fldCharType="separate"/>
            </w:r>
            <w:r w:rsidR="00486D37">
              <w:rPr>
                <w:noProof/>
                <w:webHidden/>
              </w:rPr>
              <w:t>viii</w:t>
            </w:r>
            <w:r w:rsidR="00486D37">
              <w:rPr>
                <w:noProof/>
                <w:webHidden/>
              </w:rPr>
              <w:fldChar w:fldCharType="end"/>
            </w:r>
          </w:hyperlink>
        </w:p>
        <w:p w14:paraId="136FF506" w14:textId="03B925B6" w:rsidR="00486D37" w:rsidRDefault="00D43A30">
          <w:pPr>
            <w:pStyle w:val="TOC2"/>
            <w:tabs>
              <w:tab w:val="right" w:leader="dot" w:pos="9016"/>
            </w:tabs>
            <w:rPr>
              <w:rFonts w:eastAsiaTheme="minorEastAsia"/>
              <w:noProof/>
              <w:lang w:eastAsia="en-AU"/>
            </w:rPr>
          </w:pPr>
          <w:hyperlink w:anchor="_Toc96435319" w:history="1">
            <w:r w:rsidR="00486D37" w:rsidRPr="008B0F78">
              <w:rPr>
                <w:rStyle w:val="Hyperlink"/>
                <w:noProof/>
              </w:rPr>
              <w:t>Table of Contents</w:t>
            </w:r>
            <w:r w:rsidR="00486D37">
              <w:rPr>
                <w:noProof/>
                <w:webHidden/>
              </w:rPr>
              <w:tab/>
            </w:r>
            <w:r w:rsidR="00486D37">
              <w:rPr>
                <w:noProof/>
                <w:webHidden/>
              </w:rPr>
              <w:fldChar w:fldCharType="begin"/>
            </w:r>
            <w:r w:rsidR="00486D37">
              <w:rPr>
                <w:noProof/>
                <w:webHidden/>
              </w:rPr>
              <w:instrText xml:space="preserve"> PAGEREF _Toc96435319 \h </w:instrText>
            </w:r>
            <w:r w:rsidR="00486D37">
              <w:rPr>
                <w:noProof/>
                <w:webHidden/>
              </w:rPr>
            </w:r>
            <w:r w:rsidR="00486D37">
              <w:rPr>
                <w:noProof/>
                <w:webHidden/>
              </w:rPr>
              <w:fldChar w:fldCharType="separate"/>
            </w:r>
            <w:r w:rsidR="00486D37">
              <w:rPr>
                <w:noProof/>
                <w:webHidden/>
              </w:rPr>
              <w:t>ix</w:t>
            </w:r>
            <w:r w:rsidR="00486D37">
              <w:rPr>
                <w:noProof/>
                <w:webHidden/>
              </w:rPr>
              <w:fldChar w:fldCharType="end"/>
            </w:r>
          </w:hyperlink>
        </w:p>
        <w:p w14:paraId="4917A465" w14:textId="351B6B83" w:rsidR="00486D37" w:rsidRDefault="00D43A30">
          <w:pPr>
            <w:pStyle w:val="TOC2"/>
            <w:tabs>
              <w:tab w:val="left" w:pos="660"/>
              <w:tab w:val="right" w:leader="dot" w:pos="9016"/>
            </w:tabs>
            <w:rPr>
              <w:rFonts w:eastAsiaTheme="minorEastAsia"/>
              <w:noProof/>
              <w:lang w:eastAsia="en-AU"/>
            </w:rPr>
          </w:pPr>
          <w:hyperlink w:anchor="_Toc96435320" w:history="1">
            <w:r w:rsidR="00486D37" w:rsidRPr="008B0F78">
              <w:rPr>
                <w:rStyle w:val="Hyperlink"/>
                <w:noProof/>
              </w:rPr>
              <w:t>1</w:t>
            </w:r>
            <w:r w:rsidR="00486D37">
              <w:rPr>
                <w:rFonts w:eastAsiaTheme="minorEastAsia"/>
                <w:noProof/>
                <w:lang w:eastAsia="en-AU"/>
              </w:rPr>
              <w:tab/>
            </w:r>
            <w:r w:rsidR="00486D37" w:rsidRPr="008B0F78">
              <w:rPr>
                <w:rStyle w:val="Hyperlink"/>
                <w:noProof/>
              </w:rPr>
              <w:t>Purpose</w:t>
            </w:r>
            <w:r w:rsidR="00486D37">
              <w:rPr>
                <w:noProof/>
                <w:webHidden/>
              </w:rPr>
              <w:tab/>
            </w:r>
            <w:r w:rsidR="00486D37">
              <w:rPr>
                <w:noProof/>
                <w:webHidden/>
              </w:rPr>
              <w:fldChar w:fldCharType="begin"/>
            </w:r>
            <w:r w:rsidR="00486D37">
              <w:rPr>
                <w:noProof/>
                <w:webHidden/>
              </w:rPr>
              <w:instrText xml:space="preserve"> PAGEREF _Toc96435320 \h </w:instrText>
            </w:r>
            <w:r w:rsidR="00486D37">
              <w:rPr>
                <w:noProof/>
                <w:webHidden/>
              </w:rPr>
            </w:r>
            <w:r w:rsidR="00486D37">
              <w:rPr>
                <w:noProof/>
                <w:webHidden/>
              </w:rPr>
              <w:fldChar w:fldCharType="separate"/>
            </w:r>
            <w:r w:rsidR="00486D37">
              <w:rPr>
                <w:noProof/>
                <w:webHidden/>
              </w:rPr>
              <w:t>1</w:t>
            </w:r>
            <w:r w:rsidR="00486D37">
              <w:rPr>
                <w:noProof/>
                <w:webHidden/>
              </w:rPr>
              <w:fldChar w:fldCharType="end"/>
            </w:r>
          </w:hyperlink>
        </w:p>
        <w:p w14:paraId="2B0A9FE4" w14:textId="38A9FE04" w:rsidR="00486D37" w:rsidRDefault="00D43A30">
          <w:pPr>
            <w:pStyle w:val="TOC2"/>
            <w:tabs>
              <w:tab w:val="left" w:pos="660"/>
              <w:tab w:val="right" w:leader="dot" w:pos="9016"/>
            </w:tabs>
            <w:rPr>
              <w:rFonts w:eastAsiaTheme="minorEastAsia"/>
              <w:noProof/>
              <w:lang w:eastAsia="en-AU"/>
            </w:rPr>
          </w:pPr>
          <w:hyperlink w:anchor="_Toc96435321" w:history="1">
            <w:r w:rsidR="00486D37" w:rsidRPr="008B0F78">
              <w:rPr>
                <w:rStyle w:val="Hyperlink"/>
                <w:noProof/>
              </w:rPr>
              <w:t>2</w:t>
            </w:r>
            <w:r w:rsidR="00486D37">
              <w:rPr>
                <w:rFonts w:eastAsiaTheme="minorEastAsia"/>
                <w:noProof/>
                <w:lang w:eastAsia="en-AU"/>
              </w:rPr>
              <w:tab/>
            </w:r>
            <w:r w:rsidR="00486D37" w:rsidRPr="008B0F78">
              <w:rPr>
                <w:rStyle w:val="Hyperlink"/>
                <w:noProof/>
              </w:rPr>
              <w:t>Introduction</w:t>
            </w:r>
            <w:r w:rsidR="00486D37">
              <w:rPr>
                <w:noProof/>
                <w:webHidden/>
              </w:rPr>
              <w:tab/>
            </w:r>
            <w:r w:rsidR="00486D37">
              <w:rPr>
                <w:noProof/>
                <w:webHidden/>
              </w:rPr>
              <w:fldChar w:fldCharType="begin"/>
            </w:r>
            <w:r w:rsidR="00486D37">
              <w:rPr>
                <w:noProof/>
                <w:webHidden/>
              </w:rPr>
              <w:instrText xml:space="preserve"> PAGEREF _Toc96435321 \h </w:instrText>
            </w:r>
            <w:r w:rsidR="00486D37">
              <w:rPr>
                <w:noProof/>
                <w:webHidden/>
              </w:rPr>
            </w:r>
            <w:r w:rsidR="00486D37">
              <w:rPr>
                <w:noProof/>
                <w:webHidden/>
              </w:rPr>
              <w:fldChar w:fldCharType="separate"/>
            </w:r>
            <w:r w:rsidR="00486D37">
              <w:rPr>
                <w:noProof/>
                <w:webHidden/>
              </w:rPr>
              <w:t>1</w:t>
            </w:r>
            <w:r w:rsidR="00486D37">
              <w:rPr>
                <w:noProof/>
                <w:webHidden/>
              </w:rPr>
              <w:fldChar w:fldCharType="end"/>
            </w:r>
          </w:hyperlink>
        </w:p>
        <w:p w14:paraId="51A4C891" w14:textId="61CD54BA" w:rsidR="00486D37" w:rsidRDefault="00D43A30">
          <w:pPr>
            <w:pStyle w:val="TOC3"/>
            <w:tabs>
              <w:tab w:val="right" w:leader="dot" w:pos="9016"/>
            </w:tabs>
            <w:rPr>
              <w:rFonts w:eastAsiaTheme="minorEastAsia"/>
              <w:noProof/>
              <w:lang w:eastAsia="en-AU"/>
            </w:rPr>
          </w:pPr>
          <w:hyperlink w:anchor="_Toc96435322" w:history="1">
            <w:r w:rsidR="00486D37" w:rsidRPr="008B0F78">
              <w:rPr>
                <w:rStyle w:val="Hyperlink"/>
                <w:noProof/>
              </w:rPr>
              <w:t>2.1 Program overview</w:t>
            </w:r>
            <w:r w:rsidR="00486D37">
              <w:rPr>
                <w:noProof/>
                <w:webHidden/>
              </w:rPr>
              <w:tab/>
            </w:r>
            <w:r w:rsidR="00486D37">
              <w:rPr>
                <w:noProof/>
                <w:webHidden/>
              </w:rPr>
              <w:fldChar w:fldCharType="begin"/>
            </w:r>
            <w:r w:rsidR="00486D37">
              <w:rPr>
                <w:noProof/>
                <w:webHidden/>
              </w:rPr>
              <w:instrText xml:space="preserve"> PAGEREF _Toc96435322 \h </w:instrText>
            </w:r>
            <w:r w:rsidR="00486D37">
              <w:rPr>
                <w:noProof/>
                <w:webHidden/>
              </w:rPr>
            </w:r>
            <w:r w:rsidR="00486D37">
              <w:rPr>
                <w:noProof/>
                <w:webHidden/>
              </w:rPr>
              <w:fldChar w:fldCharType="separate"/>
            </w:r>
            <w:r w:rsidR="00486D37">
              <w:rPr>
                <w:noProof/>
                <w:webHidden/>
              </w:rPr>
              <w:t>1</w:t>
            </w:r>
            <w:r w:rsidR="00486D37">
              <w:rPr>
                <w:noProof/>
                <w:webHidden/>
              </w:rPr>
              <w:fldChar w:fldCharType="end"/>
            </w:r>
          </w:hyperlink>
        </w:p>
        <w:p w14:paraId="39AF3B3E" w14:textId="74A7E146" w:rsidR="00486D37" w:rsidRDefault="00D43A30">
          <w:pPr>
            <w:pStyle w:val="TOC3"/>
            <w:tabs>
              <w:tab w:val="right" w:leader="dot" w:pos="9016"/>
            </w:tabs>
            <w:rPr>
              <w:rFonts w:eastAsiaTheme="minorEastAsia"/>
              <w:noProof/>
              <w:lang w:eastAsia="en-AU"/>
            </w:rPr>
          </w:pPr>
          <w:hyperlink w:anchor="_Toc96435323" w:history="1">
            <w:r w:rsidR="00486D37" w:rsidRPr="008B0F78">
              <w:rPr>
                <w:rStyle w:val="Hyperlink"/>
                <w:noProof/>
              </w:rPr>
              <w:t>2.2 Policy Context</w:t>
            </w:r>
            <w:r w:rsidR="00486D37">
              <w:rPr>
                <w:noProof/>
                <w:webHidden/>
              </w:rPr>
              <w:tab/>
            </w:r>
            <w:r w:rsidR="00486D37">
              <w:rPr>
                <w:noProof/>
                <w:webHidden/>
              </w:rPr>
              <w:fldChar w:fldCharType="begin"/>
            </w:r>
            <w:r w:rsidR="00486D37">
              <w:rPr>
                <w:noProof/>
                <w:webHidden/>
              </w:rPr>
              <w:instrText xml:space="preserve"> PAGEREF _Toc96435323 \h </w:instrText>
            </w:r>
            <w:r w:rsidR="00486D37">
              <w:rPr>
                <w:noProof/>
                <w:webHidden/>
              </w:rPr>
            </w:r>
            <w:r w:rsidR="00486D37">
              <w:rPr>
                <w:noProof/>
                <w:webHidden/>
              </w:rPr>
              <w:fldChar w:fldCharType="separate"/>
            </w:r>
            <w:r w:rsidR="00486D37">
              <w:rPr>
                <w:noProof/>
                <w:webHidden/>
              </w:rPr>
              <w:t>2</w:t>
            </w:r>
            <w:r w:rsidR="00486D37">
              <w:rPr>
                <w:noProof/>
                <w:webHidden/>
              </w:rPr>
              <w:fldChar w:fldCharType="end"/>
            </w:r>
          </w:hyperlink>
        </w:p>
        <w:p w14:paraId="128087D4" w14:textId="02001F9A" w:rsidR="00486D37" w:rsidRDefault="00D43A30">
          <w:pPr>
            <w:pStyle w:val="TOC3"/>
            <w:tabs>
              <w:tab w:val="right" w:leader="dot" w:pos="9016"/>
            </w:tabs>
            <w:rPr>
              <w:rFonts w:eastAsiaTheme="minorEastAsia"/>
              <w:noProof/>
              <w:lang w:eastAsia="en-AU"/>
            </w:rPr>
          </w:pPr>
          <w:hyperlink w:anchor="_Toc96435324" w:history="1">
            <w:r w:rsidR="00486D37" w:rsidRPr="008B0F78">
              <w:rPr>
                <w:rStyle w:val="Hyperlink"/>
                <w:noProof/>
              </w:rPr>
              <w:t>2.3 Evaluation approach</w:t>
            </w:r>
            <w:r w:rsidR="00486D37">
              <w:rPr>
                <w:noProof/>
                <w:webHidden/>
              </w:rPr>
              <w:tab/>
            </w:r>
            <w:r w:rsidR="00486D37">
              <w:rPr>
                <w:noProof/>
                <w:webHidden/>
              </w:rPr>
              <w:fldChar w:fldCharType="begin"/>
            </w:r>
            <w:r w:rsidR="00486D37">
              <w:rPr>
                <w:noProof/>
                <w:webHidden/>
              </w:rPr>
              <w:instrText xml:space="preserve"> PAGEREF _Toc96435324 \h </w:instrText>
            </w:r>
            <w:r w:rsidR="00486D37">
              <w:rPr>
                <w:noProof/>
                <w:webHidden/>
              </w:rPr>
            </w:r>
            <w:r w:rsidR="00486D37">
              <w:rPr>
                <w:noProof/>
                <w:webHidden/>
              </w:rPr>
              <w:fldChar w:fldCharType="separate"/>
            </w:r>
            <w:r w:rsidR="00486D37">
              <w:rPr>
                <w:noProof/>
                <w:webHidden/>
              </w:rPr>
              <w:t>3</w:t>
            </w:r>
            <w:r w:rsidR="00486D37">
              <w:rPr>
                <w:noProof/>
                <w:webHidden/>
              </w:rPr>
              <w:fldChar w:fldCharType="end"/>
            </w:r>
          </w:hyperlink>
        </w:p>
        <w:p w14:paraId="67E77C5F" w14:textId="513BA6D5" w:rsidR="00486D37" w:rsidRDefault="00D43A30">
          <w:pPr>
            <w:pStyle w:val="TOC3"/>
            <w:tabs>
              <w:tab w:val="right" w:leader="dot" w:pos="9016"/>
            </w:tabs>
            <w:rPr>
              <w:rFonts w:eastAsiaTheme="minorEastAsia"/>
              <w:noProof/>
              <w:lang w:eastAsia="en-AU"/>
            </w:rPr>
          </w:pPr>
          <w:hyperlink w:anchor="_Toc96435325" w:history="1">
            <w:r w:rsidR="00486D37" w:rsidRPr="008B0F78">
              <w:rPr>
                <w:rStyle w:val="Hyperlink"/>
                <w:noProof/>
              </w:rPr>
              <w:t>2.4 About this document</w:t>
            </w:r>
            <w:r w:rsidR="00486D37">
              <w:rPr>
                <w:noProof/>
                <w:webHidden/>
              </w:rPr>
              <w:tab/>
            </w:r>
            <w:r w:rsidR="00486D37">
              <w:rPr>
                <w:noProof/>
                <w:webHidden/>
              </w:rPr>
              <w:fldChar w:fldCharType="begin"/>
            </w:r>
            <w:r w:rsidR="00486D37">
              <w:rPr>
                <w:noProof/>
                <w:webHidden/>
              </w:rPr>
              <w:instrText xml:space="preserve"> PAGEREF _Toc96435325 \h </w:instrText>
            </w:r>
            <w:r w:rsidR="00486D37">
              <w:rPr>
                <w:noProof/>
                <w:webHidden/>
              </w:rPr>
            </w:r>
            <w:r w:rsidR="00486D37">
              <w:rPr>
                <w:noProof/>
                <w:webHidden/>
              </w:rPr>
              <w:fldChar w:fldCharType="separate"/>
            </w:r>
            <w:r w:rsidR="00486D37">
              <w:rPr>
                <w:noProof/>
                <w:webHidden/>
              </w:rPr>
              <w:t>4</w:t>
            </w:r>
            <w:r w:rsidR="00486D37">
              <w:rPr>
                <w:noProof/>
                <w:webHidden/>
              </w:rPr>
              <w:fldChar w:fldCharType="end"/>
            </w:r>
          </w:hyperlink>
        </w:p>
        <w:p w14:paraId="369B36BB" w14:textId="2A646F70" w:rsidR="00486D37" w:rsidRDefault="00D43A30">
          <w:pPr>
            <w:pStyle w:val="TOC2"/>
            <w:tabs>
              <w:tab w:val="left" w:pos="660"/>
              <w:tab w:val="right" w:leader="dot" w:pos="9016"/>
            </w:tabs>
            <w:rPr>
              <w:rFonts w:eastAsiaTheme="minorEastAsia"/>
              <w:noProof/>
              <w:lang w:eastAsia="en-AU"/>
            </w:rPr>
          </w:pPr>
          <w:hyperlink w:anchor="_Toc96435326" w:history="1">
            <w:r w:rsidR="00486D37" w:rsidRPr="008B0F78">
              <w:rPr>
                <w:rStyle w:val="Hyperlink"/>
                <w:noProof/>
              </w:rPr>
              <w:t>3</w:t>
            </w:r>
            <w:r w:rsidR="00486D37">
              <w:rPr>
                <w:rFonts w:eastAsiaTheme="minorEastAsia"/>
                <w:noProof/>
                <w:lang w:eastAsia="en-AU"/>
              </w:rPr>
              <w:tab/>
            </w:r>
            <w:r w:rsidR="00486D37" w:rsidRPr="008B0F78">
              <w:rPr>
                <w:rStyle w:val="Hyperlink"/>
                <w:noProof/>
              </w:rPr>
              <w:t>Findings</w:t>
            </w:r>
            <w:r w:rsidR="00486D37">
              <w:rPr>
                <w:noProof/>
                <w:webHidden/>
              </w:rPr>
              <w:tab/>
            </w:r>
            <w:r w:rsidR="00486D37">
              <w:rPr>
                <w:noProof/>
                <w:webHidden/>
              </w:rPr>
              <w:fldChar w:fldCharType="begin"/>
            </w:r>
            <w:r w:rsidR="00486D37">
              <w:rPr>
                <w:noProof/>
                <w:webHidden/>
              </w:rPr>
              <w:instrText xml:space="preserve"> PAGEREF _Toc96435326 \h </w:instrText>
            </w:r>
            <w:r w:rsidR="00486D37">
              <w:rPr>
                <w:noProof/>
                <w:webHidden/>
              </w:rPr>
            </w:r>
            <w:r w:rsidR="00486D37">
              <w:rPr>
                <w:noProof/>
                <w:webHidden/>
              </w:rPr>
              <w:fldChar w:fldCharType="separate"/>
            </w:r>
            <w:r w:rsidR="00486D37">
              <w:rPr>
                <w:noProof/>
                <w:webHidden/>
              </w:rPr>
              <w:t>4</w:t>
            </w:r>
            <w:r w:rsidR="00486D37">
              <w:rPr>
                <w:noProof/>
                <w:webHidden/>
              </w:rPr>
              <w:fldChar w:fldCharType="end"/>
            </w:r>
          </w:hyperlink>
        </w:p>
        <w:p w14:paraId="7B8F8530" w14:textId="6CC8636F" w:rsidR="00486D37" w:rsidRDefault="00D43A30">
          <w:pPr>
            <w:pStyle w:val="TOC3"/>
            <w:tabs>
              <w:tab w:val="right" w:leader="dot" w:pos="9016"/>
            </w:tabs>
            <w:rPr>
              <w:rFonts w:eastAsiaTheme="minorEastAsia"/>
              <w:noProof/>
              <w:lang w:eastAsia="en-AU"/>
            </w:rPr>
          </w:pPr>
          <w:hyperlink w:anchor="_Toc96435327" w:history="1">
            <w:r w:rsidR="00486D37" w:rsidRPr="008B0F78">
              <w:rPr>
                <w:rStyle w:val="Hyperlink"/>
                <w:noProof/>
              </w:rPr>
              <w:t>3.1 Effectivenes</w:t>
            </w:r>
            <w:r w:rsidR="00486D37">
              <w:rPr>
                <w:noProof/>
                <w:webHidden/>
              </w:rPr>
              <w:tab/>
            </w:r>
            <w:r w:rsidR="00486D37">
              <w:rPr>
                <w:noProof/>
                <w:webHidden/>
              </w:rPr>
              <w:fldChar w:fldCharType="begin"/>
            </w:r>
            <w:r w:rsidR="00486D37">
              <w:rPr>
                <w:noProof/>
                <w:webHidden/>
              </w:rPr>
              <w:instrText xml:space="preserve"> PAGEREF _Toc96435327 \h </w:instrText>
            </w:r>
            <w:r w:rsidR="00486D37">
              <w:rPr>
                <w:noProof/>
                <w:webHidden/>
              </w:rPr>
            </w:r>
            <w:r w:rsidR="00486D37">
              <w:rPr>
                <w:noProof/>
                <w:webHidden/>
              </w:rPr>
              <w:fldChar w:fldCharType="separate"/>
            </w:r>
            <w:r w:rsidR="00486D37">
              <w:rPr>
                <w:noProof/>
                <w:webHidden/>
              </w:rPr>
              <w:t>4</w:t>
            </w:r>
            <w:r w:rsidR="00486D37">
              <w:rPr>
                <w:noProof/>
                <w:webHidden/>
              </w:rPr>
              <w:fldChar w:fldCharType="end"/>
            </w:r>
          </w:hyperlink>
        </w:p>
        <w:p w14:paraId="4BF579CC" w14:textId="570120FE" w:rsidR="00486D37" w:rsidRDefault="00D43A30">
          <w:pPr>
            <w:pStyle w:val="TOC3"/>
            <w:tabs>
              <w:tab w:val="right" w:leader="dot" w:pos="9016"/>
            </w:tabs>
            <w:rPr>
              <w:rFonts w:eastAsiaTheme="minorEastAsia"/>
              <w:noProof/>
              <w:lang w:eastAsia="en-AU"/>
            </w:rPr>
          </w:pPr>
          <w:hyperlink w:anchor="_Toc96435328" w:history="1">
            <w:r w:rsidR="00486D37" w:rsidRPr="008B0F78">
              <w:rPr>
                <w:rStyle w:val="Hyperlink"/>
                <w:noProof/>
              </w:rPr>
              <w:t>3.2 DFAT’s contribution</w:t>
            </w:r>
            <w:r w:rsidR="00486D37">
              <w:rPr>
                <w:noProof/>
                <w:webHidden/>
              </w:rPr>
              <w:tab/>
            </w:r>
            <w:r w:rsidR="00486D37">
              <w:rPr>
                <w:noProof/>
                <w:webHidden/>
              </w:rPr>
              <w:fldChar w:fldCharType="begin"/>
            </w:r>
            <w:r w:rsidR="00486D37">
              <w:rPr>
                <w:noProof/>
                <w:webHidden/>
              </w:rPr>
              <w:instrText xml:space="preserve"> PAGEREF _Toc96435328 \h </w:instrText>
            </w:r>
            <w:r w:rsidR="00486D37">
              <w:rPr>
                <w:noProof/>
                <w:webHidden/>
              </w:rPr>
            </w:r>
            <w:r w:rsidR="00486D37">
              <w:rPr>
                <w:noProof/>
                <w:webHidden/>
              </w:rPr>
              <w:fldChar w:fldCharType="separate"/>
            </w:r>
            <w:r w:rsidR="00486D37">
              <w:rPr>
                <w:noProof/>
                <w:webHidden/>
              </w:rPr>
              <w:t>8</w:t>
            </w:r>
            <w:r w:rsidR="00486D37">
              <w:rPr>
                <w:noProof/>
                <w:webHidden/>
              </w:rPr>
              <w:fldChar w:fldCharType="end"/>
            </w:r>
          </w:hyperlink>
        </w:p>
        <w:p w14:paraId="234E6E96" w14:textId="30AA0D21" w:rsidR="00486D37" w:rsidRDefault="00D43A30">
          <w:pPr>
            <w:pStyle w:val="TOC3"/>
            <w:tabs>
              <w:tab w:val="right" w:leader="dot" w:pos="9016"/>
            </w:tabs>
            <w:rPr>
              <w:rFonts w:eastAsiaTheme="minorEastAsia"/>
              <w:noProof/>
              <w:lang w:eastAsia="en-AU"/>
            </w:rPr>
          </w:pPr>
          <w:hyperlink w:anchor="_Toc96435329" w:history="1">
            <w:r w:rsidR="00486D37" w:rsidRPr="008B0F78">
              <w:rPr>
                <w:rStyle w:val="Hyperlink"/>
                <w:noProof/>
              </w:rPr>
              <w:t>3.3 Efficiency</w:t>
            </w:r>
            <w:r w:rsidR="00486D37">
              <w:rPr>
                <w:noProof/>
                <w:webHidden/>
              </w:rPr>
              <w:tab/>
            </w:r>
            <w:r w:rsidR="00486D37">
              <w:rPr>
                <w:noProof/>
                <w:webHidden/>
              </w:rPr>
              <w:fldChar w:fldCharType="begin"/>
            </w:r>
            <w:r w:rsidR="00486D37">
              <w:rPr>
                <w:noProof/>
                <w:webHidden/>
              </w:rPr>
              <w:instrText xml:space="preserve"> PAGEREF _Toc96435329 \h </w:instrText>
            </w:r>
            <w:r w:rsidR="00486D37">
              <w:rPr>
                <w:noProof/>
                <w:webHidden/>
              </w:rPr>
            </w:r>
            <w:r w:rsidR="00486D37">
              <w:rPr>
                <w:noProof/>
                <w:webHidden/>
              </w:rPr>
              <w:fldChar w:fldCharType="separate"/>
            </w:r>
            <w:r w:rsidR="00486D37">
              <w:rPr>
                <w:noProof/>
                <w:webHidden/>
              </w:rPr>
              <w:t>10</w:t>
            </w:r>
            <w:r w:rsidR="00486D37">
              <w:rPr>
                <w:noProof/>
                <w:webHidden/>
              </w:rPr>
              <w:fldChar w:fldCharType="end"/>
            </w:r>
          </w:hyperlink>
        </w:p>
        <w:p w14:paraId="12F5446A" w14:textId="6A4807C9" w:rsidR="00486D37" w:rsidRDefault="00D43A30">
          <w:pPr>
            <w:pStyle w:val="TOC3"/>
            <w:tabs>
              <w:tab w:val="right" w:leader="dot" w:pos="9016"/>
            </w:tabs>
            <w:rPr>
              <w:rFonts w:eastAsiaTheme="minorEastAsia"/>
              <w:noProof/>
              <w:lang w:eastAsia="en-AU"/>
            </w:rPr>
          </w:pPr>
          <w:hyperlink w:anchor="_Toc96435330" w:history="1">
            <w:r w:rsidR="00486D37" w:rsidRPr="008B0F78">
              <w:rPr>
                <w:rStyle w:val="Hyperlink"/>
                <w:noProof/>
              </w:rPr>
              <w:t>3.4 Inclusion and safeguarding</w:t>
            </w:r>
            <w:r w:rsidR="00486D37">
              <w:rPr>
                <w:noProof/>
                <w:webHidden/>
              </w:rPr>
              <w:tab/>
            </w:r>
            <w:r w:rsidR="00486D37">
              <w:rPr>
                <w:noProof/>
                <w:webHidden/>
              </w:rPr>
              <w:fldChar w:fldCharType="begin"/>
            </w:r>
            <w:r w:rsidR="00486D37">
              <w:rPr>
                <w:noProof/>
                <w:webHidden/>
              </w:rPr>
              <w:instrText xml:space="preserve"> PAGEREF _Toc96435330 \h </w:instrText>
            </w:r>
            <w:r w:rsidR="00486D37">
              <w:rPr>
                <w:noProof/>
                <w:webHidden/>
              </w:rPr>
            </w:r>
            <w:r w:rsidR="00486D37">
              <w:rPr>
                <w:noProof/>
                <w:webHidden/>
              </w:rPr>
              <w:fldChar w:fldCharType="separate"/>
            </w:r>
            <w:r w:rsidR="00486D37">
              <w:rPr>
                <w:noProof/>
                <w:webHidden/>
              </w:rPr>
              <w:t>13</w:t>
            </w:r>
            <w:r w:rsidR="00486D37">
              <w:rPr>
                <w:noProof/>
                <w:webHidden/>
              </w:rPr>
              <w:fldChar w:fldCharType="end"/>
            </w:r>
          </w:hyperlink>
        </w:p>
        <w:p w14:paraId="664E5AC4" w14:textId="0D573D3A" w:rsidR="00486D37" w:rsidRDefault="00D43A30">
          <w:pPr>
            <w:pStyle w:val="TOC3"/>
            <w:tabs>
              <w:tab w:val="right" w:leader="dot" w:pos="9016"/>
            </w:tabs>
            <w:rPr>
              <w:rFonts w:eastAsiaTheme="minorEastAsia"/>
              <w:noProof/>
              <w:lang w:eastAsia="en-AU"/>
            </w:rPr>
          </w:pPr>
          <w:hyperlink w:anchor="_Toc96435331" w:history="1">
            <w:r w:rsidR="00486D37" w:rsidRPr="008B0F78">
              <w:rPr>
                <w:rStyle w:val="Hyperlink"/>
                <w:noProof/>
              </w:rPr>
              <w:t>3.5 Relevance</w:t>
            </w:r>
            <w:r w:rsidR="00486D37">
              <w:rPr>
                <w:noProof/>
                <w:webHidden/>
              </w:rPr>
              <w:tab/>
            </w:r>
            <w:r w:rsidR="00486D37">
              <w:rPr>
                <w:noProof/>
                <w:webHidden/>
              </w:rPr>
              <w:fldChar w:fldCharType="begin"/>
            </w:r>
            <w:r w:rsidR="00486D37">
              <w:rPr>
                <w:noProof/>
                <w:webHidden/>
              </w:rPr>
              <w:instrText xml:space="preserve"> PAGEREF _Toc96435331 \h </w:instrText>
            </w:r>
            <w:r w:rsidR="00486D37">
              <w:rPr>
                <w:noProof/>
                <w:webHidden/>
              </w:rPr>
            </w:r>
            <w:r w:rsidR="00486D37">
              <w:rPr>
                <w:noProof/>
                <w:webHidden/>
              </w:rPr>
              <w:fldChar w:fldCharType="separate"/>
            </w:r>
            <w:r w:rsidR="00486D37">
              <w:rPr>
                <w:noProof/>
                <w:webHidden/>
              </w:rPr>
              <w:t>16</w:t>
            </w:r>
            <w:r w:rsidR="00486D37">
              <w:rPr>
                <w:noProof/>
                <w:webHidden/>
              </w:rPr>
              <w:fldChar w:fldCharType="end"/>
            </w:r>
          </w:hyperlink>
        </w:p>
        <w:p w14:paraId="66FCFD3F" w14:textId="7F1BA8A3" w:rsidR="00486D37" w:rsidRDefault="00D43A30">
          <w:pPr>
            <w:pStyle w:val="TOC3"/>
            <w:tabs>
              <w:tab w:val="right" w:leader="dot" w:pos="9016"/>
            </w:tabs>
            <w:rPr>
              <w:rFonts w:eastAsiaTheme="minorEastAsia"/>
              <w:noProof/>
              <w:lang w:eastAsia="en-AU"/>
            </w:rPr>
          </w:pPr>
          <w:hyperlink w:anchor="_Toc96435332" w:history="1">
            <w:r w:rsidR="00486D37" w:rsidRPr="008B0F78">
              <w:rPr>
                <w:rStyle w:val="Hyperlink"/>
                <w:noProof/>
              </w:rPr>
              <w:t>3.6 Monitoring and Evaluation</w:t>
            </w:r>
            <w:r w:rsidR="00486D37">
              <w:rPr>
                <w:noProof/>
                <w:webHidden/>
              </w:rPr>
              <w:tab/>
            </w:r>
            <w:r w:rsidR="00486D37">
              <w:rPr>
                <w:noProof/>
                <w:webHidden/>
              </w:rPr>
              <w:fldChar w:fldCharType="begin"/>
            </w:r>
            <w:r w:rsidR="00486D37">
              <w:rPr>
                <w:noProof/>
                <w:webHidden/>
              </w:rPr>
              <w:instrText xml:space="preserve"> PAGEREF _Toc96435332 \h </w:instrText>
            </w:r>
            <w:r w:rsidR="00486D37">
              <w:rPr>
                <w:noProof/>
                <w:webHidden/>
              </w:rPr>
            </w:r>
            <w:r w:rsidR="00486D37">
              <w:rPr>
                <w:noProof/>
                <w:webHidden/>
              </w:rPr>
              <w:fldChar w:fldCharType="separate"/>
            </w:r>
            <w:r w:rsidR="00486D37">
              <w:rPr>
                <w:noProof/>
                <w:webHidden/>
              </w:rPr>
              <w:t>18</w:t>
            </w:r>
            <w:r w:rsidR="00486D37">
              <w:rPr>
                <w:noProof/>
                <w:webHidden/>
              </w:rPr>
              <w:fldChar w:fldCharType="end"/>
            </w:r>
          </w:hyperlink>
        </w:p>
        <w:p w14:paraId="128C573F" w14:textId="3C459FB3" w:rsidR="00486D37" w:rsidRDefault="00D43A30">
          <w:pPr>
            <w:pStyle w:val="TOC3"/>
            <w:tabs>
              <w:tab w:val="right" w:leader="dot" w:pos="9016"/>
            </w:tabs>
            <w:rPr>
              <w:rFonts w:eastAsiaTheme="minorEastAsia"/>
              <w:noProof/>
              <w:lang w:eastAsia="en-AU"/>
            </w:rPr>
          </w:pPr>
          <w:hyperlink w:anchor="_Toc96435333" w:history="1">
            <w:r w:rsidR="00486D37" w:rsidRPr="008B0F78">
              <w:rPr>
                <w:rStyle w:val="Hyperlink"/>
                <w:noProof/>
              </w:rPr>
              <w:t>3.7 Sustainability</w:t>
            </w:r>
            <w:r w:rsidR="00486D37">
              <w:rPr>
                <w:noProof/>
                <w:webHidden/>
              </w:rPr>
              <w:tab/>
            </w:r>
            <w:r w:rsidR="00486D37">
              <w:rPr>
                <w:noProof/>
                <w:webHidden/>
              </w:rPr>
              <w:fldChar w:fldCharType="begin"/>
            </w:r>
            <w:r w:rsidR="00486D37">
              <w:rPr>
                <w:noProof/>
                <w:webHidden/>
              </w:rPr>
              <w:instrText xml:space="preserve"> PAGEREF _Toc96435333 \h </w:instrText>
            </w:r>
            <w:r w:rsidR="00486D37">
              <w:rPr>
                <w:noProof/>
                <w:webHidden/>
              </w:rPr>
            </w:r>
            <w:r w:rsidR="00486D37">
              <w:rPr>
                <w:noProof/>
                <w:webHidden/>
              </w:rPr>
              <w:fldChar w:fldCharType="separate"/>
            </w:r>
            <w:r w:rsidR="00486D37">
              <w:rPr>
                <w:noProof/>
                <w:webHidden/>
              </w:rPr>
              <w:t>21</w:t>
            </w:r>
            <w:r w:rsidR="00486D37">
              <w:rPr>
                <w:noProof/>
                <w:webHidden/>
              </w:rPr>
              <w:fldChar w:fldCharType="end"/>
            </w:r>
          </w:hyperlink>
        </w:p>
        <w:p w14:paraId="2CFBBAF1" w14:textId="5C52659F" w:rsidR="00486D37" w:rsidRDefault="00D43A30">
          <w:pPr>
            <w:pStyle w:val="TOC2"/>
            <w:tabs>
              <w:tab w:val="left" w:pos="660"/>
              <w:tab w:val="right" w:leader="dot" w:pos="9016"/>
            </w:tabs>
            <w:rPr>
              <w:rFonts w:eastAsiaTheme="minorEastAsia"/>
              <w:noProof/>
              <w:lang w:eastAsia="en-AU"/>
            </w:rPr>
          </w:pPr>
          <w:hyperlink w:anchor="_Toc96435334" w:history="1">
            <w:r w:rsidR="00486D37" w:rsidRPr="008B0F78">
              <w:rPr>
                <w:rStyle w:val="Hyperlink"/>
                <w:noProof/>
              </w:rPr>
              <w:t>4</w:t>
            </w:r>
            <w:r w:rsidR="00486D37">
              <w:rPr>
                <w:rFonts w:eastAsiaTheme="minorEastAsia"/>
                <w:noProof/>
                <w:lang w:eastAsia="en-AU"/>
              </w:rPr>
              <w:tab/>
            </w:r>
            <w:r w:rsidR="00486D37" w:rsidRPr="008B0F78">
              <w:rPr>
                <w:rStyle w:val="Hyperlink"/>
                <w:noProof/>
              </w:rPr>
              <w:t>Lessons Learned</w:t>
            </w:r>
            <w:r w:rsidR="00486D37">
              <w:rPr>
                <w:noProof/>
                <w:webHidden/>
              </w:rPr>
              <w:tab/>
            </w:r>
            <w:r w:rsidR="00486D37">
              <w:rPr>
                <w:noProof/>
                <w:webHidden/>
              </w:rPr>
              <w:fldChar w:fldCharType="begin"/>
            </w:r>
            <w:r w:rsidR="00486D37">
              <w:rPr>
                <w:noProof/>
                <w:webHidden/>
              </w:rPr>
              <w:instrText xml:space="preserve"> PAGEREF _Toc96435334 \h </w:instrText>
            </w:r>
            <w:r w:rsidR="00486D37">
              <w:rPr>
                <w:noProof/>
                <w:webHidden/>
              </w:rPr>
            </w:r>
            <w:r w:rsidR="00486D37">
              <w:rPr>
                <w:noProof/>
                <w:webHidden/>
              </w:rPr>
              <w:fldChar w:fldCharType="separate"/>
            </w:r>
            <w:r w:rsidR="00486D37">
              <w:rPr>
                <w:noProof/>
                <w:webHidden/>
              </w:rPr>
              <w:t>23</w:t>
            </w:r>
            <w:r w:rsidR="00486D37">
              <w:rPr>
                <w:noProof/>
                <w:webHidden/>
              </w:rPr>
              <w:fldChar w:fldCharType="end"/>
            </w:r>
          </w:hyperlink>
        </w:p>
        <w:p w14:paraId="503F8C16" w14:textId="7F3F1EF5" w:rsidR="00486D37" w:rsidRDefault="00D43A30">
          <w:pPr>
            <w:pStyle w:val="TOC2"/>
            <w:tabs>
              <w:tab w:val="left" w:pos="660"/>
              <w:tab w:val="right" w:leader="dot" w:pos="9016"/>
            </w:tabs>
            <w:rPr>
              <w:rFonts w:eastAsiaTheme="minorEastAsia"/>
              <w:noProof/>
              <w:lang w:eastAsia="en-AU"/>
            </w:rPr>
          </w:pPr>
          <w:hyperlink w:anchor="_Toc96435335" w:history="1">
            <w:r w:rsidR="00486D37" w:rsidRPr="008B0F78">
              <w:rPr>
                <w:rStyle w:val="Hyperlink"/>
                <w:noProof/>
              </w:rPr>
              <w:t>5</w:t>
            </w:r>
            <w:r w:rsidR="00486D37">
              <w:rPr>
                <w:rFonts w:eastAsiaTheme="minorEastAsia"/>
                <w:noProof/>
                <w:lang w:eastAsia="en-AU"/>
              </w:rPr>
              <w:tab/>
            </w:r>
            <w:r w:rsidR="00486D37" w:rsidRPr="008B0F78">
              <w:rPr>
                <w:rStyle w:val="Hyperlink"/>
                <w:noProof/>
              </w:rPr>
              <w:t>Recommendations</w:t>
            </w:r>
            <w:r w:rsidR="00486D37">
              <w:rPr>
                <w:noProof/>
                <w:webHidden/>
              </w:rPr>
              <w:tab/>
            </w:r>
            <w:r w:rsidR="00486D37">
              <w:rPr>
                <w:noProof/>
                <w:webHidden/>
              </w:rPr>
              <w:fldChar w:fldCharType="begin"/>
            </w:r>
            <w:r w:rsidR="00486D37">
              <w:rPr>
                <w:noProof/>
                <w:webHidden/>
              </w:rPr>
              <w:instrText xml:space="preserve"> PAGEREF _Toc96435335 \h </w:instrText>
            </w:r>
            <w:r w:rsidR="00486D37">
              <w:rPr>
                <w:noProof/>
                <w:webHidden/>
              </w:rPr>
            </w:r>
            <w:r w:rsidR="00486D37">
              <w:rPr>
                <w:noProof/>
                <w:webHidden/>
              </w:rPr>
              <w:fldChar w:fldCharType="separate"/>
            </w:r>
            <w:r w:rsidR="00486D37">
              <w:rPr>
                <w:noProof/>
                <w:webHidden/>
              </w:rPr>
              <w:t>25</w:t>
            </w:r>
            <w:r w:rsidR="00486D37">
              <w:rPr>
                <w:noProof/>
                <w:webHidden/>
              </w:rPr>
              <w:fldChar w:fldCharType="end"/>
            </w:r>
          </w:hyperlink>
        </w:p>
        <w:p w14:paraId="30EE0E58" w14:textId="52104147" w:rsidR="00486D37" w:rsidRDefault="00D43A30">
          <w:pPr>
            <w:pStyle w:val="TOC2"/>
            <w:tabs>
              <w:tab w:val="left" w:pos="660"/>
              <w:tab w:val="right" w:leader="dot" w:pos="9016"/>
            </w:tabs>
            <w:rPr>
              <w:rFonts w:eastAsiaTheme="minorEastAsia"/>
              <w:noProof/>
              <w:lang w:eastAsia="en-AU"/>
            </w:rPr>
          </w:pPr>
          <w:hyperlink w:anchor="_Toc96435336" w:history="1">
            <w:r w:rsidR="00486D37" w:rsidRPr="008B0F78">
              <w:rPr>
                <w:rStyle w:val="Hyperlink"/>
                <w:noProof/>
              </w:rPr>
              <w:t>6</w:t>
            </w:r>
            <w:r w:rsidR="00486D37">
              <w:rPr>
                <w:rFonts w:eastAsiaTheme="minorEastAsia"/>
                <w:noProof/>
                <w:lang w:eastAsia="en-AU"/>
              </w:rPr>
              <w:tab/>
            </w:r>
            <w:r w:rsidR="00486D37" w:rsidRPr="008B0F78">
              <w:rPr>
                <w:rStyle w:val="Hyperlink"/>
                <w:noProof/>
              </w:rPr>
              <w:t>Conclusion</w:t>
            </w:r>
            <w:r w:rsidR="00486D37">
              <w:rPr>
                <w:noProof/>
                <w:webHidden/>
              </w:rPr>
              <w:tab/>
            </w:r>
            <w:r w:rsidR="00486D37">
              <w:rPr>
                <w:noProof/>
                <w:webHidden/>
              </w:rPr>
              <w:fldChar w:fldCharType="begin"/>
            </w:r>
            <w:r w:rsidR="00486D37">
              <w:rPr>
                <w:noProof/>
                <w:webHidden/>
              </w:rPr>
              <w:instrText xml:space="preserve"> PAGEREF _Toc96435336 \h </w:instrText>
            </w:r>
            <w:r w:rsidR="00486D37">
              <w:rPr>
                <w:noProof/>
                <w:webHidden/>
              </w:rPr>
            </w:r>
            <w:r w:rsidR="00486D37">
              <w:rPr>
                <w:noProof/>
                <w:webHidden/>
              </w:rPr>
              <w:fldChar w:fldCharType="separate"/>
            </w:r>
            <w:r w:rsidR="00486D37">
              <w:rPr>
                <w:noProof/>
                <w:webHidden/>
              </w:rPr>
              <w:t>27</w:t>
            </w:r>
            <w:r w:rsidR="00486D37">
              <w:rPr>
                <w:noProof/>
                <w:webHidden/>
              </w:rPr>
              <w:fldChar w:fldCharType="end"/>
            </w:r>
          </w:hyperlink>
        </w:p>
        <w:p w14:paraId="37A92474" w14:textId="5F96CA98" w:rsidR="00486D37" w:rsidRDefault="00D43A30">
          <w:pPr>
            <w:pStyle w:val="TOC2"/>
            <w:tabs>
              <w:tab w:val="left" w:pos="660"/>
              <w:tab w:val="right" w:leader="dot" w:pos="9016"/>
            </w:tabs>
            <w:rPr>
              <w:rFonts w:eastAsiaTheme="minorEastAsia"/>
              <w:noProof/>
              <w:lang w:eastAsia="en-AU"/>
            </w:rPr>
          </w:pPr>
          <w:hyperlink w:anchor="_Toc96435337" w:history="1">
            <w:r w:rsidR="00486D37" w:rsidRPr="008B0F78">
              <w:rPr>
                <w:rStyle w:val="Hyperlink"/>
                <w:noProof/>
              </w:rPr>
              <w:t>7</w:t>
            </w:r>
            <w:r w:rsidR="00486D37">
              <w:rPr>
                <w:rFonts w:eastAsiaTheme="minorEastAsia"/>
                <w:noProof/>
                <w:lang w:eastAsia="en-AU"/>
              </w:rPr>
              <w:tab/>
            </w:r>
            <w:r w:rsidR="00486D37" w:rsidRPr="008B0F78">
              <w:rPr>
                <w:rStyle w:val="Hyperlink"/>
                <w:noProof/>
              </w:rPr>
              <w:t>Annexes</w:t>
            </w:r>
            <w:r w:rsidR="00486D37">
              <w:rPr>
                <w:noProof/>
                <w:webHidden/>
              </w:rPr>
              <w:tab/>
            </w:r>
            <w:r w:rsidR="00486D37">
              <w:rPr>
                <w:noProof/>
                <w:webHidden/>
              </w:rPr>
              <w:fldChar w:fldCharType="begin"/>
            </w:r>
            <w:r w:rsidR="00486D37">
              <w:rPr>
                <w:noProof/>
                <w:webHidden/>
              </w:rPr>
              <w:instrText xml:space="preserve"> PAGEREF _Toc96435337 \h </w:instrText>
            </w:r>
            <w:r w:rsidR="00486D37">
              <w:rPr>
                <w:noProof/>
                <w:webHidden/>
              </w:rPr>
            </w:r>
            <w:r w:rsidR="00486D37">
              <w:rPr>
                <w:noProof/>
                <w:webHidden/>
              </w:rPr>
              <w:fldChar w:fldCharType="separate"/>
            </w:r>
            <w:r w:rsidR="00486D37">
              <w:rPr>
                <w:noProof/>
                <w:webHidden/>
              </w:rPr>
              <w:t>28</w:t>
            </w:r>
            <w:r w:rsidR="00486D37">
              <w:rPr>
                <w:noProof/>
                <w:webHidden/>
              </w:rPr>
              <w:fldChar w:fldCharType="end"/>
            </w:r>
          </w:hyperlink>
        </w:p>
        <w:p w14:paraId="6EE851DA" w14:textId="1588971F" w:rsidR="00486D37" w:rsidRDefault="00D43A30">
          <w:pPr>
            <w:pStyle w:val="TOC3"/>
            <w:tabs>
              <w:tab w:val="right" w:leader="dot" w:pos="9016"/>
            </w:tabs>
            <w:rPr>
              <w:rFonts w:eastAsiaTheme="minorEastAsia"/>
              <w:noProof/>
              <w:lang w:eastAsia="en-AU"/>
            </w:rPr>
          </w:pPr>
          <w:hyperlink w:anchor="_Toc96435338" w:history="1">
            <w:r w:rsidR="00486D37" w:rsidRPr="008B0F78">
              <w:rPr>
                <w:rStyle w:val="Hyperlink"/>
                <w:noProof/>
              </w:rPr>
              <w:t>Annex 1: Timeline</w:t>
            </w:r>
            <w:r w:rsidR="00486D37">
              <w:rPr>
                <w:noProof/>
                <w:webHidden/>
              </w:rPr>
              <w:tab/>
            </w:r>
            <w:r w:rsidR="00486D37">
              <w:rPr>
                <w:noProof/>
                <w:webHidden/>
              </w:rPr>
              <w:fldChar w:fldCharType="begin"/>
            </w:r>
            <w:r w:rsidR="00486D37">
              <w:rPr>
                <w:noProof/>
                <w:webHidden/>
              </w:rPr>
              <w:instrText xml:space="preserve"> PAGEREF _Toc96435338 \h </w:instrText>
            </w:r>
            <w:r w:rsidR="00486D37">
              <w:rPr>
                <w:noProof/>
                <w:webHidden/>
              </w:rPr>
            </w:r>
            <w:r w:rsidR="00486D37">
              <w:rPr>
                <w:noProof/>
                <w:webHidden/>
              </w:rPr>
              <w:fldChar w:fldCharType="separate"/>
            </w:r>
            <w:r w:rsidR="00486D37">
              <w:rPr>
                <w:noProof/>
                <w:webHidden/>
              </w:rPr>
              <w:t>28</w:t>
            </w:r>
            <w:r w:rsidR="00486D37">
              <w:rPr>
                <w:noProof/>
                <w:webHidden/>
              </w:rPr>
              <w:fldChar w:fldCharType="end"/>
            </w:r>
          </w:hyperlink>
        </w:p>
        <w:p w14:paraId="6198FE9F" w14:textId="7FA38B85" w:rsidR="00486D37" w:rsidRDefault="00D43A30">
          <w:pPr>
            <w:pStyle w:val="TOC3"/>
            <w:tabs>
              <w:tab w:val="right" w:leader="dot" w:pos="9016"/>
            </w:tabs>
            <w:rPr>
              <w:rFonts w:eastAsiaTheme="minorEastAsia"/>
              <w:noProof/>
              <w:lang w:eastAsia="en-AU"/>
            </w:rPr>
          </w:pPr>
          <w:hyperlink w:anchor="_Toc96435339" w:history="1">
            <w:r w:rsidR="00486D37" w:rsidRPr="008B0F78">
              <w:rPr>
                <w:rStyle w:val="Hyperlink"/>
                <w:noProof/>
              </w:rPr>
              <w:t>Annex 2: Results Charts</w:t>
            </w:r>
            <w:r w:rsidR="00486D37">
              <w:rPr>
                <w:noProof/>
                <w:webHidden/>
              </w:rPr>
              <w:tab/>
            </w:r>
            <w:r w:rsidR="00486D37">
              <w:rPr>
                <w:noProof/>
                <w:webHidden/>
              </w:rPr>
              <w:fldChar w:fldCharType="begin"/>
            </w:r>
            <w:r w:rsidR="00486D37">
              <w:rPr>
                <w:noProof/>
                <w:webHidden/>
              </w:rPr>
              <w:instrText xml:space="preserve"> PAGEREF _Toc96435339 \h </w:instrText>
            </w:r>
            <w:r w:rsidR="00486D37">
              <w:rPr>
                <w:noProof/>
                <w:webHidden/>
              </w:rPr>
            </w:r>
            <w:r w:rsidR="00486D37">
              <w:rPr>
                <w:noProof/>
                <w:webHidden/>
              </w:rPr>
              <w:fldChar w:fldCharType="separate"/>
            </w:r>
            <w:r w:rsidR="00486D37">
              <w:rPr>
                <w:noProof/>
                <w:webHidden/>
              </w:rPr>
              <w:t>29</w:t>
            </w:r>
            <w:r w:rsidR="00486D37">
              <w:rPr>
                <w:noProof/>
                <w:webHidden/>
              </w:rPr>
              <w:fldChar w:fldCharType="end"/>
            </w:r>
          </w:hyperlink>
        </w:p>
        <w:p w14:paraId="456CFF4A" w14:textId="6EEC4B2A" w:rsidR="00486D37" w:rsidRDefault="00D43A30">
          <w:pPr>
            <w:pStyle w:val="TOC3"/>
            <w:tabs>
              <w:tab w:val="right" w:leader="dot" w:pos="9016"/>
            </w:tabs>
            <w:rPr>
              <w:rFonts w:eastAsiaTheme="minorEastAsia"/>
              <w:noProof/>
              <w:lang w:eastAsia="en-AU"/>
            </w:rPr>
          </w:pPr>
          <w:hyperlink w:anchor="_Toc96435340" w:history="1">
            <w:r w:rsidR="00486D37" w:rsidRPr="008B0F78">
              <w:rPr>
                <w:rStyle w:val="Hyperlink"/>
                <w:noProof/>
              </w:rPr>
              <w:t>Annex 3: Project Development and Monitoring Facility (PDMF) data</w:t>
            </w:r>
            <w:r w:rsidR="00486D37">
              <w:rPr>
                <w:noProof/>
                <w:webHidden/>
              </w:rPr>
              <w:tab/>
            </w:r>
            <w:r w:rsidR="00486D37">
              <w:rPr>
                <w:noProof/>
                <w:webHidden/>
              </w:rPr>
              <w:fldChar w:fldCharType="begin"/>
            </w:r>
            <w:r w:rsidR="00486D37">
              <w:rPr>
                <w:noProof/>
                <w:webHidden/>
              </w:rPr>
              <w:instrText xml:space="preserve"> PAGEREF _Toc96435340 \h </w:instrText>
            </w:r>
            <w:r w:rsidR="00486D37">
              <w:rPr>
                <w:noProof/>
                <w:webHidden/>
              </w:rPr>
            </w:r>
            <w:r w:rsidR="00486D37">
              <w:rPr>
                <w:noProof/>
                <w:webHidden/>
              </w:rPr>
              <w:fldChar w:fldCharType="separate"/>
            </w:r>
            <w:r w:rsidR="00486D37">
              <w:rPr>
                <w:noProof/>
                <w:webHidden/>
              </w:rPr>
              <w:t>32</w:t>
            </w:r>
            <w:r w:rsidR="00486D37">
              <w:rPr>
                <w:noProof/>
                <w:webHidden/>
              </w:rPr>
              <w:fldChar w:fldCharType="end"/>
            </w:r>
          </w:hyperlink>
        </w:p>
        <w:p w14:paraId="018A9872" w14:textId="772F709E" w:rsidR="00486D37" w:rsidRDefault="00D43A30">
          <w:pPr>
            <w:pStyle w:val="TOC3"/>
            <w:tabs>
              <w:tab w:val="right" w:leader="dot" w:pos="9016"/>
            </w:tabs>
            <w:rPr>
              <w:rFonts w:eastAsiaTheme="minorEastAsia"/>
              <w:noProof/>
              <w:lang w:eastAsia="en-AU"/>
            </w:rPr>
          </w:pPr>
          <w:hyperlink w:anchor="_Toc96435341" w:history="1">
            <w:r w:rsidR="00486D37" w:rsidRPr="008B0F78">
              <w:rPr>
                <w:rStyle w:val="Hyperlink"/>
                <w:noProof/>
              </w:rPr>
              <w:t>Annex 4: Methodology</w:t>
            </w:r>
            <w:r w:rsidR="00486D37">
              <w:rPr>
                <w:noProof/>
                <w:webHidden/>
              </w:rPr>
              <w:tab/>
            </w:r>
            <w:r w:rsidR="00486D37">
              <w:rPr>
                <w:noProof/>
                <w:webHidden/>
              </w:rPr>
              <w:fldChar w:fldCharType="begin"/>
            </w:r>
            <w:r w:rsidR="00486D37">
              <w:rPr>
                <w:noProof/>
                <w:webHidden/>
              </w:rPr>
              <w:instrText xml:space="preserve"> PAGEREF _Toc96435341 \h </w:instrText>
            </w:r>
            <w:r w:rsidR="00486D37">
              <w:rPr>
                <w:noProof/>
                <w:webHidden/>
              </w:rPr>
            </w:r>
            <w:r w:rsidR="00486D37">
              <w:rPr>
                <w:noProof/>
                <w:webHidden/>
              </w:rPr>
              <w:fldChar w:fldCharType="separate"/>
            </w:r>
            <w:r w:rsidR="00486D37">
              <w:rPr>
                <w:noProof/>
                <w:webHidden/>
              </w:rPr>
              <w:t>44</w:t>
            </w:r>
            <w:r w:rsidR="00486D37">
              <w:rPr>
                <w:noProof/>
                <w:webHidden/>
              </w:rPr>
              <w:fldChar w:fldCharType="end"/>
            </w:r>
          </w:hyperlink>
        </w:p>
        <w:p w14:paraId="702097BD" w14:textId="3D0709BB" w:rsidR="004071A2" w:rsidRDefault="004071A2" w:rsidP="00021D43">
          <w:pPr>
            <w:spacing w:line="240" w:lineRule="auto"/>
          </w:pPr>
          <w:r>
            <w:rPr>
              <w:b/>
              <w:bCs/>
              <w:noProof/>
            </w:rPr>
            <w:fldChar w:fldCharType="end"/>
          </w:r>
        </w:p>
      </w:sdtContent>
    </w:sdt>
    <w:p w14:paraId="5BA04726" w14:textId="3E3B8DF7" w:rsidR="00F77EB4" w:rsidRDefault="002F744B" w:rsidP="00021D43">
      <w:pPr>
        <w:spacing w:line="240" w:lineRule="auto"/>
        <w:sectPr w:rsidR="00F77EB4" w:rsidSect="008801FC">
          <w:footerReference w:type="default" r:id="rId11"/>
          <w:pgSz w:w="11906" w:h="16838"/>
          <w:pgMar w:top="1440" w:right="1440" w:bottom="1440" w:left="1440" w:header="708" w:footer="708" w:gutter="0"/>
          <w:pgNumType w:fmt="lowerRoman"/>
          <w:cols w:space="708"/>
          <w:docGrid w:linePitch="360"/>
        </w:sectPr>
      </w:pPr>
      <w:r>
        <w:br w:type="page"/>
      </w:r>
    </w:p>
    <w:p w14:paraId="37CA6116" w14:textId="77777777" w:rsidR="00BF7C54" w:rsidRPr="00BF7C54" w:rsidRDefault="00BF7C54" w:rsidP="00F2226C">
      <w:pPr>
        <w:pStyle w:val="Heading20"/>
      </w:pPr>
      <w:bookmarkStart w:id="29" w:name="_Toc96435320"/>
      <w:bookmarkStart w:id="30" w:name="_Toc423711120"/>
      <w:bookmarkStart w:id="31" w:name="_Toc2772937"/>
      <w:bookmarkStart w:id="32" w:name="_Hlk66344075"/>
      <w:r w:rsidRPr="00BF7C54">
        <w:lastRenderedPageBreak/>
        <w:t>1</w:t>
      </w:r>
      <w:r w:rsidRPr="00BF7C54">
        <w:tab/>
        <w:t>Purpose</w:t>
      </w:r>
      <w:bookmarkEnd w:id="29"/>
      <w:r w:rsidRPr="00BF7C54">
        <w:t xml:space="preserve"> </w:t>
      </w:r>
    </w:p>
    <w:bookmarkEnd w:id="30"/>
    <w:bookmarkEnd w:id="31"/>
    <w:p w14:paraId="68FB4108" w14:textId="77777777" w:rsidR="00F605D1" w:rsidRDefault="00825539" w:rsidP="00021D43">
      <w:pPr>
        <w:spacing w:line="240" w:lineRule="auto"/>
        <w:rPr>
          <w:rFonts w:ascii="Calibri" w:eastAsia="Calibri" w:hAnsi="Calibri" w:cs="Times New Roman"/>
        </w:rPr>
      </w:pPr>
      <w:r w:rsidRPr="003B4CDA">
        <w:rPr>
          <w:rFonts w:ascii="Calibri" w:eastAsia="Calibri" w:hAnsi="Calibri" w:cs="Times New Roman"/>
        </w:rPr>
        <w:t xml:space="preserve">The purpose of this report is to present the findings and recommendations of </w:t>
      </w:r>
      <w:bookmarkStart w:id="33" w:name="_Hlk90864058"/>
      <w:r w:rsidR="00A620DB">
        <w:rPr>
          <w:rFonts w:ascii="Calibri" w:eastAsia="Calibri" w:hAnsi="Calibri" w:cs="Times New Roman"/>
        </w:rPr>
        <w:t>the</w:t>
      </w:r>
      <w:r w:rsidRPr="003B4CDA">
        <w:rPr>
          <w:rFonts w:ascii="Calibri" w:eastAsia="Calibri" w:hAnsi="Calibri" w:cs="Times New Roman"/>
        </w:rPr>
        <w:t xml:space="preserve"> independent </w:t>
      </w:r>
      <w:r>
        <w:rPr>
          <w:rFonts w:ascii="Calibri" w:eastAsia="Calibri" w:hAnsi="Calibri" w:cs="Times New Roman"/>
        </w:rPr>
        <w:t xml:space="preserve">evaluation of </w:t>
      </w:r>
      <w:bookmarkEnd w:id="32"/>
      <w:r>
        <w:rPr>
          <w:rFonts w:ascii="Calibri" w:eastAsia="Calibri" w:hAnsi="Calibri" w:cs="Times New Roman"/>
        </w:rPr>
        <w:t>the</w:t>
      </w:r>
      <w:r w:rsidR="00CE7128">
        <w:rPr>
          <w:rFonts w:ascii="Calibri" w:eastAsia="Calibri" w:hAnsi="Calibri" w:cs="Times New Roman"/>
        </w:rPr>
        <w:t xml:space="preserve"> </w:t>
      </w:r>
      <w:r w:rsidR="00CE7128" w:rsidRPr="00CE7128">
        <w:rPr>
          <w:rFonts w:ascii="Calibri" w:eastAsia="Calibri" w:hAnsi="Calibri" w:cs="Times New Roman"/>
        </w:rPr>
        <w:t>Technical Assistance</w:t>
      </w:r>
      <w:r w:rsidR="00CE7128">
        <w:rPr>
          <w:rFonts w:ascii="Calibri" w:eastAsia="Calibri" w:hAnsi="Calibri" w:cs="Times New Roman"/>
        </w:rPr>
        <w:t xml:space="preserve"> (TA)</w:t>
      </w:r>
      <w:r w:rsidR="00CE7128" w:rsidRPr="00CE7128">
        <w:rPr>
          <w:rFonts w:ascii="Calibri" w:eastAsia="Calibri" w:hAnsi="Calibri" w:cs="Times New Roman"/>
        </w:rPr>
        <w:t xml:space="preserve"> on Strengthening Public</w:t>
      </w:r>
      <w:r w:rsidR="00465CBE">
        <w:rPr>
          <w:rFonts w:ascii="Calibri" w:eastAsia="Calibri" w:hAnsi="Calibri" w:cs="Times New Roman"/>
        </w:rPr>
        <w:t>-</w:t>
      </w:r>
      <w:r w:rsidR="00CE7128" w:rsidRPr="00CE7128">
        <w:rPr>
          <w:rFonts w:ascii="Calibri" w:eastAsia="Calibri" w:hAnsi="Calibri" w:cs="Times New Roman"/>
        </w:rPr>
        <w:t>Private Partnerships</w:t>
      </w:r>
      <w:r w:rsidR="00CE7128">
        <w:rPr>
          <w:rFonts w:ascii="Calibri" w:eastAsia="Calibri" w:hAnsi="Calibri" w:cs="Times New Roman"/>
        </w:rPr>
        <w:t xml:space="preserve"> (PPP)</w:t>
      </w:r>
      <w:r w:rsidR="00CE7128" w:rsidRPr="00CE7128">
        <w:rPr>
          <w:rFonts w:ascii="Calibri" w:eastAsia="Calibri" w:hAnsi="Calibri" w:cs="Times New Roman"/>
        </w:rPr>
        <w:t xml:space="preserve"> in the Philippines (2011-2021)</w:t>
      </w:r>
      <w:r w:rsidR="00CE7128">
        <w:rPr>
          <w:rFonts w:ascii="Calibri" w:eastAsia="Calibri" w:hAnsi="Calibri" w:cs="Times New Roman"/>
        </w:rPr>
        <w:t>.</w:t>
      </w:r>
      <w:bookmarkEnd w:id="33"/>
      <w:r w:rsidR="00CE7128">
        <w:rPr>
          <w:rFonts w:ascii="Calibri" w:eastAsia="Calibri" w:hAnsi="Calibri" w:cs="Times New Roman"/>
        </w:rPr>
        <w:t xml:space="preserve"> </w:t>
      </w:r>
      <w:r w:rsidR="00CE7128" w:rsidRPr="00CE7128">
        <w:rPr>
          <w:rFonts w:ascii="Calibri" w:eastAsia="Calibri" w:hAnsi="Calibri" w:cs="Times New Roman"/>
        </w:rPr>
        <w:t>The Program is referred to as ‘TA’ throughout this document.</w:t>
      </w:r>
      <w:r w:rsidR="00CE7128">
        <w:rPr>
          <w:rFonts w:ascii="Calibri" w:eastAsia="Calibri" w:hAnsi="Calibri" w:cs="Times New Roman"/>
        </w:rPr>
        <w:t xml:space="preserve"> </w:t>
      </w:r>
      <w:r w:rsidR="004D12AB">
        <w:rPr>
          <w:rFonts w:ascii="Calibri" w:eastAsia="Calibri" w:hAnsi="Calibri" w:cs="Times New Roman"/>
        </w:rPr>
        <w:t xml:space="preserve">This is distinct from the ‘PPP Program’, which refers to the national Philippines PPP Program supported </w:t>
      </w:r>
      <w:r w:rsidR="00962F60">
        <w:rPr>
          <w:rFonts w:ascii="Calibri" w:eastAsia="Calibri" w:hAnsi="Calibri" w:cs="Times New Roman"/>
        </w:rPr>
        <w:t>by</w:t>
      </w:r>
      <w:r w:rsidR="004D12AB">
        <w:rPr>
          <w:rFonts w:ascii="Calibri" w:eastAsia="Calibri" w:hAnsi="Calibri" w:cs="Times New Roman"/>
        </w:rPr>
        <w:t xml:space="preserve"> the TA</w:t>
      </w:r>
      <w:r w:rsidR="00692158">
        <w:rPr>
          <w:rFonts w:ascii="Calibri" w:eastAsia="Calibri" w:hAnsi="Calibri" w:cs="Times New Roman"/>
        </w:rPr>
        <w:t xml:space="preserve"> and administer</w:t>
      </w:r>
      <w:r w:rsidR="00B45865">
        <w:rPr>
          <w:rFonts w:ascii="Calibri" w:eastAsia="Calibri" w:hAnsi="Calibri" w:cs="Times New Roman"/>
        </w:rPr>
        <w:t>ed</w:t>
      </w:r>
      <w:r w:rsidR="00692158">
        <w:rPr>
          <w:rFonts w:ascii="Calibri" w:eastAsia="Calibri" w:hAnsi="Calibri" w:cs="Times New Roman"/>
        </w:rPr>
        <w:t xml:space="preserve"> by the Asian Development Bank (ADB)</w:t>
      </w:r>
      <w:r w:rsidR="004D12AB">
        <w:rPr>
          <w:rFonts w:ascii="Calibri" w:eastAsia="Calibri" w:hAnsi="Calibri" w:cs="Times New Roman"/>
        </w:rPr>
        <w:t xml:space="preserve">. </w:t>
      </w:r>
    </w:p>
    <w:p w14:paraId="229A4D7D" w14:textId="5B33B031" w:rsidR="00825539" w:rsidRPr="004D12AB" w:rsidRDefault="00825539" w:rsidP="00021D43">
      <w:pPr>
        <w:spacing w:line="240" w:lineRule="auto"/>
        <w:rPr>
          <w:rFonts w:ascii="Calibri" w:eastAsia="Calibri" w:hAnsi="Calibri" w:cs="Times New Roman"/>
        </w:rPr>
      </w:pPr>
      <w:r>
        <w:t xml:space="preserve">The evaluation was commissioned by the Department of Foreign Affairs and Trade (DFAT) and took place over the period from </w:t>
      </w:r>
      <w:bookmarkStart w:id="34" w:name="_Hlk66277376"/>
      <w:r w:rsidR="00CE7128">
        <w:t>28 January – 11 February 2021</w:t>
      </w:r>
      <w:bookmarkEnd w:id="34"/>
      <w:r>
        <w:t xml:space="preserve">. This evaluation </w:t>
      </w:r>
      <w:r w:rsidR="00692158">
        <w:t>was</w:t>
      </w:r>
      <w:r>
        <w:t xml:space="preserve"> undertaken by</w:t>
      </w:r>
      <w:r w:rsidR="00CE7128">
        <w:t xml:space="preserve"> a</w:t>
      </w:r>
      <w:r w:rsidR="00CE7128" w:rsidRPr="00CE7128">
        <w:t>n independent evaluator, Michelle Besley</w:t>
      </w:r>
      <w:r w:rsidR="009A4E41">
        <w:t xml:space="preserve"> of Collective Insights</w:t>
      </w:r>
      <w:r w:rsidR="00CE7128">
        <w:t>.</w:t>
      </w:r>
    </w:p>
    <w:p w14:paraId="10E47D6E" w14:textId="38D2CA0C" w:rsidR="002F744B" w:rsidRDefault="00825539" w:rsidP="00021D43">
      <w:pPr>
        <w:spacing w:after="0" w:line="240" w:lineRule="auto"/>
      </w:pPr>
      <w:bookmarkStart w:id="35" w:name="_Hlk534202346"/>
      <w:r w:rsidRPr="00B607B3">
        <w:t xml:space="preserve">The </w:t>
      </w:r>
      <w:r>
        <w:t>aim</w:t>
      </w:r>
      <w:r w:rsidRPr="00B607B3">
        <w:t xml:space="preserve"> of the </w:t>
      </w:r>
      <w:r>
        <w:t xml:space="preserve">evaluation </w:t>
      </w:r>
      <w:r w:rsidR="00692158">
        <w:t>was</w:t>
      </w:r>
      <w:r w:rsidRPr="00B607B3">
        <w:t xml:space="preserve"> to assess the effectiveness</w:t>
      </w:r>
      <w:r w:rsidR="00CE7128">
        <w:t xml:space="preserve">, efficiency, </w:t>
      </w:r>
      <w:r w:rsidRPr="00B607B3">
        <w:t>relevance</w:t>
      </w:r>
      <w:r w:rsidR="00CE7128">
        <w:t xml:space="preserve"> and sustainability</w:t>
      </w:r>
      <w:r w:rsidRPr="00B607B3">
        <w:t xml:space="preserve"> </w:t>
      </w:r>
      <w:r>
        <w:t xml:space="preserve">of the </w:t>
      </w:r>
      <w:r w:rsidR="00CE7128">
        <w:t>TA</w:t>
      </w:r>
      <w:r w:rsidR="00A66C1C">
        <w:t xml:space="preserve"> program</w:t>
      </w:r>
      <w:r w:rsidR="00816C09">
        <w:t>. It focus</w:t>
      </w:r>
      <w:r w:rsidR="00692158">
        <w:t>ed</w:t>
      </w:r>
      <w:r w:rsidR="00816C09">
        <w:t xml:space="preserve"> on assessing </w:t>
      </w:r>
      <w:r w:rsidR="00CE7128">
        <w:t xml:space="preserve">DFAT’s contribution, the effectiveness of the modality </w:t>
      </w:r>
      <w:r w:rsidR="00C3506C">
        <w:t>in</w:t>
      </w:r>
      <w:r w:rsidR="00CE7128">
        <w:t xml:space="preserve"> work</w:t>
      </w:r>
      <w:r w:rsidR="00C3506C">
        <w:t>ing</w:t>
      </w:r>
      <w:r w:rsidR="00CE7128">
        <w:t xml:space="preserve"> through a multilateral agency, and the satisfaction of partners and stakeholders.</w:t>
      </w:r>
      <w:bookmarkEnd w:id="35"/>
      <w:r w:rsidR="000F727F">
        <w:t xml:space="preserve"> </w:t>
      </w:r>
      <w:bookmarkStart w:id="36" w:name="_Hlk90864868"/>
      <w:r w:rsidRPr="00C14E6B">
        <w:t xml:space="preserve">The </w:t>
      </w:r>
      <w:r>
        <w:t>evaluation</w:t>
      </w:r>
      <w:r w:rsidRPr="00C14E6B">
        <w:t xml:space="preserve"> </w:t>
      </w:r>
      <w:r>
        <w:t>was primarily</w:t>
      </w:r>
      <w:r w:rsidRPr="00C14E6B">
        <w:t xml:space="preserve"> </w:t>
      </w:r>
      <w:r>
        <w:t xml:space="preserve">undertaken to </w:t>
      </w:r>
      <w:bookmarkStart w:id="37" w:name="_Hlk90864160"/>
      <w:r w:rsidR="00C3506C">
        <w:t xml:space="preserve">assess the TA’s performance and </w:t>
      </w:r>
      <w:r w:rsidR="00C3506C" w:rsidRPr="00D84C44">
        <w:t>provide</w:t>
      </w:r>
      <w:r w:rsidR="00C3506C">
        <w:t xml:space="preserve"> insights into how </w:t>
      </w:r>
      <w:r w:rsidR="00816C09">
        <w:t>the</w:t>
      </w:r>
      <w:r w:rsidR="00C3506C">
        <w:t xml:space="preserve"> </w:t>
      </w:r>
      <w:r w:rsidR="00816C09">
        <w:t>PPP Program</w:t>
      </w:r>
      <w:r w:rsidR="00C3506C">
        <w:t xml:space="preserve"> could be strengthened and l</w:t>
      </w:r>
      <w:r w:rsidR="00C3506C" w:rsidRPr="00400B89">
        <w:t>essons for similar programs in the future</w:t>
      </w:r>
      <w:r w:rsidR="00C3506C">
        <w:t xml:space="preserve">. It also seeks to </w:t>
      </w:r>
      <w:r w:rsidR="00CE7128" w:rsidRPr="00421762">
        <w:t>assist the Australian Embassy in Manila</w:t>
      </w:r>
      <w:r w:rsidR="00692158">
        <w:t xml:space="preserve"> (DFAT Manila)</w:t>
      </w:r>
      <w:r w:rsidR="00CE7128" w:rsidRPr="00421762">
        <w:t xml:space="preserve"> </w:t>
      </w:r>
      <w:r w:rsidR="00C3506C">
        <w:t xml:space="preserve">to </w:t>
      </w:r>
      <w:r w:rsidR="00CE7128" w:rsidRPr="00421762">
        <w:t xml:space="preserve">identify areas of </w:t>
      </w:r>
      <w:r w:rsidR="009A4E41">
        <w:t xml:space="preserve">future need in relation to PPPs in </w:t>
      </w:r>
      <w:r w:rsidR="00CE7128" w:rsidRPr="00421762">
        <w:t>the Philippines</w:t>
      </w:r>
      <w:r w:rsidR="00C3506C">
        <w:t xml:space="preserve"> </w:t>
      </w:r>
      <w:r w:rsidR="00CE7128" w:rsidRPr="00421762">
        <w:t>and infrastructure development in general</w:t>
      </w:r>
      <w:r w:rsidR="00C3506C">
        <w:t xml:space="preserve">, </w:t>
      </w:r>
      <w:r w:rsidR="00CE7128" w:rsidRPr="00421762">
        <w:t>and options for potential Australian Government support through other development cooperation activities</w:t>
      </w:r>
      <w:r w:rsidR="00CE7128">
        <w:t>.</w:t>
      </w:r>
      <w:bookmarkEnd w:id="37"/>
    </w:p>
    <w:p w14:paraId="0F871ED5" w14:textId="73F8F000" w:rsidR="002F744B" w:rsidRPr="00BF7C54" w:rsidRDefault="002021EE" w:rsidP="00F2226C">
      <w:pPr>
        <w:pStyle w:val="Heading20"/>
      </w:pPr>
      <w:bookmarkStart w:id="38" w:name="_Toc96435321"/>
      <w:bookmarkEnd w:id="36"/>
      <w:r>
        <w:t>2</w:t>
      </w:r>
      <w:r w:rsidR="002F744B" w:rsidRPr="00BF7C54">
        <w:tab/>
      </w:r>
      <w:r w:rsidR="002F744B">
        <w:t>Introduction</w:t>
      </w:r>
      <w:bookmarkEnd w:id="38"/>
      <w:r w:rsidR="002F744B" w:rsidRPr="00BF7C54">
        <w:t xml:space="preserve"> </w:t>
      </w:r>
    </w:p>
    <w:p w14:paraId="02BBF180" w14:textId="4995D39B" w:rsidR="00825539" w:rsidRPr="00493221" w:rsidRDefault="00825539" w:rsidP="00F2226C">
      <w:pPr>
        <w:pStyle w:val="Heading3"/>
      </w:pPr>
      <w:bookmarkStart w:id="39" w:name="_Toc2772939"/>
      <w:bookmarkStart w:id="40" w:name="_Toc96435322"/>
      <w:bookmarkStart w:id="41" w:name="_Toc423711122"/>
      <w:r>
        <w:t xml:space="preserve">2.1 Program </w:t>
      </w:r>
      <w:r w:rsidRPr="00F2226C">
        <w:t>overview</w:t>
      </w:r>
      <w:bookmarkEnd w:id="39"/>
      <w:bookmarkEnd w:id="40"/>
      <w:r w:rsidRPr="00493221">
        <w:t xml:space="preserve"> </w:t>
      </w:r>
      <w:bookmarkEnd w:id="41"/>
    </w:p>
    <w:p w14:paraId="4C3D6C2C" w14:textId="5DDF05F8" w:rsidR="001D61D2" w:rsidRPr="009640C9" w:rsidRDefault="00C823BB" w:rsidP="00021D43">
      <w:pPr>
        <w:spacing w:line="240" w:lineRule="auto"/>
        <w:rPr>
          <w:rFonts w:ascii="Calibri" w:eastAsia="Calibri" w:hAnsi="Calibri" w:cs="Times New Roman"/>
        </w:rPr>
      </w:pPr>
      <w:r w:rsidRPr="009640C9">
        <w:rPr>
          <w:rFonts w:ascii="Calibri" w:eastAsia="Calibri" w:hAnsi="Calibri" w:cs="Times New Roman"/>
        </w:rPr>
        <w:t xml:space="preserve">The </w:t>
      </w:r>
      <w:r w:rsidR="009A4E41">
        <w:rPr>
          <w:rFonts w:ascii="Calibri" w:eastAsia="Calibri" w:hAnsi="Calibri" w:cs="Times New Roman"/>
        </w:rPr>
        <w:t>TA</w:t>
      </w:r>
      <w:r w:rsidR="009A4E41" w:rsidRPr="009640C9">
        <w:rPr>
          <w:rFonts w:ascii="Calibri" w:eastAsia="Calibri" w:hAnsi="Calibri" w:cs="Times New Roman"/>
        </w:rPr>
        <w:t xml:space="preserve"> </w:t>
      </w:r>
      <w:r w:rsidR="00692158">
        <w:rPr>
          <w:rFonts w:ascii="Calibri" w:eastAsia="Calibri" w:hAnsi="Calibri" w:cs="Times New Roman"/>
        </w:rPr>
        <w:t>was</w:t>
      </w:r>
      <w:r w:rsidRPr="009640C9">
        <w:rPr>
          <w:rFonts w:ascii="Calibri" w:eastAsia="Calibri" w:hAnsi="Calibri" w:cs="Times New Roman"/>
        </w:rPr>
        <w:t xml:space="preserve"> partner-led, designed and </w:t>
      </w:r>
      <w:r w:rsidR="001D61D2" w:rsidRPr="009640C9">
        <w:rPr>
          <w:rFonts w:ascii="Calibri" w:eastAsia="Calibri" w:hAnsi="Calibri" w:cs="Times New Roman"/>
        </w:rPr>
        <w:t>implemented by the Asian Development Bank (ADB). The</w:t>
      </w:r>
      <w:r w:rsidR="00A66C1C">
        <w:rPr>
          <w:rFonts w:ascii="Calibri" w:eastAsia="Calibri" w:hAnsi="Calibri" w:cs="Times New Roman"/>
        </w:rPr>
        <w:t xml:space="preserve"> Philippines</w:t>
      </w:r>
      <w:r w:rsidR="001D61D2" w:rsidRPr="009640C9">
        <w:rPr>
          <w:rFonts w:ascii="Calibri" w:eastAsia="Calibri" w:hAnsi="Calibri" w:cs="Times New Roman"/>
        </w:rPr>
        <w:t xml:space="preserve"> National Economic and Development Authority (NEDA) </w:t>
      </w:r>
      <w:r w:rsidR="00692158">
        <w:rPr>
          <w:rFonts w:ascii="Calibri" w:eastAsia="Calibri" w:hAnsi="Calibri" w:cs="Times New Roman"/>
        </w:rPr>
        <w:t>was</w:t>
      </w:r>
      <w:r w:rsidR="001D61D2" w:rsidRPr="009640C9">
        <w:rPr>
          <w:rFonts w:ascii="Calibri" w:eastAsia="Calibri" w:hAnsi="Calibri" w:cs="Times New Roman"/>
        </w:rPr>
        <w:t xml:space="preserve"> the executing agency, while the PPP Center and the Department of Finance (DOF) </w:t>
      </w:r>
      <w:r w:rsidR="00692158">
        <w:rPr>
          <w:rFonts w:ascii="Calibri" w:eastAsia="Calibri" w:hAnsi="Calibri" w:cs="Times New Roman"/>
        </w:rPr>
        <w:t>were</w:t>
      </w:r>
      <w:r w:rsidR="001D61D2" w:rsidRPr="009640C9">
        <w:rPr>
          <w:rFonts w:ascii="Calibri" w:eastAsia="Calibri" w:hAnsi="Calibri" w:cs="Times New Roman"/>
        </w:rPr>
        <w:t xml:space="preserve"> the implementing agencies. </w:t>
      </w:r>
    </w:p>
    <w:p w14:paraId="1FDDE7F6" w14:textId="3363BACC" w:rsidR="001D61D2" w:rsidRPr="009640C9" w:rsidRDefault="001D61D2" w:rsidP="00021D43">
      <w:pPr>
        <w:spacing w:line="240" w:lineRule="auto"/>
        <w:rPr>
          <w:rFonts w:ascii="Calibri" w:eastAsia="Calibri" w:hAnsi="Calibri" w:cs="Times New Roman"/>
        </w:rPr>
      </w:pPr>
      <w:r w:rsidRPr="009640C9">
        <w:rPr>
          <w:rFonts w:ascii="Calibri" w:eastAsia="Calibri" w:hAnsi="Calibri" w:cs="Times New Roman"/>
        </w:rPr>
        <w:t>The initiative</w:t>
      </w:r>
      <w:r w:rsidR="00465CBE">
        <w:rPr>
          <w:rFonts w:ascii="Calibri" w:eastAsia="Calibri" w:hAnsi="Calibri" w:cs="Times New Roman"/>
        </w:rPr>
        <w:t xml:space="preserve"> </w:t>
      </w:r>
      <w:r w:rsidR="00692158">
        <w:rPr>
          <w:rFonts w:ascii="Calibri" w:eastAsia="Calibri" w:hAnsi="Calibri" w:cs="Times New Roman"/>
        </w:rPr>
        <w:t>was</w:t>
      </w:r>
      <w:r w:rsidRPr="009640C9">
        <w:rPr>
          <w:rFonts w:ascii="Calibri" w:eastAsia="Calibri" w:hAnsi="Calibri" w:cs="Times New Roman"/>
        </w:rPr>
        <w:t xml:space="preserve"> co-financed by ADB (USD 2 million), DFAT (USD 22 million), Canada (USD 4.2 million), Urban Climate Change Resilience Trust Fund managed by ADB (USD 3 million), and counterpart funding from the Government of the Philippines amounting to USD 8</w:t>
      </w:r>
      <w:r w:rsidR="00465CBE">
        <w:rPr>
          <w:rFonts w:ascii="Calibri" w:eastAsia="Calibri" w:hAnsi="Calibri" w:cs="Times New Roman"/>
        </w:rPr>
        <w:t>3</w:t>
      </w:r>
      <w:r w:rsidRPr="009640C9">
        <w:rPr>
          <w:rFonts w:ascii="Calibri" w:eastAsia="Calibri" w:hAnsi="Calibri" w:cs="Times New Roman"/>
        </w:rPr>
        <w:t>.</w:t>
      </w:r>
      <w:r w:rsidR="00465CBE">
        <w:rPr>
          <w:rFonts w:ascii="Calibri" w:eastAsia="Calibri" w:hAnsi="Calibri" w:cs="Times New Roman"/>
        </w:rPr>
        <w:t>93</w:t>
      </w:r>
      <w:r w:rsidRPr="009640C9">
        <w:rPr>
          <w:rFonts w:ascii="Calibri" w:eastAsia="Calibri" w:hAnsi="Calibri" w:cs="Times New Roman"/>
        </w:rPr>
        <w:t> million. DFAT’s support for the TA span</w:t>
      </w:r>
      <w:r w:rsidR="00692158">
        <w:rPr>
          <w:rFonts w:ascii="Calibri" w:eastAsia="Calibri" w:hAnsi="Calibri" w:cs="Times New Roman"/>
        </w:rPr>
        <w:t>ned</w:t>
      </w:r>
      <w:r w:rsidRPr="009640C9">
        <w:rPr>
          <w:rFonts w:ascii="Calibri" w:eastAsia="Calibri" w:hAnsi="Calibri" w:cs="Times New Roman"/>
        </w:rPr>
        <w:t xml:space="preserve"> ten years (4 April 2011 - 31 March 2021). The ADB will continue TA implementation until 31 December 2022, after the end of Australia’s arrangement. </w:t>
      </w:r>
    </w:p>
    <w:p w14:paraId="1F188656" w14:textId="105DD569" w:rsidR="001D61D2" w:rsidRPr="002C1336" w:rsidRDefault="001D61D2" w:rsidP="00021D43">
      <w:pPr>
        <w:spacing w:line="240" w:lineRule="auto"/>
        <w:rPr>
          <w:rFonts w:ascii="Calibri" w:eastAsia="Calibri" w:hAnsi="Calibri" w:cs="Times New Roman"/>
        </w:rPr>
      </w:pPr>
      <w:r w:rsidRPr="009640C9">
        <w:rPr>
          <w:rFonts w:ascii="Calibri" w:eastAsia="Calibri" w:hAnsi="Calibri" w:cs="Times New Roman"/>
        </w:rPr>
        <w:t>The TA consist</w:t>
      </w:r>
      <w:r w:rsidR="00692158">
        <w:rPr>
          <w:rFonts w:ascii="Calibri" w:eastAsia="Calibri" w:hAnsi="Calibri" w:cs="Times New Roman"/>
        </w:rPr>
        <w:t>ed</w:t>
      </w:r>
      <w:r w:rsidRPr="009640C9">
        <w:rPr>
          <w:rFonts w:ascii="Calibri" w:eastAsia="Calibri" w:hAnsi="Calibri" w:cs="Times New Roman"/>
        </w:rPr>
        <w:t xml:space="preserve"> of two components: i) Capacity Building which accounts for USD 4 million of Australia's contribution; and ii) a Project Development and </w:t>
      </w:r>
      <w:r w:rsidR="000A11DB">
        <w:rPr>
          <w:rFonts w:ascii="Calibri" w:eastAsia="Calibri" w:hAnsi="Calibri" w:cs="Times New Roman"/>
        </w:rPr>
        <w:t>Monitoring</w:t>
      </w:r>
      <w:r w:rsidR="000A11DB" w:rsidRPr="009640C9">
        <w:rPr>
          <w:rFonts w:ascii="Calibri" w:eastAsia="Calibri" w:hAnsi="Calibri" w:cs="Times New Roman"/>
        </w:rPr>
        <w:t xml:space="preserve"> </w:t>
      </w:r>
      <w:r w:rsidRPr="009640C9">
        <w:rPr>
          <w:rFonts w:ascii="Calibri" w:eastAsia="Calibri" w:hAnsi="Calibri" w:cs="Times New Roman"/>
        </w:rPr>
        <w:t xml:space="preserve">Facility (PDMF) which </w:t>
      </w:r>
      <w:r w:rsidR="00692158">
        <w:rPr>
          <w:rFonts w:ascii="Calibri" w:eastAsia="Calibri" w:hAnsi="Calibri" w:cs="Times New Roman"/>
        </w:rPr>
        <w:t>was</w:t>
      </w:r>
      <w:r w:rsidRPr="009640C9">
        <w:rPr>
          <w:rFonts w:ascii="Calibri" w:eastAsia="Calibri" w:hAnsi="Calibri" w:cs="Times New Roman"/>
        </w:rPr>
        <w:t xml:space="preserve"> a revolving fund co-funded by USD 18 million of Australia's contribution</w:t>
      </w:r>
      <w:r w:rsidR="00465CBE">
        <w:rPr>
          <w:rStyle w:val="FootnoteReference"/>
          <w:rFonts w:ascii="Calibri" w:eastAsia="Calibri" w:hAnsi="Calibri" w:cs="Times New Roman"/>
        </w:rPr>
        <w:footnoteReference w:id="3"/>
      </w:r>
      <w:r w:rsidRPr="009640C9">
        <w:rPr>
          <w:rFonts w:ascii="Calibri" w:eastAsia="Calibri" w:hAnsi="Calibri" w:cs="Times New Roman"/>
        </w:rPr>
        <w:t xml:space="preserve">. </w:t>
      </w:r>
      <w:r w:rsidR="00557F51" w:rsidRPr="009640C9">
        <w:rPr>
          <w:rFonts w:ascii="Calibri" w:eastAsia="Calibri" w:hAnsi="Calibri" w:cs="Times New Roman"/>
        </w:rPr>
        <w:t xml:space="preserve">The TA was designed to be </w:t>
      </w:r>
      <w:r w:rsidR="00557F51" w:rsidRPr="009640C9">
        <w:rPr>
          <w:rFonts w:ascii="Calibri" w:eastAsia="Calibri" w:hAnsi="Calibri" w:cs="Times New Roman"/>
        </w:rPr>
        <w:lastRenderedPageBreak/>
        <w:t xml:space="preserve">responsive to the support needs of the </w:t>
      </w:r>
      <w:r w:rsidR="00692158">
        <w:rPr>
          <w:rFonts w:ascii="Calibri" w:eastAsia="Calibri" w:hAnsi="Calibri" w:cs="Times New Roman"/>
        </w:rPr>
        <w:t>Philippines Government</w:t>
      </w:r>
      <w:r w:rsidR="00557F51" w:rsidRPr="002C1336">
        <w:rPr>
          <w:rFonts w:ascii="Calibri" w:eastAsia="Calibri" w:hAnsi="Calibri" w:cs="Times New Roman"/>
        </w:rPr>
        <w:t xml:space="preserve"> with a great degree of flexibility to respond to </w:t>
      </w:r>
      <w:r w:rsidR="002C1336">
        <w:rPr>
          <w:rFonts w:ascii="Calibri" w:eastAsia="Calibri" w:hAnsi="Calibri" w:cs="Times New Roman"/>
        </w:rPr>
        <w:t>needs and</w:t>
      </w:r>
      <w:r w:rsidR="00557F51" w:rsidRPr="002C1336">
        <w:rPr>
          <w:rFonts w:ascii="Calibri" w:eastAsia="Calibri" w:hAnsi="Calibri" w:cs="Times New Roman"/>
        </w:rPr>
        <w:t xml:space="preserve"> priorities.</w:t>
      </w:r>
      <w:r w:rsidR="00355FCA">
        <w:rPr>
          <w:rStyle w:val="FootnoteReference"/>
          <w:rFonts w:ascii="Calibri" w:eastAsia="Calibri" w:hAnsi="Calibri" w:cs="Times New Roman"/>
        </w:rPr>
        <w:footnoteReference w:id="4"/>
      </w:r>
    </w:p>
    <w:p w14:paraId="0AE64D0A" w14:textId="2EAA1DD0" w:rsidR="001D61D2" w:rsidRPr="006034B7" w:rsidRDefault="001D61D2" w:rsidP="00021D43">
      <w:pPr>
        <w:spacing w:after="60" w:line="240" w:lineRule="auto"/>
        <w:ind w:right="249"/>
      </w:pPr>
      <w:bookmarkStart w:id="43" w:name="_Hlk90865437"/>
      <w:r>
        <w:rPr>
          <w:rFonts w:eastAsia="Times New Roman" w:cstheme="minorHAnsi"/>
        </w:rPr>
        <w:t xml:space="preserve">The TA </w:t>
      </w:r>
      <w:r>
        <w:t>aim</w:t>
      </w:r>
      <w:r w:rsidR="00692158">
        <w:t>ed</w:t>
      </w:r>
      <w:r>
        <w:t xml:space="preserve"> to improve </w:t>
      </w:r>
      <w:r w:rsidRPr="006034B7">
        <w:t>the Philippine</w:t>
      </w:r>
      <w:r>
        <w:t xml:space="preserve"> Government’s capacity to</w:t>
      </w:r>
      <w:r w:rsidRPr="009218FF">
        <w:t xml:space="preserve"> promote, develop, and implement PPP projects.</w:t>
      </w:r>
      <w:bookmarkEnd w:id="43"/>
      <w:r>
        <w:t xml:space="preserve"> It </w:t>
      </w:r>
      <w:r w:rsidR="00BA10AD">
        <w:t>aimed</w:t>
      </w:r>
      <w:r>
        <w:t xml:space="preserve"> to </w:t>
      </w:r>
      <w:r w:rsidRPr="006034B7">
        <w:t xml:space="preserve">help the Government </w:t>
      </w:r>
      <w:r>
        <w:t xml:space="preserve">achieve </w:t>
      </w:r>
      <w:r w:rsidR="009877C9">
        <w:t>five</w:t>
      </w:r>
      <w:r>
        <w:t xml:space="preserve"> outcomes:</w:t>
      </w:r>
    </w:p>
    <w:p w14:paraId="40262A29" w14:textId="7DF3279C" w:rsidR="001D61D2" w:rsidRPr="006034B7" w:rsidRDefault="001D61D2" w:rsidP="00021D43">
      <w:pPr>
        <w:numPr>
          <w:ilvl w:val="0"/>
          <w:numId w:val="2"/>
        </w:numPr>
        <w:spacing w:after="40" w:line="240" w:lineRule="auto"/>
        <w:ind w:left="714" w:hanging="357"/>
        <w:rPr>
          <w:rFonts w:ascii="Calibri" w:hAnsi="Calibri"/>
        </w:rPr>
      </w:pPr>
      <w:r w:rsidRPr="006034B7">
        <w:rPr>
          <w:rFonts w:ascii="Calibri" w:hAnsi="Calibri"/>
        </w:rPr>
        <w:t>improve</w:t>
      </w:r>
      <w:r w:rsidR="00717784">
        <w:rPr>
          <w:rFonts w:ascii="Calibri" w:hAnsi="Calibri"/>
        </w:rPr>
        <w:t>d</w:t>
      </w:r>
      <w:r w:rsidRPr="006034B7">
        <w:rPr>
          <w:rFonts w:ascii="Calibri" w:hAnsi="Calibri"/>
        </w:rPr>
        <w:t xml:space="preserve"> the PPP enabling framework</w:t>
      </w:r>
    </w:p>
    <w:p w14:paraId="132C4336" w14:textId="5F59B689" w:rsidR="001D61D2" w:rsidRDefault="001D61D2" w:rsidP="00021D43">
      <w:pPr>
        <w:numPr>
          <w:ilvl w:val="0"/>
          <w:numId w:val="2"/>
        </w:numPr>
        <w:spacing w:after="40" w:line="240" w:lineRule="auto"/>
        <w:ind w:left="714" w:hanging="357"/>
        <w:rPr>
          <w:rFonts w:ascii="Calibri" w:hAnsi="Calibri"/>
        </w:rPr>
      </w:pPr>
      <w:r w:rsidRPr="006034B7">
        <w:rPr>
          <w:rFonts w:ascii="Calibri" w:hAnsi="Calibri"/>
        </w:rPr>
        <w:t>strengthen</w:t>
      </w:r>
      <w:r w:rsidR="00717784">
        <w:rPr>
          <w:rFonts w:ascii="Calibri" w:hAnsi="Calibri"/>
        </w:rPr>
        <w:t>ed</w:t>
      </w:r>
      <w:r w:rsidRPr="006034B7">
        <w:rPr>
          <w:rFonts w:ascii="Calibri" w:hAnsi="Calibri"/>
        </w:rPr>
        <w:t xml:space="preserve"> the institutional set-up and capacity in PPPs</w:t>
      </w:r>
    </w:p>
    <w:p w14:paraId="025CDA78" w14:textId="5D23936B" w:rsidR="009877C9" w:rsidRPr="006034B7" w:rsidRDefault="009877C9" w:rsidP="00021D43">
      <w:pPr>
        <w:numPr>
          <w:ilvl w:val="0"/>
          <w:numId w:val="2"/>
        </w:numPr>
        <w:spacing w:after="40" w:line="240" w:lineRule="auto"/>
        <w:ind w:left="714" w:hanging="357"/>
        <w:rPr>
          <w:rFonts w:ascii="Calibri" w:hAnsi="Calibri"/>
        </w:rPr>
      </w:pPr>
      <w:bookmarkStart w:id="44" w:name="_Hlk66549135"/>
      <w:r>
        <w:rPr>
          <w:rFonts w:ascii="Calibri" w:hAnsi="Calibri"/>
        </w:rPr>
        <w:t>institutionalised PPP best practices</w:t>
      </w:r>
    </w:p>
    <w:bookmarkEnd w:id="44"/>
    <w:p w14:paraId="241B19B4" w14:textId="4FF0B8E4" w:rsidR="001D61D2" w:rsidRPr="006034B7" w:rsidRDefault="001D61D2" w:rsidP="00021D43">
      <w:pPr>
        <w:numPr>
          <w:ilvl w:val="0"/>
          <w:numId w:val="2"/>
        </w:numPr>
        <w:spacing w:after="40" w:line="240" w:lineRule="auto"/>
        <w:ind w:left="714" w:hanging="357"/>
        <w:rPr>
          <w:rFonts w:ascii="Calibri" w:hAnsi="Calibri"/>
        </w:rPr>
      </w:pPr>
      <w:r w:rsidRPr="006034B7">
        <w:rPr>
          <w:rFonts w:ascii="Calibri" w:hAnsi="Calibri"/>
        </w:rPr>
        <w:t>help</w:t>
      </w:r>
      <w:r w:rsidR="00717784">
        <w:rPr>
          <w:rFonts w:ascii="Calibri" w:hAnsi="Calibri"/>
        </w:rPr>
        <w:t>ed</w:t>
      </w:r>
      <w:r w:rsidRPr="006034B7">
        <w:rPr>
          <w:rFonts w:ascii="Calibri" w:hAnsi="Calibri"/>
        </w:rPr>
        <w:t xml:space="preserve"> establish infrastructure investment financing and risk guarantee mechanisms to facilitat</w:t>
      </w:r>
      <w:r w:rsidRPr="00597817">
        <w:rPr>
          <w:rFonts w:ascii="Calibri" w:hAnsi="Calibri"/>
        </w:rPr>
        <w:t>e private sector</w:t>
      </w:r>
      <w:r w:rsidR="00AC794F" w:rsidRPr="00597817">
        <w:rPr>
          <w:rFonts w:ascii="Calibri" w:hAnsi="Calibri"/>
        </w:rPr>
        <w:t xml:space="preserve"> </w:t>
      </w:r>
      <w:r w:rsidRPr="006034B7">
        <w:rPr>
          <w:rFonts w:ascii="Calibri" w:hAnsi="Calibri"/>
        </w:rPr>
        <w:t xml:space="preserve">interest; and </w:t>
      </w:r>
    </w:p>
    <w:p w14:paraId="3EB5D2E0" w14:textId="3BB68642" w:rsidR="001D61D2" w:rsidRDefault="001D61D2" w:rsidP="00021D43">
      <w:pPr>
        <w:numPr>
          <w:ilvl w:val="0"/>
          <w:numId w:val="2"/>
        </w:numPr>
        <w:spacing w:after="40" w:line="240" w:lineRule="auto"/>
        <w:ind w:left="714" w:hanging="357"/>
        <w:rPr>
          <w:rFonts w:ascii="Calibri" w:hAnsi="Calibri"/>
        </w:rPr>
      </w:pPr>
      <w:r w:rsidRPr="006034B7">
        <w:rPr>
          <w:rFonts w:ascii="Calibri" w:hAnsi="Calibri"/>
        </w:rPr>
        <w:t>help</w:t>
      </w:r>
      <w:r w:rsidR="00717784">
        <w:rPr>
          <w:rFonts w:ascii="Calibri" w:hAnsi="Calibri"/>
        </w:rPr>
        <w:t>ed</w:t>
      </w:r>
      <w:r w:rsidRPr="006034B7">
        <w:rPr>
          <w:rFonts w:ascii="Calibri" w:hAnsi="Calibri"/>
        </w:rPr>
        <w:t xml:space="preserve"> </w:t>
      </w:r>
      <w:bookmarkStart w:id="45" w:name="_Hlk66355658"/>
      <w:r w:rsidRPr="006034B7">
        <w:rPr>
          <w:rFonts w:ascii="Calibri" w:hAnsi="Calibri"/>
        </w:rPr>
        <w:t xml:space="preserve">structure bankable PPP projects </w:t>
      </w:r>
      <w:bookmarkEnd w:id="45"/>
      <w:r w:rsidRPr="006034B7">
        <w:rPr>
          <w:rFonts w:ascii="Calibri" w:hAnsi="Calibri"/>
        </w:rPr>
        <w:t xml:space="preserve">through sustainable project development financing. </w:t>
      </w:r>
    </w:p>
    <w:p w14:paraId="03A2C832" w14:textId="16E6CBB5" w:rsidR="004930BE" w:rsidRDefault="004930BE" w:rsidP="004930BE">
      <w:pPr>
        <w:spacing w:after="40" w:line="240" w:lineRule="auto"/>
        <w:rPr>
          <w:rFonts w:ascii="Calibri" w:hAnsi="Calibri"/>
        </w:rPr>
      </w:pPr>
    </w:p>
    <w:p w14:paraId="44E2B0B2" w14:textId="77777777" w:rsidR="00825539" w:rsidRDefault="00825539" w:rsidP="00F2226C">
      <w:pPr>
        <w:pStyle w:val="Heading3"/>
      </w:pPr>
      <w:bookmarkStart w:id="46" w:name="_Toc2772940"/>
      <w:bookmarkStart w:id="47" w:name="_Toc96435323"/>
      <w:r>
        <w:t xml:space="preserve">2.2 </w:t>
      </w:r>
      <w:r w:rsidRPr="00C56040">
        <w:t>Policy Context</w:t>
      </w:r>
      <w:bookmarkEnd w:id="46"/>
      <w:bookmarkEnd w:id="47"/>
    </w:p>
    <w:p w14:paraId="5227E521" w14:textId="5FB95C82" w:rsidR="00B54913" w:rsidRDefault="00B54913" w:rsidP="00B54913">
      <w:pPr>
        <w:spacing w:line="240" w:lineRule="auto"/>
        <w:rPr>
          <w:rFonts w:ascii="Calibri" w:eastAsia="Calibri" w:hAnsi="Calibri" w:cs="Times New Roman"/>
        </w:rPr>
      </w:pPr>
      <w:r w:rsidRPr="00E77A1B">
        <w:rPr>
          <w:rFonts w:ascii="Calibri" w:eastAsia="Calibri" w:hAnsi="Calibri" w:cs="Times New Roman"/>
        </w:rPr>
        <w:t>Th</w:t>
      </w:r>
      <w:r w:rsidR="00717784">
        <w:rPr>
          <w:rFonts w:ascii="Calibri" w:eastAsia="Calibri" w:hAnsi="Calibri" w:cs="Times New Roman"/>
        </w:rPr>
        <w:t>e</w:t>
      </w:r>
      <w:r w:rsidRPr="00E77A1B">
        <w:rPr>
          <w:rFonts w:ascii="Calibri" w:eastAsia="Calibri" w:hAnsi="Calibri" w:cs="Times New Roman"/>
        </w:rPr>
        <w:t xml:space="preserve"> </w:t>
      </w:r>
      <w:r>
        <w:rPr>
          <w:rFonts w:ascii="Calibri" w:eastAsia="Calibri" w:hAnsi="Calibri" w:cs="Times New Roman"/>
        </w:rPr>
        <w:t>TA</w:t>
      </w:r>
      <w:r w:rsidRPr="00E77A1B">
        <w:rPr>
          <w:rFonts w:ascii="Calibri" w:eastAsia="Calibri" w:hAnsi="Calibri" w:cs="Times New Roman"/>
        </w:rPr>
        <w:t xml:space="preserve"> was designed</w:t>
      </w:r>
      <w:r>
        <w:rPr>
          <w:rFonts w:ascii="Calibri" w:eastAsia="Calibri" w:hAnsi="Calibri" w:cs="Times New Roman"/>
        </w:rPr>
        <w:t xml:space="preserve"> under the </w:t>
      </w:r>
      <w:r w:rsidRPr="008E5A63">
        <w:rPr>
          <w:rFonts w:ascii="Calibri" w:eastAsia="Calibri" w:hAnsi="Calibri" w:cs="Times New Roman"/>
        </w:rPr>
        <w:t>Aquino administration (2010 – 2016)</w:t>
      </w:r>
      <w:r>
        <w:rPr>
          <w:rFonts w:ascii="Calibri" w:eastAsia="Calibri" w:hAnsi="Calibri" w:cs="Times New Roman"/>
        </w:rPr>
        <w:t xml:space="preserve"> which </w:t>
      </w:r>
      <w:r w:rsidR="00BA10AD">
        <w:rPr>
          <w:rFonts w:ascii="Calibri" w:eastAsia="Calibri" w:hAnsi="Calibri" w:cs="Times New Roman"/>
        </w:rPr>
        <w:t>sought</w:t>
      </w:r>
      <w:r>
        <w:rPr>
          <w:rFonts w:ascii="Calibri" w:eastAsia="Calibri" w:hAnsi="Calibri" w:cs="Times New Roman"/>
        </w:rPr>
        <w:t xml:space="preserve"> ways to increase revenue and investment</w:t>
      </w:r>
      <w:r w:rsidR="00717784">
        <w:rPr>
          <w:rFonts w:ascii="Calibri" w:eastAsia="Calibri" w:hAnsi="Calibri" w:cs="Times New Roman"/>
        </w:rPr>
        <w:t xml:space="preserve"> in the Philippines</w:t>
      </w:r>
      <w:r>
        <w:rPr>
          <w:rFonts w:ascii="Calibri" w:eastAsia="Calibri" w:hAnsi="Calibri" w:cs="Times New Roman"/>
        </w:rPr>
        <w:t xml:space="preserve">. It </w:t>
      </w:r>
      <w:r w:rsidR="00BA10AD">
        <w:rPr>
          <w:rFonts w:ascii="Calibri" w:eastAsia="Calibri" w:hAnsi="Calibri" w:cs="Times New Roman"/>
        </w:rPr>
        <w:t>came</w:t>
      </w:r>
      <w:r>
        <w:rPr>
          <w:rFonts w:ascii="Calibri" w:eastAsia="Calibri" w:hAnsi="Calibri" w:cs="Times New Roman"/>
        </w:rPr>
        <w:t xml:space="preserve"> into government during a constrained fiscal environment and a large infrastructure gap. As such, there was a strong shift towards using the </w:t>
      </w:r>
      <w:r w:rsidR="009A4E41">
        <w:rPr>
          <w:rFonts w:ascii="Calibri" w:eastAsia="Calibri" w:hAnsi="Calibri" w:cs="Times New Roman"/>
        </w:rPr>
        <w:t>p</w:t>
      </w:r>
      <w:r>
        <w:rPr>
          <w:rFonts w:ascii="Calibri" w:eastAsia="Calibri" w:hAnsi="Calibri" w:cs="Times New Roman"/>
        </w:rPr>
        <w:t xml:space="preserve">rivate </w:t>
      </w:r>
      <w:r w:rsidR="009A4E41">
        <w:rPr>
          <w:rFonts w:ascii="Calibri" w:eastAsia="Calibri" w:hAnsi="Calibri" w:cs="Times New Roman"/>
        </w:rPr>
        <w:t>s</w:t>
      </w:r>
      <w:r>
        <w:rPr>
          <w:rFonts w:ascii="Calibri" w:eastAsia="Calibri" w:hAnsi="Calibri" w:cs="Times New Roman"/>
        </w:rPr>
        <w:t>ector to fuel development, and strong optimism towards the use of the PPP modality.</w:t>
      </w:r>
      <w:r w:rsidRPr="007E2C2D">
        <w:rPr>
          <w:rFonts w:ascii="Calibri" w:eastAsia="Calibri" w:hAnsi="Calibri" w:cs="Times New Roman"/>
        </w:rPr>
        <w:t xml:space="preserve"> </w:t>
      </w:r>
      <w:r>
        <w:rPr>
          <w:rFonts w:ascii="Calibri" w:eastAsia="Calibri" w:hAnsi="Calibri" w:cs="Times New Roman"/>
        </w:rPr>
        <w:t xml:space="preserve">The TA sought to build on this momentum, and a large-scale program was designed in the context of the scaling up of the Australian Aid Program prior to </w:t>
      </w:r>
      <w:r w:rsidR="00BA10AD">
        <w:rPr>
          <w:rFonts w:ascii="Calibri" w:eastAsia="Calibri" w:hAnsi="Calibri" w:cs="Times New Roman"/>
        </w:rPr>
        <w:t xml:space="preserve">AusAID’s </w:t>
      </w:r>
      <w:r>
        <w:rPr>
          <w:rFonts w:ascii="Calibri" w:eastAsia="Calibri" w:hAnsi="Calibri" w:cs="Times New Roman"/>
        </w:rPr>
        <w:t>integration</w:t>
      </w:r>
      <w:r w:rsidR="00BA10AD">
        <w:rPr>
          <w:rFonts w:ascii="Calibri" w:eastAsia="Calibri" w:hAnsi="Calibri" w:cs="Times New Roman"/>
        </w:rPr>
        <w:t xml:space="preserve"> with DFAT</w:t>
      </w:r>
      <w:r w:rsidR="006B53C3">
        <w:rPr>
          <w:rFonts w:ascii="Calibri" w:eastAsia="Calibri" w:hAnsi="Calibri" w:cs="Times New Roman"/>
        </w:rPr>
        <w:t xml:space="preserve"> in 201</w:t>
      </w:r>
      <w:r w:rsidR="008A2DB4">
        <w:rPr>
          <w:rFonts w:ascii="Calibri" w:eastAsia="Calibri" w:hAnsi="Calibri" w:cs="Times New Roman"/>
        </w:rPr>
        <w:t>3</w:t>
      </w:r>
      <w:r>
        <w:rPr>
          <w:rFonts w:ascii="Calibri" w:eastAsia="Calibri" w:hAnsi="Calibri" w:cs="Times New Roman"/>
        </w:rPr>
        <w:t xml:space="preserve">. </w:t>
      </w:r>
    </w:p>
    <w:p w14:paraId="5F8DF555" w14:textId="330FD949" w:rsidR="00B54913" w:rsidRPr="00F96407" w:rsidRDefault="00B54913" w:rsidP="00B54913">
      <w:pPr>
        <w:spacing w:line="240" w:lineRule="auto"/>
        <w:rPr>
          <w:rFonts w:ascii="Calibri" w:eastAsia="Calibri" w:hAnsi="Calibri" w:cs="Times New Roman"/>
        </w:rPr>
      </w:pPr>
      <w:r>
        <w:t xml:space="preserve">At the time of design, </w:t>
      </w:r>
      <w:r>
        <w:rPr>
          <w:rFonts w:ascii="Calibri" w:eastAsia="Calibri" w:hAnsi="Calibri" w:cs="Times New Roman"/>
        </w:rPr>
        <w:t xml:space="preserve">governance issues, exposure to fiscal risks (particularly related to a host of unsolicited projects), and public concern with privatisation, were seen as barriers to the PPP modality. </w:t>
      </w:r>
      <w:r w:rsidR="00F96407">
        <w:rPr>
          <w:rFonts w:ascii="Calibri" w:eastAsia="Calibri" w:hAnsi="Calibri" w:cs="Times New Roman"/>
        </w:rPr>
        <w:t>In addition, b</w:t>
      </w:r>
      <w:r w:rsidR="00F96407" w:rsidRPr="00F96407">
        <w:rPr>
          <w:rFonts w:ascii="Calibri" w:eastAsia="Calibri" w:hAnsi="Calibri" w:cs="Times New Roman"/>
        </w:rPr>
        <w:t xml:space="preserve">oth public and private sector officials were unfamiliar </w:t>
      </w:r>
      <w:r w:rsidR="00F96407">
        <w:rPr>
          <w:rFonts w:ascii="Calibri" w:eastAsia="Calibri" w:hAnsi="Calibri" w:cs="Times New Roman"/>
        </w:rPr>
        <w:t xml:space="preserve">with </w:t>
      </w:r>
      <w:r w:rsidR="00F96407" w:rsidRPr="00F96407">
        <w:rPr>
          <w:rFonts w:ascii="Calibri" w:eastAsia="Calibri" w:hAnsi="Calibri" w:cs="Times New Roman"/>
        </w:rPr>
        <w:t xml:space="preserve">and unprepared to </w:t>
      </w:r>
      <w:r w:rsidR="00F96407">
        <w:rPr>
          <w:rFonts w:ascii="Calibri" w:eastAsia="Calibri" w:hAnsi="Calibri" w:cs="Times New Roman"/>
        </w:rPr>
        <w:t>navigate</w:t>
      </w:r>
      <w:r w:rsidR="009A4E41">
        <w:rPr>
          <w:rFonts w:ascii="Calibri" w:eastAsia="Calibri" w:hAnsi="Calibri" w:cs="Times New Roman"/>
        </w:rPr>
        <w:t xml:space="preserve"> </w:t>
      </w:r>
      <w:r w:rsidR="00F96407" w:rsidRPr="00F96407">
        <w:rPr>
          <w:rFonts w:ascii="Calibri" w:eastAsia="Calibri" w:hAnsi="Calibri" w:cs="Times New Roman"/>
        </w:rPr>
        <w:t>PPPs.</w:t>
      </w:r>
      <w:r w:rsidR="00F96407">
        <w:rPr>
          <w:rFonts w:ascii="Calibri" w:eastAsia="Calibri" w:hAnsi="Calibri" w:cs="Times New Roman"/>
        </w:rPr>
        <w:t xml:space="preserve"> </w:t>
      </w:r>
      <w:r>
        <w:rPr>
          <w:rFonts w:ascii="Calibri" w:eastAsia="Calibri" w:hAnsi="Calibri" w:cs="Times New Roman"/>
        </w:rPr>
        <w:t>As such, the TA was designed to assist government in developing</w:t>
      </w:r>
      <w:r w:rsidRPr="003A4A72">
        <w:rPr>
          <w:bCs/>
        </w:rPr>
        <w:t xml:space="preserve"> </w:t>
      </w:r>
      <w:r>
        <w:rPr>
          <w:bCs/>
        </w:rPr>
        <w:t xml:space="preserve">bankable PPP </w:t>
      </w:r>
      <w:r w:rsidRPr="003A4A72">
        <w:rPr>
          <w:bCs/>
        </w:rPr>
        <w:t>projects</w:t>
      </w:r>
      <w:r>
        <w:rPr>
          <w:bCs/>
        </w:rPr>
        <w:t xml:space="preserve"> and to increase the capacity and transparency of government in administering PPPs. </w:t>
      </w:r>
      <w:r>
        <w:rPr>
          <w:rFonts w:ascii="Calibri" w:eastAsia="Calibri" w:hAnsi="Calibri" w:cs="Times New Roman"/>
        </w:rPr>
        <w:t>It was premised on the idea that government bureaucracy would struggle to fulfill this agenda without a significant boost</w:t>
      </w:r>
      <w:r>
        <w:rPr>
          <w:bCs/>
        </w:rPr>
        <w:t xml:space="preserve">. </w:t>
      </w:r>
      <w:r>
        <w:rPr>
          <w:rFonts w:ascii="Calibri" w:eastAsia="Calibri" w:hAnsi="Calibri" w:cs="Times New Roman"/>
        </w:rPr>
        <w:t>Strong support for the development of a PPP Program and the TA was present across the highest level of government. In accordance with this momentum, the early years of the PPP Program focus</w:t>
      </w:r>
      <w:r w:rsidR="001142BE">
        <w:rPr>
          <w:rFonts w:ascii="Calibri" w:eastAsia="Calibri" w:hAnsi="Calibri" w:cs="Times New Roman"/>
        </w:rPr>
        <w:t>ed</w:t>
      </w:r>
      <w:r>
        <w:rPr>
          <w:rFonts w:ascii="Calibri" w:eastAsia="Calibri" w:hAnsi="Calibri" w:cs="Times New Roman"/>
        </w:rPr>
        <w:t xml:space="preserve"> on supporting large national big-ticket PPPs for traditional</w:t>
      </w:r>
      <w:r w:rsidR="00296A46">
        <w:rPr>
          <w:rFonts w:ascii="Calibri" w:eastAsia="Calibri" w:hAnsi="Calibri" w:cs="Times New Roman"/>
        </w:rPr>
        <w:t xml:space="preserve"> infrastructure</w:t>
      </w:r>
      <w:r>
        <w:rPr>
          <w:rFonts w:ascii="Calibri" w:eastAsia="Calibri" w:hAnsi="Calibri" w:cs="Times New Roman"/>
        </w:rPr>
        <w:t xml:space="preserve"> </w:t>
      </w:r>
      <w:r w:rsidR="00717784">
        <w:rPr>
          <w:rFonts w:ascii="Calibri" w:eastAsia="Calibri" w:hAnsi="Calibri" w:cs="Times New Roman"/>
        </w:rPr>
        <w:t>implementing agencies</w:t>
      </w:r>
      <w:r w:rsidR="000F0616">
        <w:rPr>
          <w:rFonts w:ascii="Calibri" w:eastAsia="Calibri" w:hAnsi="Calibri" w:cs="Times New Roman"/>
        </w:rPr>
        <w:t>,</w:t>
      </w:r>
      <w:r w:rsidR="00C51821">
        <w:rPr>
          <w:rFonts w:ascii="Calibri" w:eastAsia="Calibri" w:hAnsi="Calibri" w:cs="Times New Roman"/>
        </w:rPr>
        <w:t xml:space="preserve"> </w:t>
      </w:r>
      <w:r w:rsidR="00296A46" w:rsidRPr="00296A46">
        <w:rPr>
          <w:rFonts w:ascii="Calibri" w:eastAsia="Calibri" w:hAnsi="Calibri" w:cs="Times New Roman"/>
        </w:rPr>
        <w:t>such as the Department of Transportation (DOTr) Department of Public Works and Highways (DPWH),</w:t>
      </w:r>
      <w:r w:rsidR="00296A46">
        <w:rPr>
          <w:rFonts w:ascii="Calibri" w:eastAsia="Calibri" w:hAnsi="Calibri" w:cs="Times New Roman"/>
        </w:rPr>
        <w:t xml:space="preserve"> </w:t>
      </w:r>
      <w:r>
        <w:rPr>
          <w:rFonts w:ascii="Calibri" w:eastAsia="Calibri" w:hAnsi="Calibri" w:cs="Times New Roman"/>
        </w:rPr>
        <w:t xml:space="preserve">and </w:t>
      </w:r>
      <w:r w:rsidR="000F0616">
        <w:rPr>
          <w:rFonts w:ascii="Calibri" w:eastAsia="Calibri" w:hAnsi="Calibri" w:cs="Times New Roman"/>
        </w:rPr>
        <w:t xml:space="preserve">specific </w:t>
      </w:r>
      <w:r>
        <w:rPr>
          <w:rFonts w:ascii="Calibri" w:eastAsia="Calibri" w:hAnsi="Calibri" w:cs="Times New Roman"/>
        </w:rPr>
        <w:t>sectors (such as</w:t>
      </w:r>
      <w:r w:rsidRPr="003A4A72">
        <w:rPr>
          <w:lang w:val="en-GB"/>
        </w:rPr>
        <w:t xml:space="preserve"> transport, aviation, </w:t>
      </w:r>
      <w:r w:rsidR="00642449" w:rsidRPr="003A4A72">
        <w:rPr>
          <w:lang w:val="en-GB"/>
        </w:rPr>
        <w:t>roads,</w:t>
      </w:r>
      <w:r>
        <w:rPr>
          <w:lang w:val="en-GB"/>
        </w:rPr>
        <w:t xml:space="preserve"> and</w:t>
      </w:r>
      <w:r w:rsidRPr="003A4A72">
        <w:rPr>
          <w:lang w:val="en-GB"/>
        </w:rPr>
        <w:t xml:space="preserve"> bridges</w:t>
      </w:r>
      <w:r>
        <w:rPr>
          <w:lang w:val="en-GB"/>
        </w:rPr>
        <w:t xml:space="preserve">) driving key legislative reforms. </w:t>
      </w:r>
    </w:p>
    <w:p w14:paraId="35DC7787" w14:textId="7AE17F39" w:rsidR="001142BE" w:rsidRDefault="00B54913" w:rsidP="00C51821">
      <w:pPr>
        <w:spacing w:line="240" w:lineRule="auto"/>
        <w:rPr>
          <w:lang w:val="en-GB"/>
        </w:rPr>
      </w:pPr>
      <w:r>
        <w:rPr>
          <w:lang w:val="en-GB"/>
        </w:rPr>
        <w:t xml:space="preserve">The </w:t>
      </w:r>
      <w:r w:rsidR="008A2DB4">
        <w:rPr>
          <w:lang w:val="en-GB"/>
        </w:rPr>
        <w:t>Duterte</w:t>
      </w:r>
      <w:r>
        <w:rPr>
          <w:lang w:val="en-GB"/>
        </w:rPr>
        <w:t xml:space="preserve"> administration came into power in 2016, inheriting a good fiscal budget and liquidity, with significantly different macro</w:t>
      </w:r>
      <w:r w:rsidR="00C57EFE">
        <w:rPr>
          <w:lang w:val="en-GB"/>
        </w:rPr>
        <w:t>economic</w:t>
      </w:r>
      <w:r>
        <w:rPr>
          <w:lang w:val="en-GB"/>
        </w:rPr>
        <w:t xml:space="preserve"> and fiscal conditions to those inherited by the </w:t>
      </w:r>
      <w:r w:rsidRPr="008E5A63">
        <w:rPr>
          <w:rFonts w:ascii="Calibri" w:eastAsia="Calibri" w:hAnsi="Calibri" w:cs="Times New Roman"/>
        </w:rPr>
        <w:t>Aquino administration</w:t>
      </w:r>
      <w:r>
        <w:rPr>
          <w:rFonts w:ascii="Calibri" w:eastAsia="Calibri" w:hAnsi="Calibri" w:cs="Times New Roman"/>
        </w:rPr>
        <w:t>.</w:t>
      </w:r>
      <w:r>
        <w:rPr>
          <w:lang w:val="en-GB"/>
        </w:rPr>
        <w:t xml:space="preserve"> </w:t>
      </w:r>
      <w:r w:rsidR="00C57EFE" w:rsidRPr="00C57EFE">
        <w:rPr>
          <w:lang w:val="en-GB"/>
        </w:rPr>
        <w:t>The economic situation in 2016</w:t>
      </w:r>
      <w:r w:rsidR="00C57EFE">
        <w:rPr>
          <w:lang w:val="en-GB"/>
        </w:rPr>
        <w:t xml:space="preserve">, including </w:t>
      </w:r>
      <w:r w:rsidR="00C57EFE" w:rsidRPr="00C57EFE">
        <w:rPr>
          <w:lang w:val="en-GB"/>
        </w:rPr>
        <w:t>fiscal reforms and investment grade rating</w:t>
      </w:r>
      <w:r w:rsidR="00C57EFE">
        <w:rPr>
          <w:lang w:val="en-GB"/>
        </w:rPr>
        <w:t>,</w:t>
      </w:r>
      <w:r w:rsidR="00C57EFE" w:rsidRPr="00C57EFE">
        <w:rPr>
          <w:lang w:val="en-GB"/>
        </w:rPr>
        <w:t xml:space="preserve"> </w:t>
      </w:r>
      <w:r w:rsidR="001142BE">
        <w:rPr>
          <w:lang w:val="en-GB"/>
        </w:rPr>
        <w:t>enabled</w:t>
      </w:r>
      <w:r w:rsidR="001142BE" w:rsidRPr="00C57EFE">
        <w:rPr>
          <w:lang w:val="en-GB"/>
        </w:rPr>
        <w:t xml:space="preserve"> </w:t>
      </w:r>
      <w:r w:rsidR="00C57EFE" w:rsidRPr="00C57EFE">
        <w:rPr>
          <w:lang w:val="en-GB"/>
        </w:rPr>
        <w:t xml:space="preserve">the </w:t>
      </w:r>
      <w:r w:rsidR="001142BE">
        <w:rPr>
          <w:lang w:val="en-GB"/>
        </w:rPr>
        <w:t xml:space="preserve">Duterte </w:t>
      </w:r>
      <w:r w:rsidR="00C57EFE" w:rsidRPr="00C57EFE">
        <w:rPr>
          <w:lang w:val="en-GB"/>
        </w:rPr>
        <w:t xml:space="preserve">administration to benefit from having fiscal space, better credit conditions, and strengthened bilateral relations that afforded them access to more </w:t>
      </w:r>
      <w:r w:rsidR="008A2DB4">
        <w:rPr>
          <w:lang w:val="en-GB"/>
        </w:rPr>
        <w:t>assistance</w:t>
      </w:r>
      <w:r w:rsidR="00C57EFE" w:rsidRPr="00C57EFE">
        <w:rPr>
          <w:lang w:val="en-GB"/>
        </w:rPr>
        <w:t xml:space="preserve"> from China, Japan</w:t>
      </w:r>
      <w:r w:rsidR="00C57EFE">
        <w:rPr>
          <w:lang w:val="en-GB"/>
        </w:rPr>
        <w:t xml:space="preserve"> and </w:t>
      </w:r>
      <w:r w:rsidR="00C57EFE" w:rsidRPr="00C57EFE">
        <w:rPr>
          <w:lang w:val="en-GB"/>
        </w:rPr>
        <w:t>multilateral agencies</w:t>
      </w:r>
      <w:r w:rsidR="00C57EFE">
        <w:rPr>
          <w:lang w:val="en-GB"/>
        </w:rPr>
        <w:t xml:space="preserve">. </w:t>
      </w:r>
      <w:r>
        <w:rPr>
          <w:lang w:val="en-GB"/>
        </w:rPr>
        <w:t>While there remain</w:t>
      </w:r>
      <w:r w:rsidR="001142BE">
        <w:rPr>
          <w:lang w:val="en-GB"/>
        </w:rPr>
        <w:t>ed</w:t>
      </w:r>
      <w:r>
        <w:rPr>
          <w:lang w:val="en-GB"/>
        </w:rPr>
        <w:t xml:space="preserve"> a strong focus on infrastructure development, as illustrated by the </w:t>
      </w:r>
      <w:r w:rsidRPr="00B50F69">
        <w:rPr>
          <w:i/>
          <w:iCs/>
          <w:lang w:val="en-GB"/>
        </w:rPr>
        <w:t>Build</w:t>
      </w:r>
      <w:r w:rsidR="009A4EBA" w:rsidRPr="00B50F69">
        <w:rPr>
          <w:i/>
          <w:iCs/>
          <w:lang w:val="en-GB"/>
        </w:rPr>
        <w:t>-</w:t>
      </w:r>
      <w:r w:rsidRPr="00B50F69">
        <w:rPr>
          <w:i/>
          <w:iCs/>
          <w:lang w:val="en-GB"/>
        </w:rPr>
        <w:t>Build</w:t>
      </w:r>
      <w:r w:rsidR="009A4EBA" w:rsidRPr="00B50F69">
        <w:rPr>
          <w:i/>
          <w:iCs/>
          <w:lang w:val="en-GB"/>
        </w:rPr>
        <w:t>-</w:t>
      </w:r>
      <w:r w:rsidRPr="00B50F69">
        <w:rPr>
          <w:i/>
          <w:iCs/>
          <w:lang w:val="en-GB"/>
        </w:rPr>
        <w:t>Build</w:t>
      </w:r>
      <w:r w:rsidR="007E0308" w:rsidRPr="00B50F69">
        <w:rPr>
          <w:i/>
          <w:iCs/>
          <w:lang w:val="en-GB"/>
        </w:rPr>
        <w:t xml:space="preserve"> Infrastructure </w:t>
      </w:r>
      <w:r w:rsidR="00E77FCE" w:rsidRPr="00B50F69">
        <w:rPr>
          <w:i/>
          <w:iCs/>
          <w:lang w:val="en-GB"/>
        </w:rPr>
        <w:t>Development</w:t>
      </w:r>
      <w:r w:rsidRPr="00B50F69">
        <w:rPr>
          <w:i/>
          <w:iCs/>
          <w:lang w:val="en-GB"/>
        </w:rPr>
        <w:t xml:space="preserve"> Program</w:t>
      </w:r>
      <w:r>
        <w:rPr>
          <w:lang w:val="en-GB"/>
        </w:rPr>
        <w:t xml:space="preserve"> under the Philippine Development Program (2017-2022), the </w:t>
      </w:r>
      <w:r w:rsidR="008A2DB4">
        <w:rPr>
          <w:lang w:val="en-GB"/>
        </w:rPr>
        <w:t xml:space="preserve">Duterte </w:t>
      </w:r>
      <w:r>
        <w:rPr>
          <w:lang w:val="en-GB"/>
        </w:rPr>
        <w:t>administration ha</w:t>
      </w:r>
      <w:r w:rsidR="001142BE">
        <w:rPr>
          <w:lang w:val="en-GB"/>
        </w:rPr>
        <w:t>d</w:t>
      </w:r>
      <w:r>
        <w:rPr>
          <w:lang w:val="en-GB"/>
        </w:rPr>
        <w:t xml:space="preserve"> a greater portfolio choice </w:t>
      </w:r>
      <w:r w:rsidR="00C57EFE" w:rsidRPr="00C57EFE">
        <w:rPr>
          <w:lang w:val="en-GB"/>
        </w:rPr>
        <w:t>on how to finance and implement infrastructure projects (</w:t>
      </w:r>
      <w:r w:rsidR="008F709D" w:rsidRPr="00C57EFE">
        <w:rPr>
          <w:lang w:val="en-GB"/>
        </w:rPr>
        <w:t>i.e.,</w:t>
      </w:r>
      <w:r w:rsidR="00C57EFE" w:rsidRPr="00C57EFE">
        <w:rPr>
          <w:lang w:val="en-GB"/>
        </w:rPr>
        <w:t xml:space="preserve"> government budget, government borrowings and private sector financing via PPPs)</w:t>
      </w:r>
      <w:r>
        <w:rPr>
          <w:lang w:val="en-GB"/>
        </w:rPr>
        <w:t xml:space="preserve">. </w:t>
      </w:r>
    </w:p>
    <w:p w14:paraId="6B430298" w14:textId="5E50DE6C" w:rsidR="001142BE" w:rsidRDefault="00B54913" w:rsidP="00C51821">
      <w:pPr>
        <w:spacing w:line="240" w:lineRule="auto"/>
        <w:rPr>
          <w:rFonts w:cstheme="minorHAnsi"/>
          <w:lang w:val="en-GB"/>
        </w:rPr>
      </w:pPr>
      <w:r>
        <w:rPr>
          <w:lang w:val="en-GB"/>
        </w:rPr>
        <w:lastRenderedPageBreak/>
        <w:t>The five years of PPP Program implementation prior to the change in administration resulted in a maturing of approach to PPPs</w:t>
      </w:r>
      <w:r w:rsidR="006A4C2A">
        <w:rPr>
          <w:lang w:val="en-GB"/>
        </w:rPr>
        <w:t xml:space="preserve"> in the Philippines</w:t>
      </w:r>
      <w:r>
        <w:rPr>
          <w:lang w:val="en-GB"/>
        </w:rPr>
        <w:t xml:space="preserve">. These factors led to the </w:t>
      </w:r>
      <w:r w:rsidR="006A4C2A">
        <w:rPr>
          <w:lang w:val="en-GB"/>
        </w:rPr>
        <w:t xml:space="preserve">Duterte </w:t>
      </w:r>
      <w:r>
        <w:rPr>
          <w:lang w:val="en-GB"/>
        </w:rPr>
        <w:t>administration adopting a more nuanced approach</w:t>
      </w:r>
      <w:r w:rsidR="006A4C2A">
        <w:rPr>
          <w:lang w:val="en-GB"/>
        </w:rPr>
        <w:t>.</w:t>
      </w:r>
      <w:r>
        <w:rPr>
          <w:lang w:val="en-GB"/>
        </w:rPr>
        <w:t xml:space="preserve"> whereby PPPs </w:t>
      </w:r>
      <w:r w:rsidR="001142BE">
        <w:rPr>
          <w:lang w:val="en-GB"/>
        </w:rPr>
        <w:t>were</w:t>
      </w:r>
      <w:r w:rsidR="005562DA" w:rsidRPr="005562DA">
        <w:rPr>
          <w:lang w:val="en-GB"/>
        </w:rPr>
        <w:t xml:space="preserve"> seen as one of the options to financing infrastructure development</w:t>
      </w:r>
      <w:r w:rsidR="005562DA">
        <w:rPr>
          <w:lang w:val="en-GB"/>
        </w:rPr>
        <w:t xml:space="preserve">, </w:t>
      </w:r>
      <w:r w:rsidR="006A4C2A">
        <w:rPr>
          <w:lang w:val="en-GB"/>
        </w:rPr>
        <w:t xml:space="preserve">and </w:t>
      </w:r>
      <w:r>
        <w:t>b</w:t>
      </w:r>
      <w:r w:rsidRPr="00761FF4">
        <w:t xml:space="preserve">orrowing and leveraging </w:t>
      </w:r>
      <w:r>
        <w:t xml:space="preserve">of </w:t>
      </w:r>
      <w:r w:rsidR="00FF75A4">
        <w:t xml:space="preserve">private sector </w:t>
      </w:r>
      <w:r w:rsidRPr="00B24215">
        <w:rPr>
          <w:rFonts w:cstheme="minorHAnsi"/>
        </w:rPr>
        <w:t>investment</w:t>
      </w:r>
      <w:r w:rsidRPr="009D13FD">
        <w:rPr>
          <w:rFonts w:cstheme="minorHAnsi"/>
        </w:rPr>
        <w:t xml:space="preserve"> </w:t>
      </w:r>
      <w:r w:rsidR="006A4C2A">
        <w:rPr>
          <w:rFonts w:cstheme="minorHAnsi"/>
        </w:rPr>
        <w:t>was</w:t>
      </w:r>
      <w:r w:rsidRPr="009D13FD">
        <w:rPr>
          <w:rFonts w:cstheme="minorHAnsi"/>
        </w:rPr>
        <w:t xml:space="preserve"> considered on a </w:t>
      </w:r>
      <w:r w:rsidR="00B177BA" w:rsidRPr="009D13FD">
        <w:rPr>
          <w:rFonts w:cstheme="minorHAnsi"/>
        </w:rPr>
        <w:t>case-by-case</w:t>
      </w:r>
      <w:r w:rsidRPr="009D13FD">
        <w:rPr>
          <w:rFonts w:cstheme="minorHAnsi"/>
        </w:rPr>
        <w:t xml:space="preserve"> basis</w:t>
      </w:r>
      <w:r w:rsidR="006A4C2A">
        <w:rPr>
          <w:rFonts w:cstheme="minorHAnsi"/>
        </w:rPr>
        <w:t>. A</w:t>
      </w:r>
      <w:r w:rsidRPr="009D13FD">
        <w:rPr>
          <w:rFonts w:cstheme="minorHAnsi"/>
        </w:rPr>
        <w:t xml:space="preserve"> </w:t>
      </w:r>
      <w:r w:rsidRPr="009D13FD">
        <w:rPr>
          <w:rFonts w:cstheme="minorHAnsi"/>
          <w:lang w:val="en-GB"/>
        </w:rPr>
        <w:t xml:space="preserve">shift </w:t>
      </w:r>
      <w:r w:rsidR="001142BE">
        <w:rPr>
          <w:rFonts w:cstheme="minorHAnsi"/>
          <w:lang w:val="en-GB"/>
        </w:rPr>
        <w:t>took</w:t>
      </w:r>
      <w:r w:rsidRPr="009D13FD">
        <w:rPr>
          <w:rFonts w:cstheme="minorHAnsi"/>
          <w:lang w:val="en-GB"/>
        </w:rPr>
        <w:t xml:space="preserve"> place towards the use of hybrid modalities and unsolicited PPP projects. </w:t>
      </w:r>
      <w:r w:rsidR="007E2933" w:rsidRPr="008C0450">
        <w:rPr>
          <w:rFonts w:cstheme="minorHAnsi"/>
          <w:lang w:val="en-GB"/>
        </w:rPr>
        <w:t xml:space="preserve">Recent developments </w:t>
      </w:r>
      <w:r w:rsidR="001142BE">
        <w:rPr>
          <w:rFonts w:cstheme="minorHAnsi"/>
          <w:lang w:val="en-GB"/>
        </w:rPr>
        <w:t>saw</w:t>
      </w:r>
      <w:r w:rsidR="007E2933" w:rsidRPr="0090640F">
        <w:rPr>
          <w:rFonts w:cstheme="minorHAnsi"/>
          <w:lang w:val="en-GB"/>
        </w:rPr>
        <w:t xml:space="preserve"> the PPP option regain traction as one of the strategi</w:t>
      </w:r>
      <w:r w:rsidR="007E2933" w:rsidRPr="00211FAB">
        <w:rPr>
          <w:rFonts w:cstheme="minorHAnsi"/>
          <w:lang w:val="en-GB"/>
        </w:rPr>
        <w:t>es to compensate fiscal challenges brought</w:t>
      </w:r>
      <w:r w:rsidR="00FF75A4">
        <w:rPr>
          <w:rFonts w:cstheme="minorHAnsi"/>
          <w:lang w:val="en-GB"/>
        </w:rPr>
        <w:t xml:space="preserve"> about</w:t>
      </w:r>
      <w:r w:rsidR="007E2933" w:rsidRPr="00211FAB">
        <w:rPr>
          <w:rFonts w:cstheme="minorHAnsi"/>
          <w:lang w:val="en-GB"/>
        </w:rPr>
        <w:t xml:space="preserve"> by the </w:t>
      </w:r>
      <w:r w:rsidR="000321CA">
        <w:rPr>
          <w:rFonts w:cstheme="minorHAnsi"/>
          <w:lang w:val="en-GB"/>
        </w:rPr>
        <w:t>COVID</w:t>
      </w:r>
      <w:r w:rsidR="00902CDE">
        <w:rPr>
          <w:rFonts w:cstheme="minorHAnsi"/>
          <w:lang w:val="en-GB"/>
        </w:rPr>
        <w:t>-</w:t>
      </w:r>
      <w:r w:rsidR="007E2933" w:rsidRPr="00211FAB">
        <w:rPr>
          <w:rFonts w:cstheme="minorHAnsi"/>
          <w:lang w:val="en-GB"/>
        </w:rPr>
        <w:t>19 pandemic</w:t>
      </w:r>
      <w:r w:rsidR="001142BE">
        <w:rPr>
          <w:rFonts w:cstheme="minorHAnsi"/>
          <w:lang w:val="en-GB"/>
        </w:rPr>
        <w:t>,</w:t>
      </w:r>
      <w:r w:rsidR="00B24215" w:rsidRPr="00F54585">
        <w:rPr>
          <w:rFonts w:cstheme="minorHAnsi"/>
          <w:lang w:val="en-GB"/>
        </w:rPr>
        <w:t xml:space="preserve"> and </w:t>
      </w:r>
      <w:r w:rsidR="001142BE">
        <w:rPr>
          <w:rFonts w:cstheme="minorHAnsi"/>
          <w:lang w:val="en-GB"/>
        </w:rPr>
        <w:t xml:space="preserve">to </w:t>
      </w:r>
      <w:r w:rsidR="00B24215" w:rsidRPr="00B24215">
        <w:rPr>
          <w:rFonts w:cstheme="minorHAnsi"/>
        </w:rPr>
        <w:t xml:space="preserve">address infrastructure gaps across social and economic sectors in recovering from the </w:t>
      </w:r>
      <w:r w:rsidR="001142BE">
        <w:rPr>
          <w:rFonts w:cstheme="minorHAnsi"/>
        </w:rPr>
        <w:t xml:space="preserve">pandemic induced </w:t>
      </w:r>
      <w:r w:rsidR="00B24215" w:rsidRPr="00B24215">
        <w:rPr>
          <w:rFonts w:cstheme="minorHAnsi"/>
        </w:rPr>
        <w:t>economic shocks</w:t>
      </w:r>
      <w:r w:rsidR="007E2933" w:rsidRPr="00B24215">
        <w:rPr>
          <w:rFonts w:cstheme="minorHAnsi"/>
          <w:lang w:val="en-GB"/>
        </w:rPr>
        <w:t xml:space="preserve">, as per the Updated </w:t>
      </w:r>
      <w:r w:rsidR="00B24215" w:rsidRPr="00B24215">
        <w:rPr>
          <w:rFonts w:cstheme="minorHAnsi"/>
        </w:rPr>
        <w:t>Philippine Development Plan</w:t>
      </w:r>
      <w:r w:rsidR="00B24215" w:rsidRPr="00B24215">
        <w:rPr>
          <w:rFonts w:cstheme="minorHAnsi"/>
          <w:lang w:val="en-GB"/>
        </w:rPr>
        <w:t xml:space="preserve"> (</w:t>
      </w:r>
      <w:r w:rsidR="007E2933" w:rsidRPr="00B24215">
        <w:rPr>
          <w:rFonts w:cstheme="minorHAnsi"/>
          <w:lang w:val="en-GB"/>
        </w:rPr>
        <w:t>PDP</w:t>
      </w:r>
      <w:r w:rsidR="00B24215" w:rsidRPr="00B24215">
        <w:rPr>
          <w:rFonts w:cstheme="minorHAnsi"/>
          <w:lang w:val="en-GB"/>
        </w:rPr>
        <w:t>)</w:t>
      </w:r>
      <w:r w:rsidR="007E2933" w:rsidRPr="009D13FD">
        <w:rPr>
          <w:rFonts w:cstheme="minorHAnsi"/>
          <w:lang w:val="en-GB"/>
        </w:rPr>
        <w:t xml:space="preserve"> 2017-2022</w:t>
      </w:r>
      <w:r w:rsidR="00B24215" w:rsidRPr="00B24215">
        <w:rPr>
          <w:rStyle w:val="FootnoteReference"/>
          <w:rFonts w:cstheme="minorHAnsi"/>
        </w:rPr>
        <w:footnoteReference w:id="5"/>
      </w:r>
      <w:r w:rsidR="00C57EFE" w:rsidRPr="00B24215">
        <w:rPr>
          <w:rFonts w:cstheme="minorHAnsi"/>
          <w:lang w:val="en-GB"/>
        </w:rPr>
        <w:t>.</w:t>
      </w:r>
    </w:p>
    <w:p w14:paraId="70ED9FB8" w14:textId="26208B8B" w:rsidR="00C51821" w:rsidRPr="00CD6A32" w:rsidRDefault="00B54913" w:rsidP="00C51821">
      <w:pPr>
        <w:spacing w:line="240" w:lineRule="auto"/>
        <w:rPr>
          <w:sz w:val="18"/>
          <w:szCs w:val="18"/>
          <w:lang w:val="en-GB"/>
        </w:rPr>
      </w:pPr>
      <w:r>
        <w:rPr>
          <w:lang w:val="en-GB"/>
        </w:rPr>
        <w:t>While the PPP Program continued to support national PPP projects, it expanded and shifted its focus on supporting Local Government Units (LGUs) and non-traditional clients</w:t>
      </w:r>
      <w:r w:rsidR="00497D61">
        <w:rPr>
          <w:rStyle w:val="FootnoteReference"/>
          <w:lang w:val="en-GB"/>
        </w:rPr>
        <w:footnoteReference w:id="6"/>
      </w:r>
      <w:r>
        <w:rPr>
          <w:lang w:val="en-GB"/>
        </w:rPr>
        <w:t xml:space="preserve"> to </w:t>
      </w:r>
      <w:bookmarkStart w:id="48" w:name="_Hlk75868084"/>
      <w:r>
        <w:rPr>
          <w:lang w:val="en-GB"/>
        </w:rPr>
        <w:t xml:space="preserve">develop their capacity to administer smaller scale local PPPs. </w:t>
      </w:r>
      <w:bookmarkEnd w:id="48"/>
      <w:r>
        <w:rPr>
          <w:lang w:val="en-GB"/>
        </w:rPr>
        <w:t xml:space="preserve">This trajectory </w:t>
      </w:r>
      <w:r w:rsidR="004B16F6">
        <w:rPr>
          <w:lang w:val="en-GB"/>
        </w:rPr>
        <w:t>was</w:t>
      </w:r>
      <w:r>
        <w:rPr>
          <w:lang w:val="en-GB"/>
        </w:rPr>
        <w:t xml:space="preserve"> well aligned to </w:t>
      </w:r>
      <w:r w:rsidR="008A2DB4">
        <w:rPr>
          <w:lang w:val="en-GB"/>
        </w:rPr>
        <w:t xml:space="preserve">the </w:t>
      </w:r>
      <w:r w:rsidRPr="007464F3">
        <w:rPr>
          <w:i/>
          <w:iCs/>
          <w:lang w:val="en-GB"/>
        </w:rPr>
        <w:t>Mandanas</w:t>
      </w:r>
      <w:r>
        <w:rPr>
          <w:lang w:val="en-GB"/>
        </w:rPr>
        <w:t xml:space="preserve"> ruling</w:t>
      </w:r>
      <w:r>
        <w:rPr>
          <w:rStyle w:val="FootnoteReference"/>
          <w:lang w:val="en-GB"/>
        </w:rPr>
        <w:footnoteReference w:id="7"/>
      </w:r>
      <w:r>
        <w:rPr>
          <w:lang w:val="en-GB"/>
        </w:rPr>
        <w:t xml:space="preserve"> scheduled for implementation in 2022, that will result in a </w:t>
      </w:r>
      <w:r w:rsidRPr="005615B4">
        <w:t>56</w:t>
      </w:r>
      <w:r w:rsidR="001142BE">
        <w:t xml:space="preserve"> per cent</w:t>
      </w:r>
      <w:r w:rsidRPr="005615B4">
        <w:t xml:space="preserve"> revenue </w:t>
      </w:r>
      <w:r>
        <w:t>increase (totalling approximately</w:t>
      </w:r>
      <w:r w:rsidRPr="005615B4">
        <w:t xml:space="preserve"> </w:t>
      </w:r>
      <w:r w:rsidR="00D321C6">
        <w:t>AUD 49 billion</w:t>
      </w:r>
      <w:r w:rsidR="00D321C6">
        <w:rPr>
          <w:rStyle w:val="FootnoteReference"/>
        </w:rPr>
        <w:footnoteReference w:id="8"/>
      </w:r>
      <w:r w:rsidR="00D321C6">
        <w:t xml:space="preserve"> (</w:t>
      </w:r>
      <w:r w:rsidR="00B15F97">
        <w:t xml:space="preserve">PHP </w:t>
      </w:r>
      <w:r w:rsidRPr="005615B4">
        <w:t>1.8 trillion</w:t>
      </w:r>
      <w:r w:rsidR="00D321C6">
        <w:t>)</w:t>
      </w:r>
      <w:r>
        <w:t xml:space="preserve">) allocated to </w:t>
      </w:r>
      <w:r w:rsidR="00E51EF4">
        <w:t>local government units</w:t>
      </w:r>
      <w:r>
        <w:t xml:space="preserve"> to provide services and address infrastructure needs of populations residing in </w:t>
      </w:r>
      <w:r w:rsidRPr="009702A7">
        <w:rPr>
          <w:lang w:val="en-GB"/>
        </w:rPr>
        <w:t>cities and regional areas. The Executive Order directing the full devolution of certain functions of the executive branch to local governments</w:t>
      </w:r>
      <w:r w:rsidR="00CD6A32">
        <w:rPr>
          <w:lang w:val="en-GB"/>
        </w:rPr>
        <w:t xml:space="preserve"> and </w:t>
      </w:r>
      <w:r w:rsidR="00CD6A32" w:rsidRPr="00CD6A32">
        <w:rPr>
          <w:lang w:val="en-GB"/>
        </w:rPr>
        <w:t>Local Government Code</w:t>
      </w:r>
      <w:r w:rsidR="004B16F6">
        <w:rPr>
          <w:lang w:val="en-GB"/>
        </w:rPr>
        <w:t xml:space="preserve"> (</w:t>
      </w:r>
      <w:r w:rsidR="00CD6A32" w:rsidRPr="00CD6A32">
        <w:rPr>
          <w:lang w:val="en-GB"/>
        </w:rPr>
        <w:t>Republic Act No. 7160</w:t>
      </w:r>
      <w:r w:rsidR="00CD6A32">
        <w:rPr>
          <w:rStyle w:val="FootnoteReference"/>
          <w:lang w:val="en-GB"/>
        </w:rPr>
        <w:footnoteReference w:id="9"/>
      </w:r>
      <w:r w:rsidR="004B16F6">
        <w:rPr>
          <w:lang w:val="en-GB"/>
        </w:rPr>
        <w:t>)</w:t>
      </w:r>
      <w:r w:rsidR="001142BE">
        <w:rPr>
          <w:lang w:val="en-GB"/>
        </w:rPr>
        <w:t xml:space="preserve">will </w:t>
      </w:r>
      <w:r w:rsidRPr="009702A7">
        <w:rPr>
          <w:lang w:val="en-GB"/>
        </w:rPr>
        <w:t xml:space="preserve">spur a process of transition planning that </w:t>
      </w:r>
      <w:r w:rsidR="001142BE">
        <w:rPr>
          <w:lang w:val="en-GB"/>
        </w:rPr>
        <w:t xml:space="preserve">will </w:t>
      </w:r>
      <w:r w:rsidRPr="009702A7">
        <w:rPr>
          <w:lang w:val="en-GB"/>
        </w:rPr>
        <w:t xml:space="preserve">encompasses capacity development of </w:t>
      </w:r>
      <w:r w:rsidR="00E51EF4">
        <w:rPr>
          <w:lang w:val="en-GB"/>
        </w:rPr>
        <w:t>local government units</w:t>
      </w:r>
      <w:r w:rsidRPr="009702A7">
        <w:rPr>
          <w:lang w:val="en-GB"/>
        </w:rPr>
        <w:t xml:space="preserve"> and the devolution of </w:t>
      </w:r>
      <w:r w:rsidR="00167C79" w:rsidRPr="00593F56">
        <w:rPr>
          <w:lang w:val="en-GB"/>
        </w:rPr>
        <w:t xml:space="preserve">projects to </w:t>
      </w:r>
      <w:r>
        <w:rPr>
          <w:lang w:val="en-GB"/>
        </w:rPr>
        <w:t>the</w:t>
      </w:r>
      <w:r w:rsidR="00167C79" w:rsidRPr="00593F56">
        <w:rPr>
          <w:lang w:val="en-GB"/>
        </w:rPr>
        <w:t xml:space="preserve"> </w:t>
      </w:r>
      <w:r w:rsidR="00E51EF4">
        <w:rPr>
          <w:lang w:val="en-GB"/>
        </w:rPr>
        <w:t>local government unit</w:t>
      </w:r>
      <w:r w:rsidR="00E51EF4" w:rsidRPr="00593F56">
        <w:rPr>
          <w:lang w:val="en-GB"/>
        </w:rPr>
        <w:t xml:space="preserve"> </w:t>
      </w:r>
      <w:r w:rsidR="00167C79" w:rsidRPr="00593F56">
        <w:rPr>
          <w:lang w:val="en-GB"/>
        </w:rPr>
        <w:t>leve</w:t>
      </w:r>
      <w:r w:rsidRPr="009702A7">
        <w:rPr>
          <w:lang w:val="en-GB"/>
        </w:rPr>
        <w:t>l.</w:t>
      </w:r>
      <w:r w:rsidR="00CD6A32" w:rsidRPr="00CD6A32">
        <w:t xml:space="preserve"> </w:t>
      </w:r>
    </w:p>
    <w:p w14:paraId="6505F01C" w14:textId="647F7A56" w:rsidR="00F5700C" w:rsidRDefault="00C51821" w:rsidP="00F5700C">
      <w:pPr>
        <w:spacing w:after="0" w:line="240" w:lineRule="auto"/>
        <w:rPr>
          <w:u w:val="single"/>
          <w:lang w:val="en-GB"/>
        </w:rPr>
      </w:pPr>
      <w:r w:rsidRPr="00C51821">
        <w:rPr>
          <w:lang w:val="en-GB"/>
        </w:rPr>
        <w:t xml:space="preserve">A timeline outlining key political economy developments and program events and developments is provided in </w:t>
      </w:r>
      <w:r w:rsidRPr="00B50F69">
        <w:rPr>
          <w:u w:val="single"/>
          <w:lang w:val="en-GB"/>
        </w:rPr>
        <w:t>Annex 1.</w:t>
      </w:r>
    </w:p>
    <w:p w14:paraId="09851B99" w14:textId="77777777" w:rsidR="00F5700C" w:rsidRPr="00C51821" w:rsidRDefault="00F5700C" w:rsidP="00F5700C">
      <w:pPr>
        <w:spacing w:after="0" w:line="480" w:lineRule="auto"/>
        <w:rPr>
          <w:lang w:val="en-GB"/>
        </w:rPr>
      </w:pPr>
    </w:p>
    <w:p w14:paraId="1D27E966" w14:textId="77777777" w:rsidR="00825539" w:rsidRPr="008621C7" w:rsidRDefault="00825539" w:rsidP="00F2226C">
      <w:pPr>
        <w:pStyle w:val="Heading3"/>
      </w:pPr>
      <w:bookmarkStart w:id="49" w:name="_Toc2772941"/>
      <w:bookmarkStart w:id="50" w:name="_Toc96435324"/>
      <w:r>
        <w:t>2.3 Evaluation a</w:t>
      </w:r>
      <w:r w:rsidRPr="00C56040">
        <w:t>pproach</w:t>
      </w:r>
      <w:bookmarkEnd w:id="49"/>
      <w:bookmarkEnd w:id="50"/>
    </w:p>
    <w:p w14:paraId="5F4736E1" w14:textId="13531EB7" w:rsidR="007A0E4B" w:rsidRDefault="007A0E4B" w:rsidP="00021D43">
      <w:pPr>
        <w:spacing w:line="240" w:lineRule="auto"/>
      </w:pPr>
      <w:r>
        <w:t xml:space="preserve">A set of </w:t>
      </w:r>
      <w:r w:rsidR="006A59B6">
        <w:t>K</w:t>
      </w:r>
      <w:r>
        <w:t xml:space="preserve">ey </w:t>
      </w:r>
      <w:r w:rsidR="006A59B6">
        <w:t>E</w:t>
      </w:r>
      <w:r>
        <w:t xml:space="preserve">valuation </w:t>
      </w:r>
      <w:r w:rsidR="006A59B6">
        <w:t>Q</w:t>
      </w:r>
      <w:r>
        <w:t xml:space="preserve">uestions </w:t>
      </w:r>
      <w:r w:rsidR="006A59B6">
        <w:t xml:space="preserve">(KEQs) </w:t>
      </w:r>
      <w:r>
        <w:t>were identified in the Terms of Reference</w:t>
      </w:r>
      <w:r w:rsidR="00105EF8">
        <w:t xml:space="preserve"> (TOR)</w:t>
      </w:r>
      <w:r>
        <w:t xml:space="preserve"> for the evaluation</w:t>
      </w:r>
      <w:r w:rsidR="001142BE">
        <w:t>,</w:t>
      </w:r>
      <w:r>
        <w:t xml:space="preserve"> which were</w:t>
      </w:r>
      <w:r w:rsidR="001142BE">
        <w:t xml:space="preserve"> then</w:t>
      </w:r>
      <w:r>
        <w:t xml:space="preserve"> further refined in the Evaluation Plan. </w:t>
      </w:r>
      <w:r w:rsidR="00FD0502">
        <w:t xml:space="preserve">While the findings </w:t>
      </w:r>
      <w:r w:rsidR="001142BE">
        <w:t>were</w:t>
      </w:r>
      <w:r w:rsidR="00FD0502">
        <w:t xml:space="preserve"> presented against the</w:t>
      </w:r>
      <w:r w:rsidR="007A6861">
        <w:t xml:space="preserve"> </w:t>
      </w:r>
      <w:r w:rsidR="007A6861">
        <w:rPr>
          <w:rStyle w:val="hgkelc"/>
        </w:rPr>
        <w:t>Organisation for Economic Co-operation and Development</w:t>
      </w:r>
      <w:r w:rsidR="00FD0502">
        <w:t xml:space="preserve"> </w:t>
      </w:r>
      <w:r w:rsidR="007A6861">
        <w:t xml:space="preserve">(OECD) </w:t>
      </w:r>
      <w:r w:rsidR="007A6861" w:rsidRPr="007A6861">
        <w:t xml:space="preserve">Development Assistance Committee </w:t>
      </w:r>
      <w:r w:rsidR="007A6861">
        <w:t>(</w:t>
      </w:r>
      <w:r w:rsidR="00FD0502">
        <w:t>DAC</w:t>
      </w:r>
      <w:r w:rsidR="007A6861">
        <w:t>)</w:t>
      </w:r>
      <w:r w:rsidR="00FD0502">
        <w:t xml:space="preserve"> criteria</w:t>
      </w:r>
      <w:r w:rsidR="009E54C5">
        <w:t xml:space="preserve"> in the main body of the report</w:t>
      </w:r>
      <w:r w:rsidR="00FD0502">
        <w:t xml:space="preserve">, </w:t>
      </w:r>
      <w:r w:rsidR="00FD0502" w:rsidRPr="00B50F69">
        <w:rPr>
          <w:u w:val="single"/>
        </w:rPr>
        <w:t>Annex 4</w:t>
      </w:r>
      <w:r w:rsidR="00FD0502">
        <w:t xml:space="preserve"> </w:t>
      </w:r>
      <w:r w:rsidR="007D0D1B">
        <w:t xml:space="preserve">outlines </w:t>
      </w:r>
      <w:r w:rsidR="006A59B6">
        <w:t xml:space="preserve">how each KEQ </w:t>
      </w:r>
      <w:r w:rsidR="001142BE">
        <w:t>was</w:t>
      </w:r>
      <w:r w:rsidR="006A59B6">
        <w:t xml:space="preserve"> </w:t>
      </w:r>
      <w:r w:rsidR="000D3C82">
        <w:t>responded</w:t>
      </w:r>
      <w:r w:rsidR="006A59B6">
        <w:t xml:space="preserve"> </w:t>
      </w:r>
      <w:r w:rsidR="000D3C82">
        <w:t>to in</w:t>
      </w:r>
      <w:r w:rsidR="006A59B6">
        <w:t xml:space="preserve"> the report.</w:t>
      </w:r>
    </w:p>
    <w:p w14:paraId="576B2EAF" w14:textId="38CCF60E" w:rsidR="005A0193" w:rsidRDefault="00825539" w:rsidP="00021D43">
      <w:pPr>
        <w:spacing w:line="240" w:lineRule="auto"/>
      </w:pPr>
      <w:r>
        <w:t>To answer</w:t>
      </w:r>
      <w:r w:rsidRPr="00D632CE">
        <w:t xml:space="preserve"> </w:t>
      </w:r>
      <w:r w:rsidR="007D6A1F">
        <w:t>KEQs</w:t>
      </w:r>
      <w:r w:rsidRPr="00D632CE">
        <w:t xml:space="preserve">, various lines of evidence were gathered from a range of sources. Data collection consisted of: a desk review of a wide range of program documentation; </w:t>
      </w:r>
      <w:r w:rsidR="007D6A1F">
        <w:t xml:space="preserve">remote </w:t>
      </w:r>
      <w:r w:rsidR="005A0193">
        <w:t>individual and</w:t>
      </w:r>
      <w:r w:rsidR="007D6A1F">
        <w:t xml:space="preserve"> group </w:t>
      </w:r>
      <w:r w:rsidR="005A0193">
        <w:t>interviews</w:t>
      </w:r>
      <w:r w:rsidR="007D6A1F">
        <w:t xml:space="preserve"> through phone and video conferencing with a range of </w:t>
      </w:r>
      <w:r>
        <w:t>stakeholders based in</w:t>
      </w:r>
      <w:r w:rsidR="007D6A1F">
        <w:t xml:space="preserve"> Australia and the Philippines</w:t>
      </w:r>
      <w:r>
        <w:t xml:space="preserve"> from </w:t>
      </w:r>
      <w:r w:rsidR="007D6A1F" w:rsidRPr="007D6A1F">
        <w:t>28 January – 11 February 2021</w:t>
      </w:r>
      <w:r w:rsidR="007D6A1F">
        <w:t xml:space="preserve">; presentation of the </w:t>
      </w:r>
      <w:r w:rsidR="00DA337E">
        <w:t>a</w:t>
      </w:r>
      <w:r w:rsidR="007D6A1F">
        <w:t xml:space="preserve">ide </w:t>
      </w:r>
      <w:r w:rsidR="00DA337E">
        <w:t>m</w:t>
      </w:r>
      <w:r w:rsidR="007D6A1F">
        <w:t>emoir</w:t>
      </w:r>
      <w:r w:rsidR="00DA337E">
        <w:t>e</w:t>
      </w:r>
      <w:r w:rsidR="007D6A1F">
        <w:t xml:space="preserve"> and </w:t>
      </w:r>
      <w:r w:rsidRPr="00D632CE">
        <w:t xml:space="preserve">feedback and verification meeting with DFAT </w:t>
      </w:r>
      <w:r>
        <w:t>post</w:t>
      </w:r>
      <w:r w:rsidR="007D6A1F">
        <w:t>, AD</w:t>
      </w:r>
      <w:r w:rsidR="008C57E3">
        <w:t>B</w:t>
      </w:r>
      <w:r w:rsidR="007D6A1F">
        <w:t xml:space="preserve"> and Government of Philippines partners</w:t>
      </w:r>
      <w:r w:rsidR="000A0BAE">
        <w:t>; written feedback on the draft evaluation report</w:t>
      </w:r>
      <w:r w:rsidR="000A0BAE">
        <w:rPr>
          <w:rStyle w:val="FootnoteReference"/>
        </w:rPr>
        <w:footnoteReference w:id="10"/>
      </w:r>
      <w:r w:rsidR="009A3BC5">
        <w:t>.</w:t>
      </w:r>
    </w:p>
    <w:p w14:paraId="4FAAD848" w14:textId="5879BD2B" w:rsidR="005A0193" w:rsidRPr="005A0193" w:rsidRDefault="005A0193" w:rsidP="00021D43">
      <w:pPr>
        <w:spacing w:line="240" w:lineRule="auto"/>
        <w:jc w:val="both"/>
      </w:pPr>
      <w:r w:rsidRPr="005A0193">
        <w:t xml:space="preserve">In total, 31 interviews were conducted with different stakeholder groups including: Philippine partners (19); ADB (1); DFAT representatives (5); </w:t>
      </w:r>
      <w:r w:rsidRPr="0089519C">
        <w:t>other Australian partners</w:t>
      </w:r>
      <w:r>
        <w:t xml:space="preserve"> (2); </w:t>
      </w:r>
      <w:r w:rsidRPr="005A0193">
        <w:t xml:space="preserve">Philippine </w:t>
      </w:r>
      <w:r w:rsidR="00A92122">
        <w:t>private sector</w:t>
      </w:r>
      <w:r w:rsidRPr="005A0193">
        <w:t xml:space="preserve"> entities </w:t>
      </w:r>
      <w:r w:rsidRPr="005A0193">
        <w:lastRenderedPageBreak/>
        <w:t xml:space="preserve">(2); and Australian </w:t>
      </w:r>
      <w:r w:rsidR="00A92122">
        <w:t>private sector</w:t>
      </w:r>
      <w:r w:rsidRPr="005A0193">
        <w:t xml:space="preserve"> entities (2).</w:t>
      </w:r>
      <w:r w:rsidR="00AC461A">
        <w:t xml:space="preserve"> A full list of respond groups and individuals consulted is </w:t>
      </w:r>
      <w:r w:rsidR="001142BE">
        <w:t>at</w:t>
      </w:r>
      <w:r w:rsidR="00AC461A">
        <w:t xml:space="preserve"> </w:t>
      </w:r>
      <w:r w:rsidR="00AC461A" w:rsidRPr="00B50F69">
        <w:rPr>
          <w:u w:val="single"/>
        </w:rPr>
        <w:t>Annex 4</w:t>
      </w:r>
      <w:r w:rsidR="00AC461A">
        <w:t>.</w:t>
      </w:r>
    </w:p>
    <w:p w14:paraId="5D0D504B" w14:textId="55969109" w:rsidR="003674F0" w:rsidRDefault="003674F0" w:rsidP="00E6700E">
      <w:pPr>
        <w:spacing w:after="0" w:line="240" w:lineRule="auto"/>
      </w:pPr>
      <w:r>
        <w:t xml:space="preserve">During the course of the evaluation mission, the evaluator undertook a rapid assessment of the political economy of the </w:t>
      </w:r>
      <w:r w:rsidRPr="00FC346D">
        <w:t xml:space="preserve">state of </w:t>
      </w:r>
      <w:r>
        <w:t>PPPs</w:t>
      </w:r>
      <w:r w:rsidRPr="00FC346D">
        <w:t xml:space="preserve"> in the Philippines as a basis for assessing the performance of the </w:t>
      </w:r>
      <w:r>
        <w:t>TA. Key findings of this assessment are presented</w:t>
      </w:r>
      <w:r w:rsidR="008C57E3">
        <w:t xml:space="preserve"> throughout the document, including in Section 3.</w:t>
      </w:r>
      <w:r w:rsidR="006A2EA1">
        <w:t>5</w:t>
      </w:r>
      <w:r w:rsidR="008C57E3">
        <w:t xml:space="preserve"> Relevance, </w:t>
      </w:r>
      <w:r>
        <w:t xml:space="preserve">and </w:t>
      </w:r>
      <w:r w:rsidR="008C57E3">
        <w:t>in the</w:t>
      </w:r>
      <w:r>
        <w:t xml:space="preserve"> visual timeline provided</w:t>
      </w:r>
      <w:r w:rsidR="005E374A">
        <w:t xml:space="preserve"> in </w:t>
      </w:r>
      <w:r w:rsidR="005E374A" w:rsidRPr="00B50F69">
        <w:rPr>
          <w:u w:val="single"/>
        </w:rPr>
        <w:t>Annex 1</w:t>
      </w:r>
      <w:r w:rsidR="005E374A">
        <w:t xml:space="preserve">. </w:t>
      </w:r>
    </w:p>
    <w:p w14:paraId="72865D20" w14:textId="77777777" w:rsidR="00F5700C" w:rsidRPr="00F5700C" w:rsidRDefault="00F5700C" w:rsidP="00F5700C"/>
    <w:p w14:paraId="2DA2C8A8" w14:textId="30D83C19" w:rsidR="001E7BF9" w:rsidRPr="001E7BF9" w:rsidRDefault="001E7BF9" w:rsidP="00F5700C">
      <w:pPr>
        <w:pStyle w:val="Heading3"/>
      </w:pPr>
      <w:bookmarkStart w:id="51" w:name="_Toc96435325"/>
      <w:r>
        <w:t xml:space="preserve">2.4 </w:t>
      </w:r>
      <w:bookmarkStart w:id="52" w:name="_Toc20500915"/>
      <w:bookmarkStart w:id="53" w:name="_Hlk19788630"/>
      <w:r w:rsidRPr="001E7BF9">
        <w:t>About this document</w:t>
      </w:r>
      <w:bookmarkEnd w:id="52"/>
      <w:bookmarkEnd w:id="51"/>
      <w:r w:rsidRPr="001E7BF9">
        <w:t xml:space="preserve"> </w:t>
      </w:r>
    </w:p>
    <w:bookmarkEnd w:id="53"/>
    <w:p w14:paraId="5C39899A" w14:textId="15506125" w:rsidR="001E7BF9" w:rsidRDefault="001E7BF9" w:rsidP="00021D43">
      <w:pPr>
        <w:spacing w:after="60" w:line="240" w:lineRule="auto"/>
      </w:pPr>
      <w:r w:rsidRPr="005C763C">
        <w:t xml:space="preserve">This </w:t>
      </w:r>
      <w:r w:rsidR="00CF3824">
        <w:t>main body of the report</w:t>
      </w:r>
      <w:r w:rsidRPr="005C763C">
        <w:t xml:space="preserve"> presents the findings</w:t>
      </w:r>
      <w:r>
        <w:t>, lessons learned and recommendations. More detailed information relating to the assessment of activities and program outcomes are provided in annexes to this report including:</w:t>
      </w:r>
    </w:p>
    <w:p w14:paraId="5A1F9CEB" w14:textId="1DCC96A7" w:rsidR="001E7BF9" w:rsidRDefault="001E7BF9" w:rsidP="00021D43">
      <w:pPr>
        <w:numPr>
          <w:ilvl w:val="0"/>
          <w:numId w:val="7"/>
        </w:numPr>
        <w:spacing w:after="0" w:line="240" w:lineRule="auto"/>
        <w:ind w:left="426" w:right="95" w:hanging="426"/>
        <w:contextualSpacing/>
        <w:rPr>
          <w:rFonts w:eastAsia="Times New Roman" w:cstheme="minorHAnsi"/>
          <w:lang w:eastAsia="en-AU"/>
        </w:rPr>
      </w:pPr>
      <w:r>
        <w:rPr>
          <w:rFonts w:eastAsia="Times New Roman" w:cstheme="minorHAnsi"/>
          <w:lang w:eastAsia="en-AU"/>
        </w:rPr>
        <w:t>A timeline outlining key political economy</w:t>
      </w:r>
      <w:r w:rsidR="00C51821">
        <w:rPr>
          <w:rFonts w:eastAsia="Times New Roman" w:cstheme="minorHAnsi"/>
          <w:lang w:eastAsia="en-AU"/>
        </w:rPr>
        <w:t xml:space="preserve"> developments</w:t>
      </w:r>
      <w:r>
        <w:rPr>
          <w:rFonts w:eastAsia="Times New Roman" w:cstheme="minorHAnsi"/>
          <w:lang w:eastAsia="en-AU"/>
        </w:rPr>
        <w:t xml:space="preserve"> and program events and developments is </w:t>
      </w:r>
      <w:r w:rsidR="00FF3E33">
        <w:rPr>
          <w:rFonts w:eastAsia="Times New Roman" w:cstheme="minorHAnsi"/>
          <w:lang w:eastAsia="en-AU"/>
        </w:rPr>
        <w:t>at</w:t>
      </w:r>
      <w:r>
        <w:rPr>
          <w:rFonts w:eastAsia="Times New Roman" w:cstheme="minorHAnsi"/>
          <w:lang w:eastAsia="en-AU"/>
        </w:rPr>
        <w:t xml:space="preserve"> </w:t>
      </w:r>
      <w:r w:rsidRPr="001E7BF9">
        <w:rPr>
          <w:rFonts w:eastAsia="Times New Roman" w:cstheme="minorHAnsi"/>
          <w:u w:val="single"/>
          <w:lang w:eastAsia="en-AU"/>
        </w:rPr>
        <w:t xml:space="preserve">Annex </w:t>
      </w:r>
      <w:r w:rsidR="00642449" w:rsidRPr="001E7BF9">
        <w:rPr>
          <w:rFonts w:eastAsia="Times New Roman" w:cstheme="minorHAnsi"/>
          <w:u w:val="single"/>
          <w:lang w:eastAsia="en-AU"/>
        </w:rPr>
        <w:t>1</w:t>
      </w:r>
      <w:r w:rsidR="00642449">
        <w:rPr>
          <w:rFonts w:eastAsia="Times New Roman" w:cstheme="minorHAnsi"/>
          <w:lang w:eastAsia="en-AU"/>
        </w:rPr>
        <w:t>.</w:t>
      </w:r>
    </w:p>
    <w:p w14:paraId="273228AA" w14:textId="1B025DEC" w:rsidR="001E7BF9" w:rsidRPr="001E7BF9" w:rsidRDefault="001E7BF9" w:rsidP="00021D43">
      <w:pPr>
        <w:numPr>
          <w:ilvl w:val="0"/>
          <w:numId w:val="7"/>
        </w:numPr>
        <w:spacing w:after="0" w:line="240" w:lineRule="auto"/>
        <w:ind w:left="426" w:right="95" w:hanging="426"/>
        <w:contextualSpacing/>
        <w:rPr>
          <w:rFonts w:eastAsia="Times New Roman" w:cstheme="minorHAnsi"/>
          <w:lang w:eastAsia="en-AU"/>
        </w:rPr>
      </w:pPr>
      <w:r>
        <w:t xml:space="preserve">Results Charts detailing key results under each of the </w:t>
      </w:r>
      <w:r w:rsidR="00B05654">
        <w:t xml:space="preserve">five </w:t>
      </w:r>
      <w:r>
        <w:t xml:space="preserve">program outcomes can be found </w:t>
      </w:r>
      <w:r w:rsidR="000A0BAE">
        <w:t>in</w:t>
      </w:r>
      <w:r>
        <w:t xml:space="preserve"> </w:t>
      </w:r>
      <w:r w:rsidRPr="001E7BF9">
        <w:rPr>
          <w:u w:val="single"/>
        </w:rPr>
        <w:t>Annex 2</w:t>
      </w:r>
      <w:r>
        <w:t>.</w:t>
      </w:r>
    </w:p>
    <w:p w14:paraId="654CA682" w14:textId="0378E4FE" w:rsidR="001E7BF9" w:rsidRDefault="001E7BF9" w:rsidP="00021D43">
      <w:pPr>
        <w:numPr>
          <w:ilvl w:val="0"/>
          <w:numId w:val="7"/>
        </w:numPr>
        <w:spacing w:after="0" w:line="240" w:lineRule="auto"/>
        <w:ind w:left="426" w:right="95" w:hanging="426"/>
        <w:contextualSpacing/>
        <w:rPr>
          <w:rFonts w:eastAsia="Times New Roman" w:cstheme="minorHAnsi"/>
          <w:lang w:eastAsia="en-AU"/>
        </w:rPr>
      </w:pPr>
      <w:r>
        <w:t xml:space="preserve">A summary of PDMF data, including </w:t>
      </w:r>
      <w:r w:rsidR="00FA488C" w:rsidRPr="001E7BF9">
        <w:rPr>
          <w:rFonts w:eastAsia="Times New Roman" w:cstheme="minorHAnsi"/>
          <w:lang w:eastAsia="en-AU"/>
        </w:rPr>
        <w:t>of feasibility studies and transaction advisory</w:t>
      </w:r>
      <w:r w:rsidR="00FA488C">
        <w:rPr>
          <w:rFonts w:eastAsia="Times New Roman" w:cstheme="minorHAnsi"/>
          <w:lang w:eastAsia="en-AU"/>
        </w:rPr>
        <w:t xml:space="preserve"> provided through the PDMF and number and status of supported projects for </w:t>
      </w:r>
      <w:r w:rsidR="00021678">
        <w:rPr>
          <w:rFonts w:eastAsia="Times New Roman" w:cstheme="minorHAnsi"/>
          <w:lang w:eastAsia="en-AU"/>
        </w:rPr>
        <w:t>implementing agencies</w:t>
      </w:r>
      <w:r w:rsidR="00FA488C">
        <w:rPr>
          <w:rFonts w:eastAsia="Times New Roman" w:cstheme="minorHAnsi"/>
          <w:lang w:eastAsia="en-AU"/>
        </w:rPr>
        <w:t xml:space="preserve"> and </w:t>
      </w:r>
      <w:r w:rsidR="00E51EF4">
        <w:rPr>
          <w:rFonts w:eastAsia="Times New Roman" w:cstheme="minorHAnsi"/>
          <w:lang w:eastAsia="en-AU"/>
        </w:rPr>
        <w:t>local government</w:t>
      </w:r>
      <w:r w:rsidR="00FA488C">
        <w:rPr>
          <w:rFonts w:eastAsia="Times New Roman" w:cstheme="minorHAnsi"/>
          <w:lang w:eastAsia="en-AU"/>
        </w:rPr>
        <w:t xml:space="preserve">, is provided in </w:t>
      </w:r>
      <w:r w:rsidR="00FA488C" w:rsidRPr="00FA488C">
        <w:rPr>
          <w:rFonts w:eastAsia="Times New Roman" w:cstheme="minorHAnsi"/>
          <w:u w:val="single"/>
          <w:lang w:eastAsia="en-AU"/>
        </w:rPr>
        <w:t>Annex 3</w:t>
      </w:r>
      <w:r w:rsidR="00FA488C">
        <w:rPr>
          <w:rFonts w:eastAsia="Times New Roman" w:cstheme="minorHAnsi"/>
          <w:lang w:eastAsia="en-AU"/>
        </w:rPr>
        <w:t>.</w:t>
      </w:r>
    </w:p>
    <w:p w14:paraId="552E0784" w14:textId="2CF09966" w:rsidR="00974D39" w:rsidRPr="001E7BF9" w:rsidRDefault="00974D39" w:rsidP="00021D43">
      <w:pPr>
        <w:numPr>
          <w:ilvl w:val="0"/>
          <w:numId w:val="7"/>
        </w:numPr>
        <w:spacing w:after="0" w:line="240" w:lineRule="auto"/>
        <w:ind w:left="426" w:right="95" w:hanging="426"/>
        <w:contextualSpacing/>
        <w:rPr>
          <w:rFonts w:eastAsia="Times New Roman" w:cstheme="minorHAnsi"/>
          <w:lang w:eastAsia="en-AU"/>
        </w:rPr>
      </w:pPr>
      <w:r>
        <w:t>A</w:t>
      </w:r>
      <w:r w:rsidR="00CF3824">
        <w:t xml:space="preserve"> more detailed methodology is provided in </w:t>
      </w:r>
      <w:r w:rsidR="00CF3824" w:rsidRPr="00CF3824">
        <w:rPr>
          <w:u w:val="single"/>
        </w:rPr>
        <w:t>Annex 4</w:t>
      </w:r>
      <w:r w:rsidR="00CF3824">
        <w:t>.</w:t>
      </w:r>
    </w:p>
    <w:p w14:paraId="0DD107BF" w14:textId="1AA23C12" w:rsidR="002F744B" w:rsidRPr="00BF7C54" w:rsidRDefault="002F744B" w:rsidP="00F2226C">
      <w:pPr>
        <w:pStyle w:val="Heading20"/>
      </w:pPr>
      <w:bookmarkStart w:id="54" w:name="_Toc96435326"/>
      <w:r>
        <w:t>3</w:t>
      </w:r>
      <w:r w:rsidRPr="00BF7C54">
        <w:tab/>
      </w:r>
      <w:r>
        <w:t>Findings</w:t>
      </w:r>
      <w:bookmarkEnd w:id="54"/>
      <w:r w:rsidRPr="00BF7C54">
        <w:t xml:space="preserve"> </w:t>
      </w:r>
    </w:p>
    <w:p w14:paraId="2F1C2C36" w14:textId="49B58143" w:rsidR="005E374A" w:rsidRDefault="005E374A" w:rsidP="00F2226C">
      <w:pPr>
        <w:pStyle w:val="Heading3"/>
      </w:pPr>
      <w:bookmarkStart w:id="55" w:name="_Toc96435327"/>
      <w:r>
        <w:t xml:space="preserve">3.1 </w:t>
      </w:r>
      <w:r w:rsidRPr="005E374A">
        <w:t>Effectivenes</w:t>
      </w:r>
      <w:bookmarkEnd w:id="55"/>
    </w:p>
    <w:p w14:paraId="2B5F18EA" w14:textId="28C02BC8" w:rsidR="00BE7F99" w:rsidRDefault="000600AA" w:rsidP="000600AA">
      <w:pPr>
        <w:pStyle w:val="SDAbodytext"/>
      </w:pPr>
      <w:r>
        <w:t xml:space="preserve">This section assesses the effectiveness of the TA and its two components broadly, highlighting </w:t>
      </w:r>
      <w:r w:rsidR="00591D50">
        <w:t xml:space="preserve">the </w:t>
      </w:r>
      <w:r>
        <w:t xml:space="preserve">key outcomes to which </w:t>
      </w:r>
      <w:r w:rsidR="00591D50">
        <w:t>the TA</w:t>
      </w:r>
      <w:r>
        <w:t xml:space="preserve"> has contributed. An assessment and summary of results against the five planned outcomes of the TA is provided in </w:t>
      </w:r>
      <w:r w:rsidRPr="00B50F69">
        <w:rPr>
          <w:u w:val="single"/>
        </w:rPr>
        <w:t>Annex 2</w:t>
      </w:r>
      <w:r w:rsidR="00FF3E33">
        <w:t>:</w:t>
      </w:r>
      <w:r>
        <w:t xml:space="preserve"> Results Charts. </w:t>
      </w:r>
    </w:p>
    <w:p w14:paraId="3EEFD949" w14:textId="4B0BB636" w:rsidR="00BE7F99" w:rsidRDefault="000600AA" w:rsidP="000600AA">
      <w:pPr>
        <w:pStyle w:val="SDAbodytext"/>
      </w:pPr>
      <w:r>
        <w:t xml:space="preserve">The TA significantly contributed to the Philippines PPP </w:t>
      </w:r>
      <w:r w:rsidR="00BE7F99">
        <w:t xml:space="preserve">business </w:t>
      </w:r>
      <w:r>
        <w:t xml:space="preserve">structure and the high capacity and excellence of government agencies which have strongly </w:t>
      </w:r>
      <w:r w:rsidRPr="001674D8">
        <w:t>advanc</w:t>
      </w:r>
      <w:r>
        <w:t>ed</w:t>
      </w:r>
      <w:r w:rsidRPr="001674D8">
        <w:t xml:space="preserve"> </w:t>
      </w:r>
      <w:r>
        <w:t xml:space="preserve">the PPP Program. </w:t>
      </w:r>
      <w:r w:rsidR="00BD00C6" w:rsidRPr="00AC794F">
        <w:t xml:space="preserve">Project Development and </w:t>
      </w:r>
      <w:r w:rsidR="00BD00C6">
        <w:t xml:space="preserve">Monitoring </w:t>
      </w:r>
      <w:r w:rsidR="00BD00C6" w:rsidRPr="00AC794F">
        <w:t xml:space="preserve">Facility </w:t>
      </w:r>
      <w:r w:rsidR="00BD00C6">
        <w:t>(</w:t>
      </w:r>
      <w:r w:rsidR="00344C46" w:rsidRPr="00344C46">
        <w:t>PDMF</w:t>
      </w:r>
      <w:r w:rsidR="00BD00C6">
        <w:t>)</w:t>
      </w:r>
      <w:r w:rsidR="00344C46" w:rsidRPr="00344C46">
        <w:t xml:space="preserve"> support has resulted in the award of 12 PPP projects</w:t>
      </w:r>
      <w:r w:rsidR="002A61EF">
        <w:t xml:space="preserve"> between 2011-2021</w:t>
      </w:r>
      <w:r w:rsidR="00344C46" w:rsidRPr="00344C46">
        <w:t xml:space="preserve"> with </w:t>
      </w:r>
      <w:r w:rsidR="00327F30">
        <w:t xml:space="preserve">a </w:t>
      </w:r>
      <w:r w:rsidR="00344C46" w:rsidRPr="00344C46">
        <w:t xml:space="preserve">project cost of </w:t>
      </w:r>
      <w:r w:rsidR="002A61EF">
        <w:t>USD</w:t>
      </w:r>
      <w:r w:rsidR="00FF3E33">
        <w:t> </w:t>
      </w:r>
      <w:r w:rsidR="00344C46" w:rsidRPr="00FC3ADC">
        <w:t>2.9 billion</w:t>
      </w:r>
      <w:r w:rsidR="00A72740">
        <w:t xml:space="preserve"> (approximately </w:t>
      </w:r>
      <w:r w:rsidR="00A72740" w:rsidRPr="00FC3ADC">
        <w:t>AUD</w:t>
      </w:r>
      <w:r w:rsidR="00A72740">
        <w:t xml:space="preserve"> 3.7 </w:t>
      </w:r>
      <w:r w:rsidR="008F709D">
        <w:t xml:space="preserve">billion) </w:t>
      </w:r>
      <w:r w:rsidR="008F709D" w:rsidRPr="00FC3ADC">
        <w:t>and</w:t>
      </w:r>
      <w:r w:rsidR="00344C46">
        <w:t xml:space="preserve"> the </w:t>
      </w:r>
      <w:r w:rsidR="00CC58DB" w:rsidRPr="00CC4BD1">
        <w:t>development of a credible PPP project pipeline</w:t>
      </w:r>
      <w:r w:rsidR="00CC58DB">
        <w:t>, including at the local level. Overall effectiveness diminished to some extent due</w:t>
      </w:r>
      <w:r w:rsidR="00DA337E">
        <w:t xml:space="preserve"> to</w:t>
      </w:r>
      <w:r w:rsidR="00CC58DB">
        <w:t xml:space="preserve"> the lack of an adaptive management approach and ADB’s</w:t>
      </w:r>
      <w:r w:rsidR="00B365D8">
        <w:t xml:space="preserve"> monitoring and evaluation</w:t>
      </w:r>
      <w:r w:rsidR="00CC58DB">
        <w:t xml:space="preserve"> systems. These issues are discussed under Section 3.5 Relevance, and Section 3.6 Monitoring and Evaluation.</w:t>
      </w:r>
    </w:p>
    <w:p w14:paraId="09A0D38C" w14:textId="4FF5A8AF" w:rsidR="00F2643F" w:rsidRDefault="000600AA" w:rsidP="00193C64">
      <w:pPr>
        <w:pStyle w:val="SDAbodytext"/>
      </w:pPr>
      <w:bookmarkStart w:id="56" w:name="_Hlk75867756"/>
      <w:r>
        <w:t xml:space="preserve">The TA played a key role in strengthening the delivery, capacity and professionalism of the </w:t>
      </w:r>
      <w:r w:rsidR="000735BE">
        <w:t xml:space="preserve">Philippines </w:t>
      </w:r>
      <w:r>
        <w:t>PPP Program which emerged as a leader in the region</w:t>
      </w:r>
      <w:bookmarkEnd w:id="56"/>
      <w:r>
        <w:t xml:space="preserve">. The Philippines </w:t>
      </w:r>
      <w:r w:rsidRPr="00AB4B11">
        <w:t>consistently ranked in the upper tier of the World Bank’s benchmarking framework that assesses the quality of regulatory frameworks governing PPP projects</w:t>
      </w:r>
      <w:r>
        <w:rPr>
          <w:rStyle w:val="FootnoteReference"/>
        </w:rPr>
        <w:footnoteReference w:id="11"/>
      </w:r>
      <w:r w:rsidRPr="00AB4B11">
        <w:t xml:space="preserve">. </w:t>
      </w:r>
      <w:r>
        <w:t xml:space="preserve">It </w:t>
      </w:r>
      <w:r w:rsidR="000735BE">
        <w:t>was</w:t>
      </w:r>
      <w:r>
        <w:t xml:space="preserve"> ranked second in the</w:t>
      </w:r>
      <w:r w:rsidR="00A72740">
        <w:t xml:space="preserve"> 2018</w:t>
      </w:r>
      <w:r>
        <w:t xml:space="preserve"> Economist </w:t>
      </w:r>
      <w:r>
        <w:lastRenderedPageBreak/>
        <w:t>Intelligence Unit’s ranking of Asian countries most conducive to PPPs. It also won a series of awards</w:t>
      </w:r>
      <w:r>
        <w:rPr>
          <w:rStyle w:val="FootnoteReference"/>
        </w:rPr>
        <w:footnoteReference w:id="12"/>
      </w:r>
      <w:r>
        <w:t xml:space="preserve"> which is a strong </w:t>
      </w:r>
      <w:r w:rsidRPr="00D44DAA">
        <w:t>testament</w:t>
      </w:r>
      <w:r>
        <w:t xml:space="preserve"> to the performance of the</w:t>
      </w:r>
      <w:r w:rsidR="00193C64">
        <w:t xml:space="preserve"> PPP</w:t>
      </w:r>
      <w:r>
        <w:t xml:space="preserve"> Program. </w:t>
      </w:r>
    </w:p>
    <w:p w14:paraId="16F0E766" w14:textId="1F02E9AE" w:rsidR="000600AA" w:rsidRDefault="00193C64" w:rsidP="00193C64">
      <w:pPr>
        <w:pStyle w:val="SDAbodytext"/>
      </w:pPr>
      <w:r>
        <w:t>A</w:t>
      </w:r>
      <w:r w:rsidR="000600AA">
        <w:t xml:space="preserve"> notable example provided by an international </w:t>
      </w:r>
      <w:r w:rsidR="00327F30">
        <w:t>private sector</w:t>
      </w:r>
      <w:r w:rsidR="000600AA">
        <w:t xml:space="preserve"> </w:t>
      </w:r>
      <w:r>
        <w:t>firm</w:t>
      </w:r>
      <w:r w:rsidR="00327F30">
        <w:t xml:space="preserve"> through this evaluation</w:t>
      </w:r>
      <w:r w:rsidR="000600AA">
        <w:t xml:space="preserve"> was the high level of transparency and accessibility provided by the government as part of bidding process</w:t>
      </w:r>
      <w:r w:rsidR="00327F30">
        <w:t>es</w:t>
      </w:r>
      <w:r w:rsidR="000600AA">
        <w:t xml:space="preserve">, which </w:t>
      </w:r>
      <w:r w:rsidR="00327F30">
        <w:t xml:space="preserve">reportedly </w:t>
      </w:r>
      <w:r>
        <w:t>afford</w:t>
      </w:r>
      <w:r w:rsidR="00327F30">
        <w:t>s</w:t>
      </w:r>
      <w:r w:rsidR="000600AA">
        <w:t xml:space="preserve"> </w:t>
      </w:r>
      <w:r w:rsidR="00327F30">
        <w:t>private sector</w:t>
      </w:r>
      <w:r w:rsidR="000600AA">
        <w:t xml:space="preserve"> </w:t>
      </w:r>
      <w:r>
        <w:t xml:space="preserve">entities </w:t>
      </w:r>
      <w:r w:rsidR="000600AA">
        <w:t xml:space="preserve">a high degree of confidence. The IT platform established with the support of the TA strongly </w:t>
      </w:r>
      <w:r w:rsidR="000600AA" w:rsidRPr="007E2776">
        <w:rPr>
          <w:lang w:val="en-GB"/>
        </w:rPr>
        <w:t>promot</w:t>
      </w:r>
      <w:r>
        <w:rPr>
          <w:lang w:val="en-GB"/>
        </w:rPr>
        <w:t xml:space="preserve">ed </w:t>
      </w:r>
      <w:r w:rsidR="000600AA">
        <w:rPr>
          <w:lang w:val="en-GB"/>
        </w:rPr>
        <w:t>the</w:t>
      </w:r>
      <w:r w:rsidR="000600AA" w:rsidRPr="007E2776">
        <w:rPr>
          <w:lang w:val="en-GB"/>
        </w:rPr>
        <w:t xml:space="preserve"> transparency and reliability of the </w:t>
      </w:r>
      <w:r w:rsidR="000600AA">
        <w:rPr>
          <w:lang w:val="en-GB"/>
        </w:rPr>
        <w:t xml:space="preserve">PPP </w:t>
      </w:r>
      <w:r w:rsidR="000600AA" w:rsidRPr="007E2776">
        <w:rPr>
          <w:lang w:val="en-GB"/>
        </w:rPr>
        <w:t>process.</w:t>
      </w:r>
      <w:r w:rsidR="000600AA">
        <w:t xml:space="preserve"> </w:t>
      </w:r>
      <w:r>
        <w:t>Significantly, the PPP Cent</w:t>
      </w:r>
      <w:r w:rsidR="00327F30">
        <w:t>er</w:t>
      </w:r>
      <w:r>
        <w:t xml:space="preserve"> provided the</w:t>
      </w:r>
      <w:r w:rsidR="000600AA" w:rsidRPr="00E63F7D">
        <w:t xml:space="preserve"> middle ground for meaningful discussions between </w:t>
      </w:r>
      <w:r>
        <w:t>G</w:t>
      </w:r>
      <w:r w:rsidR="000600AA" w:rsidRPr="00E63F7D">
        <w:t xml:space="preserve">overnment and </w:t>
      </w:r>
      <w:r w:rsidR="00327F30">
        <w:t>the private sector</w:t>
      </w:r>
      <w:r w:rsidR="000600AA" w:rsidRPr="00E63F7D">
        <w:t>.</w:t>
      </w:r>
      <w:r w:rsidR="000600AA">
        <w:t xml:space="preserve"> The TA contributed to this culture of excellence and professionalism </w:t>
      </w:r>
      <w:r>
        <w:t>by</w:t>
      </w:r>
      <w:r w:rsidR="000600AA">
        <w:t xml:space="preserve"> providing staff with opportunities to work with international experts and </w:t>
      </w:r>
      <w:r>
        <w:t>gain</w:t>
      </w:r>
      <w:r w:rsidR="000600AA">
        <w:t xml:space="preserve"> exposure to international best practice </w:t>
      </w:r>
      <w:r w:rsidR="00F2643F">
        <w:t>(</w:t>
      </w:r>
      <w:r w:rsidR="000600AA">
        <w:t>as outlined in Section 3.3</w:t>
      </w:r>
      <w:r w:rsidR="00F2643F">
        <w:t>)</w:t>
      </w:r>
      <w:r w:rsidR="000600AA">
        <w:t>.</w:t>
      </w:r>
    </w:p>
    <w:p w14:paraId="1C42BD83" w14:textId="13E2E317" w:rsidR="00DD6220" w:rsidRDefault="000600AA" w:rsidP="000600AA">
      <w:pPr>
        <w:pStyle w:val="SDAbodytext"/>
      </w:pPr>
      <w:r>
        <w:t xml:space="preserve">The Philippines </w:t>
      </w:r>
      <w:r w:rsidR="00F2643F">
        <w:t>saw</w:t>
      </w:r>
      <w:r>
        <w:t xml:space="preserve"> a </w:t>
      </w:r>
      <w:r w:rsidR="00C43C6B">
        <w:t>positive</w:t>
      </w:r>
      <w:r>
        <w:t xml:space="preserve"> shift towards the PPP modality, which was not in favour in the years </w:t>
      </w:r>
      <w:r w:rsidR="005960B8">
        <w:t>preceding</w:t>
      </w:r>
      <w:r>
        <w:t xml:space="preserve"> the TA. </w:t>
      </w:r>
      <w:r w:rsidR="00165305">
        <w:t>It</w:t>
      </w:r>
      <w:r w:rsidR="00165305" w:rsidRPr="00C74F48">
        <w:t xml:space="preserve"> supported the </w:t>
      </w:r>
      <w:r w:rsidR="00F2643F">
        <w:t xml:space="preserve">Philippine </w:t>
      </w:r>
      <w:r w:rsidR="00165305" w:rsidRPr="00C74F48">
        <w:t>government’s advancement on promoting PPP as a mode of supplementing public resources and freeing up fiscal space that can be allocated to other important public services and recovery programs.</w:t>
      </w:r>
      <w:r w:rsidR="00165305">
        <w:t xml:space="preserve"> </w:t>
      </w:r>
      <w:r>
        <w:t>The TA contributed to this by building up a new agency, PPP framework and modality. This saw the PPP Cent</w:t>
      </w:r>
      <w:r w:rsidR="00075FB5">
        <w:t>er</w:t>
      </w:r>
      <w:r>
        <w:t xml:space="preserve"> establish policies and policy monitoring groups, develop the first PPP Strategic Plan which built the vision, mission and goals of the PPP Program, its scope of services along with the service structures and infrastructure to perform its mandate. </w:t>
      </w:r>
    </w:p>
    <w:p w14:paraId="78B6A2F4" w14:textId="69E193D7" w:rsidR="00DD6220" w:rsidRDefault="005960B8" w:rsidP="000600AA">
      <w:pPr>
        <w:pStyle w:val="SDAbodytext"/>
      </w:pPr>
      <w:r>
        <w:t xml:space="preserve">The TA </w:t>
      </w:r>
      <w:r w:rsidR="000600AA">
        <w:t>has continued to strengthen the PPP Program and structures, iteratively developing the capacity of government partners</w:t>
      </w:r>
      <w:r w:rsidR="000600AA" w:rsidRPr="00F82AF4">
        <w:t xml:space="preserve"> </w:t>
      </w:r>
      <w:r w:rsidR="000600AA">
        <w:t xml:space="preserve">to develop, administer, evaluate and contract PPPs in a more in-depth technical manner. The PPP guidelines, manuals, training modules and templates </w:t>
      </w:r>
      <w:r w:rsidR="00564C1D">
        <w:t>develop</w:t>
      </w:r>
      <w:r w:rsidR="00EB2244">
        <w:t>ed</w:t>
      </w:r>
      <w:r w:rsidR="000600AA">
        <w:t xml:space="preserve"> with the support of the TA have built awareness of stakeholders of the PPP modality</w:t>
      </w:r>
      <w:r>
        <w:t xml:space="preserve"> and its value</w:t>
      </w:r>
      <w:r w:rsidR="000600AA">
        <w:t>, including</w:t>
      </w:r>
      <w:r w:rsidR="003853A8">
        <w:t xml:space="preserve"> among</w:t>
      </w:r>
      <w:r w:rsidR="000600AA">
        <w:t xml:space="preserve"> national government agencies, </w:t>
      </w:r>
      <w:r w:rsidR="00021678">
        <w:t>implementing agencies</w:t>
      </w:r>
      <w:r w:rsidR="000600AA">
        <w:t xml:space="preserve">, </w:t>
      </w:r>
      <w:r w:rsidR="00E51EF4">
        <w:t>local government</w:t>
      </w:r>
      <w:r w:rsidR="005E71ED">
        <w:t>s</w:t>
      </w:r>
      <w:r w:rsidR="00E51EF4">
        <w:t xml:space="preserve"> </w:t>
      </w:r>
      <w:r w:rsidR="000600AA">
        <w:t xml:space="preserve">and </w:t>
      </w:r>
      <w:r w:rsidR="00A92122">
        <w:t>private sector</w:t>
      </w:r>
      <w:r w:rsidR="000600AA">
        <w:t xml:space="preserve"> partners. </w:t>
      </w:r>
      <w:r w:rsidR="0039539D">
        <w:t xml:space="preserve">The </w:t>
      </w:r>
      <w:r w:rsidR="00642449" w:rsidRPr="0039539D">
        <w:t>TA</w:t>
      </w:r>
      <w:r w:rsidR="00642449">
        <w:t xml:space="preserve"> </w:t>
      </w:r>
      <w:r w:rsidR="00642449" w:rsidRPr="0039539D">
        <w:t>contributed</w:t>
      </w:r>
      <w:r w:rsidR="0039539D" w:rsidRPr="0039539D">
        <w:t xml:space="preserve"> to strengthening the policy environment of PPPs with the creation of the PPP Governing Board, the overall policy-making body for PPPs in the country.</w:t>
      </w:r>
      <w:r w:rsidR="00C74F48">
        <w:t xml:space="preserve"> </w:t>
      </w:r>
    </w:p>
    <w:p w14:paraId="0D14D393" w14:textId="43E007B7" w:rsidR="00DD6220" w:rsidRDefault="005960B8" w:rsidP="000600AA">
      <w:pPr>
        <w:pStyle w:val="SDAbodytext"/>
      </w:pPr>
      <w:r>
        <w:rPr>
          <w:lang w:val="en-GB"/>
        </w:rPr>
        <w:t xml:space="preserve">The TA </w:t>
      </w:r>
      <w:r w:rsidR="00DD6220">
        <w:rPr>
          <w:lang w:val="en-GB"/>
        </w:rPr>
        <w:t>was</w:t>
      </w:r>
      <w:r>
        <w:rPr>
          <w:lang w:val="en-GB"/>
        </w:rPr>
        <w:t xml:space="preserve"> </w:t>
      </w:r>
      <w:r w:rsidRPr="00936CAA">
        <w:rPr>
          <w:lang w:val="en-GB"/>
        </w:rPr>
        <w:t xml:space="preserve">instrumental in ensuring </w:t>
      </w:r>
      <w:r w:rsidR="003853A8">
        <w:rPr>
          <w:lang w:val="en-GB"/>
        </w:rPr>
        <w:t xml:space="preserve">a </w:t>
      </w:r>
      <w:r w:rsidRPr="00936CAA">
        <w:rPr>
          <w:lang w:val="en-GB"/>
        </w:rPr>
        <w:t>robust approach of national government</w:t>
      </w:r>
      <w:r w:rsidR="0039539D">
        <w:rPr>
          <w:lang w:val="en-GB"/>
        </w:rPr>
        <w:t xml:space="preserve"> in undertaking PPPs</w:t>
      </w:r>
      <w:r>
        <w:rPr>
          <w:lang w:val="en-GB"/>
        </w:rPr>
        <w:t>. There has</w:t>
      </w:r>
      <w:r w:rsidRPr="00936CAA">
        <w:t xml:space="preserve"> been a significant improvement in terms of</w:t>
      </w:r>
      <w:r w:rsidR="003853A8">
        <w:t xml:space="preserve"> the</w:t>
      </w:r>
      <w:r w:rsidRPr="00936CAA">
        <w:t xml:space="preserve"> assistance of government in supporting PPPs and their implementation</w:t>
      </w:r>
      <w:r>
        <w:t>, with reports that the</w:t>
      </w:r>
      <w:r>
        <w:rPr>
          <w:lang w:val="en-GB"/>
        </w:rPr>
        <w:t xml:space="preserve"> perception of PPPs among government and community </w:t>
      </w:r>
      <w:r w:rsidR="00DD6220">
        <w:rPr>
          <w:lang w:val="en-GB"/>
        </w:rPr>
        <w:t>was</w:t>
      </w:r>
      <w:r>
        <w:rPr>
          <w:lang w:val="en-GB"/>
        </w:rPr>
        <w:t xml:space="preserve"> changing as projects </w:t>
      </w:r>
      <w:r w:rsidR="00DD6220">
        <w:rPr>
          <w:lang w:val="en-GB"/>
        </w:rPr>
        <w:t>were</w:t>
      </w:r>
      <w:r>
        <w:rPr>
          <w:lang w:val="en-GB"/>
        </w:rPr>
        <w:t xml:space="preserve"> opening up</w:t>
      </w:r>
      <w:r w:rsidR="00690CBF">
        <w:rPr>
          <w:lang w:val="en-GB"/>
        </w:rPr>
        <w:t>,</w:t>
      </w:r>
      <w:r>
        <w:rPr>
          <w:lang w:val="en-GB"/>
        </w:rPr>
        <w:t xml:space="preserve"> and starting to </w:t>
      </w:r>
      <w:r w:rsidR="003853A8">
        <w:rPr>
          <w:lang w:val="en-GB"/>
        </w:rPr>
        <w:t>bring</w:t>
      </w:r>
      <w:r>
        <w:rPr>
          <w:lang w:val="en-GB"/>
        </w:rPr>
        <w:t xml:space="preserve"> benefit. </w:t>
      </w:r>
      <w:r w:rsidR="000600AA">
        <w:t>The PPP Program successful</w:t>
      </w:r>
      <w:r>
        <w:t>ly</w:t>
      </w:r>
      <w:r w:rsidR="000600AA">
        <w:t xml:space="preserve"> maximised </w:t>
      </w:r>
      <w:r w:rsidR="00075FB5">
        <w:t>private sector</w:t>
      </w:r>
      <w:r w:rsidR="000600AA">
        <w:t xml:space="preserve"> participation in building the country’s infrastructure</w:t>
      </w:r>
      <w:r>
        <w:t xml:space="preserve">, </w:t>
      </w:r>
      <w:r w:rsidR="000600AA">
        <w:t xml:space="preserve">noting limitations in the policy environment which has limited </w:t>
      </w:r>
      <w:r>
        <w:t>impact (</w:t>
      </w:r>
      <w:r w:rsidR="000600AA">
        <w:t xml:space="preserve">discussed </w:t>
      </w:r>
      <w:r>
        <w:t xml:space="preserve">further </w:t>
      </w:r>
      <w:r w:rsidR="000600AA">
        <w:t xml:space="preserve">in Section 3.3). </w:t>
      </w:r>
    </w:p>
    <w:p w14:paraId="44641305" w14:textId="11E5D09E" w:rsidR="00DF3DDE" w:rsidRDefault="000600AA" w:rsidP="000600AA">
      <w:pPr>
        <w:pStyle w:val="SDAbodytext"/>
      </w:pPr>
      <w:r w:rsidRPr="00E43275">
        <w:t>The TA provided capacity building support to the PPP Cent</w:t>
      </w:r>
      <w:r w:rsidR="007366F0">
        <w:t>er</w:t>
      </w:r>
      <w:r w:rsidRPr="00E43275">
        <w:t xml:space="preserve">, which </w:t>
      </w:r>
      <w:r w:rsidR="00DF3DDE">
        <w:t xml:space="preserve">is </w:t>
      </w:r>
      <w:r w:rsidRPr="00E43275">
        <w:t xml:space="preserve">itself </w:t>
      </w:r>
      <w:r w:rsidR="00DF3DDE">
        <w:t xml:space="preserve">a </w:t>
      </w:r>
      <w:r w:rsidRPr="00E43275">
        <w:t xml:space="preserve">capacity </w:t>
      </w:r>
      <w:r w:rsidR="00DF3DDE">
        <w:t>building agency</w:t>
      </w:r>
      <w:r w:rsidRPr="00E43275">
        <w:t xml:space="preserve">. </w:t>
      </w:r>
      <w:r w:rsidR="00605C58">
        <w:t>It</w:t>
      </w:r>
      <w:r w:rsidRPr="00E43275">
        <w:t xml:space="preserve"> helped the PPP Center to perform its mandate, </w:t>
      </w:r>
      <w:r w:rsidR="00DF3DDE">
        <w:t>with</w:t>
      </w:r>
      <w:r w:rsidRPr="00E43275">
        <w:t xml:space="preserve"> the benefits of the TA </w:t>
      </w:r>
      <w:r>
        <w:t>cascad</w:t>
      </w:r>
      <w:r w:rsidR="00DF3DDE">
        <w:t>ing</w:t>
      </w:r>
      <w:r>
        <w:t xml:space="preserve"> outwards and downwards to clients</w:t>
      </w:r>
      <w:r w:rsidRPr="00E43275">
        <w:t xml:space="preserve"> of the </w:t>
      </w:r>
      <w:r>
        <w:t>various PPP Cent</w:t>
      </w:r>
      <w:r w:rsidR="007366F0">
        <w:t>er</w:t>
      </w:r>
      <w:r>
        <w:t xml:space="preserve"> </w:t>
      </w:r>
      <w:r w:rsidRPr="00E43275">
        <w:t>services.</w:t>
      </w:r>
      <w:r w:rsidR="00DF3DDE">
        <w:t xml:space="preserve"> </w:t>
      </w:r>
      <w:r w:rsidR="00DF3DDE" w:rsidRPr="00E43275">
        <w:t>Significantly, the PPP Cent</w:t>
      </w:r>
      <w:r w:rsidR="007366F0">
        <w:t>er</w:t>
      </w:r>
      <w:r w:rsidR="00DF3DDE" w:rsidRPr="00E43275">
        <w:t xml:space="preserve"> formalised and mainstreamed PPP Cent</w:t>
      </w:r>
      <w:r w:rsidR="007366F0">
        <w:t>er</w:t>
      </w:r>
      <w:r w:rsidR="00DF3DDE" w:rsidRPr="00E43275">
        <w:t xml:space="preserve"> capacity to its clients and providers, including non</w:t>
      </w:r>
      <w:r w:rsidR="00DD6220">
        <w:noBreakHyphen/>
      </w:r>
      <w:r w:rsidR="00DF3DDE" w:rsidRPr="00E43275">
        <w:t>traditional local partners</w:t>
      </w:r>
      <w:r w:rsidR="00DF3DDE">
        <w:t xml:space="preserve">. It </w:t>
      </w:r>
      <w:r w:rsidR="00DF3DDE" w:rsidRPr="00E43275">
        <w:t>developed its own PPP training modules</w:t>
      </w:r>
      <w:r w:rsidR="00DF3DDE">
        <w:t>, circulars and</w:t>
      </w:r>
      <w:r w:rsidR="00DF3DDE" w:rsidRPr="00E43275">
        <w:t xml:space="preserve"> </w:t>
      </w:r>
      <w:r w:rsidR="0039539D">
        <w:t xml:space="preserve">tools in evaluating </w:t>
      </w:r>
      <w:r w:rsidR="00DF3DDE" w:rsidRPr="00E43275">
        <w:t>unsolicited proposal</w:t>
      </w:r>
      <w:r w:rsidR="0039539D">
        <w:t>s</w:t>
      </w:r>
      <w:r w:rsidR="00DF3DDE" w:rsidRPr="00E43275">
        <w:t xml:space="preserve"> </w:t>
      </w:r>
      <w:r w:rsidR="00DF3DDE">
        <w:t>to build the capacity of</w:t>
      </w:r>
      <w:r w:rsidR="00DF3DDE" w:rsidRPr="00E43275">
        <w:t xml:space="preserve"> </w:t>
      </w:r>
      <w:r w:rsidR="00021678">
        <w:t>implementing agencies</w:t>
      </w:r>
      <w:r w:rsidR="00DF3DDE">
        <w:t xml:space="preserve"> and </w:t>
      </w:r>
      <w:r w:rsidR="00E51EF4">
        <w:t>local government</w:t>
      </w:r>
      <w:r w:rsidR="0051653D">
        <w:t>s</w:t>
      </w:r>
      <w:r w:rsidR="00D26F4C">
        <w:t>,</w:t>
      </w:r>
      <w:r w:rsidR="00DF3DDE">
        <w:t xml:space="preserve"> and </w:t>
      </w:r>
      <w:r w:rsidR="0051653D">
        <w:t xml:space="preserve">provide </w:t>
      </w:r>
      <w:r w:rsidRPr="00E43275">
        <w:t>shar</w:t>
      </w:r>
      <w:r>
        <w:t>ed</w:t>
      </w:r>
      <w:r w:rsidRPr="00E43275">
        <w:t xml:space="preserve"> knowledge</w:t>
      </w:r>
      <w:r w:rsidR="00DF3DDE">
        <w:t xml:space="preserve"> and resources</w:t>
      </w:r>
      <w:r w:rsidRPr="00E43275">
        <w:t xml:space="preserve"> with its clients in all stages of the PPP cycle</w:t>
      </w:r>
      <w:r w:rsidR="00DF3DDE">
        <w:t xml:space="preserve">. This increased the confidence and capacity of </w:t>
      </w:r>
      <w:r w:rsidR="00021678">
        <w:t>implementing agencies</w:t>
      </w:r>
      <w:r w:rsidR="00DF3DDE">
        <w:t xml:space="preserve"> and </w:t>
      </w:r>
      <w:r w:rsidR="00E51EF4">
        <w:t>local government</w:t>
      </w:r>
      <w:r w:rsidR="00D26F4C">
        <w:t>s</w:t>
      </w:r>
      <w:r w:rsidR="00DF3DDE">
        <w:t xml:space="preserve"> to prepare</w:t>
      </w:r>
      <w:r w:rsidR="0039539D">
        <w:t xml:space="preserve"> and</w:t>
      </w:r>
      <w:r w:rsidR="00DF3DDE">
        <w:t xml:space="preserve"> evaluate projects and structure contracts.</w:t>
      </w:r>
      <w:r w:rsidRPr="00E43275">
        <w:t xml:space="preserve"> The impact of this is exemplified by key </w:t>
      </w:r>
      <w:r w:rsidR="00021678">
        <w:t>implementing agencies</w:t>
      </w:r>
      <w:r w:rsidR="008466AF">
        <w:t>.</w:t>
      </w:r>
      <w:r w:rsidR="00DF3DDE">
        <w:t xml:space="preserve"> such as </w:t>
      </w:r>
      <w:r w:rsidR="001E568B">
        <w:t xml:space="preserve">the </w:t>
      </w:r>
      <w:r w:rsidR="001E568B" w:rsidRPr="00971AFD">
        <w:rPr>
          <w:rFonts w:ascii="Calibri" w:eastAsia="Times New Roman" w:hAnsi="Calibri" w:cs="Calibri"/>
          <w:color w:val="000000"/>
          <w:lang w:eastAsia="en-AU"/>
        </w:rPr>
        <w:t>Department of Public Works and Highways</w:t>
      </w:r>
      <w:r w:rsidR="00DF3DDE">
        <w:t xml:space="preserve"> which </w:t>
      </w:r>
      <w:r w:rsidR="008F252E">
        <w:t xml:space="preserve">established </w:t>
      </w:r>
      <w:r w:rsidR="00DF3DDE">
        <w:t>and rapidly expanded their own internal PPP support unit and pipeline of PPP projects.</w:t>
      </w:r>
    </w:p>
    <w:p w14:paraId="45B8D22E" w14:textId="765C44B9" w:rsidR="004042C2" w:rsidRDefault="00DD6220" w:rsidP="00021D43">
      <w:pPr>
        <w:pStyle w:val="SDAbodytext"/>
      </w:pPr>
      <w:r>
        <w:t xml:space="preserve">Effective improvements </w:t>
      </w:r>
      <w:r w:rsidR="000600AA">
        <w:t xml:space="preserve">also </w:t>
      </w:r>
      <w:r>
        <w:t>took</w:t>
      </w:r>
      <w:r w:rsidR="000600AA">
        <w:t xml:space="preserve"> place at the local level, </w:t>
      </w:r>
      <w:r w:rsidR="00092CA1">
        <w:t>where</w:t>
      </w:r>
      <w:r w:rsidR="000600AA">
        <w:t xml:space="preserve"> the PPP </w:t>
      </w:r>
      <w:r w:rsidR="00092CA1">
        <w:t>P</w:t>
      </w:r>
      <w:r w:rsidR="000600AA">
        <w:t>rogram</w:t>
      </w:r>
      <w:r w:rsidR="00092CA1">
        <w:t xml:space="preserve"> increased its focus through the development of a local PPP strategy. It rolled out basic and </w:t>
      </w:r>
      <w:r w:rsidR="00304611">
        <w:t xml:space="preserve">more </w:t>
      </w:r>
      <w:r w:rsidR="00092CA1">
        <w:t xml:space="preserve">technical training </w:t>
      </w:r>
      <w:r w:rsidR="00092CA1">
        <w:lastRenderedPageBreak/>
        <w:t xml:space="preserve">packages to </w:t>
      </w:r>
      <w:r w:rsidR="00E51EF4">
        <w:t>local governments</w:t>
      </w:r>
      <w:r w:rsidR="00092CA1">
        <w:t xml:space="preserve">, </w:t>
      </w:r>
      <w:r w:rsidR="00092CA1" w:rsidRPr="00E43275">
        <w:t>prepare</w:t>
      </w:r>
      <w:r w:rsidR="00092CA1">
        <w:t>d</w:t>
      </w:r>
      <w:r w:rsidR="00092CA1" w:rsidRPr="00E43275">
        <w:t xml:space="preserve"> business cases hand in hand with </w:t>
      </w:r>
      <w:r w:rsidR="00E51EF4">
        <w:t>local governments</w:t>
      </w:r>
      <w:r w:rsidR="00092CA1" w:rsidRPr="00E43275">
        <w:t xml:space="preserve"> </w:t>
      </w:r>
      <w:r w:rsidR="00092CA1">
        <w:t>and</w:t>
      </w:r>
      <w:r w:rsidR="00092CA1" w:rsidRPr="00E43275">
        <w:t xml:space="preserve"> national consultants supported by the </w:t>
      </w:r>
      <w:r w:rsidR="005A2056" w:rsidRPr="00E43275">
        <w:t>TA</w:t>
      </w:r>
      <w:r w:rsidR="005A2056">
        <w:t xml:space="preserve"> and</w:t>
      </w:r>
      <w:r w:rsidR="00092CA1">
        <w:t xml:space="preserve"> d</w:t>
      </w:r>
      <w:r w:rsidR="00092CA1" w:rsidRPr="00E43275">
        <w:t>eveloped a compendium of PPP practices</w:t>
      </w:r>
      <w:r w:rsidR="00092CA1">
        <w:t xml:space="preserve"> to support</w:t>
      </w:r>
      <w:r w:rsidR="00092CA1" w:rsidRPr="00E43275">
        <w:t xml:space="preserve"> </w:t>
      </w:r>
      <w:r w:rsidR="00E51EF4">
        <w:t>local governments</w:t>
      </w:r>
      <w:r w:rsidR="00092CA1" w:rsidRPr="00E43275">
        <w:t xml:space="preserve"> to engage on PPPs</w:t>
      </w:r>
      <w:r w:rsidR="00092CA1">
        <w:t xml:space="preserve"> through a </w:t>
      </w:r>
      <w:r w:rsidR="00B177BA">
        <w:t>step-by-step</w:t>
      </w:r>
      <w:r w:rsidR="00092CA1">
        <w:t xml:space="preserve"> guide tailored to different sectors. </w:t>
      </w:r>
      <w:r w:rsidR="004042C2">
        <w:t xml:space="preserve">Several </w:t>
      </w:r>
      <w:r w:rsidR="00E51EF4">
        <w:t>local governments</w:t>
      </w:r>
      <w:r w:rsidR="004042C2">
        <w:t xml:space="preserve"> and </w:t>
      </w:r>
      <w:r w:rsidR="00B30F0C">
        <w:t>non</w:t>
      </w:r>
      <w:r w:rsidR="00B30F0C">
        <w:noBreakHyphen/>
        <w:t>traditional</w:t>
      </w:r>
      <w:r w:rsidR="004042C2">
        <w:t xml:space="preserve"> clients such as the University of the Philippines now consider PPPs </w:t>
      </w:r>
      <w:r w:rsidR="00F941A4">
        <w:t>to be</w:t>
      </w:r>
      <w:r w:rsidR="000600AA" w:rsidRPr="00E43275">
        <w:t xml:space="preserve"> a major development option</w:t>
      </w:r>
      <w:r>
        <w:t>. University of the Philippines developed</w:t>
      </w:r>
      <w:r w:rsidR="00F941A4">
        <w:t xml:space="preserve"> a series of PPP projects, and </w:t>
      </w:r>
      <w:r>
        <w:t>at the time of writing were</w:t>
      </w:r>
      <w:r w:rsidR="00F941A4">
        <w:t xml:space="preserve"> investing in</w:t>
      </w:r>
      <w:r w:rsidR="004042C2">
        <w:t xml:space="preserve"> building up their own internal </w:t>
      </w:r>
      <w:r w:rsidR="00F941A4">
        <w:t>capability to administer PPPs</w:t>
      </w:r>
      <w:r w:rsidR="004042C2">
        <w:t xml:space="preserve"> </w:t>
      </w:r>
      <w:r w:rsidR="00F941A4">
        <w:t>with</w:t>
      </w:r>
      <w:r w:rsidR="008F252E">
        <w:t xml:space="preserve"> only specialised and highly technical</w:t>
      </w:r>
      <w:r w:rsidR="00F941A4">
        <w:t xml:space="preserve"> support </w:t>
      </w:r>
      <w:r w:rsidR="000B4DE0">
        <w:t xml:space="preserve">required </w:t>
      </w:r>
      <w:r w:rsidR="008F252E">
        <w:t>from</w:t>
      </w:r>
      <w:r w:rsidR="00F941A4">
        <w:t xml:space="preserve"> the PPP Cent</w:t>
      </w:r>
      <w:r w:rsidR="00304611">
        <w:t>er</w:t>
      </w:r>
      <w:r w:rsidR="00F941A4">
        <w:t>.</w:t>
      </w:r>
      <w:r w:rsidR="004042C2">
        <w:t xml:space="preserve"> </w:t>
      </w:r>
    </w:p>
    <w:p w14:paraId="3F58C212" w14:textId="57B940DA" w:rsidR="00134D5D" w:rsidRDefault="004D4DCC" w:rsidP="00021D43">
      <w:pPr>
        <w:spacing w:line="240" w:lineRule="auto"/>
      </w:pPr>
      <w:bookmarkStart w:id="57" w:name="_Hlk66624152"/>
      <w:r>
        <w:t>DFAT provided</w:t>
      </w:r>
      <w:r w:rsidR="00904174">
        <w:t xml:space="preserve"> USD 18 million (of which 16.1 million has been spent)</w:t>
      </w:r>
      <w:r>
        <w:t xml:space="preserve"> to</w:t>
      </w:r>
      <w:r w:rsidR="00CC4BD1" w:rsidRPr="00CC4BD1">
        <w:t xml:space="preserve"> the PDMF</w:t>
      </w:r>
      <w:r w:rsidR="001106F1">
        <w:rPr>
          <w:rStyle w:val="FootnoteReference"/>
        </w:rPr>
        <w:footnoteReference w:id="13"/>
      </w:r>
      <w:r w:rsidR="00CC4BD1" w:rsidRPr="00CC4BD1">
        <w:t>, a revolving fund for PPP project preparation, which the PPP Center use</w:t>
      </w:r>
      <w:r w:rsidR="001A4288">
        <w:t>s</w:t>
      </w:r>
      <w:r w:rsidR="00CC4BD1" w:rsidRPr="00CC4BD1">
        <w:t xml:space="preserve"> to prepare transactions using internationally recogni</w:t>
      </w:r>
      <w:r w:rsidR="00CC4BD1">
        <w:t>s</w:t>
      </w:r>
      <w:r w:rsidR="00CC4BD1" w:rsidRPr="00CC4BD1">
        <w:t xml:space="preserve">ed firms. </w:t>
      </w:r>
      <w:r w:rsidR="00F579CA">
        <w:t xml:space="preserve">It has developed the </w:t>
      </w:r>
      <w:r w:rsidR="00134D5D">
        <w:t xml:space="preserve">Philippine </w:t>
      </w:r>
      <w:r w:rsidR="00F579CA">
        <w:t xml:space="preserve">Government’s transparency and capacity in </w:t>
      </w:r>
      <w:r w:rsidR="00F579CA" w:rsidRPr="00EE5492">
        <w:t>administer</w:t>
      </w:r>
      <w:r w:rsidR="00F579CA">
        <w:t>ing</w:t>
      </w:r>
      <w:r w:rsidR="00F579CA" w:rsidRPr="00EE5492">
        <w:t xml:space="preserve"> projects, including project selection, </w:t>
      </w:r>
      <w:r w:rsidR="00642449" w:rsidRPr="00EE5492">
        <w:t>evaluation,</w:t>
      </w:r>
      <w:r w:rsidR="00F579CA" w:rsidRPr="00EE5492">
        <w:t xml:space="preserve"> and bidding. </w:t>
      </w:r>
      <w:r w:rsidR="00CC4BD1" w:rsidRPr="00CC4BD1">
        <w:t xml:space="preserve">The PDMF </w:t>
      </w:r>
      <w:r w:rsidR="00134D5D">
        <w:t>saw</w:t>
      </w:r>
      <w:r w:rsidR="001A4288">
        <w:t xml:space="preserve"> the</w:t>
      </w:r>
      <w:r w:rsidR="00CC4BD1" w:rsidRPr="00CC4BD1">
        <w:t xml:space="preserve"> development of a credible PPP project pipeline</w:t>
      </w:r>
      <w:r w:rsidR="00AA62D5">
        <w:t xml:space="preserve">, </w:t>
      </w:r>
      <w:r w:rsidR="001A4288" w:rsidRPr="00A46F0D">
        <w:t>core to</w:t>
      </w:r>
      <w:r w:rsidR="00AA62D5" w:rsidRPr="00A46F0D">
        <w:t xml:space="preserve"> demonstrat</w:t>
      </w:r>
      <w:r w:rsidR="001A4288" w:rsidRPr="00A46F0D">
        <w:t>ing</w:t>
      </w:r>
      <w:r w:rsidR="00AA62D5" w:rsidRPr="00A46F0D">
        <w:t xml:space="preserve"> the </w:t>
      </w:r>
      <w:r w:rsidR="001A4288" w:rsidRPr="00A46F0D">
        <w:t>Government’s</w:t>
      </w:r>
      <w:r w:rsidR="00AA62D5" w:rsidRPr="00A46F0D">
        <w:t xml:space="preserve"> ability to use th</w:t>
      </w:r>
      <w:r w:rsidR="00F579CA" w:rsidRPr="00A46F0D">
        <w:t>e PPP</w:t>
      </w:r>
      <w:r w:rsidR="00AA62D5" w:rsidRPr="00A46F0D">
        <w:t xml:space="preserve"> financing modality.</w:t>
      </w:r>
      <w:r w:rsidR="001A4288" w:rsidRPr="00A46F0D">
        <w:t xml:space="preserve"> </w:t>
      </w:r>
    </w:p>
    <w:p w14:paraId="216941A9" w14:textId="78E78282" w:rsidR="00EE5492" w:rsidRDefault="001B57A5" w:rsidP="00021D43">
      <w:pPr>
        <w:spacing w:line="240" w:lineRule="auto"/>
      </w:pPr>
      <w:r w:rsidRPr="00A46F0D">
        <w:t xml:space="preserve">The effectiveness and value of DFAT’s investment can be </w:t>
      </w:r>
      <w:r w:rsidR="00F579CA" w:rsidRPr="00A46F0D">
        <w:t>assessed from</w:t>
      </w:r>
      <w:r w:rsidRPr="00A46F0D">
        <w:t xml:space="preserve"> </w:t>
      </w:r>
      <w:r w:rsidR="00F579CA" w:rsidRPr="00A46F0D">
        <w:t xml:space="preserve">several perspectives including: </w:t>
      </w:r>
      <w:r w:rsidR="00736B87" w:rsidRPr="00A46F0D">
        <w:t xml:space="preserve">i) </w:t>
      </w:r>
      <w:r w:rsidR="00823BBE" w:rsidRPr="00A46F0D">
        <w:t>the</w:t>
      </w:r>
      <w:r w:rsidR="004D4DCC" w:rsidRPr="00A46F0D">
        <w:t xml:space="preserve"> </w:t>
      </w:r>
      <w:r w:rsidRPr="00A46F0D">
        <w:t>institutional capability built</w:t>
      </w:r>
      <w:r w:rsidR="004D4DCC" w:rsidRPr="00A46F0D">
        <w:t xml:space="preserve"> to administer</w:t>
      </w:r>
      <w:r w:rsidR="00304611">
        <w:t xml:space="preserve"> high quality and transparent</w:t>
      </w:r>
      <w:r w:rsidR="004D4DCC" w:rsidRPr="00A46F0D">
        <w:t xml:space="preserve"> PPP projects;</w:t>
      </w:r>
      <w:r w:rsidRPr="00A46F0D">
        <w:t xml:space="preserve"> </w:t>
      </w:r>
      <w:r w:rsidR="00736B87" w:rsidRPr="00A46F0D">
        <w:t xml:space="preserve">ii) </w:t>
      </w:r>
      <w:r w:rsidRPr="00A46F0D">
        <w:t>the funds leveraged</w:t>
      </w:r>
      <w:r w:rsidR="005A2056">
        <w:t>,</w:t>
      </w:r>
      <w:r w:rsidRPr="00A46F0D">
        <w:t xml:space="preserve"> and value generated by </w:t>
      </w:r>
      <w:r w:rsidR="004D4DCC" w:rsidRPr="00A46F0D">
        <w:t xml:space="preserve">awarded </w:t>
      </w:r>
      <w:r w:rsidR="00F579CA" w:rsidRPr="00A46F0D">
        <w:t>PPP</w:t>
      </w:r>
      <w:r w:rsidRPr="00A46F0D">
        <w:t xml:space="preserve"> projects; </w:t>
      </w:r>
      <w:r w:rsidR="00736B87" w:rsidRPr="00A46F0D">
        <w:t xml:space="preserve">iii) </w:t>
      </w:r>
      <w:r w:rsidRPr="00A46F0D">
        <w:t>and</w:t>
      </w:r>
      <w:r w:rsidR="00A46F0D" w:rsidRPr="00A46F0D">
        <w:t xml:space="preserve"> </w:t>
      </w:r>
      <w:r w:rsidRPr="00A46F0D">
        <w:t>the</w:t>
      </w:r>
      <w:r w:rsidR="001F135A" w:rsidRPr="00A46F0D">
        <w:t xml:space="preserve"> demonstrated</w:t>
      </w:r>
      <w:r w:rsidRPr="00A46F0D">
        <w:t xml:space="preserve"> viability</w:t>
      </w:r>
      <w:r w:rsidR="00304611">
        <w:t xml:space="preserve"> and endorsement</w:t>
      </w:r>
      <w:r w:rsidRPr="00A46F0D">
        <w:t xml:space="preserve"> </w:t>
      </w:r>
      <w:r w:rsidR="00F579CA" w:rsidRPr="00A46F0D">
        <w:t>of the</w:t>
      </w:r>
      <w:r w:rsidRPr="00A46F0D">
        <w:t xml:space="preserve"> PPP </w:t>
      </w:r>
      <w:r w:rsidR="00F579CA" w:rsidRPr="00A46F0D">
        <w:t xml:space="preserve">financing </w:t>
      </w:r>
      <w:r w:rsidRPr="00A46F0D">
        <w:t>modality.</w:t>
      </w:r>
      <w:r w:rsidR="00F579CA" w:rsidRPr="00A46F0D">
        <w:t xml:space="preserve"> </w:t>
      </w:r>
      <w:r w:rsidR="00736B87" w:rsidRPr="00A46F0D">
        <w:t>While the first two indicate a high level of value, the third h</w:t>
      </w:r>
      <w:r w:rsidR="004D4DCC" w:rsidRPr="00A46F0D">
        <w:t>old</w:t>
      </w:r>
      <w:r w:rsidR="00304611">
        <w:t>s</w:t>
      </w:r>
      <w:r w:rsidR="004D4DCC">
        <w:t xml:space="preserve"> some limitations. </w:t>
      </w:r>
    </w:p>
    <w:p w14:paraId="2C1CDBF9" w14:textId="6B64235D" w:rsidR="00646208" w:rsidRPr="00FC3ADC" w:rsidRDefault="0007579D" w:rsidP="00FC3ADC">
      <w:pPr>
        <w:spacing w:after="0" w:line="240" w:lineRule="auto"/>
        <w:rPr>
          <w:i/>
          <w:iCs/>
        </w:rPr>
      </w:pPr>
      <w:r>
        <w:rPr>
          <w:i/>
          <w:iCs/>
        </w:rPr>
        <w:t xml:space="preserve">i) </w:t>
      </w:r>
      <w:r w:rsidR="00646208" w:rsidRPr="00FC3ADC">
        <w:rPr>
          <w:i/>
          <w:iCs/>
        </w:rPr>
        <w:t>The institutional capability built to administer high quality and transparent PPP projects</w:t>
      </w:r>
    </w:p>
    <w:p w14:paraId="774C0E35" w14:textId="4CC56D69" w:rsidR="003759D6" w:rsidRDefault="00A06C73" w:rsidP="00021D43">
      <w:pPr>
        <w:spacing w:line="240" w:lineRule="auto"/>
        <w:rPr>
          <w:rFonts w:ascii="Calibri" w:eastAsia="Times New Roman" w:hAnsi="Calibri" w:cs="Calibri"/>
          <w:color w:val="000000"/>
          <w:lang w:eastAsia="en-AU"/>
        </w:rPr>
      </w:pPr>
      <w:r>
        <w:t xml:space="preserve">The TA </w:t>
      </w:r>
      <w:r w:rsidR="004D4DCC">
        <w:t xml:space="preserve">helped to set up and institutionalise the PDMF with </w:t>
      </w:r>
      <w:r>
        <w:t>strong buy in</w:t>
      </w:r>
      <w:r w:rsidR="004D4DCC">
        <w:t xml:space="preserve"> and support</w:t>
      </w:r>
      <w:r>
        <w:t xml:space="preserve"> from government to improve the </w:t>
      </w:r>
      <w:r w:rsidR="00EE5492" w:rsidRPr="00EE5492">
        <w:t>technical capacity of PPP Center staff</w:t>
      </w:r>
      <w:r w:rsidR="008C45F2">
        <w:t xml:space="preserve"> to prepare and evaluate projects</w:t>
      </w:r>
      <w:r w:rsidR="00823BBE">
        <w:t xml:space="preserve"> to technical standards</w:t>
      </w:r>
      <w:r w:rsidR="008C45F2">
        <w:t xml:space="preserve">. </w:t>
      </w:r>
      <w:r w:rsidR="00B61299">
        <w:t>The consultants engaged through the PDMF panels b</w:t>
      </w:r>
      <w:r w:rsidR="005620B6">
        <w:t>r</w:t>
      </w:r>
      <w:r w:rsidR="00B61299">
        <w:t xml:space="preserve">ought substantive benefit to </w:t>
      </w:r>
      <w:r w:rsidR="008C45F2">
        <w:t>supported</w:t>
      </w:r>
      <w:r w:rsidR="00B61299">
        <w:t xml:space="preserve"> PPP</w:t>
      </w:r>
      <w:r w:rsidR="008C45F2">
        <w:t xml:space="preserve"> project</w:t>
      </w:r>
      <w:r w:rsidR="00956AD5">
        <w:t>s</w:t>
      </w:r>
      <w:r w:rsidR="008C45F2">
        <w:t xml:space="preserve">, particularly through the feasibility study process. For example, </w:t>
      </w:r>
      <w:r w:rsidR="00131A55">
        <w:t xml:space="preserve">Ormoc </w:t>
      </w:r>
      <w:r w:rsidR="008C45F2">
        <w:t>C</w:t>
      </w:r>
      <w:r w:rsidR="00131A55">
        <w:t>ity</w:t>
      </w:r>
      <w:r w:rsidR="008C45F2">
        <w:t xml:space="preserve"> </w:t>
      </w:r>
      <w:r w:rsidR="002A00C4">
        <w:t xml:space="preserve">local government </w:t>
      </w:r>
      <w:r w:rsidR="008C45F2">
        <w:t>officials noted that when previously approache</w:t>
      </w:r>
      <w:r w:rsidR="00956AD5">
        <w:t>d</w:t>
      </w:r>
      <w:r w:rsidR="008C45F2">
        <w:t xml:space="preserve"> by </w:t>
      </w:r>
      <w:r w:rsidR="00304611">
        <w:t>private sector</w:t>
      </w:r>
      <w:r w:rsidR="008C45F2">
        <w:t xml:space="preserve"> companies to undertake partnerships, they did not have the expertise </w:t>
      </w:r>
      <w:r w:rsidR="008C45F2">
        <w:rPr>
          <w:rFonts w:ascii="Calibri" w:eastAsia="Times New Roman" w:hAnsi="Calibri" w:cs="Calibri"/>
          <w:color w:val="000000"/>
          <w:lang w:eastAsia="en-AU"/>
        </w:rPr>
        <w:t>in environment</w:t>
      </w:r>
      <w:r w:rsidR="005620B6">
        <w:rPr>
          <w:rFonts w:ascii="Calibri" w:eastAsia="Times New Roman" w:hAnsi="Calibri" w:cs="Calibri"/>
          <w:color w:val="000000"/>
          <w:lang w:eastAsia="en-AU"/>
        </w:rPr>
        <w:t>al analysis</w:t>
      </w:r>
      <w:r w:rsidR="008C45F2">
        <w:rPr>
          <w:rFonts w:ascii="Calibri" w:eastAsia="Times New Roman" w:hAnsi="Calibri" w:cs="Calibri"/>
          <w:color w:val="000000"/>
          <w:lang w:eastAsia="en-AU"/>
        </w:rPr>
        <w:t xml:space="preserve"> and infrastructure</w:t>
      </w:r>
      <w:r w:rsidR="005620B6">
        <w:rPr>
          <w:rFonts w:ascii="Calibri" w:eastAsia="Times New Roman" w:hAnsi="Calibri" w:cs="Calibri"/>
          <w:color w:val="000000"/>
          <w:lang w:eastAsia="en-AU"/>
        </w:rPr>
        <w:t xml:space="preserve"> development</w:t>
      </w:r>
      <w:r w:rsidR="008C45F2">
        <w:rPr>
          <w:rFonts w:ascii="Calibri" w:eastAsia="Times New Roman" w:hAnsi="Calibri" w:cs="Calibri"/>
          <w:color w:val="000000"/>
          <w:lang w:eastAsia="en-AU"/>
        </w:rPr>
        <w:t xml:space="preserve"> to undertake the appropriate assessment and gather the data </w:t>
      </w:r>
      <w:r w:rsidR="00FD2601">
        <w:rPr>
          <w:rFonts w:ascii="Calibri" w:eastAsia="Times New Roman" w:hAnsi="Calibri" w:cs="Calibri"/>
          <w:color w:val="000000"/>
          <w:lang w:eastAsia="en-AU"/>
        </w:rPr>
        <w:t>to determine whether to proceed</w:t>
      </w:r>
      <w:r w:rsidR="005620B6">
        <w:rPr>
          <w:rFonts w:ascii="Calibri" w:eastAsia="Times New Roman" w:hAnsi="Calibri" w:cs="Calibri"/>
          <w:color w:val="000000"/>
          <w:lang w:eastAsia="en-AU"/>
        </w:rPr>
        <w:t xml:space="preserve"> with their potential water supply project</w:t>
      </w:r>
      <w:r w:rsidR="00FD2601">
        <w:rPr>
          <w:rFonts w:ascii="Calibri" w:eastAsia="Times New Roman" w:hAnsi="Calibri" w:cs="Calibri"/>
          <w:color w:val="000000"/>
          <w:lang w:eastAsia="en-AU"/>
        </w:rPr>
        <w:t>. In the case of Lake Dana</w:t>
      </w:r>
      <w:r w:rsidR="00EB2244">
        <w:rPr>
          <w:rFonts w:ascii="Calibri" w:eastAsia="Times New Roman" w:hAnsi="Calibri" w:cs="Calibri"/>
          <w:color w:val="000000"/>
          <w:lang w:eastAsia="en-AU"/>
        </w:rPr>
        <w:t>o</w:t>
      </w:r>
      <w:r w:rsidR="00FD2601">
        <w:rPr>
          <w:rFonts w:ascii="Calibri" w:eastAsia="Times New Roman" w:hAnsi="Calibri" w:cs="Calibri"/>
          <w:color w:val="000000"/>
          <w:lang w:eastAsia="en-AU"/>
        </w:rPr>
        <w:t xml:space="preserve">, they were unable to determine how quickly the lake would replenish after water was taken out, and as a result did not proceed with discussions with potential partners. </w:t>
      </w:r>
    </w:p>
    <w:p w14:paraId="3C3F8598" w14:textId="103425A7" w:rsidR="00646208" w:rsidRDefault="00FD2601" w:rsidP="00021D43">
      <w:pPr>
        <w:spacing w:line="240" w:lineRule="auto"/>
      </w:pPr>
      <w:r>
        <w:rPr>
          <w:rFonts w:ascii="Calibri" w:eastAsia="Times New Roman" w:hAnsi="Calibri" w:cs="Calibri"/>
          <w:color w:val="000000"/>
          <w:lang w:eastAsia="en-AU"/>
        </w:rPr>
        <w:t xml:space="preserve">Feasibility Studies brought technical rigour to the assessment, and </w:t>
      </w:r>
      <w:r w:rsidR="00167656">
        <w:rPr>
          <w:rFonts w:ascii="Calibri" w:eastAsia="Times New Roman" w:hAnsi="Calibri" w:cs="Calibri"/>
          <w:color w:val="000000"/>
          <w:lang w:eastAsia="en-AU"/>
        </w:rPr>
        <w:t>gave</w:t>
      </w:r>
      <w:r>
        <w:rPr>
          <w:rFonts w:ascii="Calibri" w:eastAsia="Times New Roman" w:hAnsi="Calibri" w:cs="Calibri"/>
          <w:color w:val="000000"/>
          <w:lang w:eastAsia="en-AU"/>
        </w:rPr>
        <w:t xml:space="preserve"> confidence and assurance that a project w</w:t>
      </w:r>
      <w:r w:rsidR="00167656">
        <w:rPr>
          <w:rFonts w:ascii="Calibri" w:eastAsia="Times New Roman" w:hAnsi="Calibri" w:cs="Calibri"/>
          <w:color w:val="000000"/>
          <w:lang w:eastAsia="en-AU"/>
        </w:rPr>
        <w:t>ould</w:t>
      </w:r>
      <w:r>
        <w:rPr>
          <w:rFonts w:ascii="Calibri" w:eastAsia="Times New Roman" w:hAnsi="Calibri" w:cs="Calibri"/>
          <w:color w:val="000000"/>
          <w:lang w:eastAsia="en-AU"/>
        </w:rPr>
        <w:t xml:space="preserve"> not fail in the future. This </w:t>
      </w:r>
      <w:r w:rsidR="00167656">
        <w:rPr>
          <w:rFonts w:ascii="Calibri" w:eastAsia="Times New Roman" w:hAnsi="Calibri" w:cs="Calibri"/>
          <w:color w:val="000000"/>
          <w:lang w:eastAsia="en-AU"/>
        </w:rPr>
        <w:t>was a particularly</w:t>
      </w:r>
      <w:r>
        <w:rPr>
          <w:rFonts w:ascii="Calibri" w:eastAsia="Times New Roman" w:hAnsi="Calibri" w:cs="Calibri"/>
          <w:color w:val="000000"/>
          <w:lang w:eastAsia="en-AU"/>
        </w:rPr>
        <w:t xml:space="preserve"> significant</w:t>
      </w:r>
      <w:r w:rsidR="00167656">
        <w:rPr>
          <w:rFonts w:ascii="Calibri" w:eastAsia="Times New Roman" w:hAnsi="Calibri" w:cs="Calibri"/>
          <w:color w:val="000000"/>
          <w:lang w:eastAsia="en-AU"/>
        </w:rPr>
        <w:t xml:space="preserve"> finding</w:t>
      </w:r>
      <w:r>
        <w:rPr>
          <w:rFonts w:ascii="Calibri" w:eastAsia="Times New Roman" w:hAnsi="Calibri" w:cs="Calibri"/>
          <w:color w:val="000000"/>
          <w:lang w:eastAsia="en-AU"/>
        </w:rPr>
        <w:t xml:space="preserve">, with respondents noting that if concerns are not adequately identified and addressed at this stage and </w:t>
      </w:r>
      <w:r w:rsidR="00131A55">
        <w:t xml:space="preserve">a mistake is made in the early stage, it </w:t>
      </w:r>
      <w:r w:rsidR="00167656">
        <w:t>could</w:t>
      </w:r>
      <w:r>
        <w:t xml:space="preserve"> be very difficult to change course, </w:t>
      </w:r>
      <w:r w:rsidR="00823BBE">
        <w:t>with</w:t>
      </w:r>
      <w:r>
        <w:t xml:space="preserve"> the Feasibility Study set</w:t>
      </w:r>
      <w:r w:rsidR="00823BBE">
        <w:t>ting</w:t>
      </w:r>
      <w:r>
        <w:t xml:space="preserve"> a project up for success or failure. </w:t>
      </w:r>
      <w:r w:rsidR="00823BBE">
        <w:t>From this perspective</w:t>
      </w:r>
      <w:r w:rsidR="00167656">
        <w:t>,</w:t>
      </w:r>
      <w:r w:rsidR="00823BBE">
        <w:t xml:space="preserve"> the funds provided to the PDMF </w:t>
      </w:r>
      <w:r w:rsidR="00DA337E">
        <w:t xml:space="preserve">have </w:t>
      </w:r>
      <w:r w:rsidR="00823BBE">
        <w:t xml:space="preserve">been of significant benefit. </w:t>
      </w:r>
      <w:r w:rsidR="004A2DFB">
        <w:t xml:space="preserve">This assessment would be </w:t>
      </w:r>
      <w:r w:rsidR="00304611">
        <w:t xml:space="preserve">further </w:t>
      </w:r>
      <w:r w:rsidR="004A2DFB">
        <w:t xml:space="preserve">supported by comparative data outlining the differences in the quality of projects that </w:t>
      </w:r>
      <w:r w:rsidR="00167656">
        <w:t>went</w:t>
      </w:r>
      <w:r w:rsidR="004A2DFB">
        <w:t xml:space="preserve"> through the PDMF (</w:t>
      </w:r>
      <w:r w:rsidR="008F709D">
        <w:t>i.e.,</w:t>
      </w:r>
      <w:r w:rsidR="004A2DFB">
        <w:t xml:space="preserve"> in terms of social and environmental safeguarding and technical quality) compared to those </w:t>
      </w:r>
      <w:r w:rsidR="00167656">
        <w:t>that did</w:t>
      </w:r>
      <w:r w:rsidR="004A2DFB">
        <w:t xml:space="preserve"> not receive PDMF support.</w:t>
      </w:r>
      <w:r w:rsidR="00071A00">
        <w:t xml:space="preserve"> An exceptionally high degree of transparency </w:t>
      </w:r>
      <w:r w:rsidR="00167656">
        <w:t>was</w:t>
      </w:r>
      <w:r w:rsidR="00071A00">
        <w:t xml:space="preserve"> brought to the PPP process. </w:t>
      </w:r>
    </w:p>
    <w:p w14:paraId="061D7533" w14:textId="0B8BA71E" w:rsidR="00071A00" w:rsidRPr="00FC3ADC" w:rsidRDefault="0007579D" w:rsidP="00FC3ADC">
      <w:pPr>
        <w:spacing w:after="0" w:line="240" w:lineRule="auto"/>
        <w:rPr>
          <w:i/>
          <w:iCs/>
        </w:rPr>
      </w:pPr>
      <w:r>
        <w:rPr>
          <w:i/>
          <w:iCs/>
        </w:rPr>
        <w:t xml:space="preserve">ii) </w:t>
      </w:r>
      <w:r w:rsidR="00071A00" w:rsidRPr="00FC3ADC">
        <w:rPr>
          <w:i/>
          <w:iCs/>
        </w:rPr>
        <w:t>The funds leveraged and value generated by awarded PPP projects</w:t>
      </w:r>
    </w:p>
    <w:p w14:paraId="0E1A5115" w14:textId="3B952CDE" w:rsidR="00470812" w:rsidRDefault="001F135A" w:rsidP="003D2BC5">
      <w:pPr>
        <w:tabs>
          <w:tab w:val="left" w:pos="8364"/>
        </w:tabs>
        <w:spacing w:line="240" w:lineRule="auto"/>
      </w:pPr>
      <w:bookmarkStart w:id="58" w:name="_Hlk75795748"/>
      <w:r w:rsidRPr="00665162">
        <w:t xml:space="preserve">The </w:t>
      </w:r>
      <w:r w:rsidR="00823BBE" w:rsidRPr="00665162">
        <w:t>s</w:t>
      </w:r>
      <w:r w:rsidRPr="00665162">
        <w:t>upport provided through the PDMF</w:t>
      </w:r>
      <w:r w:rsidR="00167656">
        <w:t>,</w:t>
      </w:r>
      <w:r w:rsidR="00E77C2C" w:rsidRPr="00665162">
        <w:t xml:space="preserve"> and seed funding from DFAT</w:t>
      </w:r>
      <w:r w:rsidR="00167656">
        <w:t>,</w:t>
      </w:r>
      <w:r w:rsidRPr="00665162">
        <w:t xml:space="preserve"> was effective in capitalising on momentum and jumpstarting PPP projects in the early years </w:t>
      </w:r>
      <w:r w:rsidR="00167656">
        <w:t xml:space="preserve">of the Program </w:t>
      </w:r>
      <w:r w:rsidRPr="00665162">
        <w:t xml:space="preserve">by </w:t>
      </w:r>
      <w:r w:rsidRPr="00AC2213">
        <w:t>expediting the procurement of pre-selected international consultants</w:t>
      </w:r>
      <w:r w:rsidRPr="008761F9">
        <w:t xml:space="preserve">. </w:t>
      </w:r>
      <w:r w:rsidRPr="00FC3ADC">
        <w:t xml:space="preserve">These efforts resulted in </w:t>
      </w:r>
      <w:r w:rsidR="00167656">
        <w:t>seven</w:t>
      </w:r>
      <w:r w:rsidR="0007579D" w:rsidRPr="00FC3ADC">
        <w:t xml:space="preserve"> PDMF</w:t>
      </w:r>
      <w:r w:rsidR="003759D6">
        <w:noBreakHyphen/>
      </w:r>
      <w:r w:rsidR="0007579D" w:rsidRPr="00FC3ADC">
        <w:t xml:space="preserve">supported </w:t>
      </w:r>
      <w:r w:rsidRPr="00FC3ADC">
        <w:t xml:space="preserve">PPP projects (total investment of </w:t>
      </w:r>
      <w:r w:rsidR="002A61EF" w:rsidRPr="00FC3ADC">
        <w:t>USD1.52</w:t>
      </w:r>
      <w:r w:rsidRPr="00FC3ADC">
        <w:t xml:space="preserve"> billion</w:t>
      </w:r>
      <w:r w:rsidR="00D321C6">
        <w:t xml:space="preserve">, </w:t>
      </w:r>
      <w:r w:rsidR="002A00C4">
        <w:t>or</w:t>
      </w:r>
      <w:r w:rsidR="00D321C6">
        <w:t xml:space="preserve"> AUD 1.96 billion</w:t>
      </w:r>
      <w:r w:rsidRPr="00FC3ADC">
        <w:t xml:space="preserve">) being awarded during 2011–2015. </w:t>
      </w:r>
    </w:p>
    <w:p w14:paraId="377818FD" w14:textId="15446FD5" w:rsidR="002A61EF" w:rsidRDefault="001F135A" w:rsidP="003D2BC5">
      <w:pPr>
        <w:tabs>
          <w:tab w:val="left" w:pos="8364"/>
        </w:tabs>
        <w:spacing w:line="240" w:lineRule="auto"/>
        <w:rPr>
          <w:rFonts w:cs="Calibri"/>
        </w:rPr>
      </w:pPr>
      <w:r w:rsidRPr="00FC3ADC">
        <w:t>In addition, the project pipeline increased from 11 projects (</w:t>
      </w:r>
      <w:r w:rsidR="00665162">
        <w:t>USD</w:t>
      </w:r>
      <w:r w:rsidRPr="00FC3ADC">
        <w:t>3.3 billion</w:t>
      </w:r>
      <w:r w:rsidR="00D321C6">
        <w:t xml:space="preserve">, </w:t>
      </w:r>
      <w:r w:rsidR="005B4BC3">
        <w:t>or</w:t>
      </w:r>
      <w:r w:rsidR="00D321C6">
        <w:t xml:space="preserve"> AUD 4.</w:t>
      </w:r>
      <w:r w:rsidR="00487028">
        <w:t>2</w:t>
      </w:r>
      <w:r w:rsidR="00D321C6">
        <w:t>5 billion</w:t>
      </w:r>
      <w:r w:rsidRPr="00FC3ADC">
        <w:t>) in November 2010 to 45 projects (</w:t>
      </w:r>
      <w:r w:rsidR="00665162">
        <w:t>USD</w:t>
      </w:r>
      <w:r w:rsidRPr="00FC3ADC">
        <w:t>23.2 billion</w:t>
      </w:r>
      <w:r w:rsidR="00D321C6">
        <w:t xml:space="preserve">, </w:t>
      </w:r>
      <w:r w:rsidR="005B4BC3">
        <w:t>or</w:t>
      </w:r>
      <w:r w:rsidR="00D321C6" w:rsidRPr="009D0EE3">
        <w:t xml:space="preserve"> AUD </w:t>
      </w:r>
      <w:r w:rsidR="00D321C6">
        <w:t>29.</w:t>
      </w:r>
      <w:r w:rsidR="00487028">
        <w:t>9</w:t>
      </w:r>
      <w:r w:rsidR="00D321C6" w:rsidRPr="009D0EE3">
        <w:t xml:space="preserve"> billion</w:t>
      </w:r>
      <w:r w:rsidRPr="00FC3ADC">
        <w:t xml:space="preserve">) in March 2015. This robust PPP </w:t>
      </w:r>
      <w:r w:rsidRPr="00FC3ADC">
        <w:lastRenderedPageBreak/>
        <w:t>rollout sent a strong signal that the government intended to boost private investment in infrastructure</w:t>
      </w:r>
      <w:r w:rsidRPr="00665162">
        <w:rPr>
          <w:vertAlign w:val="superscript"/>
        </w:rPr>
        <w:footnoteReference w:id="14"/>
      </w:r>
      <w:r w:rsidRPr="00665162">
        <w:t xml:space="preserve">. </w:t>
      </w:r>
      <w:r w:rsidR="002A61EF" w:rsidRPr="00665162">
        <w:t xml:space="preserve">From 2016-2021 a total of five PPP projects were awarded </w:t>
      </w:r>
      <w:r w:rsidR="002A61EF" w:rsidRPr="00AC2213">
        <w:t>totalling USD</w:t>
      </w:r>
      <w:r w:rsidR="002A61EF" w:rsidRPr="00A936A4">
        <w:t>1.38 billion</w:t>
      </w:r>
      <w:r w:rsidR="00343EF8">
        <w:t xml:space="preserve"> (AUD 1.78 billion)</w:t>
      </w:r>
      <w:r w:rsidR="002A61EF" w:rsidRPr="00A936A4">
        <w:t>.</w:t>
      </w:r>
      <w:r w:rsidR="002A61EF" w:rsidRPr="008761F9">
        <w:t xml:space="preserve"> </w:t>
      </w:r>
      <w:bookmarkStart w:id="59" w:name="_Hlk75867413"/>
      <w:r w:rsidR="002A61EF" w:rsidRPr="00FC3ADC">
        <w:t xml:space="preserve">Over the total life of the project, </w:t>
      </w:r>
      <w:r w:rsidR="002A61EF" w:rsidRPr="00FC3ADC">
        <w:rPr>
          <w:rFonts w:cs="Calibri"/>
        </w:rPr>
        <w:t xml:space="preserve">PDMF support resulted in the award of 12 PPP projects with a </w:t>
      </w:r>
      <w:r w:rsidR="006F2E31">
        <w:rPr>
          <w:rFonts w:cs="Calibri"/>
        </w:rPr>
        <w:t xml:space="preserve">total </w:t>
      </w:r>
      <w:r w:rsidR="002A61EF" w:rsidRPr="00FC3ADC">
        <w:rPr>
          <w:rFonts w:cs="Calibri"/>
        </w:rPr>
        <w:t xml:space="preserve">project cost of </w:t>
      </w:r>
      <w:r w:rsidR="00665162" w:rsidRPr="00FC3ADC">
        <w:rPr>
          <w:rFonts w:cs="Calibri"/>
        </w:rPr>
        <w:t xml:space="preserve">USD </w:t>
      </w:r>
      <w:r w:rsidR="002A61EF" w:rsidRPr="00FC3ADC">
        <w:rPr>
          <w:rFonts w:cs="Calibri"/>
        </w:rPr>
        <w:t>2.9 billion</w:t>
      </w:r>
      <w:r w:rsidR="00D321C6">
        <w:rPr>
          <w:rFonts w:cs="Calibri"/>
        </w:rPr>
        <w:t xml:space="preserve"> (</w:t>
      </w:r>
      <w:r w:rsidR="00D321C6" w:rsidRPr="009D0EE3">
        <w:t xml:space="preserve">AUD </w:t>
      </w:r>
      <w:r w:rsidR="00D321C6">
        <w:t>3.7 billion)</w:t>
      </w:r>
      <w:r w:rsidR="00665162" w:rsidRPr="00665162">
        <w:rPr>
          <w:rFonts w:cs="Calibri"/>
        </w:rPr>
        <w:t>.</w:t>
      </w:r>
      <w:r w:rsidR="00665162">
        <w:rPr>
          <w:rFonts w:cs="Calibri"/>
        </w:rPr>
        <w:t xml:space="preserve"> </w:t>
      </w:r>
      <w:bookmarkEnd w:id="59"/>
    </w:p>
    <w:p w14:paraId="451D0DA8" w14:textId="10BC416A" w:rsidR="004B2957" w:rsidRPr="004B2957" w:rsidRDefault="002A61EF" w:rsidP="004B2957">
      <w:pPr>
        <w:tabs>
          <w:tab w:val="left" w:pos="8364"/>
        </w:tabs>
        <w:spacing w:line="240" w:lineRule="auto"/>
      </w:pPr>
      <w:r w:rsidRPr="004B2957">
        <w:t xml:space="preserve">It is difficult to compare </w:t>
      </w:r>
      <w:r w:rsidR="006F2E31">
        <w:t xml:space="preserve">the number and financial value of PDMF </w:t>
      </w:r>
      <w:r w:rsidR="0075404A">
        <w:t>versus</w:t>
      </w:r>
      <w:r w:rsidR="006F2E31">
        <w:t xml:space="preserve"> non-PDMF supported projects</w:t>
      </w:r>
      <w:r w:rsidRPr="004B2957">
        <w:t xml:space="preserve"> prior to 2010 as the PDMF did not exist. </w:t>
      </w:r>
      <w:r w:rsidR="0075404A">
        <w:t>O</w:t>
      </w:r>
      <w:r w:rsidR="004B2957" w:rsidRPr="004B2957">
        <w:t>ver the project period from 2011-2021, a total of 21 PPP projects assisted by the PPP Center (both PDMF supported and non-PDMF supported) ​​were awarded with a total project cost of USD 21.7 billion</w:t>
      </w:r>
      <w:r w:rsidR="00D321C6">
        <w:t xml:space="preserve"> </w:t>
      </w:r>
      <w:r w:rsidR="008F709D">
        <w:t>(AUD</w:t>
      </w:r>
      <w:r w:rsidR="00D321C6">
        <w:t xml:space="preserve"> 27.9 billion)</w:t>
      </w:r>
      <w:r w:rsidR="004B2957" w:rsidRPr="004B2957">
        <w:t xml:space="preserve">. </w:t>
      </w:r>
      <w:r w:rsidR="0075404A">
        <w:t>This can be c</w:t>
      </w:r>
      <w:r w:rsidR="004B2957" w:rsidRPr="004B2957">
        <w:t xml:space="preserve">ompared to a total of </w:t>
      </w:r>
      <w:r w:rsidR="00C931F1">
        <w:t>six</w:t>
      </w:r>
      <w:r w:rsidR="004B2957" w:rsidRPr="004B2957">
        <w:t xml:space="preserve"> PPP projects awarded from 1992-2010</w:t>
      </w:r>
      <w:r w:rsidR="0075404A">
        <w:t xml:space="preserve">. </w:t>
      </w:r>
      <w:bookmarkStart w:id="60" w:name="_Hlk75867347"/>
      <w:r w:rsidR="0075404A">
        <w:t>A</w:t>
      </w:r>
      <w:r w:rsidR="004B2957" w:rsidRPr="004B2957">
        <w:t> total of 9</w:t>
      </w:r>
      <w:r w:rsidR="00287B04">
        <w:t>1</w:t>
      </w:r>
      <w:r w:rsidR="004B2957" w:rsidRPr="004B2957">
        <w:t xml:space="preserve"> PPP projects </w:t>
      </w:r>
      <w:r w:rsidR="0053239F">
        <w:t>were</w:t>
      </w:r>
      <w:r w:rsidR="004B2957" w:rsidRPr="004B2957">
        <w:t xml:space="preserve"> awarded between 2011 to the present, comprising both national and local PPP projects, 21 of which were assisted by the PPP Center and 12 of the 21 were PDMF-supported.</w:t>
      </w:r>
      <w:r w:rsidR="0075404A">
        <w:t xml:space="preserve"> </w:t>
      </w:r>
      <w:bookmarkStart w:id="61" w:name="_Hlk75857891"/>
      <w:r w:rsidR="0075404A">
        <w:t>This marks a substantial increase in the use of the PPP modality across the Philippines.</w:t>
      </w:r>
    </w:p>
    <w:bookmarkEnd w:id="58"/>
    <w:bookmarkEnd w:id="60"/>
    <w:bookmarkEnd w:id="61"/>
    <w:p w14:paraId="5AD3A5CC" w14:textId="757DF07E" w:rsidR="000A4972" w:rsidRDefault="00E77C2C" w:rsidP="003D2BC5">
      <w:pPr>
        <w:tabs>
          <w:tab w:val="left" w:pos="8364"/>
        </w:tabs>
        <w:spacing w:line="240" w:lineRule="auto"/>
      </w:pPr>
      <w:r w:rsidRPr="00FC3ADC">
        <w:t xml:space="preserve">In addition to garnering </w:t>
      </w:r>
      <w:r w:rsidR="0007579D" w:rsidRPr="00FC3ADC">
        <w:t>private sector</w:t>
      </w:r>
      <w:r w:rsidRPr="00FC3ADC">
        <w:t xml:space="preserve"> investments, </w:t>
      </w:r>
      <w:r w:rsidR="00262541" w:rsidRPr="00FC3ADC">
        <w:t>the Philippine Government allocated</w:t>
      </w:r>
      <w:r w:rsidR="00D82571" w:rsidRPr="00FC3ADC">
        <w:t xml:space="preserve"> </w:t>
      </w:r>
      <w:r w:rsidR="0007579D" w:rsidRPr="00FC3ADC">
        <w:t>USD</w:t>
      </w:r>
      <w:r w:rsidR="00D82571" w:rsidRPr="00FC3ADC">
        <w:t>1</w:t>
      </w:r>
      <w:r w:rsidR="003A3D78" w:rsidRPr="00FC3ADC">
        <w:t>7.24</w:t>
      </w:r>
      <w:r w:rsidR="00D82571" w:rsidRPr="00FC3ADC">
        <w:t xml:space="preserve"> million</w:t>
      </w:r>
      <w:r w:rsidR="00262541" w:rsidRPr="00FC3ADC">
        <w:t xml:space="preserve"> for</w:t>
      </w:r>
      <w:r w:rsidR="0082514B" w:rsidRPr="00FC3ADC">
        <w:t xml:space="preserve"> </w:t>
      </w:r>
      <w:r w:rsidR="00C42F59" w:rsidRPr="00FC3ADC">
        <w:t>the</w:t>
      </w:r>
      <w:r w:rsidR="00262541" w:rsidRPr="00FC3ADC">
        <w:t xml:space="preserve"> PDMF in the 2016 General Appropriations Act which essentially doubled the working fund provided by DFAT. </w:t>
      </w:r>
      <w:r w:rsidRPr="00FC3ADC">
        <w:t xml:space="preserve">PDMF resources </w:t>
      </w:r>
      <w:r w:rsidR="00F85AFC" w:rsidRPr="00FC3ADC">
        <w:t xml:space="preserve">increased </w:t>
      </w:r>
      <w:r w:rsidRPr="00FC3ADC">
        <w:t xml:space="preserve">due </w:t>
      </w:r>
      <w:r w:rsidR="0082514B" w:rsidRPr="00FC3ADC">
        <w:t>to</w:t>
      </w:r>
      <w:r w:rsidR="0007579D" w:rsidRPr="00FC3ADC">
        <w:t xml:space="preserve"> USD</w:t>
      </w:r>
      <w:r w:rsidR="003A3D78" w:rsidRPr="00FC3ADC">
        <w:t>13</w:t>
      </w:r>
      <w:r w:rsidRPr="00FC3ADC">
        <w:t xml:space="preserve"> million </w:t>
      </w:r>
      <w:r w:rsidR="00D321C6">
        <w:t xml:space="preserve">(AUD 16.7 million) </w:t>
      </w:r>
      <w:r w:rsidRPr="00FC3ADC">
        <w:t>equivalent contributions by line-departments</w:t>
      </w:r>
      <w:r w:rsidR="00F85AFC" w:rsidRPr="00FC3ADC">
        <w:t xml:space="preserve">. A further </w:t>
      </w:r>
      <w:r w:rsidR="0007579D" w:rsidRPr="00FC3ADC">
        <w:t>USD</w:t>
      </w:r>
      <w:r w:rsidRPr="00FC3ADC">
        <w:t>6 million</w:t>
      </w:r>
      <w:r w:rsidR="00D321C6">
        <w:t xml:space="preserve"> (7.7 million)</w:t>
      </w:r>
      <w:r w:rsidR="00F85AFC" w:rsidRPr="00FC3ADC">
        <w:t xml:space="preserve"> </w:t>
      </w:r>
      <w:r w:rsidR="00181EF5">
        <w:t>was</w:t>
      </w:r>
      <w:r w:rsidR="00F85AFC" w:rsidRPr="00FC3ADC">
        <w:t xml:space="preserve"> </w:t>
      </w:r>
      <w:r w:rsidR="00DE53C0">
        <w:t>reimbursed</w:t>
      </w:r>
      <w:r w:rsidR="00F85AFC" w:rsidRPr="00FC3ADC">
        <w:t xml:space="preserve"> </w:t>
      </w:r>
      <w:r w:rsidRPr="00FC3ADC">
        <w:t>from four successfully bid out PPP projects</w:t>
      </w:r>
      <w:r w:rsidR="00F85AFC" w:rsidRPr="00FC3ADC">
        <w:t>.</w:t>
      </w:r>
      <w:r w:rsidR="00131A55" w:rsidRPr="00FC3ADC">
        <w:t xml:space="preserve"> </w:t>
      </w:r>
      <w:r w:rsidR="00F85AFC" w:rsidRPr="00FC3ADC">
        <w:t xml:space="preserve">Over the course of the TA, a total of 12 PPP projects supported by the PDMF </w:t>
      </w:r>
      <w:r w:rsidR="0053239F">
        <w:t>were</w:t>
      </w:r>
      <w:r w:rsidR="00F85AFC" w:rsidRPr="00FC3ADC">
        <w:t xml:space="preserve"> awarded with</w:t>
      </w:r>
      <w:r w:rsidR="003A3D78" w:rsidRPr="00FC3ADC">
        <w:t xml:space="preserve"> an </w:t>
      </w:r>
      <w:r w:rsidR="0007579D" w:rsidRPr="00FC3ADC">
        <w:t>approximate</w:t>
      </w:r>
      <w:r w:rsidR="00F85AFC" w:rsidRPr="00FC3ADC">
        <w:t xml:space="preserve"> total project cost of</w:t>
      </w:r>
      <w:r w:rsidR="0007579D" w:rsidRPr="00FC3ADC">
        <w:t xml:space="preserve"> USD</w:t>
      </w:r>
      <w:r w:rsidR="00F85AFC" w:rsidRPr="00FC3ADC">
        <w:t>2.9 billion</w:t>
      </w:r>
      <w:r w:rsidR="00D82571" w:rsidRPr="00FC3ADC">
        <w:t xml:space="preserve">. This resulted in a range of services </w:t>
      </w:r>
      <w:r w:rsidR="008A1345" w:rsidRPr="00FC3ADC">
        <w:t xml:space="preserve">now </w:t>
      </w:r>
      <w:r w:rsidR="00D82571" w:rsidRPr="00FC3ADC">
        <w:t>available across the country</w:t>
      </w:r>
      <w:r w:rsidR="008A1345" w:rsidRPr="00FC3ADC">
        <w:t>, such as schools, airports</w:t>
      </w:r>
      <w:r w:rsidR="003A3D78" w:rsidRPr="00FC3ADC">
        <w:t xml:space="preserve">, </w:t>
      </w:r>
      <w:r w:rsidR="008A1345" w:rsidRPr="00FC3ADC">
        <w:t xml:space="preserve">health </w:t>
      </w:r>
      <w:r w:rsidR="00181EF5" w:rsidRPr="00FC3ADC">
        <w:t>cent</w:t>
      </w:r>
      <w:r w:rsidR="00181EF5">
        <w:t>re</w:t>
      </w:r>
      <w:r w:rsidR="00181EF5" w:rsidRPr="00FC3ADC">
        <w:t>s</w:t>
      </w:r>
      <w:r w:rsidR="003A3D78" w:rsidRPr="00FC3ADC">
        <w:t xml:space="preserve"> and water supply projects</w:t>
      </w:r>
      <w:r w:rsidR="008A1345" w:rsidRPr="00FC3ADC">
        <w:t xml:space="preserve"> (</w:t>
      </w:r>
      <w:r w:rsidR="0053239F">
        <w:t>see</w:t>
      </w:r>
      <w:r w:rsidR="00F85AFC" w:rsidRPr="00FC3ADC">
        <w:t xml:space="preserve"> </w:t>
      </w:r>
      <w:r w:rsidR="00F85AFC" w:rsidRPr="00B50F69">
        <w:rPr>
          <w:u w:val="single"/>
        </w:rPr>
        <w:t>Annex 2</w:t>
      </w:r>
      <w:r w:rsidR="008A1345" w:rsidRPr="00FC3ADC">
        <w:t xml:space="preserve">) that </w:t>
      </w:r>
      <w:r w:rsidR="00181EF5">
        <w:t>were</w:t>
      </w:r>
      <w:r w:rsidR="008A1345" w:rsidRPr="00FC3ADC">
        <w:t xml:space="preserve"> </w:t>
      </w:r>
      <w:r w:rsidR="009A1E82" w:rsidRPr="00FC3ADC">
        <w:t xml:space="preserve">likely </w:t>
      </w:r>
      <w:r w:rsidR="0053239F">
        <w:t xml:space="preserve">to have had </w:t>
      </w:r>
      <w:r w:rsidR="008A1345" w:rsidRPr="00FC3ADC">
        <w:t xml:space="preserve">a </w:t>
      </w:r>
      <w:r w:rsidR="0007579D" w:rsidRPr="00FC3ADC">
        <w:t xml:space="preserve">tangible </w:t>
      </w:r>
      <w:r w:rsidR="008A1345" w:rsidRPr="00FC3ADC">
        <w:t>benefit across the country.</w:t>
      </w:r>
      <w:r w:rsidR="0007579D" w:rsidRPr="00FC3ADC">
        <w:t xml:space="preserve"> This assessment would be supported by PPP project social and environmental impact monitoring.</w:t>
      </w:r>
      <w:r w:rsidR="008A1345" w:rsidRPr="00FC3ADC">
        <w:t xml:space="preserve"> When </w:t>
      </w:r>
      <w:r w:rsidR="00823BBE" w:rsidRPr="00FC3ADC">
        <w:t xml:space="preserve">viewed from an overall </w:t>
      </w:r>
      <w:r w:rsidR="006F2E31">
        <w:t xml:space="preserve">fiscal </w:t>
      </w:r>
      <w:r w:rsidR="00823BBE" w:rsidRPr="00FC3ADC">
        <w:t>perspective</w:t>
      </w:r>
      <w:r w:rsidR="008A1345" w:rsidRPr="00FC3ADC">
        <w:t>, the</w:t>
      </w:r>
      <w:r w:rsidR="00823BBE" w:rsidRPr="00FC3ADC">
        <w:t xml:space="preserve"> funds and value of investment generated, and impact of development projects bid out from the PDMF</w:t>
      </w:r>
      <w:r w:rsidR="00250023">
        <w:t>,</w:t>
      </w:r>
      <w:r w:rsidR="00823BBE" w:rsidRPr="00FC3ADC">
        <w:t xml:space="preserve"> and implemented</w:t>
      </w:r>
      <w:r w:rsidR="00250023">
        <w:t>,</w:t>
      </w:r>
      <w:r w:rsidR="00823BBE" w:rsidRPr="00FC3ADC">
        <w:t xml:space="preserve"> indicates that</w:t>
      </w:r>
      <w:r w:rsidR="008A1345" w:rsidRPr="00FC3ADC">
        <w:t xml:space="preserve"> DFAT</w:t>
      </w:r>
      <w:r w:rsidR="00823BBE" w:rsidRPr="00FC3ADC">
        <w:t xml:space="preserve">’s </w:t>
      </w:r>
      <w:r w:rsidR="008A1345" w:rsidRPr="00FC3ADC">
        <w:t xml:space="preserve">contribution </w:t>
      </w:r>
      <w:r w:rsidR="00181EF5">
        <w:t>was</w:t>
      </w:r>
      <w:r w:rsidR="008A1345" w:rsidRPr="00FC3ADC">
        <w:t xml:space="preserve"> of high value and impact.</w:t>
      </w:r>
      <w:r w:rsidR="008A1345">
        <w:t xml:space="preserve"> </w:t>
      </w:r>
    </w:p>
    <w:p w14:paraId="30219538" w14:textId="21C129B0" w:rsidR="0007579D" w:rsidRPr="00FC3ADC" w:rsidRDefault="0007579D" w:rsidP="00FC3ADC">
      <w:pPr>
        <w:tabs>
          <w:tab w:val="left" w:pos="8364"/>
        </w:tabs>
        <w:spacing w:after="0" w:line="240" w:lineRule="auto"/>
        <w:rPr>
          <w:i/>
          <w:iCs/>
        </w:rPr>
      </w:pPr>
      <w:r w:rsidRPr="00FC3ADC">
        <w:rPr>
          <w:i/>
          <w:iCs/>
        </w:rPr>
        <w:t>iii) The demonstrated viability and endorsement of the PPP financing modality</w:t>
      </w:r>
    </w:p>
    <w:p w14:paraId="149289CC" w14:textId="7DBD4FF3" w:rsidR="00895C7E" w:rsidRDefault="00727782" w:rsidP="0007579D">
      <w:pPr>
        <w:pStyle w:val="SDAbodytext"/>
        <w:spacing w:before="0"/>
      </w:pPr>
      <w:r>
        <w:t xml:space="preserve">Effectiveness of DFAT’s investment </w:t>
      </w:r>
      <w:r w:rsidR="00250023">
        <w:t xml:space="preserve">could </w:t>
      </w:r>
      <w:r>
        <w:t xml:space="preserve">also be considered in relation to </w:t>
      </w:r>
      <w:bookmarkStart w:id="62" w:name="_Hlk66748653"/>
      <w:r>
        <w:t>the</w:t>
      </w:r>
      <w:r w:rsidR="004A2DFB">
        <w:t xml:space="preserve"> extent to which the </w:t>
      </w:r>
      <w:r w:rsidR="00B91B4D">
        <w:t>TA</w:t>
      </w:r>
      <w:r w:rsidR="004A2DFB">
        <w:t xml:space="preserve"> has</w:t>
      </w:r>
      <w:r w:rsidR="00B91B4D">
        <w:t xml:space="preserve"> supported the</w:t>
      </w:r>
      <w:r w:rsidR="004A2DFB">
        <w:t xml:space="preserve"> successful </w:t>
      </w:r>
      <w:bookmarkEnd w:id="62"/>
      <w:r w:rsidR="004A2DFB">
        <w:t>promot</w:t>
      </w:r>
      <w:r w:rsidR="00B91B4D">
        <w:t>ion</w:t>
      </w:r>
      <w:r w:rsidR="00AB1DB3">
        <w:t xml:space="preserve">, </w:t>
      </w:r>
      <w:r w:rsidR="007363E5">
        <w:t>adoption,</w:t>
      </w:r>
      <w:r w:rsidR="00AB1DB3">
        <w:t xml:space="preserve"> and administ</w:t>
      </w:r>
      <w:r w:rsidR="00B91B4D">
        <w:t>ration of</w:t>
      </w:r>
      <w:r w:rsidR="004A2DFB">
        <w:t xml:space="preserve"> the PPP modality</w:t>
      </w:r>
      <w:r w:rsidR="00B91B4D">
        <w:t xml:space="preserve"> in the Philippines</w:t>
      </w:r>
      <w:r w:rsidR="004A2DFB">
        <w:t xml:space="preserve"> and addressed constraints in the policy and operating environment. </w:t>
      </w:r>
      <w:r w:rsidR="00AB1DB3">
        <w:t>W</w:t>
      </w:r>
      <w:r w:rsidR="004A2DFB">
        <w:t>hile NEDA approval rates (81</w:t>
      </w:r>
      <w:r w:rsidR="00250023">
        <w:t xml:space="preserve"> per cent</w:t>
      </w:r>
      <w:r w:rsidR="004A2DFB">
        <w:t xml:space="preserve">) </w:t>
      </w:r>
      <w:r w:rsidR="00250023">
        <w:t>were</w:t>
      </w:r>
      <w:r w:rsidR="004A2DFB">
        <w:t xml:space="preserve"> touted as an indicator of success of </w:t>
      </w:r>
      <w:r w:rsidR="00AB1DB3">
        <w:t xml:space="preserve">the </w:t>
      </w:r>
      <w:r w:rsidR="004A2DFB">
        <w:t xml:space="preserve">PDMF, this </w:t>
      </w:r>
      <w:r w:rsidR="001C2016">
        <w:t>was</w:t>
      </w:r>
      <w:r w:rsidR="004A2DFB">
        <w:t xml:space="preserve"> but one milestone in the PPP project phase</w:t>
      </w:r>
      <w:r w:rsidR="00B91B4D">
        <w:t xml:space="preserve">. </w:t>
      </w:r>
      <w:r w:rsidR="0006544B">
        <w:t>O</w:t>
      </w:r>
      <w:r w:rsidR="004A2DFB">
        <w:t>ther</w:t>
      </w:r>
      <w:r w:rsidR="00B91B4D">
        <w:t xml:space="preserve"> milestones</w:t>
      </w:r>
      <w:r w:rsidR="004A2DFB">
        <w:t xml:space="preserve"> </w:t>
      </w:r>
      <w:r w:rsidR="00BA4133">
        <w:t>should</w:t>
      </w:r>
      <w:r w:rsidR="004A2DFB">
        <w:t xml:space="preserve"> </w:t>
      </w:r>
      <w:r w:rsidR="001C2016">
        <w:t xml:space="preserve">have </w:t>
      </w:r>
      <w:r w:rsidR="004A2DFB">
        <w:t>be</w:t>
      </w:r>
      <w:r w:rsidR="001C2016">
        <w:t>en</w:t>
      </w:r>
      <w:r w:rsidR="004A2DFB">
        <w:t xml:space="preserve"> considered such as </w:t>
      </w:r>
      <w:r w:rsidR="00B91B4D">
        <w:t xml:space="preserve">the </w:t>
      </w:r>
      <w:r w:rsidR="004A2DFB">
        <w:t xml:space="preserve">number of </w:t>
      </w:r>
      <w:r w:rsidR="004A2DFB" w:rsidRPr="00A24D54">
        <w:t>awarded PPP projects supported by PDMF</w:t>
      </w:r>
      <w:r w:rsidR="004A2DFB">
        <w:t>,</w:t>
      </w:r>
      <w:r w:rsidR="004A2DFB" w:rsidRPr="00A24D54">
        <w:t xml:space="preserve"> with signed contracts with</w:t>
      </w:r>
      <w:r w:rsidR="0006544B">
        <w:t xml:space="preserve"> the</w:t>
      </w:r>
      <w:r w:rsidR="004A2DFB" w:rsidRPr="00A24D54">
        <w:t xml:space="preserve"> private sector</w:t>
      </w:r>
      <w:r w:rsidR="00B86398">
        <w:t>, which is a total of</w:t>
      </w:r>
      <w:r w:rsidR="004A2DFB">
        <w:t xml:space="preserve"> </w:t>
      </w:r>
      <w:r w:rsidR="00B91B4D">
        <w:t>60</w:t>
      </w:r>
      <w:r w:rsidR="00250023">
        <w:t xml:space="preserve"> per cent</w:t>
      </w:r>
      <w:r w:rsidR="00B86398">
        <w:t>). This measure c</w:t>
      </w:r>
      <w:r w:rsidR="001C2016">
        <w:t>ould</w:t>
      </w:r>
      <w:r w:rsidR="00B86398">
        <w:t xml:space="preserve"> be considered in relation to the</w:t>
      </w:r>
      <w:r w:rsidR="00E2674A">
        <w:t xml:space="preserve"> Department of Transportation</w:t>
      </w:r>
      <w:r w:rsidR="00B86398">
        <w:t xml:space="preserve"> </w:t>
      </w:r>
      <w:r w:rsidR="00E2674A">
        <w:t>(</w:t>
      </w:r>
      <w:r w:rsidR="00B86398">
        <w:t>DOTr</w:t>
      </w:r>
      <w:r w:rsidR="00E2674A">
        <w:t>)</w:t>
      </w:r>
      <w:r w:rsidR="00B86398">
        <w:t xml:space="preserve">, which received considerable support through </w:t>
      </w:r>
      <w:r w:rsidR="00B86398" w:rsidRPr="00FC3ADC">
        <w:t xml:space="preserve">the PDMF. </w:t>
      </w:r>
    </w:p>
    <w:p w14:paraId="10B8FA10" w14:textId="35AF7729" w:rsidR="00B86398" w:rsidRDefault="00B86398" w:rsidP="0007579D">
      <w:pPr>
        <w:pStyle w:val="SDAbodytext"/>
        <w:spacing w:before="0"/>
      </w:pPr>
      <w:r w:rsidRPr="00FC3ADC">
        <w:t xml:space="preserve">DOTr </w:t>
      </w:r>
      <w:r w:rsidR="004A2DFB" w:rsidRPr="00FC3ADC">
        <w:t>ha</w:t>
      </w:r>
      <w:r w:rsidR="00895C7E">
        <w:t>d</w:t>
      </w:r>
      <w:r w:rsidR="004A2DFB" w:rsidRPr="00FC3ADC">
        <w:t xml:space="preserve"> a total of 20 projects developed</w:t>
      </w:r>
      <w:r w:rsidR="00256528" w:rsidRPr="00FC3ADC">
        <w:t xml:space="preserve"> with funding support from</w:t>
      </w:r>
      <w:r w:rsidR="00B91B4D" w:rsidRPr="00FC3ADC">
        <w:t xml:space="preserve"> the</w:t>
      </w:r>
      <w:r w:rsidR="00256528" w:rsidRPr="00FC3ADC">
        <w:t xml:space="preserve"> PDMF</w:t>
      </w:r>
      <w:r w:rsidR="004A2DFB" w:rsidRPr="00FC3ADC">
        <w:t>, with 16 out o</w:t>
      </w:r>
      <w:r w:rsidR="00256528" w:rsidRPr="00FC3ADC">
        <w:t>f</w:t>
      </w:r>
      <w:r w:rsidR="004A2DFB" w:rsidRPr="00FC3ADC">
        <w:t xml:space="preserve"> 17</w:t>
      </w:r>
      <w:r w:rsidR="00256528" w:rsidRPr="00FC3ADC">
        <w:t xml:space="preserve"> of projects</w:t>
      </w:r>
      <w:r w:rsidR="004A2DFB" w:rsidRPr="00FC3ADC">
        <w:t xml:space="preserve"> approved by</w:t>
      </w:r>
      <w:r w:rsidR="00256528" w:rsidRPr="00FC3ADC">
        <w:t xml:space="preserve"> the main approving body for national PPP projects, the NEDA-Investment Coordination Committee</w:t>
      </w:r>
      <w:r w:rsidR="006F2E31">
        <w:t xml:space="preserve"> </w:t>
      </w:r>
      <w:r w:rsidR="006F2E31">
        <w:rPr>
          <w:lang w:val="en-GB"/>
        </w:rPr>
        <w:t>(</w:t>
      </w:r>
      <w:r w:rsidR="006F2E31" w:rsidRPr="00915E15">
        <w:rPr>
          <w:lang w:val="en-GB"/>
        </w:rPr>
        <w:t>ICC</w:t>
      </w:r>
      <w:r w:rsidR="006F2E31">
        <w:rPr>
          <w:lang w:val="en-GB"/>
        </w:rPr>
        <w:t>)</w:t>
      </w:r>
      <w:r w:rsidR="00256528" w:rsidRPr="00FC3ADC">
        <w:t xml:space="preserve">. </w:t>
      </w:r>
      <w:r w:rsidR="004A2DFB" w:rsidRPr="00FC3ADC">
        <w:t>However, only 4 projects (20</w:t>
      </w:r>
      <w:r w:rsidR="00250023">
        <w:t xml:space="preserve"> per cent</w:t>
      </w:r>
      <w:r w:rsidR="0084007B" w:rsidRPr="00FC3ADC">
        <w:t xml:space="preserve"> of total projects developed</w:t>
      </w:r>
      <w:r w:rsidR="004A2DFB" w:rsidRPr="00FC3ADC">
        <w:t xml:space="preserve">) </w:t>
      </w:r>
      <w:r w:rsidR="001C2016">
        <w:t>were</w:t>
      </w:r>
      <w:r w:rsidR="004A2DFB" w:rsidRPr="00FC3ADC">
        <w:t xml:space="preserve"> awarded.</w:t>
      </w:r>
      <w:r w:rsidR="00AB1DB3" w:rsidRPr="00FC3ADC">
        <w:t xml:space="preserve"> This may signal that </w:t>
      </w:r>
      <w:r w:rsidR="00BA4133" w:rsidRPr="00FC3ADC">
        <w:t xml:space="preserve">the TA </w:t>
      </w:r>
      <w:r w:rsidR="001F6438">
        <w:t>did</w:t>
      </w:r>
      <w:r w:rsidR="00BA4133" w:rsidRPr="00FC3ADC">
        <w:t xml:space="preserve"> not sufficiently </w:t>
      </w:r>
      <w:r w:rsidR="009E67AC" w:rsidRPr="00FC3ADC">
        <w:t xml:space="preserve">work to understand and </w:t>
      </w:r>
      <w:r w:rsidR="00BA4133" w:rsidRPr="00FC3ADC">
        <w:t xml:space="preserve">address the concerns of the </w:t>
      </w:r>
      <w:r w:rsidR="00B91B4D" w:rsidRPr="00FC3ADC">
        <w:t>private sector</w:t>
      </w:r>
      <w:r w:rsidR="001F6438">
        <w:t>,</w:t>
      </w:r>
      <w:r w:rsidR="009D13FD" w:rsidRPr="00FC3ADC">
        <w:t xml:space="preserve"> or the concerns of the </w:t>
      </w:r>
      <w:r w:rsidR="00350363">
        <w:t>implementing agency</w:t>
      </w:r>
      <w:r w:rsidR="00350363" w:rsidRPr="00FC3ADC">
        <w:t xml:space="preserve"> </w:t>
      </w:r>
      <w:r w:rsidR="009D13FD" w:rsidRPr="00FC3ADC">
        <w:t>in continuing the procurement and award of the developed</w:t>
      </w:r>
      <w:r w:rsidR="009D13FD" w:rsidRPr="009D13FD">
        <w:t xml:space="preserve"> projects</w:t>
      </w:r>
      <w:r w:rsidR="00FF0C5E">
        <w:t>,</w:t>
      </w:r>
      <w:r w:rsidR="009D13FD" w:rsidRPr="009D13FD">
        <w:t xml:space="preserve"> such as timing and political considerations</w:t>
      </w:r>
      <w:r w:rsidR="00FF0C5E">
        <w:t xml:space="preserve">. This resulted </w:t>
      </w:r>
      <w:r w:rsidR="009E67AC">
        <w:t xml:space="preserve">in </w:t>
      </w:r>
      <w:r w:rsidR="00AB1DB3">
        <w:t xml:space="preserve">DFAT’s investment </w:t>
      </w:r>
      <w:r w:rsidR="009E67AC">
        <w:t>n</w:t>
      </w:r>
      <w:r w:rsidR="00AB1DB3">
        <w:t>ot achieving optimal impact</w:t>
      </w:r>
      <w:r w:rsidR="00AB1DB3">
        <w:rPr>
          <w:rStyle w:val="FootnoteReference"/>
        </w:rPr>
        <w:footnoteReference w:id="15"/>
      </w:r>
      <w:r w:rsidR="00AB1DB3">
        <w:t xml:space="preserve">. </w:t>
      </w:r>
    </w:p>
    <w:p w14:paraId="52258056" w14:textId="693B873D" w:rsidR="009D13FD" w:rsidRDefault="00B561C0" w:rsidP="00FC3ADC">
      <w:pPr>
        <w:pStyle w:val="SDAbodytext"/>
        <w:spacing w:before="0"/>
      </w:pPr>
      <w:r>
        <w:lastRenderedPageBreak/>
        <w:t xml:space="preserve">However, it is difficult to assess the success rate of </w:t>
      </w:r>
      <w:r w:rsidR="0082514B">
        <w:t xml:space="preserve">DOTr </w:t>
      </w:r>
      <w:r>
        <w:t>PPP projects</w:t>
      </w:r>
      <w:r w:rsidR="004D505B">
        <w:t>,</w:t>
      </w:r>
      <w:r w:rsidR="0084007B">
        <w:t xml:space="preserve"> and the implications of this for the TA</w:t>
      </w:r>
      <w:r w:rsidR="004D505B">
        <w:t>,</w:t>
      </w:r>
      <w:r>
        <w:t xml:space="preserve"> without having data on the status of each PPP</w:t>
      </w:r>
      <w:r>
        <w:rPr>
          <w:rStyle w:val="FootnoteReference"/>
        </w:rPr>
        <w:footnoteReference w:id="16"/>
      </w:r>
      <w:r>
        <w:t xml:space="preserve">, comparative country data on non-PDMF supported projects </w:t>
      </w:r>
      <w:r w:rsidR="00A46F0D">
        <w:t>(</w:t>
      </w:r>
      <w:r>
        <w:t xml:space="preserve">attempted </w:t>
      </w:r>
      <w:r w:rsidR="00A46F0D">
        <w:t>v</w:t>
      </w:r>
      <w:r w:rsidR="001F6438">
        <w:t>ersus</w:t>
      </w:r>
      <w:r>
        <w:t xml:space="preserve"> awarded projects</w:t>
      </w:r>
      <w:r w:rsidR="00A46F0D">
        <w:t>)</w:t>
      </w:r>
      <w:r>
        <w:t xml:space="preserve">, or comparative data sets for countries </w:t>
      </w:r>
      <w:r w:rsidR="00A46F0D">
        <w:t>meeting internationals standards.</w:t>
      </w:r>
      <w:r w:rsidR="001F5246">
        <w:t xml:space="preserve"> While the full benefits of the suite of supported PPP projects may not be know</w:t>
      </w:r>
      <w:r w:rsidR="0082514B">
        <w:t>n</w:t>
      </w:r>
      <w:r w:rsidR="001F5246">
        <w:t xml:space="preserve"> until the longer term</w:t>
      </w:r>
      <w:r w:rsidR="001F5246">
        <w:rPr>
          <w:rStyle w:val="FootnoteReference"/>
        </w:rPr>
        <w:footnoteReference w:id="17"/>
      </w:r>
      <w:r w:rsidR="001F5246">
        <w:t xml:space="preserve">, limitations in award and implementation of PPP projects may </w:t>
      </w:r>
      <w:r w:rsidR="001F6438">
        <w:t>hinder</w:t>
      </w:r>
      <w:r w:rsidR="001F5246">
        <w:t xml:space="preserve"> </w:t>
      </w:r>
      <w:r w:rsidR="000478A5">
        <w:t xml:space="preserve">the government’s ability to </w:t>
      </w:r>
      <w:r w:rsidR="001F6438">
        <w:t xml:space="preserve">promote </w:t>
      </w:r>
      <w:r w:rsidR="000478A5">
        <w:t xml:space="preserve">PPPs as </w:t>
      </w:r>
      <w:r w:rsidR="001F5246">
        <w:t xml:space="preserve">a </w:t>
      </w:r>
      <w:r w:rsidR="001F6438">
        <w:t xml:space="preserve">viable </w:t>
      </w:r>
      <w:r w:rsidR="000478A5">
        <w:t xml:space="preserve">funding modality </w:t>
      </w:r>
      <w:r w:rsidR="001F6438">
        <w:t>for</w:t>
      </w:r>
      <w:r w:rsidR="000478A5">
        <w:t xml:space="preserve"> both parties. </w:t>
      </w:r>
    </w:p>
    <w:p w14:paraId="54831D94" w14:textId="57A216B8" w:rsidR="001F6438" w:rsidRDefault="00DF6BDC" w:rsidP="00021D43">
      <w:pPr>
        <w:pStyle w:val="SDAbodytext"/>
      </w:pPr>
      <w:r>
        <w:t>With the help of ADB national consultants</w:t>
      </w:r>
      <w:r w:rsidR="004F4F6B">
        <w:t>,</w:t>
      </w:r>
      <w:r>
        <w:t xml:space="preserve"> a PPP monitoring framework </w:t>
      </w:r>
      <w:r w:rsidR="004F4F6B">
        <w:t>was</w:t>
      </w:r>
      <w:r>
        <w:t xml:space="preserve"> developed</w:t>
      </w:r>
      <w:r w:rsidR="004F4F6B">
        <w:t xml:space="preserve"> and</w:t>
      </w:r>
      <w:r>
        <w:t xml:space="preserve"> approved by the PPP </w:t>
      </w:r>
      <w:r w:rsidR="00585DEC">
        <w:t>G</w:t>
      </w:r>
      <w:r>
        <w:t xml:space="preserve">overning </w:t>
      </w:r>
      <w:r w:rsidR="00585DEC">
        <w:t>B</w:t>
      </w:r>
      <w:r>
        <w:t xml:space="preserve">oard. This increased the PPP Center’s </w:t>
      </w:r>
      <w:r w:rsidR="00233054" w:rsidRPr="00FC3ADC">
        <w:t>database of PPP projects moving from 78 to 176 projects being tracked</w:t>
      </w:r>
      <w:r w:rsidR="001F6438">
        <w:t>,</w:t>
      </w:r>
      <w:r w:rsidR="00233054" w:rsidRPr="00FC3ADC">
        <w:t xml:space="preserve"> and taking stock of all awarded projects.</w:t>
      </w:r>
      <w:r w:rsidR="00FC3ADC">
        <w:t xml:space="preserve"> </w:t>
      </w:r>
    </w:p>
    <w:p w14:paraId="5EF0DAA4" w14:textId="001007C3" w:rsidR="00DF6BDC" w:rsidRDefault="00DF6BDC" w:rsidP="00021D43">
      <w:pPr>
        <w:pStyle w:val="SDAbodytext"/>
        <w:rPr>
          <w:lang w:val="en-GB"/>
        </w:rPr>
      </w:pPr>
      <w:r w:rsidRPr="00FC3ADC">
        <w:t xml:space="preserve">The monitoring </w:t>
      </w:r>
      <w:r w:rsidR="00922C78" w:rsidRPr="00FC3ADC">
        <w:t xml:space="preserve">division of the PPP Center </w:t>
      </w:r>
      <w:r w:rsidRPr="00FC3ADC">
        <w:t>evolved to provid</w:t>
      </w:r>
      <w:r w:rsidR="004F4F6B" w:rsidRPr="00FC3ADC">
        <w:t>e</w:t>
      </w:r>
      <w:r w:rsidRPr="00FC3ADC">
        <w:t xml:space="preserve"> assistance in PPP projects under implementation</w:t>
      </w:r>
      <w:r w:rsidR="004F4F6B" w:rsidRPr="00FC3ADC">
        <w:t>, and position</w:t>
      </w:r>
      <w:r w:rsidR="001F6438">
        <w:t>ed</w:t>
      </w:r>
      <w:r w:rsidR="004F4F6B" w:rsidRPr="00FC3ADC">
        <w:t xml:space="preserve"> the PPP </w:t>
      </w:r>
      <w:r w:rsidR="006D079A" w:rsidRPr="00FC3ADC">
        <w:t xml:space="preserve">Center </w:t>
      </w:r>
      <w:r w:rsidR="004F4F6B" w:rsidRPr="00FC3ADC">
        <w:t>to answer these value questions more</w:t>
      </w:r>
      <w:r w:rsidR="004F4F6B">
        <w:rPr>
          <w:lang w:val="en-GB"/>
        </w:rPr>
        <w:t xml:space="preserve"> comprehensively in </w:t>
      </w:r>
      <w:r w:rsidR="001E568B">
        <w:rPr>
          <w:lang w:val="en-GB"/>
        </w:rPr>
        <w:t>future</w:t>
      </w:r>
      <w:r w:rsidR="004F4F6B">
        <w:rPr>
          <w:lang w:val="en-GB"/>
        </w:rPr>
        <w:t>.</w:t>
      </w:r>
    </w:p>
    <w:p w14:paraId="02067A18" w14:textId="77777777" w:rsidR="00F5700C" w:rsidRDefault="00F5700C" w:rsidP="00F5700C">
      <w:pPr>
        <w:pStyle w:val="SDAbodytext"/>
        <w:rPr>
          <w:lang w:val="en-GB"/>
        </w:rPr>
      </w:pPr>
    </w:p>
    <w:p w14:paraId="6B076353" w14:textId="2AB9C003" w:rsidR="00A22DA3" w:rsidRDefault="006A2EA1" w:rsidP="00F2226C">
      <w:pPr>
        <w:pStyle w:val="Heading3"/>
      </w:pPr>
      <w:bookmarkStart w:id="63" w:name="_Toc96435328"/>
      <w:bookmarkEnd w:id="57"/>
      <w:r>
        <w:t xml:space="preserve">3.2 </w:t>
      </w:r>
      <w:r w:rsidR="00A22DA3">
        <w:t>DFAT’s contribution</w:t>
      </w:r>
      <w:bookmarkEnd w:id="63"/>
    </w:p>
    <w:p w14:paraId="26B766AA" w14:textId="0B9DCD5B" w:rsidR="00746E66" w:rsidRDefault="004A0BE0" w:rsidP="00021D43">
      <w:pPr>
        <w:spacing w:line="240" w:lineRule="auto"/>
      </w:pPr>
      <w:r>
        <w:t>While it is not possible to se</w:t>
      </w:r>
      <w:r w:rsidR="0029154C">
        <w:t>parate out DFAT’s</w:t>
      </w:r>
      <w:r w:rsidR="00CD1A3B">
        <w:t xml:space="preserve"> specific</w:t>
      </w:r>
      <w:r w:rsidR="0029154C">
        <w:t xml:space="preserve"> cont</w:t>
      </w:r>
      <w:r w:rsidR="00CD1A3B">
        <w:t xml:space="preserve">ribution to the </w:t>
      </w:r>
      <w:r w:rsidR="002B24F2">
        <w:t>outcomes</w:t>
      </w:r>
      <w:r w:rsidR="00CD1A3B">
        <w:t xml:space="preserve"> outlined above due to </w:t>
      </w:r>
      <w:r w:rsidR="000611CC">
        <w:t>the</w:t>
      </w:r>
      <w:r w:rsidR="00CD1A3B">
        <w:t xml:space="preserve"> pooled funding arrangement,</w:t>
      </w:r>
      <w:r w:rsidR="007403CD">
        <w:t xml:space="preserve"> DFAT can claim a </w:t>
      </w:r>
      <w:r w:rsidR="00B85D1A">
        <w:t>high level of</w:t>
      </w:r>
      <w:r w:rsidR="007403CD">
        <w:t xml:space="preserve"> contribution. </w:t>
      </w:r>
      <w:r w:rsidR="00B85D1A">
        <w:t xml:space="preserve">DFAT </w:t>
      </w:r>
      <w:r w:rsidR="00BE43CE">
        <w:t>provided</w:t>
      </w:r>
      <w:r w:rsidR="00B85D1A">
        <w:t xml:space="preserve"> the majority share of combined donor funding (approximately 71</w:t>
      </w:r>
      <w:r w:rsidR="001F6438">
        <w:t xml:space="preserve"> per cent</w:t>
      </w:r>
      <w:r w:rsidR="00B85D1A">
        <w:t xml:space="preserve">). Its investment </w:t>
      </w:r>
      <w:r w:rsidR="001F6438">
        <w:t>was</w:t>
      </w:r>
      <w:r w:rsidR="00B85D1A">
        <w:t xml:space="preserve"> pivotal in establishing PDMF panels and building momentum for PPP </w:t>
      </w:r>
      <w:r w:rsidR="00597817">
        <w:t>p</w:t>
      </w:r>
      <w:r w:rsidR="00B85D1A">
        <w:t>rojects, particularly in the early sta</w:t>
      </w:r>
      <w:r w:rsidR="00C41557">
        <w:t>g</w:t>
      </w:r>
      <w:r w:rsidR="00B85D1A">
        <w:t xml:space="preserve">es of the TA. It also made a significant contribution to the Capacity Building component which </w:t>
      </w:r>
      <w:r w:rsidR="001F6438">
        <w:t>was</w:t>
      </w:r>
      <w:r w:rsidR="0049342A">
        <w:t xml:space="preserve"> highly impactful and sustainable.</w:t>
      </w:r>
      <w:r w:rsidR="000B35DD">
        <w:t xml:space="preserve"> </w:t>
      </w:r>
    </w:p>
    <w:p w14:paraId="78CCA29B" w14:textId="325243BB" w:rsidR="006A2EA1" w:rsidRDefault="00EE106C" w:rsidP="00021D43">
      <w:pPr>
        <w:spacing w:line="240" w:lineRule="auto"/>
      </w:pPr>
      <w:r>
        <w:t xml:space="preserve">Australian expertise </w:t>
      </w:r>
      <w:r w:rsidR="001F6438">
        <w:t>was</w:t>
      </w:r>
      <w:r>
        <w:t xml:space="preserve"> </w:t>
      </w:r>
      <w:r w:rsidRPr="006A2EA1">
        <w:t>well leveraged through the TA, significantly contributing to effectiveness and</w:t>
      </w:r>
      <w:r w:rsidR="001F6438">
        <w:t xml:space="preserve"> to improved</w:t>
      </w:r>
      <w:r w:rsidRPr="006A2EA1">
        <w:t xml:space="preserve"> bilateral relations. </w:t>
      </w:r>
      <w:r w:rsidR="00382B59">
        <w:t xml:space="preserve">DFAT and </w:t>
      </w:r>
      <w:r w:rsidR="0049342A">
        <w:t>Australia</w:t>
      </w:r>
      <w:r w:rsidR="0080308E">
        <w:t>n</w:t>
      </w:r>
      <w:r w:rsidR="0049342A">
        <w:t xml:space="preserve"> </w:t>
      </w:r>
      <w:r w:rsidR="00382B59">
        <w:t xml:space="preserve">stakeholders </w:t>
      </w:r>
      <w:r w:rsidR="0049342A">
        <w:t>contributed</w:t>
      </w:r>
      <w:r w:rsidR="00C41557">
        <w:t xml:space="preserve"> </w:t>
      </w:r>
      <w:r w:rsidR="00A823BC">
        <w:t>through</w:t>
      </w:r>
      <w:r w:rsidR="00F938F3">
        <w:t xml:space="preserve"> a range of</w:t>
      </w:r>
      <w:r w:rsidR="00A823BC">
        <w:t xml:space="preserve"> non-financial means, including</w:t>
      </w:r>
      <w:r w:rsidR="008B1391">
        <w:t xml:space="preserve"> </w:t>
      </w:r>
      <w:r w:rsidR="00357910">
        <w:t xml:space="preserve">through </w:t>
      </w:r>
      <w:r w:rsidR="0049342A">
        <w:t xml:space="preserve">direction setting by DFAT, </w:t>
      </w:r>
      <w:r w:rsidR="008B1391">
        <w:t>and the s</w:t>
      </w:r>
      <w:r w:rsidR="006A2EA1" w:rsidRPr="006A2EA1">
        <w:t>haring of Australian expertise and lessons from practice</w:t>
      </w:r>
      <w:r w:rsidR="008B1391">
        <w:t xml:space="preserve"> by Australian firms.</w:t>
      </w:r>
      <w:r w:rsidR="00A823BC">
        <w:t xml:space="preserve"> </w:t>
      </w:r>
      <w:r w:rsidR="008B1391">
        <w:t xml:space="preserve">While downstream partners may not </w:t>
      </w:r>
      <w:r w:rsidR="001F6438">
        <w:t>have been</w:t>
      </w:r>
      <w:r w:rsidR="008B1391">
        <w:t xml:space="preserve"> aware of the</w:t>
      </w:r>
      <w:r w:rsidR="00357910">
        <w:t xml:space="preserve"> level of</w:t>
      </w:r>
      <w:r w:rsidR="008B1391">
        <w:t xml:space="preserve"> DFAT</w:t>
      </w:r>
      <w:r w:rsidR="00357910">
        <w:t>’s</w:t>
      </w:r>
      <w:r w:rsidR="008B1391">
        <w:t xml:space="preserve"> funding contribution</w:t>
      </w:r>
      <w:r w:rsidR="00092CB2">
        <w:rPr>
          <w:rStyle w:val="FootnoteReference"/>
        </w:rPr>
        <w:footnoteReference w:id="18"/>
      </w:r>
      <w:r w:rsidR="008B1391">
        <w:t xml:space="preserve">, engagement </w:t>
      </w:r>
      <w:r w:rsidR="00F938F3">
        <w:t xml:space="preserve">by </w:t>
      </w:r>
      <w:r w:rsidR="008B1391">
        <w:t xml:space="preserve">Australian agencies </w:t>
      </w:r>
      <w:r w:rsidR="001F6438">
        <w:t>gave</w:t>
      </w:r>
      <w:r w:rsidR="008B1391">
        <w:t xml:space="preserve"> the TA strong Australian </w:t>
      </w:r>
      <w:r w:rsidR="00F938F3">
        <w:t xml:space="preserve">visibility. </w:t>
      </w:r>
      <w:r w:rsidR="006A2EA1" w:rsidRPr="006A2EA1">
        <w:t xml:space="preserve">While Australian links were firmly formed in the first half of the </w:t>
      </w:r>
      <w:r w:rsidR="006A2EA1">
        <w:t>TA</w:t>
      </w:r>
      <w:r w:rsidR="006A2EA1" w:rsidRPr="006A2EA1">
        <w:t>, opportunities</w:t>
      </w:r>
      <w:r w:rsidR="005E3C9C">
        <w:t xml:space="preserve"> </w:t>
      </w:r>
      <w:r w:rsidR="001F6438">
        <w:t>were</w:t>
      </w:r>
      <w:r w:rsidR="005E3C9C">
        <w:t xml:space="preserve"> missed</w:t>
      </w:r>
      <w:r w:rsidR="006A2EA1" w:rsidRPr="006A2EA1">
        <w:t xml:space="preserve"> to sustain and further embed Australia’s strategic engagement</w:t>
      </w:r>
      <w:r w:rsidR="00F938F3">
        <w:t xml:space="preserve"> over the entire life of the TA.</w:t>
      </w:r>
    </w:p>
    <w:p w14:paraId="1871A061" w14:textId="45C094E0" w:rsidR="00A75E82" w:rsidRDefault="0080308E" w:rsidP="00021D43">
      <w:pPr>
        <w:spacing w:line="240" w:lineRule="auto"/>
      </w:pPr>
      <w:r>
        <w:t xml:space="preserve">DFAT </w:t>
      </w:r>
      <w:r w:rsidR="001120FC">
        <w:t xml:space="preserve">made an important </w:t>
      </w:r>
      <w:r w:rsidR="00AA1374">
        <w:t>contribut</w:t>
      </w:r>
      <w:r w:rsidR="001120FC">
        <w:t>ion</w:t>
      </w:r>
      <w:r w:rsidR="00AA1374">
        <w:t xml:space="preserve"> </w:t>
      </w:r>
      <w:r w:rsidR="00774FB8">
        <w:t>to the</w:t>
      </w:r>
      <w:r>
        <w:t xml:space="preserve"> design by drawing on lessons learned</w:t>
      </w:r>
      <w:r w:rsidR="00184E50">
        <w:t xml:space="preserve"> in</w:t>
      </w:r>
      <w:r>
        <w:t xml:space="preserve"> </w:t>
      </w:r>
      <w:r w:rsidR="00184E50">
        <w:t>supporting</w:t>
      </w:r>
      <w:r>
        <w:t xml:space="preserve"> PPP programs in</w:t>
      </w:r>
      <w:r w:rsidR="000F1962">
        <w:t xml:space="preserve"> other countries</w:t>
      </w:r>
      <w:r>
        <w:t xml:space="preserve">. It is credited with </w:t>
      </w:r>
      <w:r w:rsidR="00AA00D4">
        <w:t>factoring in</w:t>
      </w:r>
      <w:r>
        <w:t xml:space="preserve"> the political positioning of the </w:t>
      </w:r>
      <w:r w:rsidR="007C4A62">
        <w:t xml:space="preserve">PPP </w:t>
      </w:r>
      <w:r w:rsidR="002D4DA0">
        <w:t>Center</w:t>
      </w:r>
      <w:r>
        <w:t xml:space="preserve"> by </w:t>
      </w:r>
      <w:r w:rsidR="008629F1">
        <w:t>considering and fostering its</w:t>
      </w:r>
      <w:r w:rsidR="00184E50">
        <w:t xml:space="preserve"> </w:t>
      </w:r>
      <w:r>
        <w:t xml:space="preserve">political clout to influence and commitment </w:t>
      </w:r>
      <w:r w:rsidR="00C654F8">
        <w:t>from the highest levels of government.</w:t>
      </w:r>
      <w:r w:rsidR="00B41A72">
        <w:t xml:space="preserve"> DFAT also sought to </w:t>
      </w:r>
      <w:r w:rsidR="00D638CB">
        <w:t>promote a</w:t>
      </w:r>
      <w:r w:rsidR="00E902AE">
        <w:t xml:space="preserve"> </w:t>
      </w:r>
      <w:r w:rsidR="00B41A72">
        <w:t xml:space="preserve">focus </w:t>
      </w:r>
      <w:r w:rsidR="00222C3E">
        <w:t xml:space="preserve">on </w:t>
      </w:r>
      <w:r w:rsidR="00B41A72">
        <w:t xml:space="preserve">Gender Equality, Disability </w:t>
      </w:r>
      <w:r w:rsidR="00222C3E">
        <w:t xml:space="preserve">and Social </w:t>
      </w:r>
      <w:r w:rsidR="00B41A72">
        <w:t>Inclusion</w:t>
      </w:r>
      <w:r w:rsidR="00222C3E">
        <w:t xml:space="preserve"> (GEDSI)</w:t>
      </w:r>
      <w:r w:rsidR="00B41A72">
        <w:t xml:space="preserve"> and social and environmental safeguarding</w:t>
      </w:r>
      <w:r w:rsidR="00222C3E">
        <w:t xml:space="preserve"> over the life of the TA. While</w:t>
      </w:r>
      <w:r w:rsidR="00E902AE">
        <w:t xml:space="preserve"> Philippine</w:t>
      </w:r>
      <w:r w:rsidR="00222C3E">
        <w:t xml:space="preserve"> </w:t>
      </w:r>
      <w:r w:rsidR="00E902AE">
        <w:t xml:space="preserve">stakeholders </w:t>
      </w:r>
      <w:r w:rsidR="00222C3E">
        <w:t xml:space="preserve">were not well aware of DFAT’s </w:t>
      </w:r>
      <w:r w:rsidR="00A75E82">
        <w:t>engagement</w:t>
      </w:r>
      <w:r w:rsidR="00222C3E">
        <w:t xml:space="preserve"> in th</w:t>
      </w:r>
      <w:r w:rsidR="00A75E82">
        <w:t>ese</w:t>
      </w:r>
      <w:r w:rsidR="00222C3E">
        <w:t xml:space="preserve"> area</w:t>
      </w:r>
      <w:r w:rsidR="00A75E82">
        <w:t>s</w:t>
      </w:r>
      <w:r w:rsidR="00222C3E">
        <w:t>, DFAT’s prompting</w:t>
      </w:r>
      <w:r w:rsidR="00A75E82">
        <w:t xml:space="preserve"> on inclusion and safeguarding </w:t>
      </w:r>
      <w:r w:rsidR="00222C3E">
        <w:t>as part of reporting</w:t>
      </w:r>
      <w:r w:rsidR="00A75E82">
        <w:t xml:space="preserve"> </w:t>
      </w:r>
      <w:r w:rsidR="001F6438">
        <w:t>was</w:t>
      </w:r>
      <w:r w:rsidR="001120FC">
        <w:t xml:space="preserve"> seen to have</w:t>
      </w:r>
      <w:r w:rsidR="00A75E82">
        <w:t xml:space="preserve"> </w:t>
      </w:r>
      <w:r w:rsidR="00A8755C">
        <w:t>heightened a</w:t>
      </w:r>
      <w:r w:rsidR="00A75E82">
        <w:t xml:space="preserve"> focus on these aspects. </w:t>
      </w:r>
    </w:p>
    <w:p w14:paraId="693145CE" w14:textId="07EF2C15" w:rsidR="00466F98" w:rsidRPr="00215DC0" w:rsidRDefault="008B571C" w:rsidP="00021D43">
      <w:pPr>
        <w:spacing w:line="240" w:lineRule="auto"/>
      </w:pPr>
      <w:r>
        <w:t xml:space="preserve">Australian </w:t>
      </w:r>
      <w:r w:rsidR="00EA6E14">
        <w:t>entities</w:t>
      </w:r>
      <w:r>
        <w:t xml:space="preserve"> </w:t>
      </w:r>
      <w:r w:rsidR="001F6438">
        <w:t>were</w:t>
      </w:r>
      <w:r>
        <w:t xml:space="preserve"> engaged </w:t>
      </w:r>
      <w:r w:rsidR="0052474B">
        <w:t>to</w:t>
      </w:r>
      <w:r>
        <w:t xml:space="preserve"> shar</w:t>
      </w:r>
      <w:r w:rsidR="0052474B">
        <w:t>e</w:t>
      </w:r>
      <w:r>
        <w:t xml:space="preserve"> expertise through the TA, either by sending Australian experts to the Philippines, or by hosting Philippine partners in Australia. </w:t>
      </w:r>
      <w:r w:rsidR="00AF4860">
        <w:t xml:space="preserve">Australian firms and institutions played a </w:t>
      </w:r>
      <w:r w:rsidR="00AF4860">
        <w:rPr>
          <w:lang w:val="en-GB"/>
        </w:rPr>
        <w:t>l</w:t>
      </w:r>
      <w:r w:rsidR="00AF4860" w:rsidRPr="00AF4860">
        <w:rPr>
          <w:lang w:val="en-GB"/>
        </w:rPr>
        <w:t>arge</w:t>
      </w:r>
      <w:r w:rsidR="00AF4860">
        <w:rPr>
          <w:lang w:val="en-GB"/>
        </w:rPr>
        <w:t xml:space="preserve"> and highly </w:t>
      </w:r>
      <w:r w:rsidR="00AF4860" w:rsidRPr="00AF4860">
        <w:rPr>
          <w:lang w:val="en-GB"/>
        </w:rPr>
        <w:t xml:space="preserve">valued contribution </w:t>
      </w:r>
      <w:r w:rsidR="00AF4860">
        <w:rPr>
          <w:lang w:val="en-GB"/>
        </w:rPr>
        <w:t xml:space="preserve">at </w:t>
      </w:r>
      <w:r w:rsidR="00AF4860" w:rsidRPr="00AF4860">
        <w:rPr>
          <w:lang w:val="en-GB"/>
        </w:rPr>
        <w:t xml:space="preserve">critical points of the </w:t>
      </w:r>
      <w:r w:rsidR="00AF4860">
        <w:rPr>
          <w:lang w:val="en-GB"/>
        </w:rPr>
        <w:t>TA</w:t>
      </w:r>
      <w:r w:rsidR="00AF4860" w:rsidRPr="00AF4860">
        <w:rPr>
          <w:lang w:val="en-GB"/>
        </w:rPr>
        <w:t xml:space="preserve">, particularly in </w:t>
      </w:r>
      <w:r w:rsidR="005C0A57">
        <w:rPr>
          <w:lang w:val="en-GB"/>
        </w:rPr>
        <w:lastRenderedPageBreak/>
        <w:t xml:space="preserve">shaping and </w:t>
      </w:r>
      <w:r w:rsidR="00AF4860" w:rsidRPr="00AF4860">
        <w:rPr>
          <w:lang w:val="en-GB"/>
        </w:rPr>
        <w:t xml:space="preserve">setting up </w:t>
      </w:r>
      <w:r w:rsidR="005C0A57">
        <w:rPr>
          <w:lang w:val="en-GB"/>
        </w:rPr>
        <w:t>the Philippine PPP Program,</w:t>
      </w:r>
      <w:r w:rsidR="00AF4860" w:rsidRPr="00AF4860">
        <w:rPr>
          <w:lang w:val="en-GB"/>
        </w:rPr>
        <w:t xml:space="preserve"> building foundational expertise and </w:t>
      </w:r>
      <w:r w:rsidR="005C0A57">
        <w:rPr>
          <w:lang w:val="en-GB"/>
        </w:rPr>
        <w:t xml:space="preserve">fostering </w:t>
      </w:r>
      <w:r w:rsidR="0052474B">
        <w:rPr>
          <w:lang w:val="en-GB"/>
        </w:rPr>
        <w:t xml:space="preserve">early </w:t>
      </w:r>
      <w:r w:rsidR="00AF4860" w:rsidRPr="00AF4860">
        <w:rPr>
          <w:lang w:val="en-GB"/>
        </w:rPr>
        <w:t>PPP</w:t>
      </w:r>
      <w:r w:rsidR="005C0A57">
        <w:rPr>
          <w:lang w:val="en-GB"/>
        </w:rPr>
        <w:t xml:space="preserve"> project</w:t>
      </w:r>
      <w:r w:rsidR="00AF4860" w:rsidRPr="00AF4860">
        <w:rPr>
          <w:lang w:val="en-GB"/>
        </w:rPr>
        <w:t>s</w:t>
      </w:r>
      <w:r w:rsidR="00AF4860">
        <w:rPr>
          <w:lang w:val="en-GB"/>
        </w:rPr>
        <w:t xml:space="preserve">. For example, </w:t>
      </w:r>
      <w:r w:rsidR="006A2EA1" w:rsidRPr="00AF4860">
        <w:rPr>
          <w:lang w:val="en-GB"/>
        </w:rPr>
        <w:t>GHD</w:t>
      </w:r>
      <w:r w:rsidR="00325F93">
        <w:rPr>
          <w:lang w:val="en-GB"/>
        </w:rPr>
        <w:t xml:space="preserve"> </w:t>
      </w:r>
      <w:r w:rsidR="00325F93" w:rsidRPr="008D1676">
        <w:rPr>
          <w:lang w:val="en-GB"/>
        </w:rPr>
        <w:t>International (Australia)</w:t>
      </w:r>
      <w:r w:rsidR="006A2EA1" w:rsidRPr="00AF4860">
        <w:rPr>
          <w:lang w:val="en-GB"/>
        </w:rPr>
        <w:t xml:space="preserve"> sent a team of consultants to help establish the structure</w:t>
      </w:r>
      <w:r w:rsidR="00400121">
        <w:rPr>
          <w:lang w:val="en-GB"/>
        </w:rPr>
        <w:t xml:space="preserve"> and divisions</w:t>
      </w:r>
      <w:r w:rsidR="006A2EA1" w:rsidRPr="00AF4860">
        <w:rPr>
          <w:lang w:val="en-GB"/>
        </w:rPr>
        <w:t xml:space="preserve"> of the </w:t>
      </w:r>
      <w:r w:rsidR="007C4A62">
        <w:rPr>
          <w:lang w:val="en-GB"/>
        </w:rPr>
        <w:t xml:space="preserve">PPP </w:t>
      </w:r>
      <w:r w:rsidR="002D4DA0">
        <w:rPr>
          <w:lang w:val="en-GB"/>
        </w:rPr>
        <w:t>Center</w:t>
      </w:r>
      <w:r w:rsidR="00400121">
        <w:rPr>
          <w:lang w:val="en-GB"/>
        </w:rPr>
        <w:t xml:space="preserve"> </w:t>
      </w:r>
      <w:r w:rsidR="00400121" w:rsidRPr="005A0193">
        <w:rPr>
          <w:rFonts w:ascii="Calibri" w:hAnsi="Calibri" w:cs="Calibri"/>
          <w:lang w:eastAsia="en-AU"/>
        </w:rPr>
        <w:t>Capacity Building and Knowledge Management Service</w:t>
      </w:r>
      <w:r w:rsidR="001F6438">
        <w:rPr>
          <w:rFonts w:ascii="Calibri" w:hAnsi="Calibri" w:cs="Calibri"/>
          <w:lang w:eastAsia="en-AU"/>
        </w:rPr>
        <w:t>. They developed</w:t>
      </w:r>
      <w:r w:rsidR="00400121">
        <w:rPr>
          <w:rFonts w:ascii="Calibri" w:hAnsi="Calibri" w:cs="Calibri"/>
          <w:lang w:eastAsia="en-AU"/>
        </w:rPr>
        <w:t xml:space="preserve"> the first PPP manuals and templates which </w:t>
      </w:r>
      <w:r w:rsidR="001F6438">
        <w:rPr>
          <w:rFonts w:ascii="Calibri" w:hAnsi="Calibri" w:cs="Calibri"/>
          <w:lang w:eastAsia="en-AU"/>
        </w:rPr>
        <w:t xml:space="preserve">were </w:t>
      </w:r>
      <w:r w:rsidR="008048A5">
        <w:rPr>
          <w:rFonts w:ascii="Calibri" w:hAnsi="Calibri" w:cs="Calibri"/>
          <w:lang w:eastAsia="en-AU"/>
        </w:rPr>
        <w:t>touted as</w:t>
      </w:r>
      <w:r w:rsidR="00EE3D5F">
        <w:rPr>
          <w:rFonts w:ascii="Calibri" w:hAnsi="Calibri" w:cs="Calibri"/>
          <w:lang w:eastAsia="en-AU"/>
        </w:rPr>
        <w:t xml:space="preserve"> </w:t>
      </w:r>
      <w:r w:rsidR="00400121">
        <w:rPr>
          <w:rFonts w:ascii="Calibri" w:hAnsi="Calibri" w:cs="Calibri"/>
          <w:lang w:eastAsia="en-AU"/>
        </w:rPr>
        <w:t>highly effective capacity building tool</w:t>
      </w:r>
      <w:r w:rsidR="00EE3D5F">
        <w:rPr>
          <w:rFonts w:ascii="Calibri" w:hAnsi="Calibri" w:cs="Calibri"/>
          <w:lang w:eastAsia="en-AU"/>
        </w:rPr>
        <w:t>s</w:t>
      </w:r>
      <w:r w:rsidR="00400121">
        <w:rPr>
          <w:rFonts w:ascii="Calibri" w:hAnsi="Calibri" w:cs="Calibri"/>
          <w:lang w:eastAsia="en-AU"/>
        </w:rPr>
        <w:t xml:space="preserve">. </w:t>
      </w:r>
      <w:r w:rsidR="00EE3D5F">
        <w:rPr>
          <w:rFonts w:ascii="Calibri" w:hAnsi="Calibri" w:cs="Calibri"/>
          <w:lang w:eastAsia="en-AU"/>
        </w:rPr>
        <w:t xml:space="preserve">Australian firms also led </w:t>
      </w:r>
      <w:r w:rsidR="00EE3D5F">
        <w:rPr>
          <w:lang w:val="en-GB"/>
        </w:rPr>
        <w:t>e</w:t>
      </w:r>
      <w:r w:rsidR="00B41A72">
        <w:rPr>
          <w:lang w:val="en-GB"/>
        </w:rPr>
        <w:t xml:space="preserve">arly TA initiatives to set up </w:t>
      </w:r>
      <w:r w:rsidR="00FA027C">
        <w:rPr>
          <w:lang w:val="en-GB"/>
        </w:rPr>
        <w:t xml:space="preserve">the </w:t>
      </w:r>
      <w:r w:rsidR="007C4A62">
        <w:rPr>
          <w:lang w:val="en-GB"/>
        </w:rPr>
        <w:t xml:space="preserve">PPP </w:t>
      </w:r>
      <w:r w:rsidR="002D4DA0">
        <w:rPr>
          <w:lang w:val="en-GB"/>
        </w:rPr>
        <w:t>Center</w:t>
      </w:r>
      <w:r w:rsidR="00035AE1">
        <w:rPr>
          <w:lang w:val="en-GB"/>
        </w:rPr>
        <w:t>’s</w:t>
      </w:r>
      <w:r w:rsidR="00B41A72">
        <w:rPr>
          <w:lang w:val="en-GB"/>
        </w:rPr>
        <w:t xml:space="preserve"> </w:t>
      </w:r>
      <w:r w:rsidR="00FA027C">
        <w:rPr>
          <w:lang w:val="en-GB"/>
        </w:rPr>
        <w:t>Information and Communications Technology</w:t>
      </w:r>
      <w:r w:rsidR="00FA027C" w:rsidRPr="00B41A72">
        <w:rPr>
          <w:lang w:val="en-GB"/>
        </w:rPr>
        <w:t xml:space="preserve"> </w:t>
      </w:r>
      <w:r w:rsidR="00B41A72" w:rsidRPr="00B41A72">
        <w:rPr>
          <w:lang w:val="en-GB"/>
        </w:rPr>
        <w:t>systems and infrastructure.</w:t>
      </w:r>
      <w:r w:rsidR="00EE3D5F">
        <w:rPr>
          <w:lang w:val="en-GB"/>
        </w:rPr>
        <w:t xml:space="preserve"> </w:t>
      </w:r>
      <w:r w:rsidR="00BE47D2">
        <w:rPr>
          <w:rFonts w:ascii="Calibri" w:hAnsi="Calibri" w:cs="Calibri"/>
          <w:lang w:eastAsia="en-AU"/>
        </w:rPr>
        <w:t>The</w:t>
      </w:r>
      <w:r w:rsidR="008541E3">
        <w:rPr>
          <w:rFonts w:ascii="Calibri" w:hAnsi="Calibri" w:cs="Calibri"/>
          <w:lang w:eastAsia="en-AU"/>
        </w:rPr>
        <w:t xml:space="preserve"> first pipeline of PPP projects were health</w:t>
      </w:r>
      <w:r w:rsidR="008C468C">
        <w:rPr>
          <w:rFonts w:ascii="Calibri" w:hAnsi="Calibri" w:cs="Calibri"/>
          <w:lang w:eastAsia="en-AU"/>
        </w:rPr>
        <w:t xml:space="preserve"> and schools</w:t>
      </w:r>
      <w:r w:rsidR="008541E3">
        <w:rPr>
          <w:rFonts w:ascii="Calibri" w:hAnsi="Calibri" w:cs="Calibri"/>
          <w:lang w:eastAsia="en-AU"/>
        </w:rPr>
        <w:t xml:space="preserve"> projects, supported strongly by Australian expertise.</w:t>
      </w:r>
      <w:r>
        <w:rPr>
          <w:rFonts w:ascii="Calibri" w:hAnsi="Calibri" w:cs="Calibri"/>
          <w:lang w:eastAsia="en-AU"/>
        </w:rPr>
        <w:t xml:space="preserve"> </w:t>
      </w:r>
      <w:r w:rsidR="00BE47D2">
        <w:rPr>
          <w:rFonts w:ascii="Calibri" w:hAnsi="Calibri" w:cs="Calibri"/>
          <w:lang w:eastAsia="en-AU"/>
        </w:rPr>
        <w:t>An</w:t>
      </w:r>
      <w:r>
        <w:rPr>
          <w:rFonts w:ascii="Calibri" w:hAnsi="Calibri" w:cs="Calibri"/>
          <w:lang w:eastAsia="en-AU"/>
        </w:rPr>
        <w:t xml:space="preserve"> Australian </w:t>
      </w:r>
      <w:r w:rsidR="00FC4E42">
        <w:rPr>
          <w:rFonts w:ascii="Calibri" w:hAnsi="Calibri" w:cs="Calibri"/>
          <w:lang w:eastAsia="en-AU"/>
        </w:rPr>
        <w:t xml:space="preserve">expert </w:t>
      </w:r>
      <w:r>
        <w:rPr>
          <w:rFonts w:ascii="Calibri" w:hAnsi="Calibri" w:cs="Calibri"/>
          <w:lang w:eastAsia="en-AU"/>
        </w:rPr>
        <w:t xml:space="preserve">was brought to the Philippines to help establish the </w:t>
      </w:r>
      <w:r w:rsidRPr="00E20950">
        <w:rPr>
          <w:lang w:val="en-GB"/>
        </w:rPr>
        <w:t>first health PPP project</w:t>
      </w:r>
      <w:r>
        <w:rPr>
          <w:lang w:val="en-GB"/>
        </w:rPr>
        <w:t xml:space="preserve"> (an </w:t>
      </w:r>
      <w:r w:rsidRPr="00E20950">
        <w:rPr>
          <w:lang w:val="en-GB"/>
        </w:rPr>
        <w:t>orthopaedic service</w:t>
      </w:r>
      <w:r>
        <w:rPr>
          <w:lang w:val="en-GB"/>
        </w:rPr>
        <w:t>)</w:t>
      </w:r>
      <w:r w:rsidR="00FC4E42">
        <w:rPr>
          <w:lang w:val="en-GB"/>
        </w:rPr>
        <w:t>,</w:t>
      </w:r>
      <w:r>
        <w:rPr>
          <w:lang w:val="en-GB"/>
        </w:rPr>
        <w:t xml:space="preserve"> and in 2014 a team of Philippine health sector professionals </w:t>
      </w:r>
      <w:r w:rsidR="00FC4E42">
        <w:rPr>
          <w:lang w:val="en-GB"/>
        </w:rPr>
        <w:t>visited</w:t>
      </w:r>
      <w:r w:rsidR="00EA6E14">
        <w:rPr>
          <w:lang w:val="en-GB"/>
        </w:rPr>
        <w:t xml:space="preserve"> a</w:t>
      </w:r>
      <w:r w:rsidR="00FC4E42">
        <w:rPr>
          <w:lang w:val="en-GB"/>
        </w:rPr>
        <w:t xml:space="preserve"> </w:t>
      </w:r>
      <w:r w:rsidR="00B41A72">
        <w:rPr>
          <w:lang w:val="en-GB"/>
        </w:rPr>
        <w:t>series of</w:t>
      </w:r>
      <w:r>
        <w:rPr>
          <w:lang w:val="en-GB"/>
        </w:rPr>
        <w:t xml:space="preserve"> health projects</w:t>
      </w:r>
      <w:r w:rsidR="00FC4E42">
        <w:rPr>
          <w:lang w:val="en-GB"/>
        </w:rPr>
        <w:t xml:space="preserve"> in Australia</w:t>
      </w:r>
      <w:r>
        <w:rPr>
          <w:lang w:val="en-GB"/>
        </w:rPr>
        <w:t>.</w:t>
      </w:r>
      <w:r w:rsidR="00B41A72">
        <w:rPr>
          <w:lang w:val="en-GB"/>
        </w:rPr>
        <w:t xml:space="preserve"> </w:t>
      </w:r>
      <w:r w:rsidR="00B41A72">
        <w:t xml:space="preserve">The Australian anti-corruption policies and standards by </w:t>
      </w:r>
      <w:r w:rsidR="00215DC0">
        <w:t>which</w:t>
      </w:r>
      <w:r w:rsidR="00B41A72">
        <w:t xml:space="preserve"> Australian consultancy firms on the PDMF panel </w:t>
      </w:r>
      <w:r w:rsidR="001F6438">
        <w:t xml:space="preserve">were </w:t>
      </w:r>
      <w:r w:rsidR="00B41A72">
        <w:t xml:space="preserve">bound </w:t>
      </w:r>
      <w:r w:rsidR="001F6438">
        <w:t>were</w:t>
      </w:r>
      <w:r w:rsidR="00215DC0">
        <w:t xml:space="preserve"> also seen to enhance the </w:t>
      </w:r>
      <w:r w:rsidR="00B41A72">
        <w:t>credibility of the</w:t>
      </w:r>
      <w:r w:rsidR="00EA6E14">
        <w:t xml:space="preserve"> PDMF</w:t>
      </w:r>
      <w:r w:rsidR="00B41A72">
        <w:t xml:space="preserve"> panel.</w:t>
      </w:r>
    </w:p>
    <w:p w14:paraId="73628ABB" w14:textId="4C03C4AC" w:rsidR="00B41A72" w:rsidRDefault="00222C3E" w:rsidP="00021D43">
      <w:pPr>
        <w:spacing w:line="240" w:lineRule="auto"/>
      </w:pPr>
      <w:bookmarkStart w:id="64" w:name="_Hlk67745696"/>
      <w:r>
        <w:t xml:space="preserve">Of particular </w:t>
      </w:r>
      <w:r w:rsidR="00466F98">
        <w:t>note</w:t>
      </w:r>
      <w:r>
        <w:t xml:space="preserve"> </w:t>
      </w:r>
      <w:r w:rsidR="00993A5A">
        <w:t>is</w:t>
      </w:r>
      <w:r>
        <w:t xml:space="preserve"> the </w:t>
      </w:r>
      <w:r w:rsidRPr="00222C3E">
        <w:t>Twinning Partnership under the TA</w:t>
      </w:r>
      <w:r>
        <w:t xml:space="preserve"> between the </w:t>
      </w:r>
      <w:r w:rsidR="007C4A62">
        <w:t xml:space="preserve">PPP </w:t>
      </w:r>
      <w:r w:rsidR="002D4DA0">
        <w:t>Center</w:t>
      </w:r>
      <w:r>
        <w:t xml:space="preserve"> and </w:t>
      </w:r>
      <w:r w:rsidRPr="00222C3E">
        <w:t>Infrastructure New South Wales</w:t>
      </w:r>
      <w:r w:rsidR="000E3DE1">
        <w:t xml:space="preserve"> (</w:t>
      </w:r>
      <w:r w:rsidR="000E3DE1" w:rsidRPr="00466F98">
        <w:t>INSW)</w:t>
      </w:r>
      <w:r w:rsidR="001F6438">
        <w:t>,</w:t>
      </w:r>
      <w:r w:rsidR="00466F98">
        <w:t xml:space="preserve"> </w:t>
      </w:r>
      <w:r w:rsidR="00B51497">
        <w:t xml:space="preserve">entered into in May 2014. The arrangement, which </w:t>
      </w:r>
      <w:r w:rsidR="00B51497" w:rsidRPr="00222C3E">
        <w:t>focused on knowledge sharing on PPP practices through roundtable discussions</w:t>
      </w:r>
      <w:r w:rsidR="009B5647">
        <w:t xml:space="preserve"> and </w:t>
      </w:r>
      <w:r w:rsidR="00B51497" w:rsidRPr="00222C3E">
        <w:t xml:space="preserve">site visits </w:t>
      </w:r>
      <w:r w:rsidR="002A44D8">
        <w:t>for</w:t>
      </w:r>
      <w:r w:rsidR="00A84F94">
        <w:t xml:space="preserve"> </w:t>
      </w:r>
      <w:r w:rsidR="007C4A62">
        <w:t xml:space="preserve">PPP </w:t>
      </w:r>
      <w:r w:rsidR="002D4DA0">
        <w:t>Center</w:t>
      </w:r>
      <w:r w:rsidR="00A84F94">
        <w:t xml:space="preserve"> </w:t>
      </w:r>
      <w:bookmarkEnd w:id="64"/>
      <w:r w:rsidR="009B5647">
        <w:t xml:space="preserve">staff </w:t>
      </w:r>
      <w:r w:rsidR="00A84F94">
        <w:t xml:space="preserve">and their external clients, </w:t>
      </w:r>
      <w:r w:rsidR="001F6438">
        <w:t>was</w:t>
      </w:r>
      <w:r w:rsidR="00A84F94">
        <w:t xml:space="preserve"> regarded</w:t>
      </w:r>
      <w:r w:rsidR="00F60C74">
        <w:t xml:space="preserve"> by country partners</w:t>
      </w:r>
      <w:r w:rsidR="00A84F94">
        <w:t xml:space="preserve"> as highly valuable and instrumental in building capacity</w:t>
      </w:r>
      <w:r w:rsidR="002A44D8">
        <w:t>.</w:t>
      </w:r>
      <w:r w:rsidR="00F60C74">
        <w:t xml:space="preserve"> </w:t>
      </w:r>
      <w:r w:rsidR="000E3DE1">
        <w:t xml:space="preserve">The </w:t>
      </w:r>
      <w:r w:rsidR="007363E5">
        <w:t>arrangement resulted</w:t>
      </w:r>
      <w:r w:rsidR="000E3DE1">
        <w:t xml:space="preserve"> in a range of tangible changes which positively impacted on the PPP policy discourse</w:t>
      </w:r>
      <w:r w:rsidR="00066B4A">
        <w:t xml:space="preserve"> and</w:t>
      </w:r>
      <w:r w:rsidR="000E3DE1">
        <w:t xml:space="preserve"> </w:t>
      </w:r>
      <w:r w:rsidR="00066B4A">
        <w:t>capacity</w:t>
      </w:r>
      <w:r w:rsidR="000E3DE1">
        <w:t>.</w:t>
      </w:r>
      <w:r w:rsidR="00466F98">
        <w:t xml:space="preserve"> For example, </w:t>
      </w:r>
      <w:r w:rsidR="00466F98" w:rsidRPr="00466F98">
        <w:t xml:space="preserve">in response to initial resistance by legislators to the PPP Act, </w:t>
      </w:r>
      <w:r w:rsidR="00066B4A">
        <w:t>i</w:t>
      </w:r>
      <w:r w:rsidR="00066B4A" w:rsidRPr="00466F98">
        <w:t xml:space="preserve">n November 2014, </w:t>
      </w:r>
      <w:r w:rsidR="00466F98" w:rsidRPr="00466F98">
        <w:t xml:space="preserve">INSW and the </w:t>
      </w:r>
      <w:r w:rsidR="007C4A62">
        <w:t xml:space="preserve">PPP </w:t>
      </w:r>
      <w:r w:rsidR="002D4DA0">
        <w:t>Center</w:t>
      </w:r>
      <w:r w:rsidR="00466F98" w:rsidRPr="00466F98">
        <w:t xml:space="preserve"> co-sponsored a Philippine-Australia PPP Policy Dialogue in Sydney, where INSW shared Australia’s PPP experiences and best practices, including on processing of unsolicited proposals, bid approval processes, </w:t>
      </w:r>
      <w:r w:rsidR="002365F0">
        <w:t xml:space="preserve">and </w:t>
      </w:r>
      <w:r w:rsidR="00466F98" w:rsidRPr="00466F98">
        <w:t xml:space="preserve">PPP contract disclosures. The dialogue was attended by several Philippine Congressional Representatives and Cabinet Members to expose legislators </w:t>
      </w:r>
      <w:r w:rsidR="002365F0">
        <w:t>to</w:t>
      </w:r>
      <w:r w:rsidR="00466F98" w:rsidRPr="00466F98">
        <w:t xml:space="preserve"> PPP best practices to support reforms in the amendments to the</w:t>
      </w:r>
      <w:r w:rsidR="002B6D2C" w:rsidRPr="002B6D2C">
        <w:t xml:space="preserve"> Build</w:t>
      </w:r>
      <w:r w:rsidR="002B6D2C">
        <w:t xml:space="preserve"> </w:t>
      </w:r>
      <w:r w:rsidR="002B6D2C" w:rsidRPr="002B6D2C">
        <w:t>Operate</w:t>
      </w:r>
      <w:r w:rsidR="002B6D2C">
        <w:t xml:space="preserve"> </w:t>
      </w:r>
      <w:r w:rsidR="002B6D2C" w:rsidRPr="002B6D2C">
        <w:t>Transfer</w:t>
      </w:r>
      <w:r w:rsidR="00466F98" w:rsidRPr="00466F98">
        <w:t xml:space="preserve"> </w:t>
      </w:r>
      <w:r w:rsidR="002B6D2C">
        <w:t>(</w:t>
      </w:r>
      <w:r w:rsidR="00466F98" w:rsidRPr="00466F98">
        <w:t>BOT</w:t>
      </w:r>
      <w:r w:rsidR="002B6D2C">
        <w:t>)</w:t>
      </w:r>
      <w:r w:rsidR="00466F98" w:rsidRPr="00466F98">
        <w:t xml:space="preserve"> Law being advocated by the </w:t>
      </w:r>
      <w:r w:rsidR="007C4A62">
        <w:t xml:space="preserve">PPP </w:t>
      </w:r>
      <w:r w:rsidR="002D4DA0">
        <w:t>Center</w:t>
      </w:r>
      <w:r w:rsidR="00466F98" w:rsidRPr="00466F98">
        <w:t xml:space="preserve">. </w:t>
      </w:r>
      <w:r w:rsidR="00466F98">
        <w:t>The visit reportedly helped to</w:t>
      </w:r>
      <w:r w:rsidR="00466F98" w:rsidRPr="00466F98">
        <w:t xml:space="preserve"> build an appreciation of PPP as a Program</w:t>
      </w:r>
      <w:r w:rsidR="00466F98">
        <w:t xml:space="preserve">, </w:t>
      </w:r>
      <w:r w:rsidR="00466F98" w:rsidRPr="00466F98">
        <w:t>garner</w:t>
      </w:r>
      <w:r w:rsidR="00035AE1">
        <w:t>ed</w:t>
      </w:r>
      <w:r w:rsidR="00466F98">
        <w:t xml:space="preserve"> </w:t>
      </w:r>
      <w:r w:rsidR="00466F98" w:rsidRPr="00466F98">
        <w:t>recognition of the need for supportive legislation</w:t>
      </w:r>
      <w:r w:rsidR="00466F98">
        <w:t>, and shift</w:t>
      </w:r>
      <w:r w:rsidR="00035AE1">
        <w:t>ed the</w:t>
      </w:r>
      <w:r w:rsidR="00466F98">
        <w:t xml:space="preserve"> dialogue from whether to use </w:t>
      </w:r>
      <w:r w:rsidR="00035AE1">
        <w:t>a</w:t>
      </w:r>
      <w:r w:rsidR="00466F98">
        <w:t xml:space="preserve"> PPP modality to the types of PPP modalities available. </w:t>
      </w:r>
      <w:r w:rsidR="00466F98" w:rsidRPr="00466F98">
        <w:t>In March 2017, two</w:t>
      </w:r>
      <w:r w:rsidR="00F60C74">
        <w:t xml:space="preserve"> </w:t>
      </w:r>
      <w:r w:rsidR="007C4A62">
        <w:t xml:space="preserve">PPP </w:t>
      </w:r>
      <w:r w:rsidR="002D4DA0">
        <w:t>Center</w:t>
      </w:r>
      <w:r w:rsidR="00466F98" w:rsidRPr="00466F98">
        <w:t xml:space="preserve"> staff and two </w:t>
      </w:r>
      <w:r w:rsidR="00E2674A">
        <w:t>Department of Transportation (</w:t>
      </w:r>
      <w:r w:rsidR="002B6D2C">
        <w:t>DOTr</w:t>
      </w:r>
      <w:r w:rsidR="00E2674A">
        <w:t>)</w:t>
      </w:r>
      <w:r w:rsidR="00F60C74">
        <w:t xml:space="preserve"> staff</w:t>
      </w:r>
      <w:r w:rsidR="00466F98" w:rsidRPr="00466F98">
        <w:t xml:space="preserve"> </w:t>
      </w:r>
      <w:r w:rsidR="00035AE1">
        <w:t>participated in</w:t>
      </w:r>
      <w:r w:rsidR="00466F98" w:rsidRPr="00466F98">
        <w:t xml:space="preserve"> a study visit to INSW in Sydney to learn about how INSW manages its PPP projects over the project life cycle. During the visit, </w:t>
      </w:r>
      <w:r w:rsidR="00466F98">
        <w:t>staff</w:t>
      </w:r>
      <w:r w:rsidR="00466F98" w:rsidRPr="00466F98">
        <w:t xml:space="preserve"> learned </w:t>
      </w:r>
      <w:r w:rsidR="002B6D2C">
        <w:t xml:space="preserve">about </w:t>
      </w:r>
      <w:r w:rsidR="00466F98" w:rsidRPr="00466F98">
        <w:t>the role of public sector comparators in Value</w:t>
      </w:r>
      <w:r w:rsidR="00B22CB0">
        <w:t xml:space="preserve"> </w:t>
      </w:r>
      <w:r w:rsidR="00466F98" w:rsidRPr="00466F98">
        <w:t>for</w:t>
      </w:r>
      <w:r w:rsidR="00B22CB0">
        <w:t xml:space="preserve"> </w:t>
      </w:r>
      <w:r w:rsidR="00466F98" w:rsidRPr="00466F98">
        <w:t xml:space="preserve">Money analysis and obtained skills in actual project processing and contract management, which are now being applied to their work at the </w:t>
      </w:r>
      <w:r w:rsidR="007C4A62">
        <w:t xml:space="preserve">PPP </w:t>
      </w:r>
      <w:r w:rsidR="002D4DA0">
        <w:t>Center</w:t>
      </w:r>
      <w:r w:rsidR="00466F98" w:rsidRPr="00466F98">
        <w:t xml:space="preserve">. </w:t>
      </w:r>
      <w:r w:rsidR="00466F98">
        <w:t xml:space="preserve">Due to changes in staffing at </w:t>
      </w:r>
      <w:r w:rsidR="00466F98" w:rsidRPr="00466F98">
        <w:t>INSW</w:t>
      </w:r>
      <w:r w:rsidR="00466F98">
        <w:t>, the twinning arrangement is no longer active</w:t>
      </w:r>
      <w:r w:rsidR="001E1438">
        <w:rPr>
          <w:rStyle w:val="FootnoteReference"/>
        </w:rPr>
        <w:footnoteReference w:id="19"/>
      </w:r>
      <w:r w:rsidR="00466F98">
        <w:t>.</w:t>
      </w:r>
      <w:r w:rsidR="000B35DD">
        <w:t xml:space="preserve"> </w:t>
      </w:r>
    </w:p>
    <w:p w14:paraId="37B24779" w14:textId="2588926A" w:rsidR="00165E81" w:rsidRDefault="00FF3BC3" w:rsidP="00021D43">
      <w:pPr>
        <w:spacing w:line="240" w:lineRule="auto"/>
        <w:rPr>
          <w:lang w:val="en-GB"/>
        </w:rPr>
      </w:pPr>
      <w:r>
        <w:t xml:space="preserve">The </w:t>
      </w:r>
      <w:r w:rsidR="00035735">
        <w:t xml:space="preserve">Australia Awards </w:t>
      </w:r>
      <w:r w:rsidR="00DD1B5D">
        <w:t xml:space="preserve">Scholarship </w:t>
      </w:r>
      <w:r w:rsidR="0006544B">
        <w:t xml:space="preserve">Program </w:t>
      </w:r>
      <w:r w:rsidR="00035735">
        <w:t xml:space="preserve">also </w:t>
      </w:r>
      <w:r>
        <w:t>effectively aligned with and contributed to program outcomes.</w:t>
      </w:r>
      <w:r w:rsidR="00207631">
        <w:t xml:space="preserve"> In addition to facilitating short courses, four scholarships </w:t>
      </w:r>
      <w:r w:rsidR="00DD1B5D">
        <w:t>were</w:t>
      </w:r>
      <w:r w:rsidR="00207631">
        <w:t xml:space="preserve"> provided to </w:t>
      </w:r>
      <w:r w:rsidR="007C4A62">
        <w:t xml:space="preserve">PPP </w:t>
      </w:r>
      <w:r w:rsidR="002D4DA0">
        <w:t>Center</w:t>
      </w:r>
      <w:r w:rsidR="00207631">
        <w:t xml:space="preserve"> staff. Alumni and</w:t>
      </w:r>
      <w:r w:rsidR="00C818CE">
        <w:t xml:space="preserve"> </w:t>
      </w:r>
      <w:r w:rsidR="004A74AA">
        <w:t>their</w:t>
      </w:r>
      <w:r w:rsidR="00C818CE">
        <w:t xml:space="preserve"> supervisors reported the courses to be highly relevant and practical</w:t>
      </w:r>
      <w:r w:rsidR="004A74AA">
        <w:t>,</w:t>
      </w:r>
      <w:r w:rsidR="00C818CE">
        <w:t xml:space="preserve"> strongly contributing to the technical skills of alumni </w:t>
      </w:r>
      <w:r w:rsidR="004A74AA">
        <w:t xml:space="preserve">which has benefited the </w:t>
      </w:r>
      <w:r w:rsidR="007C4A62">
        <w:t xml:space="preserve">PPP </w:t>
      </w:r>
      <w:r w:rsidR="002D4DA0">
        <w:t>Center</w:t>
      </w:r>
      <w:r w:rsidR="00C818CE">
        <w:t xml:space="preserve">. For example, one </w:t>
      </w:r>
      <w:r w:rsidR="007363E5">
        <w:t>alumnus</w:t>
      </w:r>
      <w:r w:rsidR="00C818CE">
        <w:t xml:space="preserve"> </w:t>
      </w:r>
      <w:r w:rsidR="004A74AA">
        <w:t xml:space="preserve">who </w:t>
      </w:r>
      <w:r w:rsidR="00C818CE">
        <w:t xml:space="preserve">undertook a </w:t>
      </w:r>
      <w:r w:rsidR="007363E5" w:rsidRPr="0084184F">
        <w:rPr>
          <w:lang w:val="en-GB"/>
        </w:rPr>
        <w:t>Master of Law</w:t>
      </w:r>
      <w:r w:rsidR="00C818CE" w:rsidRPr="0084184F">
        <w:rPr>
          <w:lang w:val="en-GB"/>
        </w:rPr>
        <w:t xml:space="preserve"> at </w:t>
      </w:r>
      <w:r w:rsidR="00C818CE">
        <w:rPr>
          <w:lang w:val="en-GB"/>
        </w:rPr>
        <w:t>the U</w:t>
      </w:r>
      <w:r w:rsidR="00C818CE" w:rsidRPr="0084184F">
        <w:rPr>
          <w:lang w:val="en-GB"/>
        </w:rPr>
        <w:t>niversity of Melbourne</w:t>
      </w:r>
      <w:r w:rsidR="00DD1B5D">
        <w:rPr>
          <w:lang w:val="en-GB"/>
        </w:rPr>
        <w:t>,</w:t>
      </w:r>
      <w:r w:rsidR="00C818CE">
        <w:rPr>
          <w:lang w:val="en-GB"/>
        </w:rPr>
        <w:t xml:space="preserve"> learned about Australia’s best practices in relation to </w:t>
      </w:r>
      <w:r w:rsidR="00C74FA7">
        <w:rPr>
          <w:lang w:val="en-GB"/>
        </w:rPr>
        <w:t xml:space="preserve">the use of </w:t>
      </w:r>
      <w:r w:rsidR="00C818CE">
        <w:rPr>
          <w:lang w:val="en-GB"/>
        </w:rPr>
        <w:t>A</w:t>
      </w:r>
      <w:r w:rsidR="00C818CE" w:rsidRPr="00C818CE">
        <w:rPr>
          <w:lang w:val="en-GB"/>
        </w:rPr>
        <w:t xml:space="preserve">lternative </w:t>
      </w:r>
      <w:r w:rsidR="00F26204">
        <w:rPr>
          <w:lang w:val="en-GB"/>
        </w:rPr>
        <w:t>Dispute</w:t>
      </w:r>
      <w:r w:rsidR="00F26204" w:rsidRPr="00C818CE">
        <w:rPr>
          <w:lang w:val="en-GB"/>
        </w:rPr>
        <w:t xml:space="preserve"> </w:t>
      </w:r>
      <w:r w:rsidR="00C818CE">
        <w:rPr>
          <w:lang w:val="en-GB"/>
        </w:rPr>
        <w:t>R</w:t>
      </w:r>
      <w:r w:rsidR="00C818CE" w:rsidRPr="00C818CE">
        <w:rPr>
          <w:lang w:val="en-GB"/>
        </w:rPr>
        <w:t>esolution</w:t>
      </w:r>
      <w:r w:rsidR="00C818CE">
        <w:rPr>
          <w:lang w:val="en-GB"/>
        </w:rPr>
        <w:t xml:space="preserve"> (ADR)</w:t>
      </w:r>
      <w:r w:rsidR="00C74FA7">
        <w:rPr>
          <w:lang w:val="en-GB"/>
        </w:rPr>
        <w:t xml:space="preserve"> in PPP</w:t>
      </w:r>
      <w:r w:rsidR="00C818CE" w:rsidRPr="00C818CE">
        <w:rPr>
          <w:lang w:val="en-GB"/>
        </w:rPr>
        <w:t xml:space="preserve"> project</w:t>
      </w:r>
      <w:r w:rsidR="00C818CE">
        <w:rPr>
          <w:lang w:val="en-GB"/>
        </w:rPr>
        <w:t xml:space="preserve">s. Since </w:t>
      </w:r>
      <w:r w:rsidR="00DD1B5D">
        <w:rPr>
          <w:lang w:val="en-GB"/>
        </w:rPr>
        <w:t xml:space="preserve">completing his scholarship and </w:t>
      </w:r>
      <w:r w:rsidR="00C818CE">
        <w:rPr>
          <w:lang w:val="en-GB"/>
        </w:rPr>
        <w:t>returning</w:t>
      </w:r>
      <w:r w:rsidR="00DD1B5D">
        <w:rPr>
          <w:lang w:val="en-GB"/>
        </w:rPr>
        <w:t xml:space="preserve"> to the Philippines in</w:t>
      </w:r>
      <w:r w:rsidR="00343EF8">
        <w:rPr>
          <w:lang w:val="en-GB"/>
        </w:rPr>
        <w:t xml:space="preserve"> December </w:t>
      </w:r>
      <w:r w:rsidR="00487028">
        <w:rPr>
          <w:lang w:val="en-GB"/>
        </w:rPr>
        <w:t>2020 he</w:t>
      </w:r>
      <w:r w:rsidR="00C818CE">
        <w:rPr>
          <w:lang w:val="en-GB"/>
        </w:rPr>
        <w:t xml:space="preserve"> </w:t>
      </w:r>
      <w:r w:rsidR="00C455B5">
        <w:rPr>
          <w:lang w:val="en-GB"/>
        </w:rPr>
        <w:t>has</w:t>
      </w:r>
      <w:r w:rsidR="00C818CE">
        <w:rPr>
          <w:lang w:val="en-GB"/>
        </w:rPr>
        <w:t xml:space="preserve"> led efforts to develop ADR guidelines</w:t>
      </w:r>
      <w:r w:rsidR="00C74FA7">
        <w:rPr>
          <w:lang w:val="en-GB"/>
        </w:rPr>
        <w:t xml:space="preserve">, </w:t>
      </w:r>
      <w:r w:rsidR="00C74FA7" w:rsidRPr="00C74FA7">
        <w:rPr>
          <w:lang w:val="en-GB"/>
        </w:rPr>
        <w:t xml:space="preserve">which includes establishment </w:t>
      </w:r>
      <w:r w:rsidR="007464F3" w:rsidRPr="00C74FA7">
        <w:rPr>
          <w:lang w:val="en-GB"/>
        </w:rPr>
        <w:t>by implementing</w:t>
      </w:r>
      <w:r w:rsidR="00021678">
        <w:rPr>
          <w:lang w:val="en-GB"/>
        </w:rPr>
        <w:t xml:space="preserve"> agencies</w:t>
      </w:r>
      <w:r w:rsidR="00C74FA7" w:rsidRPr="00C74FA7">
        <w:rPr>
          <w:lang w:val="en-GB"/>
        </w:rPr>
        <w:t xml:space="preserve"> of their respective dispute review boards under the contracts</w:t>
      </w:r>
      <w:r w:rsidR="00C818CE">
        <w:rPr>
          <w:lang w:val="en-GB"/>
        </w:rPr>
        <w:t xml:space="preserve">. </w:t>
      </w:r>
      <w:r w:rsidR="006A2EA1" w:rsidRPr="00C455B5">
        <w:rPr>
          <w:lang w:val="en-GB"/>
        </w:rPr>
        <w:t xml:space="preserve">Success </w:t>
      </w:r>
      <w:r w:rsidR="00C455B5">
        <w:rPr>
          <w:lang w:val="en-GB"/>
        </w:rPr>
        <w:t>can</w:t>
      </w:r>
      <w:r w:rsidR="004A74AA">
        <w:rPr>
          <w:lang w:val="en-GB"/>
        </w:rPr>
        <w:t xml:space="preserve"> be</w:t>
      </w:r>
      <w:r w:rsidR="00C455B5">
        <w:rPr>
          <w:lang w:val="en-GB"/>
        </w:rPr>
        <w:t xml:space="preserve"> partially</w:t>
      </w:r>
      <w:r w:rsidR="006A2EA1" w:rsidRPr="00C455B5">
        <w:rPr>
          <w:lang w:val="en-GB"/>
        </w:rPr>
        <w:t xml:space="preserve"> attributed to the strong alignment of </w:t>
      </w:r>
      <w:r w:rsidR="00C455B5">
        <w:rPr>
          <w:lang w:val="en-GB"/>
        </w:rPr>
        <w:t xml:space="preserve">the Australian Awards Philippines </w:t>
      </w:r>
      <w:r w:rsidR="008F709D">
        <w:rPr>
          <w:lang w:val="en-GB"/>
        </w:rPr>
        <w:t>(managed</w:t>
      </w:r>
      <w:r w:rsidR="00C455B5">
        <w:rPr>
          <w:lang w:val="en-GB"/>
        </w:rPr>
        <w:t xml:space="preserve"> by</w:t>
      </w:r>
      <w:r w:rsidR="00343EF8">
        <w:rPr>
          <w:lang w:val="en-GB"/>
        </w:rPr>
        <w:t xml:space="preserve"> then </w:t>
      </w:r>
      <w:r w:rsidR="00C455B5">
        <w:rPr>
          <w:lang w:val="en-GB"/>
        </w:rPr>
        <w:t>Coffey</w:t>
      </w:r>
      <w:r w:rsidR="00343EF8">
        <w:rPr>
          <w:lang w:val="en-GB"/>
        </w:rPr>
        <w:t xml:space="preserve"> International Ltd</w:t>
      </w:r>
      <w:r w:rsidR="00343EF8">
        <w:rPr>
          <w:rStyle w:val="FootnoteReference"/>
          <w:lang w:val="en-GB"/>
        </w:rPr>
        <w:footnoteReference w:id="20"/>
      </w:r>
      <w:r w:rsidR="00C455B5">
        <w:rPr>
          <w:lang w:val="en-GB"/>
        </w:rPr>
        <w:t>) to the infrastructure development</w:t>
      </w:r>
      <w:r w:rsidR="006A2EA1" w:rsidRPr="00C455B5">
        <w:rPr>
          <w:lang w:val="en-GB"/>
        </w:rPr>
        <w:t xml:space="preserve"> sector</w:t>
      </w:r>
      <w:r w:rsidR="001B037D">
        <w:rPr>
          <w:lang w:val="en-GB"/>
        </w:rPr>
        <w:t>. A</w:t>
      </w:r>
      <w:r w:rsidR="006A2EA1" w:rsidRPr="00C455B5">
        <w:rPr>
          <w:lang w:val="en-GB"/>
        </w:rPr>
        <w:t>ctive engagement of</w:t>
      </w:r>
      <w:r w:rsidR="00C455B5">
        <w:rPr>
          <w:lang w:val="en-GB"/>
        </w:rPr>
        <w:t xml:space="preserve"> key</w:t>
      </w:r>
      <w:r w:rsidR="006A2EA1" w:rsidRPr="00C455B5">
        <w:rPr>
          <w:lang w:val="en-GB"/>
        </w:rPr>
        <w:t xml:space="preserve"> partner Carnegie Mellon University</w:t>
      </w:r>
      <w:r w:rsidR="001B037D">
        <w:rPr>
          <w:lang w:val="en-GB"/>
        </w:rPr>
        <w:t xml:space="preserve"> also contributed.</w:t>
      </w:r>
      <w:r w:rsidR="00C455B5">
        <w:rPr>
          <w:lang w:val="en-GB"/>
        </w:rPr>
        <w:t xml:space="preserve"> </w:t>
      </w:r>
      <w:r w:rsidR="001B037D">
        <w:rPr>
          <w:lang w:val="en-GB"/>
        </w:rPr>
        <w:t>It</w:t>
      </w:r>
      <w:r w:rsidR="00C455B5">
        <w:rPr>
          <w:lang w:val="en-GB"/>
        </w:rPr>
        <w:t xml:space="preserve"> </w:t>
      </w:r>
      <w:r w:rsidR="004A74AA">
        <w:rPr>
          <w:lang w:val="en-GB"/>
        </w:rPr>
        <w:t xml:space="preserve">worked to </w:t>
      </w:r>
      <w:r w:rsidR="00C455B5">
        <w:rPr>
          <w:lang w:val="en-GB"/>
        </w:rPr>
        <w:t xml:space="preserve">establish ongoing relationships with Philippine partners, develop a </w:t>
      </w:r>
      <w:r w:rsidR="00C455B5">
        <w:rPr>
          <w:lang w:val="en-GB"/>
        </w:rPr>
        <w:lastRenderedPageBreak/>
        <w:t xml:space="preserve">sound understanding of the context </w:t>
      </w:r>
      <w:r w:rsidR="00E54228">
        <w:rPr>
          <w:lang w:val="en-GB"/>
        </w:rPr>
        <w:t>including</w:t>
      </w:r>
      <w:r w:rsidR="00C455B5">
        <w:rPr>
          <w:lang w:val="en-GB"/>
        </w:rPr>
        <w:t xml:space="preserve"> the</w:t>
      </w:r>
      <w:r w:rsidR="006A2EA1" w:rsidRPr="0084184F">
        <w:t xml:space="preserve"> </w:t>
      </w:r>
      <w:r w:rsidR="00C455B5" w:rsidRPr="00E20950">
        <w:rPr>
          <w:bCs/>
        </w:rPr>
        <w:t>legal and regulatory environment</w:t>
      </w:r>
      <w:r w:rsidR="00C455B5">
        <w:rPr>
          <w:bCs/>
        </w:rPr>
        <w:t xml:space="preserve">, and develop tailored subjects and </w:t>
      </w:r>
      <w:r w:rsidR="008A19EC">
        <w:rPr>
          <w:bCs/>
        </w:rPr>
        <w:t>internships</w:t>
      </w:r>
      <w:r w:rsidR="00C455B5">
        <w:rPr>
          <w:bCs/>
        </w:rPr>
        <w:t xml:space="preserve"> to mee</w:t>
      </w:r>
      <w:r w:rsidR="008A19EC">
        <w:rPr>
          <w:bCs/>
        </w:rPr>
        <w:t>t</w:t>
      </w:r>
      <w:r w:rsidR="004A74AA">
        <w:rPr>
          <w:bCs/>
        </w:rPr>
        <w:t xml:space="preserve"> priority</w:t>
      </w:r>
      <w:r w:rsidR="008A19EC">
        <w:rPr>
          <w:bCs/>
        </w:rPr>
        <w:t xml:space="preserve"> needs. </w:t>
      </w:r>
    </w:p>
    <w:p w14:paraId="72F7BDCD" w14:textId="4D35CA7A" w:rsidR="00172DBF" w:rsidRDefault="00165E81" w:rsidP="00021D43">
      <w:pPr>
        <w:spacing w:line="240" w:lineRule="auto"/>
      </w:pPr>
      <w:r>
        <w:t xml:space="preserve">A high level </w:t>
      </w:r>
      <w:r w:rsidR="006A2EA1" w:rsidRPr="00165E81">
        <w:t>of effort</w:t>
      </w:r>
      <w:r>
        <w:t xml:space="preserve"> was placed</w:t>
      </w:r>
      <w:r w:rsidR="006A2EA1" w:rsidRPr="00165E81">
        <w:t xml:space="preserve"> in</w:t>
      </w:r>
      <w:r>
        <w:t xml:space="preserve"> facilitating</w:t>
      </w:r>
      <w:r w:rsidR="006A2EA1" w:rsidRPr="00165E81">
        <w:t xml:space="preserve"> Australian engagement in the first half of the</w:t>
      </w:r>
      <w:r>
        <w:t xml:space="preserve"> TA</w:t>
      </w:r>
      <w:r w:rsidR="0036333E">
        <w:t xml:space="preserve"> (2011-2015)</w:t>
      </w:r>
      <w:r>
        <w:t xml:space="preserve">. </w:t>
      </w:r>
      <w:r w:rsidR="00566B96">
        <w:t>However,</w:t>
      </w:r>
      <w:r>
        <w:t xml:space="preserve"> </w:t>
      </w:r>
      <w:r w:rsidR="00172DBF">
        <w:t xml:space="preserve">during the second half of the program, </w:t>
      </w:r>
      <w:r w:rsidR="00566B96">
        <w:t xml:space="preserve">DFAT </w:t>
      </w:r>
      <w:r w:rsidR="006A2EA1" w:rsidRPr="00165E81">
        <w:t>missed opportunit</w:t>
      </w:r>
      <w:r>
        <w:t>ies</w:t>
      </w:r>
      <w:r w:rsidR="00566B96">
        <w:t xml:space="preserve"> </w:t>
      </w:r>
      <w:r w:rsidR="006A2EA1" w:rsidRPr="00165E81">
        <w:t xml:space="preserve">to </w:t>
      </w:r>
      <w:r w:rsidR="00172DBF">
        <w:t xml:space="preserve">further </w:t>
      </w:r>
      <w:r w:rsidR="00336BEC">
        <w:t>nurture</w:t>
      </w:r>
      <w:r>
        <w:t xml:space="preserve"> and </w:t>
      </w:r>
      <w:r w:rsidR="00566B96">
        <w:t>extend</w:t>
      </w:r>
      <w:r w:rsidR="006A2EA1" w:rsidRPr="00165E81">
        <w:t xml:space="preserve"> links and identify ongoing entry points for Australian </w:t>
      </w:r>
      <w:r w:rsidR="002B6D2C">
        <w:t>private sector</w:t>
      </w:r>
      <w:r w:rsidR="006A2EA1" w:rsidRPr="00165E81">
        <w:t xml:space="preserve"> engagement</w:t>
      </w:r>
      <w:r>
        <w:t xml:space="preserve">. Austrade, ADB and DFAT collaborated effectively to host a series of PPP policy dialogue sessions and roadshows </w:t>
      </w:r>
      <w:r w:rsidR="0006544B">
        <w:t xml:space="preserve">in </w:t>
      </w:r>
      <w:r>
        <w:t xml:space="preserve">Melbourne and Sydney </w:t>
      </w:r>
      <w:r w:rsidR="00027CA2">
        <w:t xml:space="preserve">in 2014 and 2015 </w:t>
      </w:r>
      <w:r>
        <w:t xml:space="preserve">aimed at garnering </w:t>
      </w:r>
      <w:r w:rsidR="009F082C">
        <w:t>private sector</w:t>
      </w:r>
      <w:r>
        <w:t xml:space="preserve"> investment and involvement</w:t>
      </w:r>
      <w:r w:rsidR="009F082C">
        <w:t xml:space="preserve"> </w:t>
      </w:r>
      <w:r>
        <w:t>in the Philippines including Australian firms on the PDMF panel.</w:t>
      </w:r>
      <w:r w:rsidR="00566B96">
        <w:t xml:space="preserve"> </w:t>
      </w:r>
      <w:r w:rsidR="00336BEC">
        <w:t>After</w:t>
      </w:r>
      <w:r w:rsidR="00566B96">
        <w:t xml:space="preserve"> these arrangements </w:t>
      </w:r>
      <w:r w:rsidR="00336BEC">
        <w:t>were</w:t>
      </w:r>
      <w:r w:rsidR="00566B96">
        <w:t xml:space="preserve"> put in place, </w:t>
      </w:r>
      <w:r w:rsidR="002E68F9">
        <w:t>Austrade and the PPP Cent</w:t>
      </w:r>
      <w:r w:rsidR="009F082C">
        <w:t>er</w:t>
      </w:r>
      <w:r w:rsidR="002E68F9">
        <w:t xml:space="preserve"> continued to present</w:t>
      </w:r>
      <w:r w:rsidR="002E68F9" w:rsidRPr="002E68F9">
        <w:t xml:space="preserve"> investment</w:t>
      </w:r>
      <w:r w:rsidR="00A411ED">
        <w:t xml:space="preserve">, </w:t>
      </w:r>
      <w:r w:rsidR="007363E5" w:rsidRPr="002E68F9">
        <w:t>construction,</w:t>
      </w:r>
      <w:r w:rsidR="00A411ED">
        <w:t xml:space="preserve"> and consulting</w:t>
      </w:r>
      <w:r w:rsidR="002E68F9" w:rsidRPr="002E68F9">
        <w:t xml:space="preserve"> opportunities in PPP projects to Australian construction and investment firms.</w:t>
      </w:r>
      <w:r w:rsidR="00A411ED">
        <w:t xml:space="preserve"> However, </w:t>
      </w:r>
      <w:r w:rsidR="00090333">
        <w:rPr>
          <w:lang w:val="en-GB"/>
        </w:rPr>
        <w:t xml:space="preserve">DFAT </w:t>
      </w:r>
      <w:r w:rsidR="00172DBF">
        <w:rPr>
          <w:lang w:val="en-GB"/>
        </w:rPr>
        <w:t xml:space="preserve">did </w:t>
      </w:r>
      <w:r w:rsidR="00090333">
        <w:rPr>
          <w:lang w:val="en-GB"/>
        </w:rPr>
        <w:t xml:space="preserve">not </w:t>
      </w:r>
      <w:r w:rsidR="00A411ED">
        <w:rPr>
          <w:lang w:val="en-GB"/>
        </w:rPr>
        <w:t xml:space="preserve">appear to </w:t>
      </w:r>
      <w:r w:rsidR="00722D7D">
        <w:rPr>
          <w:lang w:val="en-GB"/>
        </w:rPr>
        <w:t xml:space="preserve">have pursued </w:t>
      </w:r>
      <w:r w:rsidR="00A411ED">
        <w:rPr>
          <w:lang w:val="en-GB"/>
        </w:rPr>
        <w:t>a</w:t>
      </w:r>
      <w:r w:rsidR="00090333">
        <w:rPr>
          <w:lang w:val="en-GB"/>
        </w:rPr>
        <w:t xml:space="preserve"> joined-up </w:t>
      </w:r>
      <w:r w:rsidR="00A411ED">
        <w:rPr>
          <w:lang w:val="en-GB"/>
        </w:rPr>
        <w:t>whole of gove</w:t>
      </w:r>
      <w:r w:rsidR="00722D7D">
        <w:rPr>
          <w:lang w:val="en-GB"/>
        </w:rPr>
        <w:t>rn</w:t>
      </w:r>
      <w:r w:rsidR="00A411ED">
        <w:rPr>
          <w:lang w:val="en-GB"/>
        </w:rPr>
        <w:t xml:space="preserve">ment </w:t>
      </w:r>
      <w:r w:rsidR="00090333">
        <w:rPr>
          <w:lang w:val="en-GB"/>
        </w:rPr>
        <w:t xml:space="preserve">strategy for encouraging Australian </w:t>
      </w:r>
      <w:r w:rsidR="00722D7D">
        <w:rPr>
          <w:lang w:val="en-GB"/>
        </w:rPr>
        <w:t xml:space="preserve">private sector </w:t>
      </w:r>
      <w:r w:rsidR="00090333">
        <w:rPr>
          <w:lang w:val="en-GB"/>
        </w:rPr>
        <w:t xml:space="preserve">investment and bidding of PPP </w:t>
      </w:r>
      <w:r w:rsidR="00432819">
        <w:rPr>
          <w:lang w:val="en-GB"/>
        </w:rPr>
        <w:t>projects in collaboration with Austrade</w:t>
      </w:r>
      <w:r w:rsidR="00722D7D">
        <w:rPr>
          <w:lang w:val="en-GB"/>
        </w:rPr>
        <w:t xml:space="preserve"> under</w:t>
      </w:r>
      <w:r w:rsidR="00A411ED" w:rsidRPr="00A411ED">
        <w:t xml:space="preserve"> the TA. </w:t>
      </w:r>
    </w:p>
    <w:p w14:paraId="10B5A244" w14:textId="2D35040B" w:rsidR="00E54228" w:rsidRDefault="00A411ED" w:rsidP="00021D43">
      <w:pPr>
        <w:spacing w:line="240" w:lineRule="auto"/>
      </w:pPr>
      <w:r w:rsidRPr="00A411ED">
        <w:t xml:space="preserve">Additionally, while the PPP Center </w:t>
      </w:r>
      <w:r w:rsidR="00CA5CAB">
        <w:t>attempted</w:t>
      </w:r>
      <w:r w:rsidR="00CA5CAB" w:rsidRPr="00A411ED">
        <w:t xml:space="preserve"> </w:t>
      </w:r>
      <w:r w:rsidRPr="00A411ED">
        <w:t xml:space="preserve">to renew its twinning arrangement with </w:t>
      </w:r>
      <w:r w:rsidR="00CA5CAB">
        <w:t>Infrastructure NSW</w:t>
      </w:r>
      <w:r w:rsidR="00CA5CAB" w:rsidRPr="00A411ED">
        <w:t xml:space="preserve"> </w:t>
      </w:r>
      <w:r w:rsidRPr="00A411ED">
        <w:t xml:space="preserve">with the help of a probity advisor, </w:t>
      </w:r>
      <w:r>
        <w:t xml:space="preserve">it </w:t>
      </w:r>
      <w:r w:rsidR="00172DBF">
        <w:t>was</w:t>
      </w:r>
      <w:r>
        <w:t xml:space="preserve"> unsuccessful</w:t>
      </w:r>
      <w:r w:rsidR="00CA5CAB">
        <w:t>.</w:t>
      </w:r>
      <w:r>
        <w:t xml:space="preserve"> DFAT </w:t>
      </w:r>
      <w:r w:rsidR="00172DBF">
        <w:t>did</w:t>
      </w:r>
      <w:r>
        <w:t xml:space="preserve"> not appear to have pla</w:t>
      </w:r>
      <w:r w:rsidR="00A41CF6">
        <w:t>y</w:t>
      </w:r>
      <w:r>
        <w:t xml:space="preserve">ed an active role in </w:t>
      </w:r>
      <w:r w:rsidR="00432819">
        <w:t>support</w:t>
      </w:r>
      <w:r>
        <w:t>ing</w:t>
      </w:r>
      <w:r w:rsidR="00432819">
        <w:t xml:space="preserve"> </w:t>
      </w:r>
      <w:r w:rsidR="00287043">
        <w:t>this process</w:t>
      </w:r>
      <w:r w:rsidR="00432819">
        <w:t xml:space="preserve">. </w:t>
      </w:r>
      <w:r w:rsidR="00A41CF6">
        <w:t xml:space="preserve">DFAT’s diminished engagement </w:t>
      </w:r>
      <w:r w:rsidR="00090333">
        <w:t>is likely due to</w:t>
      </w:r>
      <w:r w:rsidR="00432819">
        <w:t>:</w:t>
      </w:r>
      <w:r w:rsidR="00090333">
        <w:t xml:space="preserve"> the</w:t>
      </w:r>
      <w:r w:rsidR="00432819">
        <w:t xml:space="preserve"> strong start of the </w:t>
      </w:r>
      <w:r w:rsidR="00172DBF">
        <w:t>Program</w:t>
      </w:r>
      <w:r w:rsidR="00432819">
        <w:t>, which appropriately linked Australian firms</w:t>
      </w:r>
      <w:r w:rsidR="00DA407D">
        <w:t xml:space="preserve"> at the outset</w:t>
      </w:r>
      <w:r w:rsidR="00432819">
        <w:t xml:space="preserve">; </w:t>
      </w:r>
      <w:r w:rsidR="00F11E7F">
        <w:t xml:space="preserve">the TA’s </w:t>
      </w:r>
      <w:r w:rsidR="00B177BA">
        <w:t>ten-year</w:t>
      </w:r>
      <w:r w:rsidR="00F11E7F">
        <w:t xml:space="preserve"> timeframe which did not see a refresh; </w:t>
      </w:r>
      <w:r w:rsidR="00432819">
        <w:t xml:space="preserve">the </w:t>
      </w:r>
      <w:r w:rsidR="00090333">
        <w:t xml:space="preserve">lack of </w:t>
      </w:r>
      <w:r w:rsidR="00172DBF">
        <w:t xml:space="preserve">embedding </w:t>
      </w:r>
      <w:r w:rsidR="00090333">
        <w:t>a partnership approach</w:t>
      </w:r>
      <w:r w:rsidR="00DA407D">
        <w:t xml:space="preserve"> </w:t>
      </w:r>
      <w:r w:rsidR="00090333">
        <w:t>in</w:t>
      </w:r>
      <w:r w:rsidR="00172DBF">
        <w:t>to</w:t>
      </w:r>
      <w:r w:rsidR="00090333">
        <w:t xml:space="preserve"> the design</w:t>
      </w:r>
      <w:r w:rsidR="00172DBF">
        <w:t>, which would have</w:t>
      </w:r>
      <w:r w:rsidR="00090333">
        <w:t xml:space="preserve"> delineat</w:t>
      </w:r>
      <w:r w:rsidR="00172DBF">
        <w:t>ed</w:t>
      </w:r>
      <w:r w:rsidR="00090333">
        <w:t xml:space="preserve"> DFAT’s role </w:t>
      </w:r>
      <w:r w:rsidR="00432819">
        <w:t>in the TA</w:t>
      </w:r>
      <w:r w:rsidR="00172DBF">
        <w:t>,</w:t>
      </w:r>
      <w:r w:rsidR="00432819">
        <w:t xml:space="preserve"> </w:t>
      </w:r>
      <w:r w:rsidR="00090333">
        <w:t xml:space="preserve">or </w:t>
      </w:r>
      <w:r w:rsidR="00172DBF">
        <w:t>prompted DFAT</w:t>
      </w:r>
      <w:r w:rsidR="00090333">
        <w:t xml:space="preserve"> to revisit its engagement</w:t>
      </w:r>
      <w:r w:rsidR="00432819">
        <w:t xml:space="preserve">; and the lack of provision for DFAT </w:t>
      </w:r>
      <w:r w:rsidR="00B73F5A">
        <w:t xml:space="preserve">resources and </w:t>
      </w:r>
      <w:r w:rsidR="00432819">
        <w:t xml:space="preserve">personnel </w:t>
      </w:r>
      <w:r w:rsidR="00DA407D">
        <w:t>(</w:t>
      </w:r>
      <w:r w:rsidR="00432819">
        <w:t>discussed in Section 3.3</w:t>
      </w:r>
      <w:r w:rsidR="00DA407D">
        <w:t>)</w:t>
      </w:r>
      <w:r w:rsidR="00B73F5A">
        <w:t>.</w:t>
      </w:r>
    </w:p>
    <w:p w14:paraId="65E8E61F" w14:textId="77777777" w:rsidR="00F2226C" w:rsidRDefault="00F2226C" w:rsidP="00F5700C">
      <w:pPr>
        <w:spacing w:line="240" w:lineRule="auto"/>
      </w:pPr>
    </w:p>
    <w:p w14:paraId="06ABBB40" w14:textId="5710A0A9" w:rsidR="005E374A" w:rsidRDefault="005E374A" w:rsidP="00F2226C">
      <w:pPr>
        <w:pStyle w:val="Heading3"/>
      </w:pPr>
      <w:bookmarkStart w:id="65" w:name="_Toc96435329"/>
      <w:r>
        <w:t>3.</w:t>
      </w:r>
      <w:r w:rsidR="006A2EA1">
        <w:t>3</w:t>
      </w:r>
      <w:r>
        <w:t xml:space="preserve"> </w:t>
      </w:r>
      <w:r w:rsidRPr="005E374A">
        <w:t>Efficiency</w:t>
      </w:r>
      <w:bookmarkEnd w:id="65"/>
    </w:p>
    <w:p w14:paraId="618D3A9B" w14:textId="737793E4" w:rsidR="009A3A26" w:rsidRDefault="00B33CE1" w:rsidP="00021D43">
      <w:pPr>
        <w:spacing w:line="240" w:lineRule="auto"/>
      </w:pPr>
      <w:bookmarkStart w:id="66" w:name="_Hlk66883500"/>
      <w:r w:rsidRPr="00FC7850">
        <w:t xml:space="preserve">The modality of working through the ADB </w:t>
      </w:r>
      <w:r w:rsidR="00570F60">
        <w:t>was</w:t>
      </w:r>
      <w:r w:rsidRPr="00FC7850">
        <w:t xml:space="preserve"> highly effective</w:t>
      </w:r>
      <w:r>
        <w:t xml:space="preserve"> in terms of meeting the support needs of partners</w:t>
      </w:r>
      <w:r w:rsidRPr="00FC7850">
        <w:t xml:space="preserve"> and deliver</w:t>
      </w:r>
      <w:r w:rsidR="00E54228">
        <w:t>ing</w:t>
      </w:r>
      <w:r w:rsidRPr="00FC7850">
        <w:t xml:space="preserve"> a flexible fit-for purpose program of support </w:t>
      </w:r>
      <w:r w:rsidR="00E54228">
        <w:t xml:space="preserve">that </w:t>
      </w:r>
      <w:r w:rsidR="00570F60">
        <w:t>was</w:t>
      </w:r>
      <w:r w:rsidR="00E54228">
        <w:t xml:space="preserve"> </w:t>
      </w:r>
      <w:r w:rsidRPr="00FC7850">
        <w:t xml:space="preserve">well suited to the </w:t>
      </w:r>
      <w:r>
        <w:t xml:space="preserve">high </w:t>
      </w:r>
      <w:r w:rsidRPr="00FC7850">
        <w:t xml:space="preserve">level of capacity among </w:t>
      </w:r>
      <w:r>
        <w:t>Philippine g</w:t>
      </w:r>
      <w:r w:rsidRPr="00FC7850">
        <w:t>overnment partners. While the benefits of the modality far outweigh</w:t>
      </w:r>
      <w:r w:rsidR="00570F60">
        <w:t>ed</w:t>
      </w:r>
      <w:r w:rsidRPr="00FC7850">
        <w:t xml:space="preserve"> </w:t>
      </w:r>
      <w:r>
        <w:t>associated</w:t>
      </w:r>
      <w:r w:rsidRPr="00FC7850">
        <w:t xml:space="preserve"> limitations</w:t>
      </w:r>
      <w:r>
        <w:t xml:space="preserve"> and inefficiencies</w:t>
      </w:r>
      <w:r w:rsidRPr="00FC7850">
        <w:t xml:space="preserve">, there </w:t>
      </w:r>
      <w:r w:rsidR="00570F60">
        <w:t>were missed</w:t>
      </w:r>
      <w:r w:rsidRPr="00FC7850">
        <w:t xml:space="preserve"> opportunities for both DFAT and ADB to strengthen engagement and develop a</w:t>
      </w:r>
      <w:r>
        <w:t xml:space="preserve"> more</w:t>
      </w:r>
      <w:r w:rsidRPr="00FC7850">
        <w:t xml:space="preserve"> comprehensive partnership approach.</w:t>
      </w:r>
    </w:p>
    <w:p w14:paraId="57ABB89A" w14:textId="6F7A970C" w:rsidR="008F5107" w:rsidRPr="00BB1099" w:rsidRDefault="009A3A26" w:rsidP="00021D43">
      <w:pPr>
        <w:spacing w:line="240" w:lineRule="auto"/>
      </w:pPr>
      <w:r>
        <w:t xml:space="preserve">The TA </w:t>
      </w:r>
      <w:r w:rsidR="0083393A">
        <w:t>was</w:t>
      </w:r>
      <w:r w:rsidR="00D6042A">
        <w:t xml:space="preserve"> </w:t>
      </w:r>
      <w:r w:rsidR="00E734DC">
        <w:t>well aligned to the needs and priorities of the</w:t>
      </w:r>
      <w:r w:rsidR="00613F09">
        <w:t xml:space="preserve"> Philippines</w:t>
      </w:r>
      <w:r w:rsidR="00E734DC">
        <w:t xml:space="preserve"> PPP Program. It </w:t>
      </w:r>
      <w:r w:rsidR="00E67EEA">
        <w:t>contributed to</w:t>
      </w:r>
      <w:r w:rsidR="00E734DC">
        <w:t xml:space="preserve"> </w:t>
      </w:r>
      <w:r w:rsidR="0076621A">
        <w:t xml:space="preserve">its </w:t>
      </w:r>
      <w:r w:rsidR="00AD24F5">
        <w:t xml:space="preserve">set up and launch of </w:t>
      </w:r>
      <w:r w:rsidR="00BD1E36">
        <w:t>its</w:t>
      </w:r>
      <w:r w:rsidR="00E734DC">
        <w:t xml:space="preserve"> </w:t>
      </w:r>
      <w:r w:rsidR="00CA027A">
        <w:t>s</w:t>
      </w:r>
      <w:r w:rsidR="00E734DC">
        <w:t>trategy</w:t>
      </w:r>
      <w:r w:rsidR="0076621A">
        <w:t xml:space="preserve">, </w:t>
      </w:r>
      <w:r w:rsidR="00AD24F5">
        <w:t xml:space="preserve">the </w:t>
      </w:r>
      <w:r w:rsidR="00E734DC">
        <w:t>development of</w:t>
      </w:r>
      <w:r w:rsidR="00E67EEA">
        <w:t xml:space="preserve"> </w:t>
      </w:r>
      <w:r w:rsidR="00613F09">
        <w:t>specialised skills</w:t>
      </w:r>
      <w:r w:rsidR="0076621A">
        <w:t xml:space="preserve">, </w:t>
      </w:r>
      <w:r w:rsidR="007363E5">
        <w:t>resources,</w:t>
      </w:r>
      <w:r w:rsidR="00613F09">
        <w:t xml:space="preserve"> and </w:t>
      </w:r>
      <w:r w:rsidR="00E67EEA">
        <w:t>PPP business case initiatives</w:t>
      </w:r>
      <w:r w:rsidR="00BD1E36">
        <w:t xml:space="preserve">. </w:t>
      </w:r>
      <w:r w:rsidR="0083393A">
        <w:t>This s</w:t>
      </w:r>
      <w:r w:rsidR="00BD1E36">
        <w:t>upport</w:t>
      </w:r>
      <w:r w:rsidR="00437487">
        <w:t xml:space="preserve"> enabled</w:t>
      </w:r>
      <w:r w:rsidR="00AD24F5">
        <w:t xml:space="preserve"> country partners</w:t>
      </w:r>
      <w:r w:rsidR="00437487">
        <w:t xml:space="preserve"> to amplify their work and reach a greater number of </w:t>
      </w:r>
      <w:r w:rsidR="00E51EF4">
        <w:t>local government units</w:t>
      </w:r>
      <w:r w:rsidR="008F5107">
        <w:t xml:space="preserve">, and respond to </w:t>
      </w:r>
      <w:r w:rsidR="00AD24F5">
        <w:t xml:space="preserve">the </w:t>
      </w:r>
      <w:r w:rsidR="008F5107">
        <w:t>evolving need</w:t>
      </w:r>
      <w:r w:rsidR="00AD24F5">
        <w:t>s of</w:t>
      </w:r>
      <w:r w:rsidR="00613F09">
        <w:t xml:space="preserve"> </w:t>
      </w:r>
      <w:r w:rsidR="00AD24F5">
        <w:t xml:space="preserve">clients as </w:t>
      </w:r>
      <w:r w:rsidR="008F5107" w:rsidRPr="008F5107">
        <w:t xml:space="preserve">insights </w:t>
      </w:r>
      <w:r w:rsidR="00BD1E36">
        <w:t>related to</w:t>
      </w:r>
      <w:r w:rsidR="008F5107" w:rsidRPr="008F5107">
        <w:t xml:space="preserve"> issues and needs </w:t>
      </w:r>
      <w:r w:rsidR="008F5107">
        <w:t xml:space="preserve">emerge. </w:t>
      </w:r>
      <w:r w:rsidR="007363E5">
        <w:t>ADB adopted</w:t>
      </w:r>
      <w:r w:rsidR="00613F09">
        <w:t xml:space="preserve"> an</w:t>
      </w:r>
      <w:r w:rsidR="008F5107">
        <w:t xml:space="preserve"> excellent approach in </w:t>
      </w:r>
      <w:r w:rsidRPr="00BB1099">
        <w:t>assessing and responding to needs when delivering TA</w:t>
      </w:r>
      <w:r w:rsidR="008F5107" w:rsidRPr="00BB1099">
        <w:t>,</w:t>
      </w:r>
      <w:r w:rsidRPr="00BB1099">
        <w:t xml:space="preserve"> consider</w:t>
      </w:r>
      <w:r w:rsidR="008F5107" w:rsidRPr="00BB1099">
        <w:t>ing</w:t>
      </w:r>
      <w:r w:rsidRPr="00BB1099">
        <w:t xml:space="preserve"> the needs of the centre as a whole, </w:t>
      </w:r>
      <w:r w:rsidR="008F5107" w:rsidRPr="00BB1099">
        <w:t xml:space="preserve">in addition to the needs of particular services, providing tailored and </w:t>
      </w:r>
      <w:r w:rsidR="00613F09" w:rsidRPr="00BB1099">
        <w:t>holistic</w:t>
      </w:r>
      <w:r w:rsidR="008F5107" w:rsidRPr="00BB1099">
        <w:t xml:space="preserve"> support. </w:t>
      </w:r>
      <w:r w:rsidR="00613F09" w:rsidRPr="00BB1099">
        <w:t xml:space="preserve">The approach </w:t>
      </w:r>
      <w:r w:rsidR="0083393A">
        <w:t>was</w:t>
      </w:r>
      <w:r w:rsidR="00613F09" w:rsidRPr="00BB1099">
        <w:t xml:space="preserve"> appropriate given the </w:t>
      </w:r>
      <w:r w:rsidR="0036333E">
        <w:t xml:space="preserve">high </w:t>
      </w:r>
      <w:r w:rsidR="00613F09" w:rsidRPr="00BB1099">
        <w:t xml:space="preserve">level of maturity of the </w:t>
      </w:r>
      <w:r w:rsidR="007C4A62" w:rsidRPr="00BB1099">
        <w:t xml:space="preserve">PPP </w:t>
      </w:r>
      <w:r w:rsidR="002D4DA0" w:rsidRPr="00BB1099">
        <w:t>Center</w:t>
      </w:r>
      <w:r w:rsidR="00613F09" w:rsidRPr="00BB1099">
        <w:t xml:space="preserve"> and its strong internal systems that support</w:t>
      </w:r>
      <w:r w:rsidR="0083393A">
        <w:t>ed</w:t>
      </w:r>
      <w:r w:rsidR="00613F09" w:rsidRPr="00BB1099">
        <w:t xml:space="preserve"> systematic capacity assessment</w:t>
      </w:r>
      <w:r w:rsidR="0076621A" w:rsidRPr="00BB1099">
        <w:t xml:space="preserve"> and</w:t>
      </w:r>
      <w:r w:rsidR="00613F09" w:rsidRPr="00BB1099">
        <w:t xml:space="preserve"> needs identification and prioritisation. A mature and equal partnership </w:t>
      </w:r>
      <w:r w:rsidR="0083393A">
        <w:t>was</w:t>
      </w:r>
      <w:r w:rsidR="00613F09" w:rsidRPr="00BB1099">
        <w:t xml:space="preserve"> established between ADB and Philippine government program partners. </w:t>
      </w:r>
    </w:p>
    <w:p w14:paraId="708B6B75" w14:textId="0979768D" w:rsidR="00644941" w:rsidRDefault="0026100B" w:rsidP="00021D43">
      <w:pPr>
        <w:spacing w:line="240" w:lineRule="auto"/>
      </w:pPr>
      <w:r w:rsidRPr="00BB1099">
        <w:t xml:space="preserve">A series of success factors contributed to the success of TA activities facilitated by the ADB. </w:t>
      </w:r>
      <w:r w:rsidR="00AD1712" w:rsidRPr="00BB1099">
        <w:t xml:space="preserve">Having an ADB Advisor located at the </w:t>
      </w:r>
      <w:r w:rsidR="007C4A62" w:rsidRPr="00BB1099">
        <w:t xml:space="preserve">PPP </w:t>
      </w:r>
      <w:r w:rsidR="002D4DA0" w:rsidRPr="00BB1099">
        <w:t>Center</w:t>
      </w:r>
      <w:r w:rsidR="00AD1712" w:rsidRPr="00BB1099">
        <w:t xml:space="preserve"> </w:t>
      </w:r>
      <w:r w:rsidR="0083393A">
        <w:t>was</w:t>
      </w:r>
      <w:r w:rsidR="00647A2E" w:rsidRPr="00BB1099">
        <w:t xml:space="preserve"> highly beneficia</w:t>
      </w:r>
      <w:r w:rsidR="00EF7BDB" w:rsidRPr="00BB1099">
        <w:t>l</w:t>
      </w:r>
      <w:r w:rsidR="00AD1712" w:rsidRPr="00BB1099">
        <w:t xml:space="preserve">. </w:t>
      </w:r>
      <w:r w:rsidR="0064778D" w:rsidRPr="00BB1099">
        <w:t xml:space="preserve">The TA has </w:t>
      </w:r>
      <w:r w:rsidR="00647A2E" w:rsidRPr="00BB1099">
        <w:t xml:space="preserve">also </w:t>
      </w:r>
      <w:r w:rsidR="0064778D" w:rsidRPr="00BB1099">
        <w:t>engaged a range of high-quality consultants and firms</w:t>
      </w:r>
      <w:r w:rsidR="00CB6477" w:rsidRPr="00925CCE">
        <w:rPr>
          <w:vertAlign w:val="superscript"/>
        </w:rPr>
        <w:footnoteReference w:id="21"/>
      </w:r>
      <w:r w:rsidR="00647A2E" w:rsidRPr="00BB1099">
        <w:t>,</w:t>
      </w:r>
      <w:r w:rsidR="0064778D" w:rsidRPr="00BB1099">
        <w:t xml:space="preserve"> </w:t>
      </w:r>
      <w:r w:rsidR="00647A2E" w:rsidRPr="00BB1099">
        <w:t>providing</w:t>
      </w:r>
      <w:r w:rsidR="0064778D" w:rsidRPr="00BB1099">
        <w:t xml:space="preserve"> access to</w:t>
      </w:r>
      <w:r w:rsidR="00647A2E" w:rsidRPr="00BB1099">
        <w:t xml:space="preserve"> </w:t>
      </w:r>
      <w:r w:rsidR="0064778D" w:rsidRPr="00BB1099">
        <w:t xml:space="preserve">a </w:t>
      </w:r>
      <w:r w:rsidR="00647A2E" w:rsidRPr="00BB1099">
        <w:t>diversity of</w:t>
      </w:r>
      <w:r w:rsidR="0064778D" w:rsidRPr="00BB1099">
        <w:t xml:space="preserve"> </w:t>
      </w:r>
      <w:r w:rsidR="00647A2E" w:rsidRPr="00BB1099">
        <w:t xml:space="preserve">technical and sectoral </w:t>
      </w:r>
      <w:r w:rsidR="0064778D" w:rsidRPr="00BB1099">
        <w:t>experts</w:t>
      </w:r>
      <w:r w:rsidR="00EF7BDB" w:rsidRPr="00BB1099">
        <w:t xml:space="preserve">. </w:t>
      </w:r>
      <w:r w:rsidR="0064778D" w:rsidRPr="00BB1099">
        <w:t>Capacity building support brought experts to the Philippines, and supported Philippine stakeholders to visit other countries for practical exchange and exposure visits.</w:t>
      </w:r>
      <w:r w:rsidR="002C7D9F" w:rsidRPr="00BB1099">
        <w:t xml:space="preserve"> It targeted </w:t>
      </w:r>
      <w:r w:rsidR="00C611C9" w:rsidRPr="00BB1099">
        <w:t xml:space="preserve">a diversity of </w:t>
      </w:r>
      <w:r w:rsidR="002C7D9F" w:rsidRPr="00BB1099">
        <w:t>stakeholders</w:t>
      </w:r>
      <w:r w:rsidR="00C611C9" w:rsidRPr="00BB1099">
        <w:t xml:space="preserve"> in capacity development, </w:t>
      </w:r>
      <w:r w:rsidR="000028D1" w:rsidRPr="00BB1099">
        <w:t>including</w:t>
      </w:r>
      <w:r w:rsidR="00C611C9" w:rsidRPr="00BB1099">
        <w:t xml:space="preserve"> </w:t>
      </w:r>
      <w:r w:rsidR="00350363">
        <w:t>implementing agency</w:t>
      </w:r>
      <w:r w:rsidR="002C7D9F" w:rsidRPr="00BB1099">
        <w:t xml:space="preserve"> and </w:t>
      </w:r>
      <w:r w:rsidR="00E51EF4">
        <w:t>local government unit</w:t>
      </w:r>
      <w:r w:rsidR="002C7D9F" w:rsidRPr="00BB1099">
        <w:t xml:space="preserve"> representatives</w:t>
      </w:r>
      <w:r w:rsidR="00C611C9" w:rsidRPr="00BB1099">
        <w:t xml:space="preserve"> in addition to direct counterparts</w:t>
      </w:r>
      <w:r w:rsidR="002C7D9F" w:rsidRPr="00BB1099">
        <w:t xml:space="preserve">. For example, it </w:t>
      </w:r>
      <w:r w:rsidR="007363E5" w:rsidRPr="00BB1099">
        <w:t>launched training</w:t>
      </w:r>
      <w:r w:rsidR="002C7D9F" w:rsidRPr="00BB1099">
        <w:t xml:space="preserve"> on legal </w:t>
      </w:r>
      <w:r w:rsidR="002C7D9F" w:rsidRPr="00BB1099">
        <w:lastRenderedPageBreak/>
        <w:t>principles and provisions to ensure both</w:t>
      </w:r>
      <w:r w:rsidR="00832D0D">
        <w:t xml:space="preserve"> private sector</w:t>
      </w:r>
      <w:r w:rsidR="000028D1" w:rsidRPr="00BB1099">
        <w:t xml:space="preserve"> and government</w:t>
      </w:r>
      <w:r w:rsidR="002C7D9F" w:rsidRPr="00BB1099">
        <w:t xml:space="preserve"> parties contribute to safeguarding,</w:t>
      </w:r>
      <w:r w:rsidR="000028D1" w:rsidRPr="00BB1099">
        <w:t xml:space="preserve"> inviting both </w:t>
      </w:r>
      <w:r w:rsidR="007C4A62" w:rsidRPr="00BB1099">
        <w:t xml:space="preserve">PPP </w:t>
      </w:r>
      <w:r w:rsidR="002D4DA0" w:rsidRPr="00BB1099">
        <w:t>Center</w:t>
      </w:r>
      <w:r w:rsidR="000028D1" w:rsidRPr="00BB1099">
        <w:t xml:space="preserve"> lawyers, and </w:t>
      </w:r>
      <w:r w:rsidR="002C7D9F" w:rsidRPr="00BB1099">
        <w:t xml:space="preserve">lawyers working for </w:t>
      </w:r>
      <w:r w:rsidR="00E51EF4">
        <w:t>local government units</w:t>
      </w:r>
      <w:r w:rsidR="000028D1" w:rsidRPr="00BB1099">
        <w:t xml:space="preserve"> on </w:t>
      </w:r>
      <w:r w:rsidR="002C7D9F" w:rsidRPr="00BB1099">
        <w:t>PPPs</w:t>
      </w:r>
      <w:r w:rsidR="000028D1" w:rsidRPr="00BB1099">
        <w:t xml:space="preserve">. </w:t>
      </w:r>
      <w:r w:rsidR="001631C6" w:rsidRPr="00BB1099">
        <w:t xml:space="preserve">Another element </w:t>
      </w:r>
      <w:r w:rsidR="00701BCB">
        <w:t xml:space="preserve">key </w:t>
      </w:r>
      <w:r w:rsidR="001631C6" w:rsidRPr="00BB1099">
        <w:t xml:space="preserve">to the success of the TA was that it did not </w:t>
      </w:r>
      <w:r w:rsidR="009A3A26" w:rsidRPr="00CF647A">
        <w:t>solely</w:t>
      </w:r>
      <w:r w:rsidR="00701BCB">
        <w:t xml:space="preserve"> focus</w:t>
      </w:r>
      <w:r w:rsidR="009A3A26" w:rsidRPr="00CF647A">
        <w:t xml:space="preserve"> on the technical </w:t>
      </w:r>
      <w:r w:rsidR="000028D1">
        <w:t>aspects</w:t>
      </w:r>
      <w:r w:rsidR="0083393A">
        <w:t>,</w:t>
      </w:r>
      <w:r w:rsidR="009A3A26" w:rsidRPr="00CF647A">
        <w:t xml:space="preserve"> but</w:t>
      </w:r>
      <w:r w:rsidR="00701BCB">
        <w:t xml:space="preserve"> also</w:t>
      </w:r>
      <w:r w:rsidR="009A3A26" w:rsidRPr="00CF647A">
        <w:t xml:space="preserve"> buil</w:t>
      </w:r>
      <w:r w:rsidR="00701BCB">
        <w:t>t the</w:t>
      </w:r>
      <w:r w:rsidR="009A3A26" w:rsidRPr="00CF647A">
        <w:t xml:space="preserve"> </w:t>
      </w:r>
      <w:r w:rsidR="00832D0D">
        <w:t>supportive</w:t>
      </w:r>
      <w:r w:rsidR="00832D0D" w:rsidRPr="00CF647A">
        <w:t xml:space="preserve"> </w:t>
      </w:r>
      <w:r w:rsidR="00EF7BDB">
        <w:t>elements</w:t>
      </w:r>
      <w:r w:rsidR="001631C6">
        <w:t xml:space="preserve"> such as</w:t>
      </w:r>
      <w:r w:rsidR="009A3A26" w:rsidRPr="00CF647A">
        <w:t xml:space="preserve"> public communications, </w:t>
      </w:r>
      <w:r w:rsidR="000028D1">
        <w:t xml:space="preserve">information technology and knowledge management. </w:t>
      </w:r>
    </w:p>
    <w:p w14:paraId="2614ADFB" w14:textId="5CA1A30A" w:rsidR="00E14C20" w:rsidRDefault="000028D1" w:rsidP="00021D43">
      <w:pPr>
        <w:spacing w:line="240" w:lineRule="auto"/>
      </w:pPr>
      <w:bookmarkStart w:id="67" w:name="_Hlk67746017"/>
      <w:r>
        <w:t xml:space="preserve">While overall, </w:t>
      </w:r>
      <w:r w:rsidR="00090542">
        <w:t>national counterparts and other program</w:t>
      </w:r>
      <w:r>
        <w:t xml:space="preserve"> stakeholders </w:t>
      </w:r>
      <w:r w:rsidR="0083393A">
        <w:t>were</w:t>
      </w:r>
      <w:r w:rsidR="00EF7BDB">
        <w:t xml:space="preserve"> highly satisfied with the support provided, some </w:t>
      </w:r>
      <w:r w:rsidR="00090542">
        <w:t xml:space="preserve">issues were </w:t>
      </w:r>
      <w:r w:rsidR="00312B0D">
        <w:t>highlighted during consultations</w:t>
      </w:r>
      <w:r w:rsidR="0083393A">
        <w:t xml:space="preserve"> for this evaluation</w:t>
      </w:r>
      <w:r w:rsidR="00090542">
        <w:t xml:space="preserve">. Some respondents reported an overweighting of </w:t>
      </w:r>
      <w:r w:rsidR="00A71EAA" w:rsidRPr="00AC794F">
        <w:t xml:space="preserve">Project Development and </w:t>
      </w:r>
      <w:r w:rsidR="00A71EAA">
        <w:t xml:space="preserve">Monitoring </w:t>
      </w:r>
      <w:r w:rsidR="00A71EAA" w:rsidRPr="00AC794F">
        <w:t xml:space="preserve">Facility </w:t>
      </w:r>
      <w:r w:rsidR="00A71EAA">
        <w:t>(</w:t>
      </w:r>
      <w:r w:rsidR="00090542">
        <w:t>PDMF</w:t>
      </w:r>
      <w:r w:rsidR="00A71EAA">
        <w:t>)</w:t>
      </w:r>
      <w:r w:rsidR="00090542">
        <w:t xml:space="preserve"> panels towards international consultants, with some firms </w:t>
      </w:r>
      <w:r w:rsidR="00312B0D">
        <w:t xml:space="preserve">not perceived as </w:t>
      </w:r>
      <w:r w:rsidR="00090542">
        <w:t xml:space="preserve">having sufficient appreciation of the local </w:t>
      </w:r>
      <w:r w:rsidR="00312B0D">
        <w:t>and</w:t>
      </w:r>
      <w:r w:rsidR="00090542">
        <w:t xml:space="preserve"> national context</w:t>
      </w:r>
      <w:r w:rsidR="00312B0D">
        <w:t>s</w:t>
      </w:r>
      <w:r w:rsidR="00090542">
        <w:t xml:space="preserve"> and institutional dynamics and arrangements, </w:t>
      </w:r>
      <w:r w:rsidR="00CB6477">
        <w:t>resulting in a lack of</w:t>
      </w:r>
      <w:r w:rsidR="00090542">
        <w:t xml:space="preserve"> contextually </w:t>
      </w:r>
      <w:r w:rsidR="00090542" w:rsidRPr="004F540B">
        <w:t>applicable solutions</w:t>
      </w:r>
      <w:r w:rsidR="008C0450">
        <w:rPr>
          <w:rStyle w:val="FootnoteReference"/>
        </w:rPr>
        <w:footnoteReference w:id="22"/>
      </w:r>
      <w:r w:rsidR="00090542">
        <w:t xml:space="preserve">. The </w:t>
      </w:r>
      <w:r w:rsidR="00312B0D">
        <w:t>TA</w:t>
      </w:r>
      <w:r w:rsidR="00090542">
        <w:t xml:space="preserve"> sought to</w:t>
      </w:r>
      <w:r w:rsidR="00FD7B1C">
        <w:t xml:space="preserve"> address this issue</w:t>
      </w:r>
      <w:r w:rsidR="0083393A">
        <w:t>,</w:t>
      </w:r>
      <w:r w:rsidR="00FD7B1C">
        <w:t xml:space="preserve"> </w:t>
      </w:r>
      <w:r w:rsidR="00871B63">
        <w:t>to some extent</w:t>
      </w:r>
      <w:r w:rsidR="0083393A">
        <w:t>,</w:t>
      </w:r>
      <w:r w:rsidR="00871B63">
        <w:t xml:space="preserve"> </w:t>
      </w:r>
      <w:r w:rsidR="00FD7B1C">
        <w:t>by</w:t>
      </w:r>
      <w:r w:rsidR="00090542">
        <w:t xml:space="preserve"> increas</w:t>
      </w:r>
      <w:r w:rsidR="00FD7B1C">
        <w:t>ing</w:t>
      </w:r>
      <w:r w:rsidR="00090542">
        <w:t xml:space="preserve"> the number of local consultants</w:t>
      </w:r>
      <w:r w:rsidR="00871B63">
        <w:t xml:space="preserve"> on the panels. </w:t>
      </w:r>
      <w:r w:rsidR="00CB6477">
        <w:t xml:space="preserve">It should also be noted that </w:t>
      </w:r>
      <w:r w:rsidR="00FD7B1C">
        <w:t xml:space="preserve">the </w:t>
      </w:r>
      <w:r w:rsidR="00CB6477" w:rsidRPr="00E14C20">
        <w:t>expos</w:t>
      </w:r>
      <w:r w:rsidR="00871B63">
        <w:t>ur</w:t>
      </w:r>
      <w:r w:rsidR="00CB6477" w:rsidRPr="00E14C20">
        <w:t>e to international best practices in PPP</w:t>
      </w:r>
      <w:r w:rsidR="00FD7B1C" w:rsidRPr="00E14C20">
        <w:t>s</w:t>
      </w:r>
      <w:r w:rsidR="00CB6477" w:rsidRPr="00E14C20">
        <w:t xml:space="preserve"> </w:t>
      </w:r>
      <w:r w:rsidR="00FD7B1C" w:rsidRPr="00E14C20">
        <w:t xml:space="preserve">facilitated by the TA </w:t>
      </w:r>
      <w:r w:rsidR="00CB6477" w:rsidRPr="00E14C20">
        <w:t>was commonly cited as on</w:t>
      </w:r>
      <w:r w:rsidR="00FD7B1C" w:rsidRPr="00E14C20">
        <w:t>e</w:t>
      </w:r>
      <w:r w:rsidR="00CB6477" w:rsidRPr="00E14C20">
        <w:t xml:space="preserve"> of the </w:t>
      </w:r>
      <w:r w:rsidR="0085053D">
        <w:t>most significant</w:t>
      </w:r>
      <w:r w:rsidR="00CB6477" w:rsidRPr="00E14C20">
        <w:t xml:space="preserve"> benefit</w:t>
      </w:r>
      <w:r w:rsidR="00CB6477">
        <w:t xml:space="preserve">s of the TA. </w:t>
      </w:r>
    </w:p>
    <w:bookmarkEnd w:id="67"/>
    <w:p w14:paraId="33984FAB" w14:textId="2775E7A7" w:rsidR="00E14C20" w:rsidRDefault="00683EE7" w:rsidP="00021D43">
      <w:pPr>
        <w:spacing w:line="240" w:lineRule="auto"/>
      </w:pPr>
      <w:r>
        <w:t xml:space="preserve">DFAT </w:t>
      </w:r>
      <w:r w:rsidR="0083393A">
        <w:t>was</w:t>
      </w:r>
      <w:r>
        <w:t xml:space="preserve"> responsive and flexible in its approach to budget allocation and re-allocation when changes </w:t>
      </w:r>
      <w:r w:rsidR="0083393A">
        <w:t>were</w:t>
      </w:r>
      <w:r>
        <w:t xml:space="preserve"> required. Its contribution for equipment and IT procurement </w:t>
      </w:r>
      <w:r w:rsidR="0083393A">
        <w:t>was</w:t>
      </w:r>
      <w:r>
        <w:t xml:space="preserve"> critical as ADB’s systems d</w:t>
      </w:r>
      <w:r w:rsidR="0083393A">
        <w:t>id</w:t>
      </w:r>
      <w:r>
        <w:t xml:space="preserve"> not easily support spending in these areas. DFAT’s support in these areas contribute</w:t>
      </w:r>
      <w:r w:rsidR="000876A8">
        <w:t>d</w:t>
      </w:r>
      <w:r>
        <w:t xml:space="preserve"> to efficiencies, particularly in the </w:t>
      </w:r>
      <w:r w:rsidRPr="00FC3ADC">
        <w:t>context of</w:t>
      </w:r>
      <w:r w:rsidR="0083393A">
        <w:t xml:space="preserve"> the </w:t>
      </w:r>
      <w:r w:rsidR="008B3D74">
        <w:t>e</w:t>
      </w:r>
      <w:r w:rsidR="0083393A">
        <w:t>mergence of the</w:t>
      </w:r>
      <w:r w:rsidRPr="00FC3ADC">
        <w:t xml:space="preserve"> </w:t>
      </w:r>
      <w:r w:rsidR="000321CA">
        <w:t>COVID</w:t>
      </w:r>
      <w:r w:rsidR="00FC3ADC" w:rsidRPr="00FC3ADC">
        <w:t>-19</w:t>
      </w:r>
      <w:r w:rsidR="0083393A">
        <w:t xml:space="preserve"> pandemic</w:t>
      </w:r>
      <w:r w:rsidRPr="00FC3ADC">
        <w:t xml:space="preserve"> </w:t>
      </w:r>
      <w:r w:rsidR="0083393A">
        <w:t xml:space="preserve">in 2020, </w:t>
      </w:r>
      <w:r w:rsidRPr="00FC3ADC">
        <w:t xml:space="preserve">as the PPP Program pivoted to carrying out capacity building, including of local clients, through online and e-learning platforms. DFAT funding also enabled the </w:t>
      </w:r>
      <w:r w:rsidR="007C4A62" w:rsidRPr="00FC3ADC">
        <w:t xml:space="preserve">PPP </w:t>
      </w:r>
      <w:r w:rsidR="002D4DA0" w:rsidRPr="00FC3ADC">
        <w:t>Center</w:t>
      </w:r>
      <w:r w:rsidRPr="00FC3ADC">
        <w:t xml:space="preserve"> to set up </w:t>
      </w:r>
      <w:r w:rsidR="00650416">
        <w:t>online platforms</w:t>
      </w:r>
      <w:r w:rsidRPr="00FC3ADC">
        <w:t xml:space="preserve"> which has supported coordination between national and local partners. For </w:t>
      </w:r>
      <w:r w:rsidR="007363E5" w:rsidRPr="00FC3ADC">
        <w:t xml:space="preserve">example, </w:t>
      </w:r>
      <w:r w:rsidR="007363E5">
        <w:t>domestic</w:t>
      </w:r>
      <w:r w:rsidR="0083393A">
        <w:t xml:space="preserve"> and international </w:t>
      </w:r>
      <w:r w:rsidR="000321CA">
        <w:t>COVID</w:t>
      </w:r>
      <w:r w:rsidR="00FC3ADC" w:rsidRPr="00FC3ADC">
        <w:t>-19</w:t>
      </w:r>
      <w:r w:rsidRPr="00FC3ADC">
        <w:t xml:space="preserve"> </w:t>
      </w:r>
      <w:r w:rsidR="0083393A">
        <w:t xml:space="preserve">travel </w:t>
      </w:r>
      <w:r w:rsidRPr="00FC3ADC">
        <w:t>restrictions</w:t>
      </w:r>
      <w:r w:rsidR="0083393A">
        <w:t xml:space="preserve"> in the Philippines</w:t>
      </w:r>
      <w:r>
        <w:t xml:space="preserve"> made it difficult for consultants to obtain data for feasibility studies, with local partners taking on some activities in this area</w:t>
      </w:r>
      <w:r w:rsidR="0009790D">
        <w:t>, guided by national and international agencies</w:t>
      </w:r>
      <w:r>
        <w:t>. Online platforms enabled regular meetings to support this process, and</w:t>
      </w:r>
      <w:r w:rsidR="00DC4F52">
        <w:t xml:space="preserve"> reduce</w:t>
      </w:r>
      <w:r w:rsidR="0009790D">
        <w:t>d</w:t>
      </w:r>
      <w:r w:rsidR="00DC4F52">
        <w:t xml:space="preserve"> delays in developing and progressing </w:t>
      </w:r>
      <w:r>
        <w:t>PPP projects</w:t>
      </w:r>
      <w:r w:rsidR="00DC4F52">
        <w:t xml:space="preserve">. </w:t>
      </w:r>
    </w:p>
    <w:p w14:paraId="0E2BC970" w14:textId="585378B3" w:rsidR="00832D0D" w:rsidRDefault="00A47199" w:rsidP="00021D43">
      <w:pPr>
        <w:spacing w:line="240" w:lineRule="auto"/>
      </w:pPr>
      <w:r w:rsidRPr="00BB1099">
        <w:t xml:space="preserve">The TA was fit for purpose at the time of </w:t>
      </w:r>
      <w:r w:rsidR="0083393A">
        <w:t xml:space="preserve">its </w:t>
      </w:r>
      <w:r w:rsidRPr="00BB1099">
        <w:t>design</w:t>
      </w:r>
      <w:r w:rsidR="0083393A">
        <w:t xml:space="preserve"> </w:t>
      </w:r>
      <w:r w:rsidR="007363E5">
        <w:t>in 2010</w:t>
      </w:r>
      <w:r w:rsidRPr="00BB1099">
        <w:t>, drawing on the strengths of the ADB and donors, and well positioned to the poli</w:t>
      </w:r>
      <w:r w:rsidR="00EB2244">
        <w:t>tical</w:t>
      </w:r>
      <w:r w:rsidRPr="00BB1099">
        <w:t xml:space="preserve"> economy context. The design however did not have a</w:t>
      </w:r>
      <w:r w:rsidR="007176A5">
        <w:t xml:space="preserve"> formally</w:t>
      </w:r>
      <w:r w:rsidRPr="00BB1099">
        <w:t xml:space="preserve"> articulated partnership approach which documented the roles and expectations of both DFAT and ADB in terms </w:t>
      </w:r>
      <w:r w:rsidR="002233D9">
        <w:t xml:space="preserve">of </w:t>
      </w:r>
      <w:r w:rsidRPr="00BB1099">
        <w:t>partnership and program engagement. Over the course of the ten</w:t>
      </w:r>
      <w:r w:rsidR="002233D9">
        <w:t xml:space="preserve">-year </w:t>
      </w:r>
      <w:r w:rsidRPr="00BB1099">
        <w:t xml:space="preserve">period, there </w:t>
      </w:r>
      <w:r w:rsidR="0083393A">
        <w:t>was</w:t>
      </w:r>
      <w:r w:rsidRPr="00BB1099">
        <w:t xml:space="preserve"> a turnover of program staff within both DFAT and ADB, resulting in ad hoc and diminished level</w:t>
      </w:r>
      <w:r w:rsidR="0006544B">
        <w:t>s</w:t>
      </w:r>
      <w:r w:rsidRPr="00BB1099">
        <w:t xml:space="preserve"> of engagement in some instances. For example, while AD</w:t>
      </w:r>
      <w:r w:rsidR="002A33FC">
        <w:t>B</w:t>
      </w:r>
      <w:r w:rsidRPr="00BB1099">
        <w:t xml:space="preserve"> and DFAT carried out joint review missions in 2012, 2013 and 2014, this practice appears to have been discontinued.</w:t>
      </w:r>
      <w:r w:rsidR="007176A5">
        <w:t xml:space="preserve"> </w:t>
      </w:r>
      <w:r w:rsidR="001A3240">
        <w:t>Furthermore, while several partnership meetings were agreed, these were not outlined in the</w:t>
      </w:r>
      <w:r w:rsidR="00683760">
        <w:t xml:space="preserve"> c</w:t>
      </w:r>
      <w:r w:rsidR="001A3240">
        <w:t>o-</w:t>
      </w:r>
      <w:r w:rsidR="00683760">
        <w:t>f</w:t>
      </w:r>
      <w:r w:rsidR="001A3240">
        <w:t xml:space="preserve">inancing </w:t>
      </w:r>
      <w:r w:rsidR="00C10629">
        <w:t>a</w:t>
      </w:r>
      <w:r w:rsidR="001A3240">
        <w:t xml:space="preserve">rrangement, and the ADB has not ensured these meetings have been systematically convened. For example, in 2017 an agreement to conduct tripartite meetings between the ADB, the PPP Center and DFAT was reached. However, </w:t>
      </w:r>
      <w:r w:rsidR="00614928">
        <w:t xml:space="preserve">tripartite </w:t>
      </w:r>
      <w:r w:rsidR="001A3240">
        <w:t xml:space="preserve">meetings </w:t>
      </w:r>
      <w:r w:rsidR="0083393A">
        <w:t xml:space="preserve">were </w:t>
      </w:r>
      <w:r w:rsidR="001A3240">
        <w:t xml:space="preserve">not conducted regularly, but </w:t>
      </w:r>
      <w:r w:rsidR="0083393A">
        <w:t>were</w:t>
      </w:r>
      <w:r w:rsidR="001A3240">
        <w:t xml:space="preserve"> arranged in response to requests and needs, rather than serving as purposeful oversight and governance mechanism</w:t>
      </w:r>
      <w:r w:rsidR="00603D7B">
        <w:t>, diminishing efficiency to some extent</w:t>
      </w:r>
      <w:r w:rsidR="001C38CD">
        <w:rPr>
          <w:rStyle w:val="FootnoteReference"/>
        </w:rPr>
        <w:footnoteReference w:id="23"/>
      </w:r>
      <w:r w:rsidR="001C38CD">
        <w:t>.</w:t>
      </w:r>
    </w:p>
    <w:p w14:paraId="0FBAB6C2" w14:textId="3FD7101D" w:rsidR="00603D7B" w:rsidRDefault="001A3240" w:rsidP="00603D7B">
      <w:pPr>
        <w:spacing w:line="240" w:lineRule="auto"/>
      </w:pPr>
      <w:r>
        <w:t xml:space="preserve">Despite being the administrator of the funds, the ADB also </w:t>
      </w:r>
      <w:r w:rsidR="00E649FC">
        <w:t>did</w:t>
      </w:r>
      <w:r>
        <w:t xml:space="preserve"> not drive the convening of joint donor meetings on </w:t>
      </w:r>
      <w:r w:rsidRPr="00FC3ADC">
        <w:t>a systematic basis</w:t>
      </w:r>
      <w:r w:rsidRPr="00FC3ADC">
        <w:rPr>
          <w:rStyle w:val="FootnoteReference"/>
        </w:rPr>
        <w:footnoteReference w:id="24"/>
      </w:r>
      <w:r w:rsidRPr="00FC3ADC">
        <w:t xml:space="preserve">. </w:t>
      </w:r>
      <w:r w:rsidR="001E2AD4" w:rsidRPr="00FC3ADC">
        <w:t>While the TA’s progress was reported to the government (PPP Center, NEDA</w:t>
      </w:r>
      <w:r w:rsidR="00832D0D" w:rsidRPr="00FC3ADC">
        <w:t xml:space="preserve"> and </w:t>
      </w:r>
      <w:r w:rsidR="001E2AD4" w:rsidRPr="00FC3ADC">
        <w:t>DOF) and ADB via the Technical Advisor’s quarterly progress reports, t</w:t>
      </w:r>
      <w:r w:rsidR="00286902" w:rsidRPr="00FC3ADC">
        <w:t xml:space="preserve">he TA </w:t>
      </w:r>
      <w:r w:rsidR="00E649FC">
        <w:t>was</w:t>
      </w:r>
      <w:r w:rsidR="00286902" w:rsidRPr="00FC3ADC">
        <w:t xml:space="preserve"> not supported by a joint Government</w:t>
      </w:r>
      <w:r w:rsidR="00286902" w:rsidRPr="00286902">
        <w:t xml:space="preserve"> of Philippines, ADB and donor governance mechanism, which </w:t>
      </w:r>
      <w:r w:rsidR="00E649FC">
        <w:t>could have brought</w:t>
      </w:r>
      <w:r w:rsidR="00E649FC" w:rsidRPr="00286902">
        <w:t xml:space="preserve"> donors</w:t>
      </w:r>
      <w:r w:rsidR="00286902" w:rsidRPr="00286902">
        <w:t xml:space="preserve"> and implementing partners together to discuss progress and issues arising from monitoring and reporting.</w:t>
      </w:r>
      <w:r w:rsidR="00286902">
        <w:t xml:space="preserve"> </w:t>
      </w:r>
      <w:r w:rsidR="00A47F3C">
        <w:t>Such a mechanism</w:t>
      </w:r>
      <w:r w:rsidR="00A47F3C" w:rsidRPr="00A47F3C">
        <w:t xml:space="preserve"> could have helped</w:t>
      </w:r>
      <w:r w:rsidR="00A47F3C">
        <w:t xml:space="preserve"> to</w:t>
      </w:r>
      <w:r w:rsidR="00A47F3C" w:rsidRPr="00A47F3C">
        <w:t xml:space="preserve"> address challenges </w:t>
      </w:r>
      <w:r w:rsidR="00A47F3C" w:rsidRPr="00A47F3C">
        <w:lastRenderedPageBreak/>
        <w:t>relating to political and policy matters</w:t>
      </w:r>
      <w:r w:rsidR="00A47F3C">
        <w:t xml:space="preserve">, and </w:t>
      </w:r>
      <w:r w:rsidR="00A47F3C" w:rsidRPr="00A47F3C">
        <w:t>the low utili</w:t>
      </w:r>
      <w:r w:rsidR="00A47F3C">
        <w:t>s</w:t>
      </w:r>
      <w:r w:rsidR="00A47F3C" w:rsidRPr="00A47F3C">
        <w:t>ation of DFAT contribution to PDMF</w:t>
      </w:r>
      <w:r w:rsidR="00A47F3C">
        <w:rPr>
          <w:rStyle w:val="FootnoteReference"/>
        </w:rPr>
        <w:footnoteReference w:id="25"/>
      </w:r>
      <w:r w:rsidR="00A47F3C" w:rsidRPr="00A47F3C">
        <w:t>.</w:t>
      </w:r>
      <w:r w:rsidR="00674256">
        <w:t xml:space="preserve"> As part of evaluation consultations, NEDA also noted that such a mechanism would be desirable and support monitoring, review of targets</w:t>
      </w:r>
      <w:r w:rsidR="00832D0D">
        <w:t xml:space="preserve"> </w:t>
      </w:r>
      <w:r w:rsidR="00674256">
        <w:t>an</w:t>
      </w:r>
      <w:r w:rsidR="00832D0D">
        <w:t>d</w:t>
      </w:r>
      <w:r w:rsidR="00674256">
        <w:t xml:space="preserve"> sharing of results from reports. </w:t>
      </w:r>
      <w:r w:rsidR="00A47199" w:rsidRPr="00BB1099">
        <w:t xml:space="preserve">The lack </w:t>
      </w:r>
      <w:r w:rsidR="00603D7B">
        <w:t xml:space="preserve">of a </w:t>
      </w:r>
      <w:r w:rsidR="00240083">
        <w:t>formal</w:t>
      </w:r>
      <w:r w:rsidR="00286902">
        <w:t xml:space="preserve"> </w:t>
      </w:r>
      <w:r w:rsidR="007A253D">
        <w:t xml:space="preserve">joint governance </w:t>
      </w:r>
      <w:r w:rsidR="00240083">
        <w:t>mechanism</w:t>
      </w:r>
      <w:r w:rsidR="00E649FC">
        <w:t>s</w:t>
      </w:r>
      <w:r w:rsidR="00240083">
        <w:t xml:space="preserve"> </w:t>
      </w:r>
      <w:r w:rsidR="005D0DB3">
        <w:t>for</w:t>
      </w:r>
      <w:r w:rsidR="007A253D">
        <w:t xml:space="preserve"> DFAT and other key stakeholders</w:t>
      </w:r>
      <w:r w:rsidR="00240083">
        <w:t xml:space="preserve"> </w:t>
      </w:r>
      <w:r w:rsidR="00A47199" w:rsidRPr="00BB1099">
        <w:t>to discuss and elevate issues</w:t>
      </w:r>
      <w:r w:rsidR="00240083">
        <w:t>,</w:t>
      </w:r>
      <w:r w:rsidR="00A47199" w:rsidRPr="00BB1099">
        <w:t xml:space="preserve"> </w:t>
      </w:r>
      <w:r w:rsidR="009A60D5">
        <w:t xml:space="preserve">potentially </w:t>
      </w:r>
      <w:r w:rsidR="00603D7B">
        <w:t>hindered the TA’s ability to</w:t>
      </w:r>
      <w:r w:rsidR="005D0DB3">
        <w:t xml:space="preserve"> optimally</w:t>
      </w:r>
      <w:r w:rsidR="00603D7B">
        <w:t xml:space="preserve"> identify and mitigate risks and issues, and </w:t>
      </w:r>
      <w:r w:rsidR="00E649FC">
        <w:t xml:space="preserve">as a result, </w:t>
      </w:r>
      <w:r w:rsidR="00603D7B">
        <w:t>diminishe</w:t>
      </w:r>
      <w:r w:rsidR="009A60D5">
        <w:t>d</w:t>
      </w:r>
      <w:r w:rsidR="00603D7B">
        <w:t xml:space="preserve"> overall efficiency.</w:t>
      </w:r>
    </w:p>
    <w:p w14:paraId="5169A0FC" w14:textId="7BD6BBD0" w:rsidR="00E649FC" w:rsidRDefault="00BF285F" w:rsidP="00FC3ADC">
      <w:pPr>
        <w:spacing w:line="240" w:lineRule="auto"/>
      </w:pPr>
      <w:r w:rsidRPr="000E06C0">
        <w:t xml:space="preserve">The </w:t>
      </w:r>
      <w:r w:rsidR="005D0DB3">
        <w:t>TA</w:t>
      </w:r>
      <w:r w:rsidRPr="000E06C0">
        <w:t xml:space="preserve"> saw efficient use of </w:t>
      </w:r>
      <w:r w:rsidRPr="00832D0D">
        <w:t xml:space="preserve">resources in the first half of the </w:t>
      </w:r>
      <w:r w:rsidR="00E649FC">
        <w:t>P</w:t>
      </w:r>
      <w:r w:rsidRPr="00832D0D">
        <w:t xml:space="preserve">rogram period. However, </w:t>
      </w:r>
      <w:r w:rsidRPr="00603D7B">
        <w:t>2016-2021 saw several del</w:t>
      </w:r>
      <w:r w:rsidRPr="009A60D5">
        <w:t xml:space="preserve">ays in </w:t>
      </w:r>
      <w:r w:rsidRPr="00A145E7">
        <w:t xml:space="preserve">expenditure, and Australian </w:t>
      </w:r>
      <w:r w:rsidRPr="005D0DB3">
        <w:t>funds w</w:t>
      </w:r>
      <w:r w:rsidR="0006544B">
        <w:t>ere</w:t>
      </w:r>
      <w:r w:rsidRPr="005D0DB3">
        <w:t xml:space="preserve"> </w:t>
      </w:r>
      <w:r w:rsidR="00A145E7">
        <w:t>unspent</w:t>
      </w:r>
      <w:r w:rsidRPr="00A145E7">
        <w:t xml:space="preserve"> for large portions of this period.</w:t>
      </w:r>
      <w:r w:rsidRPr="005D0DB3">
        <w:t xml:space="preserve"> This was largely due to challenges resulting from a change of administration and government staff turnover that were beyond the program’s scope of control</w:t>
      </w:r>
      <w:r w:rsidR="004E1461" w:rsidRPr="005D0DB3">
        <w:t xml:space="preserve">. This is </w:t>
      </w:r>
      <w:r w:rsidR="005D0DB3">
        <w:t xml:space="preserve">to be considered </w:t>
      </w:r>
      <w:r w:rsidR="004E1461" w:rsidRPr="005D0DB3">
        <w:t>part and parcel of working with and through government systems</w:t>
      </w:r>
      <w:r w:rsidR="005D0DB3">
        <w:t xml:space="preserve"> and an </w:t>
      </w:r>
      <w:r w:rsidR="0006544B">
        <w:t>un</w:t>
      </w:r>
      <w:r w:rsidR="005D0DB3">
        <w:t>avoidable consequence given the extremely high level</w:t>
      </w:r>
      <w:r w:rsidR="004E1461" w:rsidRPr="005D0DB3">
        <w:t xml:space="preserve"> of change and upheaval</w:t>
      </w:r>
      <w:r w:rsidR="005D0DB3">
        <w:t xml:space="preserve"> taking place at the time of transition</w:t>
      </w:r>
      <w:r w:rsidR="004E1461" w:rsidRPr="005D0DB3">
        <w:t xml:space="preserve">. </w:t>
      </w:r>
      <w:r w:rsidRPr="005D0DB3">
        <w:t>For example, with regards to the PDMF component, a range of large-scale PPPs were cancelled due to their association with the previous administration</w:t>
      </w:r>
      <w:r w:rsidRPr="00FC3ADC">
        <w:t xml:space="preserve">. </w:t>
      </w:r>
      <w:r w:rsidRPr="00203EED">
        <w:t>Executives from line agencies</w:t>
      </w:r>
      <w:r w:rsidR="00AD3A20">
        <w:t xml:space="preserve"> </w:t>
      </w:r>
      <w:r w:rsidR="004E1461" w:rsidRPr="005D0DB3">
        <w:t xml:space="preserve">required to sign off on milestones before PDMF funds </w:t>
      </w:r>
      <w:r w:rsidR="00E649FC">
        <w:t>were</w:t>
      </w:r>
      <w:r w:rsidR="004E1461" w:rsidRPr="005D0DB3">
        <w:t xml:space="preserve"> able to be expended, </w:t>
      </w:r>
      <w:r w:rsidRPr="00AD3A20">
        <w:t xml:space="preserve">delayed the sign off on payments due to uncertainty on the new administration’s perception of PPPs, creating stagnation as funds did not move. </w:t>
      </w:r>
    </w:p>
    <w:p w14:paraId="3EDAA056" w14:textId="12B059E8" w:rsidR="0019676A" w:rsidRPr="00FC3ADC" w:rsidRDefault="00BF285F" w:rsidP="00FC3ADC">
      <w:pPr>
        <w:spacing w:line="240" w:lineRule="auto"/>
      </w:pPr>
      <w:r w:rsidRPr="001E2FA8">
        <w:t xml:space="preserve">Delays in this area had flow on effects as the PPP Center </w:t>
      </w:r>
      <w:r w:rsidR="00AD3A20">
        <w:t>was</w:t>
      </w:r>
      <w:r w:rsidRPr="00AD3A20">
        <w:t xml:space="preserve"> not able to push </w:t>
      </w:r>
      <w:r w:rsidR="0006544B">
        <w:t>l</w:t>
      </w:r>
      <w:r w:rsidRPr="00AD3A20">
        <w:t xml:space="preserve">ine </w:t>
      </w:r>
      <w:r w:rsidR="0006544B">
        <w:t>a</w:t>
      </w:r>
      <w:r w:rsidRPr="00AD3A20">
        <w:t>gencies to spend funds and move projects to the next level, or to reallocate funding for other project</w:t>
      </w:r>
      <w:r w:rsidR="00AD3A20">
        <w:t>s</w:t>
      </w:r>
      <w:r w:rsidR="00E649FC">
        <w:t>,</w:t>
      </w:r>
      <w:r w:rsidRPr="00AD3A20">
        <w:t xml:space="preserve"> despite knowing</w:t>
      </w:r>
      <w:r w:rsidRPr="001E2FA8">
        <w:t xml:space="preserve"> that some projects would not proceed. Thus, while in theory funds could have been spent faster,</w:t>
      </w:r>
      <w:r w:rsidR="00AD3A20">
        <w:t xml:space="preserve"> in practice</w:t>
      </w:r>
      <w:r w:rsidRPr="00AD3A20">
        <w:t xml:space="preserve"> the PPP Cent</w:t>
      </w:r>
      <w:r w:rsidR="00A92122">
        <w:t>er</w:t>
      </w:r>
      <w:r w:rsidRPr="00AD3A20">
        <w:t xml:space="preserve"> could not move some projects forward due to factors outside its control. With regard to capacity building, the PPP Cent</w:t>
      </w:r>
      <w:r w:rsidR="00AD3A20">
        <w:t>er</w:t>
      </w:r>
      <w:r w:rsidRPr="00AD3A20">
        <w:t xml:space="preserve"> </w:t>
      </w:r>
      <w:r w:rsidR="00AD3A20">
        <w:t>experienced a significant</w:t>
      </w:r>
      <w:r w:rsidRPr="00AD3A20">
        <w:t xml:space="preserve"> loss of staff during 2016, losing 32 out of 100 staff through resignation and retirement. While the underspend issues related to capacity building were addressed in 2020, there were challenges in doing so earlier due to </w:t>
      </w:r>
      <w:r w:rsidR="000321CA">
        <w:t>COVID</w:t>
      </w:r>
      <w:r w:rsidRPr="00AD3A20">
        <w:t>-19</w:t>
      </w:r>
      <w:r w:rsidR="00E649FC">
        <w:t>,</w:t>
      </w:r>
      <w:r w:rsidRPr="00AD3A20">
        <w:t xml:space="preserve"> and the need to pivot to and set up online and hybrid capacity development platforms. Further amendments in 2020 appropriately reallocated funds to the capacity building component</w:t>
      </w:r>
      <w:r w:rsidR="00BD12A7">
        <w:t xml:space="preserve"> which</w:t>
      </w:r>
      <w:r w:rsidR="00440388">
        <w:t xml:space="preserve"> helped in lowering the amount of unexpended</w:t>
      </w:r>
      <w:r w:rsidRPr="001E2FA8">
        <w:t xml:space="preserve"> Australian funds upon the TA’s completion in 2021.</w:t>
      </w:r>
      <w:r w:rsidR="00AD3A20">
        <w:t xml:space="preserve"> DFAT and ABD managed these issues</w:t>
      </w:r>
      <w:r w:rsidR="001E2FA8">
        <w:t xml:space="preserve"> </w:t>
      </w:r>
      <w:r w:rsidR="00186CE7">
        <w:t>soundly</w:t>
      </w:r>
      <w:r w:rsidR="001E2FA8">
        <w:t>, and</w:t>
      </w:r>
      <w:r w:rsidR="00AD3A20">
        <w:t xml:space="preserve"> </w:t>
      </w:r>
      <w:r w:rsidR="001E2FA8">
        <w:t xml:space="preserve">to the extent possible </w:t>
      </w:r>
      <w:r w:rsidR="00E649FC">
        <w:t>considering</w:t>
      </w:r>
      <w:r w:rsidR="001E2FA8">
        <w:t xml:space="preserve"> </w:t>
      </w:r>
      <w:r w:rsidR="00AD3A20">
        <w:t>limitations</w:t>
      </w:r>
      <w:r w:rsidR="001E2FA8">
        <w:t xml:space="preserve"> in the operating environment.</w:t>
      </w:r>
      <w:r w:rsidR="000B35DD">
        <w:t xml:space="preserve"> </w:t>
      </w:r>
    </w:p>
    <w:p w14:paraId="1470FA8B" w14:textId="6551AEDD" w:rsidR="000149E7" w:rsidRDefault="00EE2896" w:rsidP="00021D43">
      <w:pPr>
        <w:spacing w:line="240" w:lineRule="auto"/>
      </w:pPr>
      <w:r>
        <w:t xml:space="preserve">The TA was designed prior to the integration of AusAID and </w:t>
      </w:r>
      <w:r w:rsidR="007363E5">
        <w:t>DFAT and</w:t>
      </w:r>
      <w:r>
        <w:t xml:space="preserve"> was envisaged in the</w:t>
      </w:r>
      <w:r w:rsidR="00561273">
        <w:t xml:space="preserve"> years of</w:t>
      </w:r>
      <w:r>
        <w:t xml:space="preserve"> </w:t>
      </w:r>
      <w:r w:rsidR="009411A9">
        <w:t xml:space="preserve">the </w:t>
      </w:r>
      <w:r>
        <w:t xml:space="preserve">scaling up </w:t>
      </w:r>
      <w:r w:rsidR="00F62068">
        <w:t>of</w:t>
      </w:r>
      <w:r w:rsidR="00561273">
        <w:t xml:space="preserve"> the </w:t>
      </w:r>
      <w:r w:rsidR="000876A8">
        <w:t xml:space="preserve">Australian </w:t>
      </w:r>
      <w:r w:rsidR="00561273">
        <w:t xml:space="preserve">aid program. The modality was selected in part due </w:t>
      </w:r>
      <w:r w:rsidR="00343951">
        <w:t xml:space="preserve">to </w:t>
      </w:r>
      <w:r w:rsidR="00561273">
        <w:t xml:space="preserve">its ability to program relatively large amounts of funding. </w:t>
      </w:r>
      <w:r w:rsidR="00EB2244">
        <w:t>W</w:t>
      </w:r>
      <w:r w:rsidR="00D43B37">
        <w:t xml:space="preserve">hile </w:t>
      </w:r>
      <w:r w:rsidR="00E93E6C">
        <w:t>playing a strong</w:t>
      </w:r>
      <w:r w:rsidR="00D43B37">
        <w:t xml:space="preserve"> role in the </w:t>
      </w:r>
      <w:r w:rsidR="00C10629">
        <w:t>set-up</w:t>
      </w:r>
      <w:r w:rsidR="00D43B37">
        <w:t xml:space="preserve"> of the </w:t>
      </w:r>
      <w:r w:rsidR="007A265C">
        <w:t>program</w:t>
      </w:r>
      <w:r w:rsidR="00D43B37">
        <w:t xml:space="preserve">, DFAT </w:t>
      </w:r>
      <w:r w:rsidR="00E649FC">
        <w:t xml:space="preserve">did </w:t>
      </w:r>
      <w:r w:rsidR="00D43B37">
        <w:t>not maintain the</w:t>
      </w:r>
      <w:r w:rsidR="000876A8">
        <w:t xml:space="preserve"> same</w:t>
      </w:r>
      <w:r w:rsidR="00D43B37">
        <w:t xml:space="preserve"> level of proactive engagement over the life of the </w:t>
      </w:r>
      <w:r w:rsidR="007A265C">
        <w:t>initiative</w:t>
      </w:r>
      <w:r w:rsidR="00D43B37">
        <w:t xml:space="preserve">, and </w:t>
      </w:r>
      <w:r w:rsidR="00E649FC">
        <w:t xml:space="preserve">did </w:t>
      </w:r>
      <w:r w:rsidR="00D43B37">
        <w:t>not ha</w:t>
      </w:r>
      <w:r w:rsidR="00E649FC">
        <w:t>ve</w:t>
      </w:r>
      <w:r w:rsidR="00D43B37">
        <w:t xml:space="preserve"> a joined-up </w:t>
      </w:r>
      <w:r w:rsidR="00D43B37" w:rsidRPr="00D43B37">
        <w:t xml:space="preserve">Australian </w:t>
      </w:r>
      <w:r w:rsidR="003A629F">
        <w:t>w</w:t>
      </w:r>
      <w:r w:rsidR="00D43B37" w:rsidRPr="00D43B37">
        <w:t>hole</w:t>
      </w:r>
      <w:r w:rsidR="00E649FC">
        <w:t>-</w:t>
      </w:r>
      <w:r w:rsidR="00D43B37" w:rsidRPr="00D43B37">
        <w:t>of</w:t>
      </w:r>
      <w:r w:rsidR="00E649FC">
        <w:t>-</w:t>
      </w:r>
      <w:r w:rsidR="00D43B37" w:rsidRPr="00D43B37">
        <w:t xml:space="preserve"> </w:t>
      </w:r>
      <w:r w:rsidR="003A629F">
        <w:t>g</w:t>
      </w:r>
      <w:r w:rsidR="00D43B37" w:rsidRPr="00D43B37">
        <w:t xml:space="preserve">overnment </w:t>
      </w:r>
      <w:r w:rsidR="00D43B37">
        <w:t xml:space="preserve">strategy or an integrated policy </w:t>
      </w:r>
      <w:r w:rsidR="007A265C">
        <w:t>agenda</w:t>
      </w:r>
      <w:r w:rsidR="00D43B37">
        <w:t>.</w:t>
      </w:r>
      <w:r w:rsidR="006B2903">
        <w:t xml:space="preserve"> Opportunities </w:t>
      </w:r>
      <w:r w:rsidR="00E649FC">
        <w:t xml:space="preserve">were </w:t>
      </w:r>
      <w:r w:rsidR="006B2903">
        <w:t>potentially missed to better leverage DFAT’s technical expertise in health and in social infrastructure projects.</w:t>
      </w:r>
      <w:r w:rsidR="00D43B37">
        <w:t xml:space="preserve"> </w:t>
      </w:r>
    </w:p>
    <w:p w14:paraId="7AF11D7F" w14:textId="61A8667F" w:rsidR="009D3A7E" w:rsidRDefault="00013206" w:rsidP="00021D43">
      <w:pPr>
        <w:spacing w:line="240" w:lineRule="auto"/>
      </w:pPr>
      <w:r>
        <w:t xml:space="preserve">In hindsight, and for </w:t>
      </w:r>
      <w:r w:rsidR="009D3A7E">
        <w:t>future</w:t>
      </w:r>
      <w:r>
        <w:t xml:space="preserve"> programs, there is opportunity for DFAT to clar</w:t>
      </w:r>
      <w:r w:rsidR="00E93E6C">
        <w:t xml:space="preserve">ify the type of partnership </w:t>
      </w:r>
      <w:r w:rsidR="009F1412">
        <w:t>it is seeking</w:t>
      </w:r>
      <w:r w:rsidR="00E93E6C">
        <w:t xml:space="preserve"> when working through multilateral institutions, </w:t>
      </w:r>
      <w:r w:rsidR="009F1412">
        <w:t>be it of</w:t>
      </w:r>
      <w:r w:rsidR="00E93E6C">
        <w:t xml:space="preserve"> close strategic and technical engagement, or a more hands-off </w:t>
      </w:r>
      <w:r w:rsidR="009F1412">
        <w:t>arrangement</w:t>
      </w:r>
      <w:r w:rsidR="007A265C">
        <w:t>,</w:t>
      </w:r>
      <w:r w:rsidR="00683760">
        <w:t xml:space="preserve"> and ensure this is reflected in a formal partnership agreement or co-financing arrangement</w:t>
      </w:r>
      <w:r w:rsidR="00E93E6C">
        <w:t xml:space="preserve">. </w:t>
      </w:r>
      <w:r w:rsidR="009D3A7E">
        <w:t>T</w:t>
      </w:r>
      <w:r w:rsidR="00E93E6C">
        <w:t xml:space="preserve">here are clear </w:t>
      </w:r>
      <w:r w:rsidR="009D3A7E">
        <w:t xml:space="preserve">benefits to enhanced DFAT engagement, which positions DFAT to access more up to date information, be more </w:t>
      </w:r>
      <w:r w:rsidR="00E93E6C" w:rsidRPr="00FC5412">
        <w:t xml:space="preserve">informed of </w:t>
      </w:r>
      <w:r w:rsidR="009D3A7E">
        <w:t xml:space="preserve">the </w:t>
      </w:r>
      <w:r w:rsidR="00E93E6C" w:rsidRPr="00FC5412">
        <w:t xml:space="preserve">different sectoral areas </w:t>
      </w:r>
      <w:r w:rsidR="009D3A7E">
        <w:t xml:space="preserve">DFAT has </w:t>
      </w:r>
      <w:r w:rsidR="00E93E6C" w:rsidRPr="00FC5412">
        <w:t xml:space="preserve">interest </w:t>
      </w:r>
      <w:r w:rsidR="009D3A7E">
        <w:t xml:space="preserve">in, increase its visibility to partner governments, and broaden its network and access to partners. However, an </w:t>
      </w:r>
      <w:r w:rsidR="00F62068" w:rsidRPr="007B7769">
        <w:t>enhanced</w:t>
      </w:r>
      <w:r w:rsidR="009D3A7E">
        <w:t xml:space="preserve"> approach would need to be m</w:t>
      </w:r>
      <w:r w:rsidR="00F62068" w:rsidRPr="007B7769">
        <w:t xml:space="preserve">andated </w:t>
      </w:r>
      <w:r w:rsidR="009D3A7E">
        <w:t xml:space="preserve">by senior levels </w:t>
      </w:r>
      <w:r w:rsidR="00F62068" w:rsidRPr="007B7769">
        <w:t>and</w:t>
      </w:r>
      <w:r w:rsidR="009D3A7E">
        <w:t xml:space="preserve"> more strongly</w:t>
      </w:r>
      <w:r w:rsidR="00F62068" w:rsidRPr="007B7769">
        <w:t xml:space="preserve"> resourced.</w:t>
      </w:r>
    </w:p>
    <w:p w14:paraId="748F6B22" w14:textId="63F331ED" w:rsidR="00E7001C" w:rsidRPr="00BB1099" w:rsidRDefault="006B2903" w:rsidP="00021D43">
      <w:pPr>
        <w:spacing w:line="240" w:lineRule="auto"/>
      </w:pPr>
      <w:r>
        <w:t xml:space="preserve">While overall, the </w:t>
      </w:r>
      <w:r w:rsidR="00455FC0">
        <w:t xml:space="preserve">ADB performed strongly and the </w:t>
      </w:r>
      <w:r>
        <w:t>modality of funding through a multilateral institution has been effective, some limitations exist</w:t>
      </w:r>
      <w:r w:rsidR="00683760">
        <w:t xml:space="preserve"> in </w:t>
      </w:r>
      <w:r w:rsidR="00332E75">
        <w:t xml:space="preserve">garnering </w:t>
      </w:r>
      <w:r w:rsidR="00683760">
        <w:t xml:space="preserve">DFAT participation in program </w:t>
      </w:r>
      <w:r w:rsidR="00683760">
        <w:lastRenderedPageBreak/>
        <w:t>governance an</w:t>
      </w:r>
      <w:r w:rsidR="00343951">
        <w:t>d</w:t>
      </w:r>
      <w:r w:rsidR="00683760">
        <w:t xml:space="preserve"> oversight (discussed above). </w:t>
      </w:r>
      <w:r>
        <w:t xml:space="preserve">While DFAT funding </w:t>
      </w:r>
      <w:r w:rsidR="000149E7">
        <w:t>saw</w:t>
      </w:r>
      <w:r>
        <w:t xml:space="preserve"> good visibility among directly funded partners such as NEDA, it </w:t>
      </w:r>
      <w:r w:rsidR="000149E7">
        <w:t xml:space="preserve">did </w:t>
      </w:r>
      <w:r>
        <w:t xml:space="preserve">not </w:t>
      </w:r>
      <w:r w:rsidR="007363E5">
        <w:t>achieve</w:t>
      </w:r>
      <w:r>
        <w:t xml:space="preserve"> high visibility across national government or downstream </w:t>
      </w:r>
      <w:r w:rsidRPr="00C10629">
        <w:t>partners.</w:t>
      </w:r>
      <w:r w:rsidR="00E7001C" w:rsidRPr="00C10629">
        <w:t xml:space="preserve"> Furthermore, ADB’s</w:t>
      </w:r>
      <w:r w:rsidR="00683760" w:rsidRPr="00C10629">
        <w:t xml:space="preserve"> Monitoring and Evaluation (M&amp;E)</w:t>
      </w:r>
      <w:r w:rsidR="00E7001C" w:rsidRPr="00C10629">
        <w:t xml:space="preserve">, reporting and management systems </w:t>
      </w:r>
      <w:r w:rsidR="000149E7">
        <w:t>did</w:t>
      </w:r>
      <w:r w:rsidR="000149E7" w:rsidRPr="00C10629">
        <w:t xml:space="preserve"> </w:t>
      </w:r>
      <w:r w:rsidR="00E7001C" w:rsidRPr="00C10629">
        <w:t>not support adaptive management and program evolution</w:t>
      </w:r>
      <w:r w:rsidR="000149E7">
        <w:t xml:space="preserve"> well</w:t>
      </w:r>
      <w:r w:rsidR="00E7001C" w:rsidRPr="00C10629">
        <w:t>, somewhat diminishing relevance and effectiveness as outlined in Sections 3.5 and 3.6. This also created</w:t>
      </w:r>
      <w:r w:rsidR="00286902" w:rsidRPr="00C10629">
        <w:t xml:space="preserve"> challenges</w:t>
      </w:r>
      <w:r w:rsidR="00E7001C" w:rsidRPr="00C10629">
        <w:t xml:space="preserve"> for DFAT</w:t>
      </w:r>
      <w:r w:rsidR="00E7001C">
        <w:t xml:space="preserve"> in meeting internal reporting requirements. </w:t>
      </w:r>
      <w:r w:rsidR="00365B3B">
        <w:t xml:space="preserve">There was opportunity for ADB to </w:t>
      </w:r>
      <w:r w:rsidR="000149E7">
        <w:t>draw on its own internal expertise and resources more strongly. For example, the ADB could have</w:t>
      </w:r>
      <w:r w:rsidR="00E7001C">
        <w:t xml:space="preserve"> leverag</w:t>
      </w:r>
      <w:r w:rsidR="000149E7">
        <w:t>ed</w:t>
      </w:r>
      <w:r w:rsidR="00E7001C">
        <w:t xml:space="preserve"> and align</w:t>
      </w:r>
      <w:r w:rsidR="000149E7">
        <w:t>ed</w:t>
      </w:r>
      <w:r w:rsidR="00E7001C">
        <w:t xml:space="preserve"> with other units</w:t>
      </w:r>
      <w:r w:rsidR="000149E7">
        <w:t>,</w:t>
      </w:r>
      <w:r w:rsidR="00E7001C">
        <w:t xml:space="preserve"> such </w:t>
      </w:r>
      <w:r w:rsidR="000101AA">
        <w:t>as the</w:t>
      </w:r>
      <w:r w:rsidR="00E7001C">
        <w:t xml:space="preserve"> </w:t>
      </w:r>
      <w:r w:rsidRPr="00C03E1A">
        <w:t xml:space="preserve">renewable energy division, and </w:t>
      </w:r>
      <w:r w:rsidR="00C03E1A" w:rsidRPr="00C03E1A">
        <w:t>Office of Public–Private Partnership</w:t>
      </w:r>
      <w:r w:rsidR="00C03E1A">
        <w:t xml:space="preserve"> </w:t>
      </w:r>
      <w:r w:rsidR="00E7001C" w:rsidRPr="00C03E1A">
        <w:t xml:space="preserve">which </w:t>
      </w:r>
      <w:r w:rsidRPr="00C03E1A">
        <w:t>provides transaction advi</w:t>
      </w:r>
      <w:r w:rsidR="00C03E1A" w:rsidRPr="00C03E1A">
        <w:t>c</w:t>
      </w:r>
      <w:r w:rsidRPr="00C03E1A">
        <w:t xml:space="preserve">e to </w:t>
      </w:r>
      <w:r w:rsidR="00C03E1A" w:rsidRPr="00C03E1A">
        <w:t xml:space="preserve">PPP </w:t>
      </w:r>
      <w:r w:rsidRPr="00C03E1A">
        <w:t xml:space="preserve">projects </w:t>
      </w:r>
      <w:r w:rsidR="00C03E1A" w:rsidRPr="00C03E1A">
        <w:t>in the Philippines</w:t>
      </w:r>
      <w:r w:rsidR="00C03E1A" w:rsidRPr="00BB1099">
        <w:t xml:space="preserve"> including </w:t>
      </w:r>
      <w:r w:rsidR="000101AA">
        <w:t xml:space="preserve">on </w:t>
      </w:r>
      <w:r w:rsidR="003A629F">
        <w:t>j</w:t>
      </w:r>
      <w:r w:rsidR="00C03E1A" w:rsidRPr="00BB1099">
        <w:t xml:space="preserve">oint </w:t>
      </w:r>
      <w:r w:rsidR="003A629F">
        <w:t>v</w:t>
      </w:r>
      <w:r w:rsidR="00C03E1A" w:rsidRPr="00BB1099">
        <w:t>enture projects</w:t>
      </w:r>
      <w:r w:rsidR="000101AA">
        <w:t xml:space="preserve">. </w:t>
      </w:r>
      <w:r w:rsidR="00077ABD">
        <w:t xml:space="preserve">Sharing of </w:t>
      </w:r>
      <w:r w:rsidR="00C03E1A" w:rsidRPr="00BB1099">
        <w:t>insights into why PPP projects are structured in certain ways, and how standards can best be integrated</w:t>
      </w:r>
      <w:r w:rsidR="00077ABD">
        <w:t xml:space="preserve">, would </w:t>
      </w:r>
      <w:r w:rsidR="000149E7">
        <w:t>have been</w:t>
      </w:r>
      <w:r w:rsidR="00077ABD">
        <w:t xml:space="preserve"> of particular benefit to PPP Center staff.</w:t>
      </w:r>
    </w:p>
    <w:bookmarkEnd w:id="66"/>
    <w:p w14:paraId="4AE7C65D" w14:textId="4D486942" w:rsidR="006B2903" w:rsidRDefault="006B2903" w:rsidP="00021D43">
      <w:pPr>
        <w:spacing w:after="40" w:line="240" w:lineRule="auto"/>
        <w:ind w:right="-589"/>
        <w:rPr>
          <w:b/>
          <w:bCs/>
          <w:lang w:val="en-GB"/>
        </w:rPr>
      </w:pPr>
    </w:p>
    <w:p w14:paraId="2AE0972D" w14:textId="0FA844C6" w:rsidR="005E374A" w:rsidRPr="005E374A" w:rsidRDefault="005E374A" w:rsidP="00F2226C">
      <w:pPr>
        <w:pStyle w:val="Heading3"/>
      </w:pPr>
      <w:bookmarkStart w:id="68" w:name="_Toc96435330"/>
      <w:r>
        <w:t>3.</w:t>
      </w:r>
      <w:r w:rsidR="006A2EA1">
        <w:t>4</w:t>
      </w:r>
      <w:r>
        <w:t xml:space="preserve"> </w:t>
      </w:r>
      <w:r w:rsidRPr="005E374A">
        <w:t>Inclusi</w:t>
      </w:r>
      <w:r w:rsidR="00AC794F">
        <w:t>on and safeguarding</w:t>
      </w:r>
      <w:bookmarkEnd w:id="68"/>
    </w:p>
    <w:p w14:paraId="7AB85BC8" w14:textId="0CF9821E" w:rsidR="007E5194" w:rsidRDefault="00AC794F" w:rsidP="00021D43">
      <w:pPr>
        <w:spacing w:line="240" w:lineRule="auto"/>
      </w:pPr>
      <w:r w:rsidRPr="00AC794F">
        <w:t xml:space="preserve">A strong policy and resource foundation </w:t>
      </w:r>
      <w:r w:rsidR="000149E7">
        <w:t>was</w:t>
      </w:r>
      <w:r w:rsidRPr="00AC794F">
        <w:t xml:space="preserve"> built for</w:t>
      </w:r>
      <w:r>
        <w:t xml:space="preserve"> inclusion </w:t>
      </w:r>
      <w:r w:rsidRPr="00AC794F">
        <w:t>and safeguarding along with a high level of awareness and commitment</w:t>
      </w:r>
      <w:r w:rsidR="00325F93">
        <w:t xml:space="preserve"> among stakeholders</w:t>
      </w:r>
      <w:r w:rsidRPr="00AC794F">
        <w:t xml:space="preserve">. Some progress </w:t>
      </w:r>
      <w:r w:rsidR="000149E7">
        <w:t>was</w:t>
      </w:r>
      <w:r w:rsidRPr="00AC794F">
        <w:t xml:space="preserve"> made in embedding inclusion and safeguarding across various PPP stages</w:t>
      </w:r>
      <w:r w:rsidR="000149E7">
        <w:t>,</w:t>
      </w:r>
      <w:r w:rsidR="00CE7D6A">
        <w:t xml:space="preserve"> </w:t>
      </w:r>
      <w:r w:rsidR="003F44F6">
        <w:t>by</w:t>
      </w:r>
      <w:r w:rsidR="00DC1DAF">
        <w:t xml:space="preserve"> including </w:t>
      </w:r>
      <w:r w:rsidR="00DC1DAF" w:rsidRPr="00DC1DAF">
        <w:t xml:space="preserve">provisions in </w:t>
      </w:r>
      <w:r w:rsidR="00780E8B">
        <w:t>terms of references (</w:t>
      </w:r>
      <w:r w:rsidR="00DC1DAF">
        <w:t>T</w:t>
      </w:r>
      <w:r w:rsidR="00B30990">
        <w:t>O</w:t>
      </w:r>
      <w:r w:rsidR="00325F93">
        <w:t>R</w:t>
      </w:r>
      <w:r w:rsidR="00105EF8">
        <w:t>s</w:t>
      </w:r>
      <w:r w:rsidR="00780E8B">
        <w:t>)</w:t>
      </w:r>
      <w:r w:rsidR="00DC1DAF">
        <w:t xml:space="preserve"> and</w:t>
      </w:r>
      <w:r w:rsidR="00DC1DAF" w:rsidRPr="00DC1DAF">
        <w:t xml:space="preserve"> contracts supported by the </w:t>
      </w:r>
      <w:r w:rsidR="00A71EAA" w:rsidRPr="00AC794F">
        <w:t xml:space="preserve">Project Development and </w:t>
      </w:r>
      <w:r w:rsidR="00A71EAA">
        <w:t xml:space="preserve">Monitoring </w:t>
      </w:r>
      <w:r w:rsidR="00A71EAA" w:rsidRPr="00AC794F">
        <w:t xml:space="preserve">Facility </w:t>
      </w:r>
      <w:r w:rsidR="00A71EAA">
        <w:t>(</w:t>
      </w:r>
      <w:r w:rsidR="00DC1DAF" w:rsidRPr="00DC1DAF">
        <w:t>PDMF</w:t>
      </w:r>
      <w:r w:rsidR="00A71EAA">
        <w:t>)</w:t>
      </w:r>
      <w:r w:rsidR="00DC1DAF" w:rsidRPr="00DC1DAF">
        <w:t xml:space="preserve"> </w:t>
      </w:r>
      <w:r w:rsidR="00DC1DAF">
        <w:t xml:space="preserve">which </w:t>
      </w:r>
      <w:r w:rsidR="00DC1DAF" w:rsidRPr="00DC1DAF">
        <w:t>sought to clarify related outputs</w:t>
      </w:r>
      <w:r w:rsidR="00DC1DAF">
        <w:t xml:space="preserve">, and </w:t>
      </w:r>
      <w:r w:rsidR="00DD732F">
        <w:t>by</w:t>
      </w:r>
      <w:r w:rsidR="003F44F6">
        <w:t xml:space="preserve"> </w:t>
      </w:r>
      <w:r w:rsidR="00DC1DAF">
        <w:t xml:space="preserve">factoring inclusion and </w:t>
      </w:r>
      <w:r w:rsidR="007325F2">
        <w:t>safeguarding</w:t>
      </w:r>
      <w:r w:rsidR="00DC1DAF">
        <w:t xml:space="preserve"> into the review of bids. A</w:t>
      </w:r>
      <w:r w:rsidRPr="00AC794F">
        <w:t>dditional effort</w:t>
      </w:r>
      <w:r w:rsidR="006076C5">
        <w:t xml:space="preserve"> </w:t>
      </w:r>
      <w:r w:rsidR="00DD732F">
        <w:t>would be</w:t>
      </w:r>
      <w:r w:rsidRPr="00AC794F">
        <w:t xml:space="preserve"> required to build more specialised technical and sectoral capacity</w:t>
      </w:r>
      <w:r w:rsidR="00DD732F">
        <w:t>,</w:t>
      </w:r>
      <w:r w:rsidRPr="00AC794F">
        <w:t xml:space="preserve"> and</w:t>
      </w:r>
      <w:r w:rsidR="00DD732F">
        <w:t xml:space="preserve"> to</w:t>
      </w:r>
      <w:r w:rsidRPr="00AC794F">
        <w:t xml:space="preserve"> introduce monitoring and accountability measures to ensure inclusion and safeguarding are firmly embedded across PPP projects.</w:t>
      </w:r>
    </w:p>
    <w:p w14:paraId="32CDF3AF" w14:textId="4E3A7F66" w:rsidR="00915E15" w:rsidRDefault="00AC794F" w:rsidP="006B254D">
      <w:pPr>
        <w:spacing w:line="240" w:lineRule="auto"/>
        <w:rPr>
          <w:lang w:val="en-GB"/>
        </w:rPr>
      </w:pPr>
      <w:r w:rsidRPr="007E5194">
        <w:rPr>
          <w:lang w:val="en-GB"/>
        </w:rPr>
        <w:t>Strong progress</w:t>
      </w:r>
      <w:r w:rsidR="007E5194">
        <w:rPr>
          <w:lang w:val="en-GB"/>
        </w:rPr>
        <w:t xml:space="preserve"> </w:t>
      </w:r>
      <w:r w:rsidR="00DD732F">
        <w:rPr>
          <w:lang w:val="en-GB"/>
        </w:rPr>
        <w:t>was</w:t>
      </w:r>
      <w:r w:rsidR="007E5194">
        <w:rPr>
          <w:lang w:val="en-GB"/>
        </w:rPr>
        <w:t xml:space="preserve"> made in gender equality wh</w:t>
      </w:r>
      <w:r w:rsidR="009E3B8B">
        <w:rPr>
          <w:lang w:val="en-GB"/>
        </w:rPr>
        <w:t xml:space="preserve">ich </w:t>
      </w:r>
      <w:r w:rsidR="00DD732F">
        <w:rPr>
          <w:lang w:val="en-GB"/>
        </w:rPr>
        <w:t>was</w:t>
      </w:r>
      <w:r w:rsidR="009E3B8B">
        <w:rPr>
          <w:lang w:val="en-GB"/>
        </w:rPr>
        <w:t xml:space="preserve"> well priori</w:t>
      </w:r>
      <w:r w:rsidR="00915E15">
        <w:rPr>
          <w:lang w:val="en-GB"/>
        </w:rPr>
        <w:t>ti</w:t>
      </w:r>
      <w:r w:rsidR="009E3B8B">
        <w:rPr>
          <w:lang w:val="en-GB"/>
        </w:rPr>
        <w:t>sed over the life of the TA</w:t>
      </w:r>
      <w:r w:rsidR="00805A33">
        <w:rPr>
          <w:lang w:val="en-GB"/>
        </w:rPr>
        <w:t xml:space="preserve">, despite the design not </w:t>
      </w:r>
      <w:r w:rsidR="00B21EE4">
        <w:rPr>
          <w:lang w:val="en-GB"/>
        </w:rPr>
        <w:t>encompassing</w:t>
      </w:r>
      <w:r w:rsidR="00805A33">
        <w:rPr>
          <w:lang w:val="en-GB"/>
        </w:rPr>
        <w:t xml:space="preserve"> an articulated</w:t>
      </w:r>
      <w:r w:rsidR="009E3B8B">
        <w:rPr>
          <w:lang w:val="en-GB"/>
        </w:rPr>
        <w:t xml:space="preserve"> gender strategy and approach. </w:t>
      </w:r>
      <w:r w:rsidR="00915E15">
        <w:rPr>
          <w:lang w:val="en-GB"/>
        </w:rPr>
        <w:t>The TA supported gender</w:t>
      </w:r>
      <w:r w:rsidR="00DD732F">
        <w:rPr>
          <w:lang w:val="en-GB"/>
        </w:rPr>
        <w:t>-</w:t>
      </w:r>
      <w:r w:rsidR="00915E15">
        <w:rPr>
          <w:lang w:val="en-GB"/>
        </w:rPr>
        <w:t>related policy and direction setting by the</w:t>
      </w:r>
      <w:r w:rsidR="007B4796">
        <w:rPr>
          <w:lang w:val="en-GB"/>
        </w:rPr>
        <w:t xml:space="preserve"> Philippines</w:t>
      </w:r>
      <w:r w:rsidR="00915E15">
        <w:rPr>
          <w:lang w:val="en-GB"/>
        </w:rPr>
        <w:t xml:space="preserve"> PPP Program </w:t>
      </w:r>
      <w:r w:rsidR="007A253D">
        <w:rPr>
          <w:lang w:val="en-GB"/>
        </w:rPr>
        <w:t xml:space="preserve">following the </w:t>
      </w:r>
      <w:r w:rsidR="00915E15">
        <w:rPr>
          <w:lang w:val="en-GB"/>
        </w:rPr>
        <w:t>release</w:t>
      </w:r>
      <w:r w:rsidR="007A253D">
        <w:rPr>
          <w:lang w:val="en-GB"/>
        </w:rPr>
        <w:t xml:space="preserve"> of</w:t>
      </w:r>
      <w:r w:rsidR="00915E15">
        <w:rPr>
          <w:lang w:val="en-GB"/>
        </w:rPr>
        <w:t xml:space="preserve"> the</w:t>
      </w:r>
      <w:r w:rsidR="00B21EE4">
        <w:rPr>
          <w:lang w:val="en-GB"/>
        </w:rPr>
        <w:t xml:space="preserve"> </w:t>
      </w:r>
      <w:r w:rsidR="00B21EE4" w:rsidRPr="00B21EE4">
        <w:rPr>
          <w:lang w:val="en-GB"/>
        </w:rPr>
        <w:t>Investment Coordination Committee</w:t>
      </w:r>
      <w:r w:rsidR="00B21EE4">
        <w:rPr>
          <w:lang w:val="en-GB"/>
        </w:rPr>
        <w:t xml:space="preserve"> </w:t>
      </w:r>
      <w:r w:rsidR="00915E15" w:rsidRPr="00915E15">
        <w:rPr>
          <w:lang w:val="en-GB"/>
        </w:rPr>
        <w:t>Policy on Integrating Harmonized Gender and Development Guidelines in the ICC Process (2016)</w:t>
      </w:r>
      <w:r w:rsidR="007A253D">
        <w:rPr>
          <w:rStyle w:val="FootnoteReference"/>
          <w:lang w:val="en-GB"/>
        </w:rPr>
        <w:footnoteReference w:id="26"/>
      </w:r>
      <w:r w:rsidR="00915E15">
        <w:rPr>
          <w:lang w:val="en-GB"/>
        </w:rPr>
        <w:t xml:space="preserve">, and the </w:t>
      </w:r>
      <w:r w:rsidR="00915E15" w:rsidRPr="00915E15">
        <w:rPr>
          <w:lang w:val="en-GB"/>
        </w:rPr>
        <w:t>PPP Governing Board Resolution on Mainstreaming Environment and Social Safeguards</w:t>
      </w:r>
      <w:r w:rsidR="00915E15">
        <w:rPr>
          <w:lang w:val="en-GB"/>
        </w:rPr>
        <w:t xml:space="preserve"> (2018)</w:t>
      </w:r>
      <w:r w:rsidR="00915E15" w:rsidRPr="00915E15">
        <w:rPr>
          <w:lang w:val="en-GB"/>
        </w:rPr>
        <w:t>.</w:t>
      </w:r>
      <w:r w:rsidR="00915E15">
        <w:rPr>
          <w:lang w:val="en-GB"/>
        </w:rPr>
        <w:t xml:space="preserve"> </w:t>
      </w:r>
      <w:r w:rsidR="00915E15" w:rsidRPr="00915E15">
        <w:rPr>
          <w:lang w:val="en-GB"/>
        </w:rPr>
        <w:t>PPP Program</w:t>
      </w:r>
      <w:r w:rsidR="00915E15">
        <w:rPr>
          <w:lang w:val="en-GB"/>
        </w:rPr>
        <w:t xml:space="preserve"> stakeholders</w:t>
      </w:r>
      <w:r w:rsidR="00DD732F">
        <w:rPr>
          <w:lang w:val="en-GB"/>
        </w:rPr>
        <w:t>,</w:t>
      </w:r>
      <w:r w:rsidR="00915E15">
        <w:rPr>
          <w:lang w:val="en-GB"/>
        </w:rPr>
        <w:t xml:space="preserve"> including </w:t>
      </w:r>
      <w:r w:rsidR="007C4A62">
        <w:rPr>
          <w:lang w:val="en-GB"/>
        </w:rPr>
        <w:t xml:space="preserve">PPP </w:t>
      </w:r>
      <w:r w:rsidR="002D4DA0">
        <w:rPr>
          <w:lang w:val="en-GB"/>
        </w:rPr>
        <w:t>Center</w:t>
      </w:r>
      <w:r w:rsidR="00915E15" w:rsidRPr="00915E15">
        <w:rPr>
          <w:lang w:val="en-GB"/>
        </w:rPr>
        <w:t xml:space="preserve"> and </w:t>
      </w:r>
      <w:r w:rsidR="00350363">
        <w:rPr>
          <w:lang w:val="en-GB"/>
        </w:rPr>
        <w:t>implementing agency</w:t>
      </w:r>
      <w:r w:rsidR="00915E15">
        <w:rPr>
          <w:lang w:val="en-GB"/>
        </w:rPr>
        <w:t xml:space="preserve"> staff</w:t>
      </w:r>
      <w:r w:rsidR="00915E15" w:rsidRPr="00915E15">
        <w:rPr>
          <w:lang w:val="en-GB"/>
        </w:rPr>
        <w:t xml:space="preserve"> </w:t>
      </w:r>
      <w:r w:rsidR="00DD732F">
        <w:rPr>
          <w:lang w:val="en-GB"/>
        </w:rPr>
        <w:t>were</w:t>
      </w:r>
      <w:r w:rsidR="00915E15" w:rsidRPr="00915E15">
        <w:rPr>
          <w:lang w:val="en-GB"/>
        </w:rPr>
        <w:t xml:space="preserve"> well sensitised to </w:t>
      </w:r>
      <w:r w:rsidR="00915E15">
        <w:rPr>
          <w:lang w:val="en-GB"/>
        </w:rPr>
        <w:t xml:space="preserve">gender inclusion </w:t>
      </w:r>
      <w:r w:rsidR="00915E15" w:rsidRPr="00915E15">
        <w:rPr>
          <w:lang w:val="en-GB"/>
        </w:rPr>
        <w:t>principles through</w:t>
      </w:r>
      <w:r w:rsidR="00915E15">
        <w:rPr>
          <w:lang w:val="en-GB"/>
        </w:rPr>
        <w:t xml:space="preserve"> a range of</w:t>
      </w:r>
      <w:r w:rsidR="00915E15" w:rsidRPr="00915E15">
        <w:rPr>
          <w:lang w:val="en-GB"/>
        </w:rPr>
        <w:t xml:space="preserve"> training</w:t>
      </w:r>
      <w:r w:rsidR="00DD732F">
        <w:rPr>
          <w:lang w:val="en-GB"/>
        </w:rPr>
        <w:t xml:space="preserve"> opportunities</w:t>
      </w:r>
      <w:r w:rsidR="00252D46">
        <w:rPr>
          <w:lang w:val="en-GB"/>
        </w:rPr>
        <w:t xml:space="preserve">. In 2014, </w:t>
      </w:r>
      <w:r w:rsidR="00DD732F">
        <w:rPr>
          <w:lang w:val="en-GB"/>
        </w:rPr>
        <w:t xml:space="preserve">Australian company </w:t>
      </w:r>
      <w:r w:rsidR="00252D46" w:rsidRPr="008D1676">
        <w:rPr>
          <w:lang w:val="en-GB"/>
        </w:rPr>
        <w:t>GHD International ()</w:t>
      </w:r>
      <w:r w:rsidR="00252D46">
        <w:rPr>
          <w:lang w:val="en-GB"/>
        </w:rPr>
        <w:t xml:space="preserve"> developed a seminal toolkit for mainstreaming gender across the PPP cycle which </w:t>
      </w:r>
      <w:r w:rsidR="00FE4A94">
        <w:rPr>
          <w:lang w:val="en-GB"/>
        </w:rPr>
        <w:t>contain</w:t>
      </w:r>
      <w:r w:rsidR="00DD732F">
        <w:rPr>
          <w:lang w:val="en-GB"/>
        </w:rPr>
        <w:t>ed</w:t>
      </w:r>
      <w:r w:rsidR="00252D46">
        <w:rPr>
          <w:lang w:val="en-GB"/>
        </w:rPr>
        <w:t xml:space="preserve"> useful </w:t>
      </w:r>
      <w:r w:rsidR="00CE7D6A">
        <w:rPr>
          <w:lang w:val="en-GB"/>
        </w:rPr>
        <w:t xml:space="preserve">prompts and checklists </w:t>
      </w:r>
      <w:r w:rsidR="007B4796">
        <w:rPr>
          <w:lang w:val="en-GB"/>
        </w:rPr>
        <w:t>for</w:t>
      </w:r>
      <w:r w:rsidR="00CE7D6A">
        <w:rPr>
          <w:lang w:val="en-GB"/>
        </w:rPr>
        <w:t xml:space="preserve"> implementation.</w:t>
      </w:r>
    </w:p>
    <w:p w14:paraId="6FBCA39D" w14:textId="203BA059" w:rsidR="00613C14" w:rsidRDefault="00C75AE6" w:rsidP="006B254D">
      <w:pPr>
        <w:spacing w:line="240" w:lineRule="auto"/>
        <w:rPr>
          <w:lang w:val="en-GB"/>
        </w:rPr>
      </w:pPr>
      <w:r>
        <w:rPr>
          <w:lang w:val="en-GB"/>
        </w:rPr>
        <w:t>TA activities and efforts by government partners and funders</w:t>
      </w:r>
      <w:r>
        <w:rPr>
          <w:rStyle w:val="FootnoteReference"/>
          <w:lang w:val="en-GB"/>
        </w:rPr>
        <w:footnoteReference w:id="27"/>
      </w:r>
      <w:r>
        <w:rPr>
          <w:lang w:val="en-GB"/>
        </w:rPr>
        <w:t xml:space="preserve"> contributed to enhanced gender systems and capacity across the PPP Program. </w:t>
      </w:r>
      <w:r w:rsidR="00CD373F">
        <w:rPr>
          <w:lang w:val="en-GB"/>
        </w:rPr>
        <w:t xml:space="preserve">While these efforts </w:t>
      </w:r>
      <w:r w:rsidR="00DD732F">
        <w:rPr>
          <w:lang w:val="en-GB"/>
        </w:rPr>
        <w:t xml:space="preserve">had </w:t>
      </w:r>
      <w:r w:rsidR="00CD373F">
        <w:rPr>
          <w:lang w:val="en-GB"/>
        </w:rPr>
        <w:t>not yet resulted in</w:t>
      </w:r>
      <w:r w:rsidR="00FE4A94">
        <w:rPr>
          <w:lang w:val="en-GB"/>
        </w:rPr>
        <w:t xml:space="preserve"> gender</w:t>
      </w:r>
      <w:r w:rsidR="00CD373F">
        <w:rPr>
          <w:lang w:val="en-GB"/>
        </w:rPr>
        <w:t xml:space="preserve"> </w:t>
      </w:r>
      <w:r w:rsidR="00CD373F" w:rsidRPr="00CD373F">
        <w:rPr>
          <w:lang w:val="en-GB"/>
        </w:rPr>
        <w:t>inclusive PPP</w:t>
      </w:r>
      <w:r w:rsidR="00CD373F">
        <w:rPr>
          <w:lang w:val="en-GB"/>
        </w:rPr>
        <w:t xml:space="preserve"> project</w:t>
      </w:r>
      <w:r w:rsidR="00FE4A94">
        <w:rPr>
          <w:lang w:val="en-GB"/>
        </w:rPr>
        <w:t>s</w:t>
      </w:r>
      <w:r w:rsidR="00CD373F" w:rsidRPr="00CD373F">
        <w:rPr>
          <w:lang w:val="en-GB"/>
        </w:rPr>
        <w:t xml:space="preserve"> </w:t>
      </w:r>
      <w:r w:rsidR="00CD373F">
        <w:rPr>
          <w:lang w:val="en-GB"/>
        </w:rPr>
        <w:t>across the board</w:t>
      </w:r>
      <w:r w:rsidR="00DD732F">
        <w:rPr>
          <w:lang w:val="en-GB"/>
        </w:rPr>
        <w:t xml:space="preserve"> at the time of writing</w:t>
      </w:r>
      <w:r w:rsidR="00CD373F">
        <w:rPr>
          <w:lang w:val="en-GB"/>
        </w:rPr>
        <w:t xml:space="preserve">, there </w:t>
      </w:r>
      <w:r w:rsidR="00DD732F">
        <w:rPr>
          <w:lang w:val="en-GB"/>
        </w:rPr>
        <w:t xml:space="preserve">were </w:t>
      </w:r>
      <w:r w:rsidR="00CD373F">
        <w:rPr>
          <w:lang w:val="en-GB"/>
        </w:rPr>
        <w:t>some pockets of inclusive practice.</w:t>
      </w:r>
      <w:r w:rsidR="00FE4A94">
        <w:rPr>
          <w:lang w:val="en-GB"/>
        </w:rPr>
        <w:t xml:space="preserve"> For example,</w:t>
      </w:r>
      <w:r w:rsidR="00CD373F">
        <w:rPr>
          <w:lang w:val="en-GB"/>
        </w:rPr>
        <w:t xml:space="preserve"> </w:t>
      </w:r>
      <w:r w:rsidR="00FE4A94">
        <w:rPr>
          <w:lang w:val="en-GB"/>
        </w:rPr>
        <w:t>s</w:t>
      </w:r>
      <w:r w:rsidR="00805A33">
        <w:rPr>
          <w:lang w:val="en-GB"/>
        </w:rPr>
        <w:t xml:space="preserve">ome </w:t>
      </w:r>
      <w:r w:rsidR="00DD732F">
        <w:rPr>
          <w:lang w:val="en-GB"/>
        </w:rPr>
        <w:t xml:space="preserve">constructed </w:t>
      </w:r>
      <w:r w:rsidR="00805A33" w:rsidRPr="00DC1DAF">
        <w:rPr>
          <w:lang w:val="en-GB"/>
        </w:rPr>
        <w:t>facilities</w:t>
      </w:r>
      <w:r w:rsidR="00805A33">
        <w:rPr>
          <w:lang w:val="en-GB"/>
        </w:rPr>
        <w:t xml:space="preserve"> include</w:t>
      </w:r>
      <w:r w:rsidR="00DD732F">
        <w:rPr>
          <w:lang w:val="en-GB"/>
        </w:rPr>
        <w:t>d</w:t>
      </w:r>
      <w:r w:rsidR="00805A33">
        <w:rPr>
          <w:lang w:val="en-GB"/>
        </w:rPr>
        <w:t xml:space="preserve"> separate toilets, </w:t>
      </w:r>
      <w:r w:rsidR="00CE7D6A" w:rsidRPr="00DC1DAF">
        <w:rPr>
          <w:lang w:val="en-GB"/>
        </w:rPr>
        <w:t xml:space="preserve">more restrooms for women, </w:t>
      </w:r>
      <w:r w:rsidR="00757FCB">
        <w:rPr>
          <w:lang w:val="en-GB"/>
        </w:rPr>
        <w:t xml:space="preserve">and </w:t>
      </w:r>
      <w:r w:rsidR="00CE7D6A" w:rsidRPr="00DC1DAF">
        <w:rPr>
          <w:lang w:val="en-GB"/>
        </w:rPr>
        <w:t>diaper-changing areas and breast-feeding stations in airports. The Automatic Fare Collection System Project</w:t>
      </w:r>
      <w:r w:rsidR="00805A33">
        <w:rPr>
          <w:lang w:val="en-GB"/>
        </w:rPr>
        <w:t xml:space="preserve"> also</w:t>
      </w:r>
      <w:r w:rsidR="00CE7D6A">
        <w:rPr>
          <w:lang w:val="en-GB"/>
        </w:rPr>
        <w:t xml:space="preserve"> saw women </w:t>
      </w:r>
      <w:r w:rsidR="00CE7D6A" w:rsidRPr="00DC1DAF">
        <w:rPr>
          <w:lang w:val="en-GB"/>
        </w:rPr>
        <w:t xml:space="preserve">regularly </w:t>
      </w:r>
      <w:r w:rsidR="00DC1DAF" w:rsidRPr="00DC1DAF">
        <w:rPr>
          <w:lang w:val="en-GB"/>
        </w:rPr>
        <w:t>participat</w:t>
      </w:r>
      <w:r w:rsidR="00757FCB">
        <w:rPr>
          <w:lang w:val="en-GB"/>
        </w:rPr>
        <w:t>e</w:t>
      </w:r>
      <w:r w:rsidR="00CE7D6A" w:rsidRPr="00DC1DAF">
        <w:rPr>
          <w:lang w:val="en-GB"/>
        </w:rPr>
        <w:t xml:space="preserve"> in technical working group meetings to address gender concerns </w:t>
      </w:r>
      <w:r w:rsidR="00FE4A94">
        <w:rPr>
          <w:lang w:val="en-GB"/>
        </w:rPr>
        <w:t>related to</w:t>
      </w:r>
      <w:r w:rsidR="00CE7D6A" w:rsidRPr="00DC1DAF">
        <w:rPr>
          <w:lang w:val="en-GB"/>
        </w:rPr>
        <w:t xml:space="preserve"> the design of machines and equipment</w:t>
      </w:r>
      <w:r w:rsidR="00DD732F">
        <w:rPr>
          <w:lang w:val="en-GB"/>
        </w:rPr>
        <w:t xml:space="preserve"> in infrastructure construction projects</w:t>
      </w:r>
      <w:r w:rsidR="00CE7D6A" w:rsidRPr="00DC1DAF">
        <w:rPr>
          <w:lang w:val="en-GB"/>
        </w:rPr>
        <w:t>.</w:t>
      </w:r>
      <w:r>
        <w:rPr>
          <w:lang w:val="en-GB"/>
        </w:rPr>
        <w:t xml:space="preserve"> </w:t>
      </w:r>
    </w:p>
    <w:p w14:paraId="232A4486" w14:textId="35364884" w:rsidR="00FC3ADC" w:rsidRDefault="00C75AE6" w:rsidP="006B254D">
      <w:pPr>
        <w:spacing w:line="240" w:lineRule="auto"/>
        <w:rPr>
          <w:rFonts w:cstheme="minorHAnsi"/>
          <w:color w:val="000000" w:themeColor="text1"/>
        </w:rPr>
      </w:pPr>
      <w:r>
        <w:rPr>
          <w:lang w:val="en-GB"/>
        </w:rPr>
        <w:t xml:space="preserve">At a systems level, </w:t>
      </w:r>
      <w:r w:rsidR="003A629F">
        <w:rPr>
          <w:rFonts w:cstheme="minorHAnsi"/>
          <w:color w:val="000000" w:themeColor="text1"/>
        </w:rPr>
        <w:t>a</w:t>
      </w:r>
      <w:r w:rsidRPr="00C75AE6">
        <w:rPr>
          <w:rFonts w:cstheme="minorHAnsi"/>
          <w:color w:val="000000" w:themeColor="text1"/>
        </w:rPr>
        <w:t>ll PDMF transaction advisory contracts require</w:t>
      </w:r>
      <w:r w:rsidR="00DD732F">
        <w:rPr>
          <w:rFonts w:cstheme="minorHAnsi"/>
          <w:color w:val="000000" w:themeColor="text1"/>
        </w:rPr>
        <w:t>d</w:t>
      </w:r>
      <w:r w:rsidRPr="00C75AE6">
        <w:rPr>
          <w:rFonts w:cstheme="minorHAnsi"/>
          <w:color w:val="000000" w:themeColor="text1"/>
        </w:rPr>
        <w:t xml:space="preserve"> </w:t>
      </w:r>
      <w:r w:rsidR="00613C14">
        <w:rPr>
          <w:rFonts w:cstheme="minorHAnsi"/>
          <w:color w:val="000000" w:themeColor="text1"/>
        </w:rPr>
        <w:t xml:space="preserve">a </w:t>
      </w:r>
      <w:r w:rsidRPr="00C75AE6">
        <w:rPr>
          <w:rFonts w:cstheme="minorHAnsi"/>
          <w:color w:val="000000" w:themeColor="text1"/>
        </w:rPr>
        <w:t>social safeguard assessment and mitigation plan in PPP projects</w:t>
      </w:r>
      <w:r w:rsidR="00DD732F">
        <w:rPr>
          <w:rFonts w:cstheme="minorHAnsi"/>
          <w:color w:val="000000" w:themeColor="text1"/>
        </w:rPr>
        <w:t>,</w:t>
      </w:r>
      <w:r w:rsidRPr="00C75AE6">
        <w:rPr>
          <w:rFonts w:cstheme="minorHAnsi"/>
          <w:color w:val="000000" w:themeColor="text1"/>
        </w:rPr>
        <w:t xml:space="preserve"> supported by the PDMF to ensure gender responsiveness is integrated. PPP project contracts also contain</w:t>
      </w:r>
      <w:r w:rsidR="00DD732F">
        <w:rPr>
          <w:rFonts w:cstheme="minorHAnsi"/>
          <w:color w:val="000000" w:themeColor="text1"/>
        </w:rPr>
        <w:t>ed</w:t>
      </w:r>
      <w:r w:rsidRPr="00C75AE6">
        <w:rPr>
          <w:rFonts w:cstheme="minorHAnsi"/>
          <w:color w:val="000000" w:themeColor="text1"/>
        </w:rPr>
        <w:t xml:space="preserve"> output-based specifications</w:t>
      </w:r>
      <w:r w:rsidR="00C514E0">
        <w:rPr>
          <w:rStyle w:val="FootnoteReference"/>
          <w:rFonts w:cstheme="minorHAnsi"/>
          <w:color w:val="000000" w:themeColor="text1"/>
        </w:rPr>
        <w:footnoteReference w:id="28"/>
      </w:r>
      <w:r w:rsidRPr="00C75AE6">
        <w:rPr>
          <w:rFonts w:cstheme="minorHAnsi"/>
          <w:color w:val="000000" w:themeColor="text1"/>
        </w:rPr>
        <w:t xml:space="preserve"> included in Annex 6 - Minimum Performance Standards and Specification</w:t>
      </w:r>
      <w:r w:rsidR="00AA7FBE">
        <w:rPr>
          <w:rFonts w:cstheme="minorHAnsi"/>
          <w:color w:val="000000" w:themeColor="text1"/>
        </w:rPr>
        <w:t>s (MP</w:t>
      </w:r>
      <w:r w:rsidR="00D32668">
        <w:rPr>
          <w:rFonts w:cstheme="minorHAnsi"/>
          <w:color w:val="000000" w:themeColor="text1"/>
        </w:rPr>
        <w:t>S</w:t>
      </w:r>
      <w:r w:rsidR="00AA7FBE">
        <w:rPr>
          <w:rFonts w:cstheme="minorHAnsi"/>
          <w:color w:val="000000" w:themeColor="text1"/>
        </w:rPr>
        <w:t>S)</w:t>
      </w:r>
      <w:r w:rsidRPr="00C75AE6">
        <w:rPr>
          <w:rFonts w:cstheme="minorHAnsi"/>
          <w:color w:val="000000" w:themeColor="text1"/>
        </w:rPr>
        <w:t>, of the PPP Project Contract.</w:t>
      </w:r>
      <w:r>
        <w:rPr>
          <w:rFonts w:cstheme="minorHAnsi"/>
          <w:color w:val="000000" w:themeColor="text1"/>
        </w:rPr>
        <w:t xml:space="preserve"> </w:t>
      </w:r>
      <w:r w:rsidRPr="00C75AE6">
        <w:rPr>
          <w:rFonts w:cstheme="minorHAnsi"/>
          <w:color w:val="000000" w:themeColor="text1"/>
        </w:rPr>
        <w:t xml:space="preserve">However, </w:t>
      </w:r>
      <w:r w:rsidRPr="00C75AE6">
        <w:rPr>
          <w:rFonts w:cstheme="minorHAnsi"/>
          <w:color w:val="000000" w:themeColor="text1"/>
        </w:rPr>
        <w:lastRenderedPageBreak/>
        <w:t xml:space="preserve">standards </w:t>
      </w:r>
      <w:r w:rsidR="00DD732F">
        <w:rPr>
          <w:rFonts w:cstheme="minorHAnsi"/>
          <w:color w:val="000000" w:themeColor="text1"/>
        </w:rPr>
        <w:t>were</w:t>
      </w:r>
      <w:r w:rsidR="00DD732F" w:rsidRPr="00C75AE6">
        <w:rPr>
          <w:rFonts w:cstheme="minorHAnsi"/>
          <w:color w:val="000000" w:themeColor="text1"/>
        </w:rPr>
        <w:t xml:space="preserve"> </w:t>
      </w:r>
      <w:r w:rsidRPr="00C75AE6">
        <w:rPr>
          <w:rFonts w:cstheme="minorHAnsi"/>
          <w:color w:val="000000" w:themeColor="text1"/>
        </w:rPr>
        <w:t xml:space="preserve">not </w:t>
      </w:r>
      <w:r w:rsidR="00C051C9">
        <w:rPr>
          <w:rFonts w:cstheme="minorHAnsi"/>
          <w:color w:val="000000" w:themeColor="text1"/>
        </w:rPr>
        <w:t xml:space="preserve">comprehensively </w:t>
      </w:r>
      <w:r w:rsidR="00637E32">
        <w:rPr>
          <w:rFonts w:cstheme="minorHAnsi"/>
          <w:color w:val="000000" w:themeColor="text1"/>
        </w:rPr>
        <w:t xml:space="preserve">detailed and </w:t>
      </w:r>
      <w:r w:rsidRPr="00C75AE6">
        <w:rPr>
          <w:rFonts w:cstheme="minorHAnsi"/>
          <w:color w:val="000000" w:themeColor="text1"/>
        </w:rPr>
        <w:t xml:space="preserve">tailored to the specific type of project, and input specifications </w:t>
      </w:r>
      <w:r w:rsidR="002C5181">
        <w:rPr>
          <w:rFonts w:cstheme="minorHAnsi"/>
          <w:color w:val="000000" w:themeColor="text1"/>
        </w:rPr>
        <w:t>as to</w:t>
      </w:r>
      <w:r w:rsidR="00D23F3E">
        <w:rPr>
          <w:rFonts w:cstheme="minorHAnsi"/>
          <w:color w:val="000000" w:themeColor="text1"/>
        </w:rPr>
        <w:t xml:space="preserve"> </w:t>
      </w:r>
      <w:r w:rsidRPr="00C75AE6">
        <w:rPr>
          <w:rFonts w:cstheme="minorHAnsi"/>
          <w:color w:val="000000" w:themeColor="text1"/>
        </w:rPr>
        <w:t>how the private sector</w:t>
      </w:r>
      <w:r w:rsidR="0040751A">
        <w:rPr>
          <w:rFonts w:cstheme="minorHAnsi"/>
          <w:color w:val="000000" w:themeColor="text1"/>
        </w:rPr>
        <w:t xml:space="preserve"> entity</w:t>
      </w:r>
      <w:r w:rsidRPr="00C75AE6">
        <w:rPr>
          <w:rFonts w:cstheme="minorHAnsi"/>
          <w:color w:val="000000" w:themeColor="text1"/>
        </w:rPr>
        <w:t xml:space="preserve"> </w:t>
      </w:r>
      <w:r w:rsidR="00DD732F">
        <w:rPr>
          <w:rFonts w:cstheme="minorHAnsi"/>
          <w:color w:val="000000" w:themeColor="text1"/>
        </w:rPr>
        <w:t>should</w:t>
      </w:r>
      <w:r w:rsidRPr="00C75AE6">
        <w:rPr>
          <w:rFonts w:cstheme="minorHAnsi"/>
          <w:color w:val="000000" w:themeColor="text1"/>
        </w:rPr>
        <w:t xml:space="preserve"> comply</w:t>
      </w:r>
      <w:r w:rsidR="00D23F3E">
        <w:rPr>
          <w:rFonts w:cstheme="minorHAnsi"/>
          <w:color w:val="000000" w:themeColor="text1"/>
        </w:rPr>
        <w:t xml:space="preserve"> with the</w:t>
      </w:r>
      <w:r w:rsidRPr="00C75AE6">
        <w:rPr>
          <w:rFonts w:cstheme="minorHAnsi"/>
          <w:color w:val="000000" w:themeColor="text1"/>
        </w:rPr>
        <w:t xml:space="preserve"> standards </w:t>
      </w:r>
      <w:r w:rsidR="00DD732F">
        <w:rPr>
          <w:rFonts w:cstheme="minorHAnsi"/>
          <w:color w:val="000000" w:themeColor="text1"/>
        </w:rPr>
        <w:t>was</w:t>
      </w:r>
      <w:r w:rsidR="00D23F3E">
        <w:rPr>
          <w:rFonts w:cstheme="minorHAnsi"/>
          <w:color w:val="000000" w:themeColor="text1"/>
        </w:rPr>
        <w:t xml:space="preserve"> </w:t>
      </w:r>
      <w:r w:rsidRPr="00C75AE6">
        <w:rPr>
          <w:rFonts w:cstheme="minorHAnsi"/>
          <w:color w:val="000000" w:themeColor="text1"/>
        </w:rPr>
        <w:t>depend</w:t>
      </w:r>
      <w:r w:rsidR="00D23F3E">
        <w:rPr>
          <w:rFonts w:cstheme="minorHAnsi"/>
          <w:color w:val="000000" w:themeColor="text1"/>
        </w:rPr>
        <w:t xml:space="preserve">ent </w:t>
      </w:r>
      <w:r w:rsidRPr="00C75AE6">
        <w:rPr>
          <w:rFonts w:cstheme="minorHAnsi"/>
          <w:color w:val="000000" w:themeColor="text1"/>
        </w:rPr>
        <w:t>on the private sector</w:t>
      </w:r>
      <w:r w:rsidR="00D23F3E">
        <w:rPr>
          <w:rFonts w:cstheme="minorHAnsi"/>
          <w:color w:val="000000" w:themeColor="text1"/>
        </w:rPr>
        <w:t xml:space="preserve"> entity</w:t>
      </w:r>
      <w:r w:rsidRPr="00C75AE6">
        <w:rPr>
          <w:rFonts w:cstheme="minorHAnsi"/>
          <w:color w:val="000000" w:themeColor="text1"/>
        </w:rPr>
        <w:t xml:space="preserve">. </w:t>
      </w:r>
      <w:r w:rsidR="0040751A">
        <w:rPr>
          <w:rFonts w:cstheme="minorHAnsi"/>
          <w:color w:val="000000" w:themeColor="text1"/>
        </w:rPr>
        <w:t xml:space="preserve">Hence there </w:t>
      </w:r>
      <w:r w:rsidR="00DD732F">
        <w:rPr>
          <w:rFonts w:cstheme="minorHAnsi"/>
          <w:color w:val="000000" w:themeColor="text1"/>
        </w:rPr>
        <w:t>were</w:t>
      </w:r>
      <w:r w:rsidR="0040751A">
        <w:rPr>
          <w:rFonts w:cstheme="minorHAnsi"/>
          <w:color w:val="000000" w:themeColor="text1"/>
        </w:rPr>
        <w:t xml:space="preserve"> examples of variable practice as a result of</w:t>
      </w:r>
      <w:r w:rsidR="002C5181">
        <w:rPr>
          <w:rFonts w:cstheme="minorHAnsi"/>
          <w:color w:val="000000" w:themeColor="text1"/>
        </w:rPr>
        <w:t xml:space="preserve"> different levels of</w:t>
      </w:r>
      <w:r w:rsidR="0040751A">
        <w:rPr>
          <w:rFonts w:cstheme="minorHAnsi"/>
          <w:color w:val="000000" w:themeColor="text1"/>
        </w:rPr>
        <w:t xml:space="preserve"> </w:t>
      </w:r>
      <w:r w:rsidR="00D23F3E">
        <w:rPr>
          <w:rFonts w:cstheme="minorHAnsi"/>
          <w:color w:val="000000" w:themeColor="text1"/>
        </w:rPr>
        <w:t>private sector</w:t>
      </w:r>
      <w:r w:rsidR="0040751A">
        <w:rPr>
          <w:rFonts w:cstheme="minorHAnsi"/>
          <w:color w:val="000000" w:themeColor="text1"/>
        </w:rPr>
        <w:t xml:space="preserve"> gender expertise and capability.</w:t>
      </w:r>
      <w:r w:rsidR="005F3E86">
        <w:rPr>
          <w:rFonts w:cstheme="minorHAnsi"/>
          <w:color w:val="000000" w:themeColor="text1"/>
        </w:rPr>
        <w:t xml:space="preserve"> In addition to building the </w:t>
      </w:r>
      <w:r w:rsidRPr="00C75AE6">
        <w:rPr>
          <w:rFonts w:cstheme="minorHAnsi"/>
          <w:color w:val="000000" w:themeColor="text1"/>
        </w:rPr>
        <w:t>PPP Cent</w:t>
      </w:r>
      <w:r w:rsidR="002C5181">
        <w:rPr>
          <w:rFonts w:cstheme="minorHAnsi"/>
          <w:color w:val="000000" w:themeColor="text1"/>
        </w:rPr>
        <w:t>er</w:t>
      </w:r>
      <w:r w:rsidR="005F3E86">
        <w:rPr>
          <w:rFonts w:cstheme="minorHAnsi"/>
          <w:color w:val="000000" w:themeColor="text1"/>
        </w:rPr>
        <w:t xml:space="preserve">’s capacity to more fully detail GESDI </w:t>
      </w:r>
      <w:r w:rsidR="007A265C">
        <w:rPr>
          <w:rFonts w:cstheme="minorHAnsi"/>
          <w:color w:val="000000" w:themeColor="text1"/>
        </w:rPr>
        <w:t>requirements</w:t>
      </w:r>
      <w:r w:rsidR="005F3E86">
        <w:rPr>
          <w:rFonts w:cstheme="minorHAnsi"/>
          <w:color w:val="000000" w:themeColor="text1"/>
        </w:rPr>
        <w:t xml:space="preserve"> and specifications according to </w:t>
      </w:r>
      <w:r w:rsidR="002C5181">
        <w:rPr>
          <w:rFonts w:cstheme="minorHAnsi"/>
          <w:color w:val="000000" w:themeColor="text1"/>
        </w:rPr>
        <w:t>project type</w:t>
      </w:r>
      <w:r w:rsidR="005F3E86">
        <w:rPr>
          <w:rFonts w:cstheme="minorHAnsi"/>
          <w:color w:val="000000" w:themeColor="text1"/>
        </w:rPr>
        <w:t xml:space="preserve">, the </w:t>
      </w:r>
      <w:r w:rsidR="00601490">
        <w:rPr>
          <w:rFonts w:cstheme="minorHAnsi"/>
          <w:color w:val="000000" w:themeColor="text1"/>
        </w:rPr>
        <w:t>C</w:t>
      </w:r>
      <w:r w:rsidR="005F3E86">
        <w:rPr>
          <w:rFonts w:cstheme="minorHAnsi"/>
          <w:color w:val="000000" w:themeColor="text1"/>
        </w:rPr>
        <w:t>ent</w:t>
      </w:r>
      <w:r w:rsidR="002C5181">
        <w:rPr>
          <w:rFonts w:cstheme="minorHAnsi"/>
          <w:color w:val="000000" w:themeColor="text1"/>
        </w:rPr>
        <w:t>er</w:t>
      </w:r>
      <w:r w:rsidR="005F3E86">
        <w:rPr>
          <w:rFonts w:cstheme="minorHAnsi"/>
          <w:color w:val="000000" w:themeColor="text1"/>
        </w:rPr>
        <w:t xml:space="preserve"> would also benefit from </w:t>
      </w:r>
      <w:r w:rsidRPr="00C75AE6">
        <w:rPr>
          <w:rFonts w:cstheme="minorHAnsi"/>
          <w:color w:val="000000" w:themeColor="text1"/>
        </w:rPr>
        <w:t>support to monitor</w:t>
      </w:r>
      <w:r w:rsidR="005F3E86">
        <w:rPr>
          <w:rFonts w:cstheme="minorHAnsi"/>
          <w:color w:val="000000" w:themeColor="text1"/>
        </w:rPr>
        <w:t xml:space="preserve"> </w:t>
      </w:r>
      <w:r w:rsidR="002C5181">
        <w:rPr>
          <w:rFonts w:cstheme="minorHAnsi"/>
          <w:color w:val="000000" w:themeColor="text1"/>
        </w:rPr>
        <w:t xml:space="preserve">private sector </w:t>
      </w:r>
      <w:r w:rsidRPr="00C75AE6">
        <w:rPr>
          <w:rFonts w:cstheme="minorHAnsi"/>
          <w:color w:val="000000" w:themeColor="text1"/>
        </w:rPr>
        <w:t xml:space="preserve">compliance </w:t>
      </w:r>
      <w:r w:rsidR="005F3E86">
        <w:rPr>
          <w:rFonts w:cstheme="minorHAnsi"/>
          <w:color w:val="000000" w:themeColor="text1"/>
        </w:rPr>
        <w:t>through more</w:t>
      </w:r>
      <w:r w:rsidRPr="00C75AE6">
        <w:rPr>
          <w:rFonts w:cstheme="minorHAnsi"/>
          <w:color w:val="000000" w:themeColor="text1"/>
        </w:rPr>
        <w:t xml:space="preserve"> specialised GEDSI support.</w:t>
      </w:r>
    </w:p>
    <w:p w14:paraId="0014FDD3" w14:textId="49F493E0" w:rsidR="00637E32" w:rsidRDefault="00613C14" w:rsidP="006B254D">
      <w:pPr>
        <w:spacing w:line="240" w:lineRule="auto"/>
        <w:rPr>
          <w:rFonts w:cstheme="minorHAnsi"/>
          <w:color w:val="000000" w:themeColor="text1"/>
        </w:rPr>
      </w:pPr>
      <w:r>
        <w:rPr>
          <w:rFonts w:cs="Arial"/>
        </w:rPr>
        <w:t xml:space="preserve">Given that the program started building foundational capacity in PPPs only ten </w:t>
      </w:r>
      <w:r w:rsidR="002C5181">
        <w:rPr>
          <w:rFonts w:cs="Arial"/>
        </w:rPr>
        <w:t>years</w:t>
      </w:r>
      <w:r>
        <w:rPr>
          <w:rFonts w:cs="Arial"/>
        </w:rPr>
        <w:t xml:space="preserve"> earlier, it is perhaps unrealistic to expect a </w:t>
      </w:r>
      <w:r w:rsidR="007363E5">
        <w:rPr>
          <w:rFonts w:cs="Arial"/>
        </w:rPr>
        <w:t>high-level</w:t>
      </w:r>
      <w:r>
        <w:rPr>
          <w:rFonts w:cs="Arial"/>
        </w:rPr>
        <w:t xml:space="preserve"> gender inclusion tailored to the technical and thematic specifications </w:t>
      </w:r>
      <w:r w:rsidR="003A629F">
        <w:rPr>
          <w:rFonts w:cs="Arial"/>
        </w:rPr>
        <w:t xml:space="preserve">of </w:t>
      </w:r>
      <w:r>
        <w:rPr>
          <w:rFonts w:cs="Arial"/>
        </w:rPr>
        <w:t xml:space="preserve">PPP projects after only ten years. However, achieving, documenting and showcasing </w:t>
      </w:r>
      <w:r w:rsidR="002C5181">
        <w:rPr>
          <w:rFonts w:cs="Arial"/>
        </w:rPr>
        <w:t>gender inclusion</w:t>
      </w:r>
      <w:r>
        <w:rPr>
          <w:rFonts w:cs="Arial"/>
        </w:rPr>
        <w:t xml:space="preserve"> across a handful of PPP</w:t>
      </w:r>
      <w:r w:rsidR="002C5181">
        <w:rPr>
          <w:rFonts w:cs="Arial"/>
        </w:rPr>
        <w:t xml:space="preserve"> project</w:t>
      </w:r>
      <w:r w:rsidR="003A629F">
        <w:rPr>
          <w:rFonts w:cs="Arial"/>
        </w:rPr>
        <w:t xml:space="preserve">s </w:t>
      </w:r>
      <w:r>
        <w:rPr>
          <w:rFonts w:cs="Arial"/>
        </w:rPr>
        <w:t xml:space="preserve">would have been a </w:t>
      </w:r>
      <w:r w:rsidR="002C5181">
        <w:rPr>
          <w:rFonts w:cs="Arial"/>
        </w:rPr>
        <w:t>st</w:t>
      </w:r>
      <w:r w:rsidR="00FC3ADC">
        <w:rPr>
          <w:rFonts w:cs="Arial"/>
        </w:rPr>
        <w:t>r</w:t>
      </w:r>
      <w:r w:rsidR="002C5181">
        <w:rPr>
          <w:rFonts w:cs="Arial"/>
        </w:rPr>
        <w:t>onger</w:t>
      </w:r>
      <w:r>
        <w:rPr>
          <w:rFonts w:cs="Arial"/>
        </w:rPr>
        <w:t xml:space="preserve"> result for the </w:t>
      </w:r>
      <w:r w:rsidR="002C5181">
        <w:rPr>
          <w:rFonts w:cs="Arial"/>
        </w:rPr>
        <w:t>TA</w:t>
      </w:r>
      <w:r>
        <w:rPr>
          <w:rFonts w:cs="Arial"/>
        </w:rPr>
        <w:t xml:space="preserve">, and may have occurred if more focus and resourcing on gender equality had been provided. </w:t>
      </w:r>
      <w:r w:rsidR="002C5181">
        <w:rPr>
          <w:rFonts w:cs="Arial"/>
        </w:rPr>
        <w:t>Nevertheless</w:t>
      </w:r>
      <w:r>
        <w:rPr>
          <w:rFonts w:cs="Arial"/>
        </w:rPr>
        <w:t xml:space="preserve">, the positive developments and progress in the area of gender equality </w:t>
      </w:r>
      <w:r w:rsidR="00DD732F">
        <w:rPr>
          <w:rFonts w:cs="Arial"/>
        </w:rPr>
        <w:t xml:space="preserve">were </w:t>
      </w:r>
      <w:r>
        <w:rPr>
          <w:rFonts w:cs="Arial"/>
        </w:rPr>
        <w:t>not small or insignificant</w:t>
      </w:r>
      <w:r w:rsidRPr="0086516B">
        <w:rPr>
          <w:rFonts w:cs="Arial"/>
        </w:rPr>
        <w:t>, particularly in the area of infrastructure development which can be a difficult sector in which to make gains.</w:t>
      </w:r>
    </w:p>
    <w:p w14:paraId="3040B611" w14:textId="32A7BD9B" w:rsidR="00637E32" w:rsidRDefault="00FD572D" w:rsidP="006B254D">
      <w:pPr>
        <w:spacing w:line="240" w:lineRule="auto"/>
        <w:rPr>
          <w:rFonts w:cstheme="minorHAnsi"/>
          <w:color w:val="000000" w:themeColor="text1"/>
        </w:rPr>
      </w:pPr>
      <w:r w:rsidRPr="00792D3C">
        <w:t>Disability</w:t>
      </w:r>
      <w:r w:rsidR="00792D3C" w:rsidRPr="00792D3C">
        <w:t xml:space="preserve"> inclusion </w:t>
      </w:r>
      <w:r w:rsidR="00DD732F">
        <w:t>was</w:t>
      </w:r>
      <w:r w:rsidR="00DD732F" w:rsidRPr="00792D3C">
        <w:t xml:space="preserve"> </w:t>
      </w:r>
      <w:r w:rsidR="00792D3C" w:rsidRPr="00792D3C">
        <w:t xml:space="preserve">not </w:t>
      </w:r>
      <w:r w:rsidR="000F2DF0">
        <w:t xml:space="preserve">as </w:t>
      </w:r>
      <w:r w:rsidR="00F77C67">
        <w:t>well</w:t>
      </w:r>
      <w:r w:rsidR="00792D3C">
        <w:t xml:space="preserve"> progressed by the TA, and </w:t>
      </w:r>
      <w:r w:rsidR="00DD732F">
        <w:t xml:space="preserve">there were missed </w:t>
      </w:r>
      <w:r w:rsidR="007363E5">
        <w:t>opportunities to</w:t>
      </w:r>
      <w:r w:rsidR="00792D3C">
        <w:t xml:space="preserve"> </w:t>
      </w:r>
      <w:r w:rsidR="007363E5">
        <w:t>integrate disability inclusion more strongly</w:t>
      </w:r>
      <w:r w:rsidR="00DD732F">
        <w:t xml:space="preserve"> </w:t>
      </w:r>
      <w:r w:rsidR="00792D3C">
        <w:t>in</w:t>
      </w:r>
      <w:r w:rsidR="0013463D">
        <w:t>to</w:t>
      </w:r>
      <w:r w:rsidR="00792D3C">
        <w:t xml:space="preserve"> policy, </w:t>
      </w:r>
      <w:r w:rsidR="007363E5">
        <w:t>guidelines,</w:t>
      </w:r>
      <w:r w:rsidR="00792D3C">
        <w:t xml:space="preserve"> and capacity building. Disability</w:t>
      </w:r>
      <w:r w:rsidR="00C14386">
        <w:t xml:space="preserve"> inclusion</w:t>
      </w:r>
      <w:r w:rsidR="00792D3C">
        <w:t xml:space="preserve"> is referenced in the </w:t>
      </w:r>
      <w:r w:rsidR="00792D3C" w:rsidRPr="00792D3C">
        <w:t xml:space="preserve">PPP Governing Board Resolution </w:t>
      </w:r>
      <w:r w:rsidR="00792D3C">
        <w:t xml:space="preserve">on </w:t>
      </w:r>
      <w:r w:rsidR="00792D3C" w:rsidRPr="00792D3C">
        <w:t>Mainstreaming Environment and Social Safeguards</w:t>
      </w:r>
      <w:r w:rsidR="00792D3C">
        <w:t xml:space="preserve"> (2018)</w:t>
      </w:r>
      <w:r w:rsidR="005242F4">
        <w:rPr>
          <w:rStyle w:val="FootnoteReference"/>
        </w:rPr>
        <w:footnoteReference w:id="29"/>
      </w:r>
      <w:r w:rsidR="00792D3C">
        <w:t xml:space="preserve"> and the </w:t>
      </w:r>
      <w:r w:rsidR="00780E8B">
        <w:t>National Government Agency (</w:t>
      </w:r>
      <w:r w:rsidR="00792D3C">
        <w:t>NGA</w:t>
      </w:r>
      <w:r w:rsidR="00780E8B">
        <w:t>)</w:t>
      </w:r>
      <w:r w:rsidR="00792D3C">
        <w:t xml:space="preserve"> </w:t>
      </w:r>
      <w:r w:rsidR="00792D3C" w:rsidRPr="00792D3C">
        <w:t>Guidelines for Gender Mainstreaming in PPP Projects</w:t>
      </w:r>
      <w:r w:rsidR="00C14386">
        <w:rPr>
          <w:rStyle w:val="FootnoteReference"/>
        </w:rPr>
        <w:footnoteReference w:id="30"/>
      </w:r>
      <w:r w:rsidR="00792D3C">
        <w:t>.</w:t>
      </w:r>
      <w:r w:rsidR="00C14386">
        <w:t xml:space="preserve"> While policy and guidelines </w:t>
      </w:r>
      <w:r w:rsidR="00DD732F">
        <w:t xml:space="preserve">were </w:t>
      </w:r>
      <w:r w:rsidR="00C14386">
        <w:t xml:space="preserve">set a </w:t>
      </w:r>
      <w:r w:rsidR="00513592">
        <w:t>high-level</w:t>
      </w:r>
      <w:r w:rsidR="00C14386">
        <w:t xml:space="preserve"> mandate</w:t>
      </w:r>
      <w:r w:rsidR="00513592">
        <w:t xml:space="preserve"> for disability inclusion across PPPs, </w:t>
      </w:r>
      <w:r w:rsidR="004D12AB">
        <w:t xml:space="preserve">the </w:t>
      </w:r>
      <w:r w:rsidR="00540D75">
        <w:t xml:space="preserve">practical </w:t>
      </w:r>
      <w:r w:rsidR="0013463D">
        <w:t xml:space="preserve">steps and mechanisms to facilitate </w:t>
      </w:r>
      <w:r w:rsidR="004D12AB">
        <w:t xml:space="preserve">disability </w:t>
      </w:r>
      <w:r w:rsidR="0013463D">
        <w:t xml:space="preserve">inclusion in the </w:t>
      </w:r>
      <w:r w:rsidR="00513592">
        <w:t>scop</w:t>
      </w:r>
      <w:r w:rsidR="0013463D">
        <w:t>ing</w:t>
      </w:r>
      <w:r w:rsidR="00513592">
        <w:t>, design,</w:t>
      </w:r>
      <w:r w:rsidR="0013463D">
        <w:t xml:space="preserve"> </w:t>
      </w:r>
      <w:r w:rsidR="007363E5">
        <w:t>planning,</w:t>
      </w:r>
      <w:r w:rsidR="0013463D">
        <w:t xml:space="preserve"> and</w:t>
      </w:r>
      <w:r w:rsidR="00513592">
        <w:t xml:space="preserve"> monitoring</w:t>
      </w:r>
      <w:r w:rsidR="004D12AB">
        <w:t xml:space="preserve"> of</w:t>
      </w:r>
      <w:r w:rsidR="00513592">
        <w:t xml:space="preserve"> </w:t>
      </w:r>
      <w:r w:rsidR="0013463D">
        <w:t xml:space="preserve">PPP projects </w:t>
      </w:r>
      <w:r w:rsidR="00DD732F">
        <w:t>were</w:t>
      </w:r>
      <w:r w:rsidR="0013463D">
        <w:t xml:space="preserve"> not </w:t>
      </w:r>
      <w:r w:rsidR="00540D75">
        <w:t xml:space="preserve">sufficiently </w:t>
      </w:r>
      <w:r w:rsidR="0013463D">
        <w:t xml:space="preserve">detailed. </w:t>
      </w:r>
      <w:r w:rsidR="00540D75">
        <w:t>For example, b</w:t>
      </w:r>
      <w:r w:rsidR="0013463D">
        <w:t>uilding on the approach taken to gender mainstreaming, example</w:t>
      </w:r>
      <w:r w:rsidR="00324D06">
        <w:t>s of</w:t>
      </w:r>
      <w:r w:rsidR="0013463D">
        <w:t xml:space="preserve"> strategies </w:t>
      </w:r>
      <w:r w:rsidR="00725F8C">
        <w:t xml:space="preserve">could </w:t>
      </w:r>
      <w:r w:rsidR="00DD732F">
        <w:t xml:space="preserve">have </w:t>
      </w:r>
      <w:r w:rsidR="0013463D">
        <w:t>include</w:t>
      </w:r>
      <w:r w:rsidR="00DD732F">
        <w:t>d</w:t>
      </w:r>
      <w:r w:rsidR="00F77C67">
        <w:t xml:space="preserve">: </w:t>
      </w:r>
      <w:r w:rsidR="0013463D">
        <w:t>forging</w:t>
      </w:r>
      <w:r w:rsidR="0013463D" w:rsidRPr="004101AF">
        <w:t xml:space="preserve"> networks</w:t>
      </w:r>
      <w:r w:rsidR="00586836">
        <w:t xml:space="preserve"> and </w:t>
      </w:r>
      <w:r w:rsidR="00540D75">
        <w:t xml:space="preserve">Memoranda of Understanding </w:t>
      </w:r>
      <w:r w:rsidR="00586836">
        <w:t>or</w:t>
      </w:r>
      <w:r w:rsidR="0013463D">
        <w:t xml:space="preserve"> </w:t>
      </w:r>
      <w:r w:rsidR="0013463D" w:rsidRPr="004101AF">
        <w:t xml:space="preserve">contracts with </w:t>
      </w:r>
      <w:r w:rsidR="003A629F">
        <w:t>d</w:t>
      </w:r>
      <w:r w:rsidR="0013463D">
        <w:t xml:space="preserve">isabled </w:t>
      </w:r>
      <w:r w:rsidR="003A629F">
        <w:t>p</w:t>
      </w:r>
      <w:r w:rsidR="0013463D">
        <w:t xml:space="preserve">eoples </w:t>
      </w:r>
      <w:r w:rsidR="003A629F">
        <w:t>o</w:t>
      </w:r>
      <w:r w:rsidR="0013463D">
        <w:t xml:space="preserve">rganisations </w:t>
      </w:r>
      <w:r w:rsidR="0013463D" w:rsidRPr="004101AF">
        <w:t>to provide</w:t>
      </w:r>
      <w:r w:rsidR="0013463D">
        <w:t xml:space="preserve"> advisory support, capacity building of government and </w:t>
      </w:r>
      <w:r w:rsidR="00540D75">
        <w:t>private sector</w:t>
      </w:r>
      <w:r w:rsidR="0013463D">
        <w:t xml:space="preserve"> partners and accessibility audits</w:t>
      </w:r>
      <w:r w:rsidR="00F77C67">
        <w:t>;</w:t>
      </w:r>
      <w:r w:rsidR="000F2DF0">
        <w:t xml:space="preserve"> </w:t>
      </w:r>
      <w:r w:rsidR="0013463D">
        <w:t>s</w:t>
      </w:r>
      <w:r w:rsidR="0013463D" w:rsidRPr="008D19FD">
        <w:t>et up committee</w:t>
      </w:r>
      <w:r w:rsidR="00540D75">
        <w:t>s</w:t>
      </w:r>
      <w:r w:rsidR="0013463D" w:rsidRPr="008D19FD">
        <w:t xml:space="preserve"> with membership of people with disability to </w:t>
      </w:r>
      <w:r w:rsidR="00540D75">
        <w:t>review PPP Cent</w:t>
      </w:r>
      <w:r w:rsidR="00A92122">
        <w:t>er</w:t>
      </w:r>
      <w:r w:rsidR="00540D75">
        <w:t xml:space="preserve"> policies and guidelines, and </w:t>
      </w:r>
      <w:r w:rsidR="0013463D" w:rsidRPr="00375B55">
        <w:t>discuss issues and complaints on construction</w:t>
      </w:r>
      <w:r w:rsidR="00F77C67">
        <w:t xml:space="preserve"> and service delivery</w:t>
      </w:r>
      <w:r w:rsidR="00540D75">
        <w:t xml:space="preserve"> related to specific projects</w:t>
      </w:r>
      <w:r w:rsidR="00DD732F">
        <w:t>:</w:t>
      </w:r>
      <w:r w:rsidR="0013463D" w:rsidRPr="008D19FD">
        <w:t xml:space="preserve"> and </w:t>
      </w:r>
      <w:r w:rsidR="00586836" w:rsidRPr="008D19FD">
        <w:t>contribute</w:t>
      </w:r>
      <w:r w:rsidR="00DD732F">
        <w:t>d</w:t>
      </w:r>
      <w:r w:rsidR="00586836" w:rsidRPr="008D19FD">
        <w:t xml:space="preserve"> solutions</w:t>
      </w:r>
      <w:r w:rsidR="00586836">
        <w:t xml:space="preserve"> to enhance</w:t>
      </w:r>
      <w:r w:rsidR="00586836" w:rsidRPr="008D19FD">
        <w:t xml:space="preserve"> </w:t>
      </w:r>
      <w:r w:rsidR="0013463D" w:rsidRPr="008D19FD">
        <w:t>service performance</w:t>
      </w:r>
      <w:r w:rsidR="000F2DF0">
        <w:t>.</w:t>
      </w:r>
    </w:p>
    <w:p w14:paraId="5B7B77E1" w14:textId="2BC5EE17" w:rsidR="00DD732F" w:rsidRDefault="00526A3B" w:rsidP="006B254D">
      <w:pPr>
        <w:spacing w:line="240" w:lineRule="auto"/>
        <w:rPr>
          <w:rFonts w:cstheme="minorHAnsi"/>
        </w:rPr>
      </w:pPr>
      <w:r>
        <w:t>It is noted</w:t>
      </w:r>
      <w:r w:rsidR="00DD732F">
        <w:t xml:space="preserve"> however,</w:t>
      </w:r>
      <w:r>
        <w:t xml:space="preserve"> that a handful of PPP projects </w:t>
      </w:r>
      <w:r w:rsidR="00DD732F">
        <w:t xml:space="preserve">did </w:t>
      </w:r>
      <w:r>
        <w:t xml:space="preserve">include accessible facilities. For example, </w:t>
      </w:r>
      <w:r w:rsidR="00334209">
        <w:t xml:space="preserve">in </w:t>
      </w:r>
      <w:r>
        <w:t xml:space="preserve">the </w:t>
      </w:r>
      <w:r w:rsidRPr="00526A3B">
        <w:t xml:space="preserve">Mactan-Cebu International Airport New Passenger Terminal Building Project washrooms and elevators </w:t>
      </w:r>
      <w:r w:rsidR="00DD732F">
        <w:t>took</w:t>
      </w:r>
      <w:r w:rsidRPr="00526A3B">
        <w:t xml:space="preserve"> into account unassisted requirements of people with disability, such as electric </w:t>
      </w:r>
      <w:r w:rsidR="007363E5" w:rsidRPr="00526A3B">
        <w:t>doorknobs</w:t>
      </w:r>
      <w:r w:rsidRPr="00526A3B">
        <w:t xml:space="preserve"> and accessible elevator buttons. The Clark International Airport Project built accessible toilet facilities</w:t>
      </w:r>
      <w:r w:rsidR="00334209">
        <w:t xml:space="preserve"> </w:t>
      </w:r>
      <w:r w:rsidRPr="00526A3B">
        <w:t xml:space="preserve">and offers free services at all passenger terminals including mobility carts and wheelchairs. </w:t>
      </w:r>
      <w:r w:rsidR="004E6024">
        <w:t xml:space="preserve">The </w:t>
      </w:r>
      <w:r w:rsidR="004E6024" w:rsidRPr="004E6024">
        <w:t>Southwest Integrated Transport System Project provide</w:t>
      </w:r>
      <w:r w:rsidR="00AF7743">
        <w:t>s</w:t>
      </w:r>
      <w:r w:rsidR="004E6024" w:rsidRPr="004E6024">
        <w:t xml:space="preserve"> accessible facilities including separate toilets, ramps, signage, handles and parking areas</w:t>
      </w:r>
      <w:r w:rsidR="004E6024">
        <w:t xml:space="preserve">. </w:t>
      </w:r>
      <w:r w:rsidR="004B4FFC">
        <w:t xml:space="preserve">However, </w:t>
      </w:r>
      <w:r w:rsidR="00F92B9F" w:rsidRPr="00FE4C94">
        <w:rPr>
          <w:rFonts w:cstheme="minorHAnsi"/>
        </w:rPr>
        <w:t xml:space="preserve">as outlined above </w:t>
      </w:r>
      <w:r w:rsidR="000F4811">
        <w:rPr>
          <w:rFonts w:cstheme="minorHAnsi"/>
        </w:rPr>
        <w:t>in relation to</w:t>
      </w:r>
      <w:r w:rsidR="00F92B9F" w:rsidRPr="00FE4C94">
        <w:rPr>
          <w:rFonts w:cstheme="minorHAnsi"/>
        </w:rPr>
        <w:t xml:space="preserve"> gender</w:t>
      </w:r>
      <w:r w:rsidR="00F92B9F" w:rsidRPr="00211FAB">
        <w:rPr>
          <w:rFonts w:cstheme="minorHAnsi"/>
        </w:rPr>
        <w:t xml:space="preserve"> </w:t>
      </w:r>
      <w:r w:rsidR="000F4811">
        <w:rPr>
          <w:rFonts w:cstheme="minorHAnsi"/>
        </w:rPr>
        <w:t>equality</w:t>
      </w:r>
      <w:r w:rsidR="00F92B9F" w:rsidRPr="00211FAB">
        <w:rPr>
          <w:rFonts w:cstheme="minorHAnsi"/>
        </w:rPr>
        <w:t>, th</w:t>
      </w:r>
      <w:r w:rsidR="00F92B9F" w:rsidRPr="00F54585">
        <w:rPr>
          <w:rFonts w:cstheme="minorHAnsi"/>
        </w:rPr>
        <w:t xml:space="preserve">ese outcomes cannot be wholly </w:t>
      </w:r>
      <w:r w:rsidR="00F92B9F" w:rsidRPr="00A34AF6">
        <w:rPr>
          <w:rFonts w:cstheme="minorHAnsi"/>
        </w:rPr>
        <w:t>attributed</w:t>
      </w:r>
      <w:r w:rsidR="00F92B9F" w:rsidRPr="00F170EC">
        <w:rPr>
          <w:rFonts w:cstheme="minorHAnsi"/>
        </w:rPr>
        <w:t xml:space="preserve"> to the PPP Program or TA as while c</w:t>
      </w:r>
      <w:r w:rsidR="00F92B9F" w:rsidRPr="0063059C">
        <w:rPr>
          <w:rFonts w:cstheme="minorHAnsi"/>
        </w:rPr>
        <w:t xml:space="preserve">ontracts specify </w:t>
      </w:r>
      <w:r w:rsidR="000F4811">
        <w:rPr>
          <w:rFonts w:cstheme="minorHAnsi"/>
        </w:rPr>
        <w:t xml:space="preserve">that </w:t>
      </w:r>
      <w:r w:rsidR="00F92B9F" w:rsidRPr="0063059C">
        <w:rPr>
          <w:rFonts w:cstheme="minorHAnsi"/>
        </w:rPr>
        <w:t>inclusion standards</w:t>
      </w:r>
      <w:r w:rsidR="00FE4C94" w:rsidRPr="00C46D4F">
        <w:rPr>
          <w:rFonts w:cstheme="minorHAnsi"/>
        </w:rPr>
        <w:t xml:space="preserve"> must be met, the </w:t>
      </w:r>
      <w:r w:rsidR="00FE4C94" w:rsidRPr="00FC3ADC">
        <w:rPr>
          <w:rFonts w:cstheme="minorHAnsi"/>
          <w:color w:val="000000" w:themeColor="text1"/>
          <w:lang w:val="en-US"/>
        </w:rPr>
        <w:t>input specifications on how to comply with these standards are not</w:t>
      </w:r>
      <w:r w:rsidR="000F4811">
        <w:rPr>
          <w:rFonts w:cstheme="minorHAnsi"/>
          <w:color w:val="000000" w:themeColor="text1"/>
          <w:lang w:val="en-US"/>
        </w:rPr>
        <w:t xml:space="preserve"> comprehensively</w:t>
      </w:r>
      <w:r w:rsidR="00FE4C94" w:rsidRPr="00FC3ADC">
        <w:rPr>
          <w:rFonts w:cstheme="minorHAnsi"/>
          <w:color w:val="000000" w:themeColor="text1"/>
          <w:lang w:val="en-US"/>
        </w:rPr>
        <w:t xml:space="preserve"> </w:t>
      </w:r>
      <w:r w:rsidR="00F92B9F" w:rsidRPr="00FE4C94">
        <w:rPr>
          <w:rFonts w:cstheme="minorHAnsi"/>
        </w:rPr>
        <w:t xml:space="preserve">detailed </w:t>
      </w:r>
      <w:r w:rsidR="000F4811">
        <w:rPr>
          <w:rFonts w:cstheme="minorHAnsi"/>
        </w:rPr>
        <w:t>or</w:t>
      </w:r>
      <w:r w:rsidR="00FE4C94" w:rsidRPr="00211FAB">
        <w:rPr>
          <w:rFonts w:cstheme="minorHAnsi"/>
        </w:rPr>
        <w:t xml:space="preserve"> </w:t>
      </w:r>
      <w:r w:rsidR="00F92B9F" w:rsidRPr="00211FAB">
        <w:rPr>
          <w:rFonts w:cstheme="minorHAnsi"/>
        </w:rPr>
        <w:t xml:space="preserve">nuanced to each project type, with the level and quality of inclusion dependent on the capacity, expertise and drive of the </w:t>
      </w:r>
      <w:r w:rsidR="000F4811">
        <w:rPr>
          <w:rFonts w:cstheme="minorHAnsi"/>
        </w:rPr>
        <w:t>private sector</w:t>
      </w:r>
      <w:r w:rsidR="00F92B9F" w:rsidRPr="00211FAB">
        <w:rPr>
          <w:rFonts w:cstheme="minorHAnsi"/>
        </w:rPr>
        <w:t xml:space="preserve"> partner </w:t>
      </w:r>
      <w:r w:rsidR="00F92B9F" w:rsidRPr="00FE4C94">
        <w:rPr>
          <w:rStyle w:val="FootnoteReference"/>
          <w:rFonts w:cstheme="minorHAnsi"/>
        </w:rPr>
        <w:footnoteReference w:id="31"/>
      </w:r>
      <w:r w:rsidR="00F92B9F" w:rsidRPr="00FE4C94">
        <w:rPr>
          <w:rFonts w:cstheme="minorHAnsi"/>
        </w:rPr>
        <w:t>.</w:t>
      </w:r>
    </w:p>
    <w:p w14:paraId="29F66492" w14:textId="4CB8755E" w:rsidR="00637E32" w:rsidRDefault="00725F8C" w:rsidP="006B254D">
      <w:pPr>
        <w:spacing w:line="240" w:lineRule="auto"/>
        <w:rPr>
          <w:rFonts w:cstheme="minorHAnsi"/>
          <w:color w:val="000000" w:themeColor="text1"/>
        </w:rPr>
      </w:pPr>
      <w:r>
        <w:lastRenderedPageBreak/>
        <w:t xml:space="preserve">Australia is well placed to </w:t>
      </w:r>
      <w:r w:rsidR="005413A4">
        <w:t>contribute to</w:t>
      </w:r>
      <w:r>
        <w:t xml:space="preserve"> </w:t>
      </w:r>
      <w:r w:rsidR="005E7A93">
        <w:t xml:space="preserve">disability </w:t>
      </w:r>
      <w:r>
        <w:t>inclusion</w:t>
      </w:r>
      <w:r w:rsidR="004E6024">
        <w:t xml:space="preserve"> in a future program</w:t>
      </w:r>
      <w:r>
        <w:t xml:space="preserve">, such as </w:t>
      </w:r>
      <w:r w:rsidR="005413A4">
        <w:t>by promoting</w:t>
      </w:r>
      <w:r w:rsidR="005E7A93">
        <w:t xml:space="preserve"> links and</w:t>
      </w:r>
      <w:r>
        <w:t xml:space="preserve"> partnerships with </w:t>
      </w:r>
      <w:r w:rsidR="005413A4">
        <w:t xml:space="preserve">Australian </w:t>
      </w:r>
      <w:r>
        <w:t>firms leading in universal design standards for accessibility</w:t>
      </w:r>
      <w:r w:rsidR="005E7A93">
        <w:t xml:space="preserve"> for particular types of infrastructure development projects</w:t>
      </w:r>
      <w:r>
        <w:t xml:space="preserve">, and </w:t>
      </w:r>
      <w:r w:rsidR="005E7A93">
        <w:t>opening training opportunities up to program</w:t>
      </w:r>
      <w:r>
        <w:t xml:space="preserve"> partner</w:t>
      </w:r>
      <w:r w:rsidR="005E7A93">
        <w:t>s</w:t>
      </w:r>
      <w:r>
        <w:rPr>
          <w:rStyle w:val="FootnoteReference"/>
        </w:rPr>
        <w:footnoteReference w:id="32"/>
      </w:r>
      <w:r>
        <w:t xml:space="preserve">. </w:t>
      </w:r>
    </w:p>
    <w:p w14:paraId="4158FA5F" w14:textId="7E88CF55" w:rsidR="00637E32" w:rsidRDefault="002F4A01" w:rsidP="006B254D">
      <w:pPr>
        <w:spacing w:line="240" w:lineRule="auto"/>
        <w:rPr>
          <w:rFonts w:cstheme="minorHAnsi"/>
          <w:color w:val="000000" w:themeColor="text1"/>
        </w:rPr>
      </w:pPr>
      <w:r w:rsidRPr="00541E8E">
        <w:t>The PPP Governing Board Resolution</w:t>
      </w:r>
      <w:r w:rsidR="00672AAD">
        <w:t xml:space="preserve"> on</w:t>
      </w:r>
      <w:r w:rsidR="00284867" w:rsidRPr="00541E8E">
        <w:t xml:space="preserve"> </w:t>
      </w:r>
      <w:r w:rsidRPr="00541E8E">
        <w:t>Mainstreaming Environment and Social Safeguard</w:t>
      </w:r>
      <w:r w:rsidR="00284867" w:rsidRPr="00541E8E">
        <w:t>s (2018) strongly mandate</w:t>
      </w:r>
      <w:r w:rsidR="00DD732F">
        <w:t>d</w:t>
      </w:r>
      <w:r w:rsidR="00284867" w:rsidRPr="00541E8E">
        <w:t xml:space="preserve"> social and environmental safeguarding.</w:t>
      </w:r>
      <w:r w:rsidR="00205A34" w:rsidRPr="00541E8E">
        <w:t xml:space="preserve"> </w:t>
      </w:r>
      <w:r w:rsidRPr="00541E8E">
        <w:t xml:space="preserve">The </w:t>
      </w:r>
      <w:r w:rsidR="00205A34" w:rsidRPr="00541E8E">
        <w:t>guideline</w:t>
      </w:r>
      <w:r w:rsidRPr="00541E8E">
        <w:t xml:space="preserve"> aim</w:t>
      </w:r>
      <w:r w:rsidR="00DD732F">
        <w:t>ed</w:t>
      </w:r>
      <w:r w:rsidRPr="00541E8E">
        <w:t xml:space="preserve"> to support </w:t>
      </w:r>
      <w:r w:rsidR="00021678">
        <w:t>implementing agencies</w:t>
      </w:r>
      <w:r w:rsidRPr="00541E8E">
        <w:t xml:space="preserve"> to</w:t>
      </w:r>
      <w:r w:rsidR="00205A34" w:rsidRPr="00541E8E">
        <w:t xml:space="preserve"> integrate safeguarding in: </w:t>
      </w:r>
      <w:r w:rsidR="000F7C9B" w:rsidRPr="00541E8E">
        <w:t xml:space="preserve">the </w:t>
      </w:r>
      <w:r w:rsidR="00205A34" w:rsidRPr="00541E8E">
        <w:t>development phase b</w:t>
      </w:r>
      <w:r w:rsidR="000F7C9B" w:rsidRPr="00541E8E">
        <w:t>y</w:t>
      </w:r>
      <w:r w:rsidRPr="00541E8E">
        <w:t xml:space="preserve"> identify</w:t>
      </w:r>
      <w:r w:rsidR="004F6D54">
        <w:t>ing</w:t>
      </w:r>
      <w:r w:rsidRPr="00541E8E">
        <w:t xml:space="preserve"> applicable laws and regulations </w:t>
      </w:r>
      <w:r w:rsidR="004F6D54">
        <w:t xml:space="preserve">to </w:t>
      </w:r>
      <w:r w:rsidRPr="00541E8E">
        <w:t xml:space="preserve">ensure </w:t>
      </w:r>
      <w:r w:rsidR="00205A34" w:rsidRPr="00541E8E">
        <w:t>safeguards</w:t>
      </w:r>
      <w:r w:rsidRPr="00541E8E">
        <w:t xml:space="preserve"> </w:t>
      </w:r>
      <w:r w:rsidR="00DD732F">
        <w:t>were</w:t>
      </w:r>
      <w:r w:rsidRPr="00541E8E">
        <w:t xml:space="preserve"> considered in </w:t>
      </w:r>
      <w:r w:rsidR="00205A34" w:rsidRPr="00541E8E">
        <w:t>Feasibility Study</w:t>
      </w:r>
      <w:r w:rsidRPr="00541E8E">
        <w:t xml:space="preserve"> and design; the review and approval phase by ensuring safeguards are</w:t>
      </w:r>
      <w:r w:rsidR="00205A34" w:rsidRPr="00541E8E">
        <w:t xml:space="preserve"> appropriately</w:t>
      </w:r>
      <w:r w:rsidRPr="00541E8E">
        <w:t xml:space="preserve"> identified and mitigated; </w:t>
      </w:r>
      <w:r w:rsidR="000F7C9B" w:rsidRPr="00541E8E">
        <w:t>the</w:t>
      </w:r>
      <w:r w:rsidRPr="00541E8E">
        <w:t xml:space="preserve"> procurement </w:t>
      </w:r>
      <w:r w:rsidR="000F7C9B" w:rsidRPr="00541E8E">
        <w:t xml:space="preserve">phase </w:t>
      </w:r>
      <w:r w:rsidRPr="00541E8E">
        <w:t>by</w:t>
      </w:r>
      <w:r w:rsidR="00205A34" w:rsidRPr="00541E8E">
        <w:t xml:space="preserve"> ensuring safeguarding provisions are reflected in the contract; and </w:t>
      </w:r>
      <w:r w:rsidR="000F7C9B" w:rsidRPr="00541E8E">
        <w:t xml:space="preserve">into </w:t>
      </w:r>
      <w:r w:rsidR="004F6D54">
        <w:t>monitoring</w:t>
      </w:r>
      <w:r w:rsidRPr="00541E8E">
        <w:t xml:space="preserve"> and feedback mechanisms </w:t>
      </w:r>
      <w:r w:rsidR="000F7C9B" w:rsidRPr="00541E8E">
        <w:t xml:space="preserve">to </w:t>
      </w:r>
      <w:r w:rsidRPr="00541E8E">
        <w:t xml:space="preserve">ensure </w:t>
      </w:r>
      <w:r w:rsidR="000F7C9B" w:rsidRPr="00541E8E">
        <w:t>safeguarding</w:t>
      </w:r>
      <w:r w:rsidRPr="00541E8E">
        <w:t xml:space="preserve"> </w:t>
      </w:r>
      <w:r w:rsidR="000F7C9B" w:rsidRPr="00541E8E">
        <w:t>measures</w:t>
      </w:r>
      <w:r w:rsidRPr="00541E8E">
        <w:t xml:space="preserve"> are embedded and complied with.</w:t>
      </w:r>
      <w:r w:rsidR="00541E8E" w:rsidRPr="00541E8E">
        <w:t xml:space="preserve"> There </w:t>
      </w:r>
      <w:r w:rsidR="00DD732F">
        <w:t>was</w:t>
      </w:r>
      <w:r w:rsidR="00541E8E" w:rsidRPr="00541E8E">
        <w:t xml:space="preserve"> a high level of awareness o</w:t>
      </w:r>
      <w:r w:rsidR="00AC63E6">
        <w:t>f</w:t>
      </w:r>
      <w:r w:rsidR="00541E8E" w:rsidRPr="00541E8E">
        <w:t xml:space="preserve"> safeguarding requirements, </w:t>
      </w:r>
      <w:r w:rsidR="00F63AD4">
        <w:t>with</w:t>
      </w:r>
      <w:r w:rsidR="007518B7">
        <w:t xml:space="preserve"> PDMF consultant</w:t>
      </w:r>
      <w:r w:rsidR="000E294C">
        <w:t>s</w:t>
      </w:r>
      <w:r w:rsidR="007518B7">
        <w:t xml:space="preserve"> providing valuable inputs </w:t>
      </w:r>
      <w:r w:rsidR="000E294C">
        <w:t>related</w:t>
      </w:r>
      <w:r w:rsidR="00A80F85">
        <w:t xml:space="preserve"> to</w:t>
      </w:r>
      <w:r w:rsidR="0090640F">
        <w:t xml:space="preserve"> social and </w:t>
      </w:r>
      <w:r w:rsidR="00211FAB">
        <w:t>environmental</w:t>
      </w:r>
      <w:r w:rsidR="000E294C">
        <w:t xml:space="preserve"> </w:t>
      </w:r>
      <w:r w:rsidR="00F63AD4">
        <w:t xml:space="preserve">safeguarding assessment through Feasibility Studies, </w:t>
      </w:r>
      <w:r w:rsidR="00541E8E" w:rsidRPr="00541E8E">
        <w:t>and the TA buil</w:t>
      </w:r>
      <w:r w:rsidR="00F63AD4">
        <w:t>ding</w:t>
      </w:r>
      <w:r w:rsidR="00541E8E" w:rsidRPr="00541E8E">
        <w:t xml:space="preserve"> capacity </w:t>
      </w:r>
      <w:r w:rsidR="00AC63E6">
        <w:t>on</w:t>
      </w:r>
      <w:r w:rsidR="00541E8E" w:rsidRPr="00541E8E">
        <w:t xml:space="preserve"> safeguarding through targeted sessions and trainings. </w:t>
      </w:r>
    </w:p>
    <w:p w14:paraId="50EDB926" w14:textId="5958B373" w:rsidR="00637E32" w:rsidRDefault="00541E8E" w:rsidP="006B254D">
      <w:pPr>
        <w:spacing w:line="240" w:lineRule="auto"/>
        <w:rPr>
          <w:rFonts w:cstheme="minorHAnsi"/>
          <w:color w:val="000000" w:themeColor="text1"/>
        </w:rPr>
      </w:pPr>
      <w:r w:rsidRPr="00541E8E">
        <w:t xml:space="preserve">There </w:t>
      </w:r>
      <w:r w:rsidR="00DD732F">
        <w:t>were</w:t>
      </w:r>
      <w:r w:rsidRPr="00541E8E">
        <w:t xml:space="preserve"> examples of strong</w:t>
      </w:r>
      <w:r w:rsidR="0090640F">
        <w:t xml:space="preserve"> environmental</w:t>
      </w:r>
      <w:r w:rsidRPr="00541E8E">
        <w:t xml:space="preserve"> safeguarding practice within PPP project</w:t>
      </w:r>
      <w:r w:rsidR="00AC63E6">
        <w:t>s</w:t>
      </w:r>
      <w:r w:rsidR="00B73F59">
        <w:t xml:space="preserve">. For example, the </w:t>
      </w:r>
      <w:r w:rsidR="00B73F59" w:rsidRPr="00B73F59">
        <w:t>Lumbo Spring Bulk Water Supply Project</w:t>
      </w:r>
      <w:r w:rsidR="00B73F59">
        <w:t xml:space="preserve">, led by two implementing agencies (San Pablo City Water District in Laguna Province, and Dolores Water District in the Province of Quezon) </w:t>
      </w:r>
      <w:r w:rsidR="00B73F59" w:rsidRPr="006E0406">
        <w:rPr>
          <w:rFonts w:cstheme="minorHAnsi"/>
          <w:spacing w:val="-2"/>
        </w:rPr>
        <w:t>involve</w:t>
      </w:r>
      <w:r w:rsidR="00DD732F">
        <w:rPr>
          <w:rFonts w:cstheme="minorHAnsi"/>
          <w:spacing w:val="-2"/>
        </w:rPr>
        <w:t>d</w:t>
      </w:r>
      <w:r w:rsidR="00B73F59" w:rsidRPr="006E0406">
        <w:rPr>
          <w:rFonts w:cstheme="minorHAnsi"/>
        </w:rPr>
        <w:t xml:space="preserve"> the </w:t>
      </w:r>
      <w:r w:rsidR="00B73F59" w:rsidRPr="006E0406">
        <w:rPr>
          <w:rFonts w:cstheme="minorHAnsi"/>
          <w:spacing w:val="-2"/>
        </w:rPr>
        <w:t>financ</w:t>
      </w:r>
      <w:r w:rsidR="00B73F59">
        <w:rPr>
          <w:rFonts w:cstheme="minorHAnsi"/>
          <w:spacing w:val="-2"/>
        </w:rPr>
        <w:t>ing</w:t>
      </w:r>
      <w:r w:rsidR="00B73F59" w:rsidRPr="006E0406">
        <w:rPr>
          <w:rFonts w:cstheme="minorHAnsi"/>
          <w:spacing w:val="-2"/>
        </w:rPr>
        <w:t>, construction, operation, and maintenance of the bulk water facility</w:t>
      </w:r>
      <w:r w:rsidR="00B73F59">
        <w:rPr>
          <w:rFonts w:cstheme="minorHAnsi"/>
          <w:spacing w:val="-2"/>
        </w:rPr>
        <w:t>. Key components include</w:t>
      </w:r>
      <w:r w:rsidR="00DD732F">
        <w:rPr>
          <w:rFonts w:cstheme="minorHAnsi"/>
          <w:spacing w:val="-2"/>
        </w:rPr>
        <w:t>d</w:t>
      </w:r>
      <w:r w:rsidR="00B73F59">
        <w:rPr>
          <w:rFonts w:cstheme="minorHAnsi"/>
          <w:spacing w:val="-2"/>
        </w:rPr>
        <w:t xml:space="preserve">: </w:t>
      </w:r>
      <w:r w:rsidR="00AC63E6">
        <w:rPr>
          <w:rFonts w:cstheme="minorHAnsi"/>
          <w:spacing w:val="-2"/>
        </w:rPr>
        <w:t>s</w:t>
      </w:r>
      <w:r w:rsidR="00B73F59">
        <w:rPr>
          <w:rFonts w:cstheme="minorHAnsi"/>
          <w:spacing w:val="-2"/>
        </w:rPr>
        <w:t xml:space="preserve">ource development; installation of transmission pipe gaps from the Lumbo Spring to </w:t>
      </w:r>
      <w:r w:rsidR="00AC63E6">
        <w:rPr>
          <w:rFonts w:cstheme="minorHAnsi"/>
          <w:spacing w:val="-2"/>
        </w:rPr>
        <w:t>province</w:t>
      </w:r>
      <w:r w:rsidR="00B73F59">
        <w:rPr>
          <w:rFonts w:cstheme="minorHAnsi"/>
          <w:spacing w:val="-2"/>
        </w:rPr>
        <w:t xml:space="preserve"> delivery points; and supply of 12,000 cubic meters of water per day to each of the provinces. It incorporated three </w:t>
      </w:r>
      <w:r w:rsidR="00B73F59">
        <w:rPr>
          <w:rFonts w:cstheme="minorHAnsi"/>
        </w:rPr>
        <w:t>environmental safeguarding measures: i)</w:t>
      </w:r>
      <w:r w:rsidR="00B73F59">
        <w:rPr>
          <w:rFonts w:cstheme="minorHAnsi"/>
          <w:spacing w:val="-2"/>
        </w:rPr>
        <w:t xml:space="preserve"> </w:t>
      </w:r>
      <w:r w:rsidR="00B73F59">
        <w:rPr>
          <w:rFonts w:cstheme="minorHAnsi"/>
        </w:rPr>
        <w:t>c</w:t>
      </w:r>
      <w:r w:rsidR="00B73F59" w:rsidRPr="00B73F59">
        <w:rPr>
          <w:rFonts w:cstheme="minorHAnsi"/>
        </w:rPr>
        <w:t>onstruction of slope protection along the edge of the spring to prevent water turbidity</w:t>
      </w:r>
      <w:r w:rsidR="00B73F59">
        <w:rPr>
          <w:rStyle w:val="FootnoteReference"/>
          <w:rFonts w:cstheme="minorHAnsi"/>
        </w:rPr>
        <w:footnoteReference w:id="33"/>
      </w:r>
      <w:r w:rsidR="00B73F59">
        <w:rPr>
          <w:rFonts w:cstheme="minorHAnsi"/>
        </w:rPr>
        <w:t xml:space="preserve">; ii) </w:t>
      </w:r>
      <w:r w:rsidR="00AC63E6">
        <w:rPr>
          <w:rFonts w:cstheme="minorHAnsi"/>
        </w:rPr>
        <w:t xml:space="preserve">a </w:t>
      </w:r>
      <w:r w:rsidR="00512AFA">
        <w:rPr>
          <w:rFonts w:cstheme="minorHAnsi"/>
        </w:rPr>
        <w:t>requir</w:t>
      </w:r>
      <w:r w:rsidR="00AC63E6">
        <w:rPr>
          <w:rFonts w:cstheme="minorHAnsi"/>
        </w:rPr>
        <w:t>ement that</w:t>
      </w:r>
      <w:r w:rsidR="00512AFA">
        <w:rPr>
          <w:rFonts w:cstheme="minorHAnsi"/>
        </w:rPr>
        <w:t xml:space="preserve"> the </w:t>
      </w:r>
      <w:r w:rsidR="00A80F85">
        <w:rPr>
          <w:rFonts w:cstheme="minorHAnsi"/>
        </w:rPr>
        <w:t>private sector</w:t>
      </w:r>
      <w:r w:rsidR="00512AFA">
        <w:rPr>
          <w:rFonts w:cstheme="minorHAnsi"/>
        </w:rPr>
        <w:t xml:space="preserve"> partner</w:t>
      </w:r>
      <w:r w:rsidR="00AC63E6">
        <w:rPr>
          <w:rFonts w:cstheme="minorHAnsi"/>
        </w:rPr>
        <w:t xml:space="preserve"> </w:t>
      </w:r>
      <w:r w:rsidR="00512AFA">
        <w:rPr>
          <w:rFonts w:cstheme="minorHAnsi"/>
        </w:rPr>
        <w:t>monitor the actual yield and</w:t>
      </w:r>
      <w:r w:rsidR="00B73F59" w:rsidRPr="00512AFA">
        <w:rPr>
          <w:rFonts w:cstheme="minorHAnsi"/>
        </w:rPr>
        <w:t xml:space="preserve"> submit a monthly report of the spring production</w:t>
      </w:r>
      <w:r w:rsidR="00512AFA">
        <w:rPr>
          <w:rStyle w:val="FootnoteReference"/>
          <w:rFonts w:cstheme="minorHAnsi"/>
        </w:rPr>
        <w:footnoteReference w:id="34"/>
      </w:r>
      <w:r w:rsidR="00512AFA">
        <w:rPr>
          <w:rFonts w:cstheme="minorHAnsi"/>
        </w:rPr>
        <w:t>; and</w:t>
      </w:r>
      <w:r w:rsidR="00324D06">
        <w:rPr>
          <w:rFonts w:cstheme="minorHAnsi"/>
        </w:rPr>
        <w:t xml:space="preserve"> iii)</w:t>
      </w:r>
      <w:r w:rsidR="00512AFA">
        <w:rPr>
          <w:rFonts w:cstheme="minorHAnsi"/>
        </w:rPr>
        <w:t xml:space="preserve"> </w:t>
      </w:r>
      <w:r w:rsidR="00AC63E6">
        <w:rPr>
          <w:rFonts w:cstheme="minorHAnsi"/>
        </w:rPr>
        <w:t xml:space="preserve">a </w:t>
      </w:r>
      <w:r w:rsidR="00512AFA">
        <w:rPr>
          <w:rFonts w:cstheme="minorHAnsi"/>
        </w:rPr>
        <w:t>requir</w:t>
      </w:r>
      <w:r w:rsidR="00AC63E6">
        <w:rPr>
          <w:rFonts w:cstheme="minorHAnsi"/>
        </w:rPr>
        <w:t xml:space="preserve">ement that </w:t>
      </w:r>
      <w:r w:rsidR="00512AFA">
        <w:rPr>
          <w:rFonts w:cstheme="minorHAnsi"/>
        </w:rPr>
        <w:t xml:space="preserve">the </w:t>
      </w:r>
      <w:r w:rsidR="00A80F85">
        <w:rPr>
          <w:rFonts w:cstheme="minorHAnsi"/>
        </w:rPr>
        <w:t>private sector</w:t>
      </w:r>
      <w:r w:rsidR="000B35DD">
        <w:rPr>
          <w:rFonts w:cstheme="minorHAnsi"/>
        </w:rPr>
        <w:t xml:space="preserve"> </w:t>
      </w:r>
      <w:r w:rsidR="00B73F59">
        <w:rPr>
          <w:rFonts w:cstheme="minorHAnsi"/>
        </w:rPr>
        <w:t>partner remit 2</w:t>
      </w:r>
      <w:r w:rsidR="00F27F4A">
        <w:rPr>
          <w:rFonts w:cstheme="minorHAnsi"/>
        </w:rPr>
        <w:t xml:space="preserve"> per cent</w:t>
      </w:r>
      <w:r w:rsidR="00B73F59">
        <w:rPr>
          <w:rFonts w:cstheme="minorHAnsi"/>
        </w:rPr>
        <w:t xml:space="preserve"> of its total gross revenue as </w:t>
      </w:r>
      <w:r w:rsidR="00AC63E6">
        <w:rPr>
          <w:rFonts w:cstheme="minorHAnsi"/>
        </w:rPr>
        <w:t xml:space="preserve">an </w:t>
      </w:r>
      <w:r w:rsidR="00B73F59">
        <w:rPr>
          <w:rFonts w:cstheme="minorHAnsi"/>
        </w:rPr>
        <w:t>environmental protection fee</w:t>
      </w:r>
      <w:r w:rsidR="00512AFA">
        <w:rPr>
          <w:rFonts w:cstheme="minorHAnsi"/>
        </w:rPr>
        <w:t xml:space="preserve"> that will </w:t>
      </w:r>
      <w:r w:rsidR="00B73F59">
        <w:rPr>
          <w:rFonts w:cstheme="minorHAnsi"/>
        </w:rPr>
        <w:t>be used for the conservation of the watershed along the Lumbo Spring water source.</w:t>
      </w:r>
    </w:p>
    <w:p w14:paraId="51C8FC70" w14:textId="5C5D46E1" w:rsidR="00637E32" w:rsidRDefault="00F673CC" w:rsidP="006B254D">
      <w:pPr>
        <w:spacing w:line="240" w:lineRule="auto"/>
        <w:rPr>
          <w:rFonts w:cstheme="minorHAnsi"/>
          <w:color w:val="000000" w:themeColor="text1"/>
        </w:rPr>
      </w:pPr>
      <w:r w:rsidRPr="0099292E">
        <w:t xml:space="preserve">The focus on safeguarding can be expected to grow and strengthen, </w:t>
      </w:r>
      <w:r w:rsidR="00A57FA9">
        <w:t>with</w:t>
      </w:r>
      <w:r w:rsidRPr="0099292E">
        <w:t xml:space="preserve"> high</w:t>
      </w:r>
      <w:r w:rsidR="00E539A5" w:rsidRPr="0099292E">
        <w:t xml:space="preserve"> impetus to drive climate resilient infrastructure projects, particularly among </w:t>
      </w:r>
      <w:r w:rsidR="00E51EF4">
        <w:t>local government units</w:t>
      </w:r>
      <w:r w:rsidR="00E539A5" w:rsidRPr="0099292E">
        <w:t xml:space="preserve">. </w:t>
      </w:r>
      <w:r w:rsidR="0099292E">
        <w:t>The</w:t>
      </w:r>
      <w:r w:rsidR="00E539A5" w:rsidRPr="0099292E">
        <w:t xml:space="preserve"> </w:t>
      </w:r>
      <w:r w:rsidR="000F7C9B" w:rsidRPr="0099292E">
        <w:t>PDMF</w:t>
      </w:r>
      <w:r w:rsidR="00090542">
        <w:t xml:space="preserve"> </w:t>
      </w:r>
      <w:r w:rsidR="00C059AE" w:rsidRPr="00C059AE">
        <w:t>Panel of Consultants for Resilient PPP Projects of Local Implementing Agencies</w:t>
      </w:r>
      <w:r w:rsidR="00C059AE">
        <w:rPr>
          <w:rStyle w:val="FootnoteReference"/>
        </w:rPr>
        <w:footnoteReference w:id="35"/>
      </w:r>
      <w:r w:rsidR="00090542">
        <w:t xml:space="preserve"> </w:t>
      </w:r>
      <w:r w:rsidR="00F27F4A">
        <w:t>was</w:t>
      </w:r>
      <w:r w:rsidR="0099292E">
        <w:t xml:space="preserve"> well positioned to support smaller local projects in this area</w:t>
      </w:r>
      <w:r w:rsidR="0004604D">
        <w:t>.</w:t>
      </w:r>
      <w:r w:rsidR="006A7FAF">
        <w:t xml:space="preserve"> </w:t>
      </w:r>
      <w:r w:rsidR="005E0783">
        <w:t>Several</w:t>
      </w:r>
      <w:r w:rsidR="006A7FAF">
        <w:t xml:space="preserve"> issues relating to safeguarding </w:t>
      </w:r>
      <w:r w:rsidR="00F27F4A">
        <w:t xml:space="preserve">did </w:t>
      </w:r>
      <w:r w:rsidR="006A7FAF">
        <w:t xml:space="preserve">not </w:t>
      </w:r>
      <w:r w:rsidR="00A57FA9">
        <w:t>receive sufficient attention</w:t>
      </w:r>
      <w:r w:rsidR="006A7FAF">
        <w:t xml:space="preserve"> by the TA. Displacement safeguards related to Right of Way acquisition including of informal sett</w:t>
      </w:r>
      <w:r w:rsidR="00324D06">
        <w:t>l</w:t>
      </w:r>
      <w:r w:rsidR="006A7FAF">
        <w:t>er families</w:t>
      </w:r>
      <w:r w:rsidR="00D24DD9">
        <w:t xml:space="preserve"> pose</w:t>
      </w:r>
      <w:r w:rsidR="00F27F4A">
        <w:t>d</w:t>
      </w:r>
      <w:r w:rsidR="00D24DD9">
        <w:t xml:space="preserve"> a significant challenge for several </w:t>
      </w:r>
      <w:r w:rsidR="00A80F85">
        <w:t>private sector</w:t>
      </w:r>
      <w:r w:rsidR="00D24DD9">
        <w:t xml:space="preserve"> companies who </w:t>
      </w:r>
      <w:r w:rsidR="00F27F4A">
        <w:t>bore</w:t>
      </w:r>
      <w:r w:rsidR="00D24DD9">
        <w:t xml:space="preserve"> financial costs from lengthy delays</w:t>
      </w:r>
      <w:r w:rsidR="00D24DD9">
        <w:rPr>
          <w:rStyle w:val="FootnoteReference"/>
        </w:rPr>
        <w:footnoteReference w:id="36"/>
      </w:r>
      <w:r w:rsidR="00D24DD9">
        <w:t xml:space="preserve">. While such safeguarding protections </w:t>
      </w:r>
      <w:r w:rsidR="00F27F4A">
        <w:t>were</w:t>
      </w:r>
      <w:r w:rsidR="00D24DD9">
        <w:t xml:space="preserve"> appropriate and necessary, the TA potential</w:t>
      </w:r>
      <w:r w:rsidR="00E572AF">
        <w:t>ly</w:t>
      </w:r>
      <w:r w:rsidR="00D24DD9">
        <w:t xml:space="preserve"> could have been directed to support stakeholders </w:t>
      </w:r>
      <w:r w:rsidR="00021678">
        <w:t>implementing agencies</w:t>
      </w:r>
      <w:r w:rsidR="00A57FA9">
        <w:t xml:space="preserve"> </w:t>
      </w:r>
      <w:r w:rsidR="00D24DD9">
        <w:t>including for unsolicited PPPs, and</w:t>
      </w:r>
      <w:r w:rsidR="00014948">
        <w:t xml:space="preserve"> the</w:t>
      </w:r>
      <w:r w:rsidR="00D24DD9">
        <w:t xml:space="preserve"> </w:t>
      </w:r>
      <w:r w:rsidR="007C4A62">
        <w:t xml:space="preserve">PPP </w:t>
      </w:r>
      <w:r w:rsidR="002D4DA0">
        <w:t>Center</w:t>
      </w:r>
      <w:r w:rsidR="00D24DD9">
        <w:t xml:space="preserve">) to </w:t>
      </w:r>
      <w:r w:rsidR="00E572AF">
        <w:t>analyse issues</w:t>
      </w:r>
      <w:r w:rsidR="00033340">
        <w:t xml:space="preserve"> </w:t>
      </w:r>
      <w:r w:rsidR="00F27F4A">
        <w:t xml:space="preserve">likely to </w:t>
      </w:r>
      <w:r w:rsidR="002C6E0E">
        <w:t xml:space="preserve">result </w:t>
      </w:r>
      <w:r w:rsidR="00611826">
        <w:t>in</w:t>
      </w:r>
      <w:r w:rsidR="00E572AF">
        <w:t xml:space="preserve"> delay</w:t>
      </w:r>
      <w:r w:rsidR="002C6E0E">
        <w:t>s</w:t>
      </w:r>
      <w:r w:rsidR="00E572AF">
        <w:t xml:space="preserve"> and </w:t>
      </w:r>
      <w:r w:rsidR="00F27F4A">
        <w:t xml:space="preserve">work to </w:t>
      </w:r>
      <w:r w:rsidR="00E572AF">
        <w:t xml:space="preserve">build capacity of </w:t>
      </w:r>
      <w:r w:rsidR="00021678">
        <w:t>implementing agencies</w:t>
      </w:r>
      <w:r w:rsidR="00E572AF">
        <w:t xml:space="preserve"> to </w:t>
      </w:r>
      <w:r w:rsidR="00CD104B">
        <w:t>progress</w:t>
      </w:r>
      <w:r w:rsidR="00E572AF">
        <w:t xml:space="preserve"> </w:t>
      </w:r>
      <w:r w:rsidR="00CD104B">
        <w:t>resolutions</w:t>
      </w:r>
      <w:r w:rsidR="00E572AF">
        <w:t xml:space="preserve">. DFAT and partners </w:t>
      </w:r>
      <w:r w:rsidR="00F27F4A">
        <w:t xml:space="preserve">also </w:t>
      </w:r>
      <w:r w:rsidR="00E572AF">
        <w:t xml:space="preserve">should </w:t>
      </w:r>
      <w:r w:rsidR="00F27F4A">
        <w:t>have been</w:t>
      </w:r>
      <w:r w:rsidR="00F3505F">
        <w:t xml:space="preserve"> mindful of positive b</w:t>
      </w:r>
      <w:r w:rsidR="00554EE4">
        <w:t>i</w:t>
      </w:r>
      <w:r w:rsidR="009246FF">
        <w:t>a</w:t>
      </w:r>
      <w:r w:rsidR="00554EE4">
        <w:t>s</w:t>
      </w:r>
      <w:r w:rsidR="00F3505F">
        <w:t xml:space="preserve">es in the TA </w:t>
      </w:r>
      <w:r w:rsidR="00A57FA9">
        <w:t>that</w:t>
      </w:r>
      <w:r w:rsidR="00F3505F">
        <w:t xml:space="preserve"> risk</w:t>
      </w:r>
      <w:r w:rsidR="00F27F4A">
        <w:t>ed</w:t>
      </w:r>
      <w:r w:rsidR="00F3505F">
        <w:t xml:space="preserve"> doing harm</w:t>
      </w:r>
      <w:r w:rsidR="00E572AF">
        <w:t xml:space="preserve">. </w:t>
      </w:r>
      <w:r w:rsidR="002C6E0E">
        <w:t>T</w:t>
      </w:r>
      <w:r w:rsidR="00E572AF">
        <w:t xml:space="preserve">he TA </w:t>
      </w:r>
      <w:r w:rsidR="00F27F4A">
        <w:t>was</w:t>
      </w:r>
      <w:r w:rsidR="00E572AF">
        <w:t xml:space="preserve"> designed to</w:t>
      </w:r>
      <w:r w:rsidR="00E572AF" w:rsidRPr="00E572AF">
        <w:t xml:space="preserve"> </w:t>
      </w:r>
      <w:r w:rsidR="00E572AF">
        <w:t>build a pipeline of</w:t>
      </w:r>
      <w:r w:rsidR="00E572AF" w:rsidRPr="00E572AF">
        <w:t xml:space="preserve"> PPP project</w:t>
      </w:r>
      <w:r w:rsidR="00E572AF">
        <w:t xml:space="preserve">s, with </w:t>
      </w:r>
      <w:r w:rsidR="00211FAB">
        <w:t xml:space="preserve">a government respondent raising </w:t>
      </w:r>
      <w:r w:rsidR="00E572AF">
        <w:t>concern</w:t>
      </w:r>
      <w:r w:rsidR="00A80F85">
        <w:t xml:space="preserve"> </w:t>
      </w:r>
      <w:r w:rsidR="00E572AF">
        <w:t xml:space="preserve">that Feasibility Studies </w:t>
      </w:r>
      <w:r w:rsidR="00F27F4A">
        <w:t>were</w:t>
      </w:r>
      <w:r w:rsidR="00091A08">
        <w:t xml:space="preserve"> geared towards </w:t>
      </w:r>
      <w:r w:rsidR="00E572AF">
        <w:t>requir</w:t>
      </w:r>
      <w:r w:rsidR="00091A08">
        <w:t>ing</w:t>
      </w:r>
      <w:r w:rsidR="00E572AF">
        <w:t xml:space="preserve"> consultants to identify safeguarding measures to </w:t>
      </w:r>
      <w:r w:rsidR="00091A08">
        <w:lastRenderedPageBreak/>
        <w:t>move projects forward</w:t>
      </w:r>
      <w:r w:rsidR="00E572AF">
        <w:t xml:space="preserve">, </w:t>
      </w:r>
      <w:r w:rsidR="00A57FA9">
        <w:t>rather than</w:t>
      </w:r>
      <w:r w:rsidR="00E572AF">
        <w:t xml:space="preserve"> </w:t>
      </w:r>
      <w:r w:rsidR="00CD104B">
        <w:t>plac</w:t>
      </w:r>
      <w:r w:rsidR="00A57FA9">
        <w:t>ing</w:t>
      </w:r>
      <w:r w:rsidR="002C6E0E">
        <w:t xml:space="preserve"> equal</w:t>
      </w:r>
      <w:r w:rsidR="00CD104B">
        <w:t xml:space="preserve"> emphasis on </w:t>
      </w:r>
      <w:r w:rsidR="00A57FA9">
        <w:t xml:space="preserve">the option to </w:t>
      </w:r>
      <w:r w:rsidR="00DC05B7">
        <w:t>recommend</w:t>
      </w:r>
      <w:r w:rsidR="00F56969">
        <w:t xml:space="preserve"> </w:t>
      </w:r>
      <w:r w:rsidR="00CD104B">
        <w:t>that a</w:t>
      </w:r>
      <w:r w:rsidR="00F56969">
        <w:t xml:space="preserve"> project not proceed if significant safeguarding concerns are identified</w:t>
      </w:r>
      <w:r w:rsidR="00211FAB">
        <w:rPr>
          <w:rStyle w:val="FootnoteReference"/>
        </w:rPr>
        <w:footnoteReference w:id="37"/>
      </w:r>
      <w:r w:rsidR="00F56969">
        <w:t xml:space="preserve">. </w:t>
      </w:r>
      <w:r w:rsidR="00A57FA9">
        <w:t xml:space="preserve">The ADB is urged to </w:t>
      </w:r>
      <w:r w:rsidR="00DC05B7">
        <w:t>explore</w:t>
      </w:r>
      <w:r w:rsidR="00A57FA9">
        <w:t xml:space="preserve"> this issue </w:t>
      </w:r>
      <w:r w:rsidR="00DC05B7">
        <w:t xml:space="preserve">as part of </w:t>
      </w:r>
      <w:r w:rsidR="00A57FA9">
        <w:t>its</w:t>
      </w:r>
      <w:r w:rsidR="00DC05B7">
        <w:t xml:space="preserve"> final evaluation</w:t>
      </w:r>
      <w:r w:rsidR="00A57FA9">
        <w:t xml:space="preserve"> of the TA</w:t>
      </w:r>
      <w:r w:rsidR="00DC05B7">
        <w:t xml:space="preserve">. </w:t>
      </w:r>
    </w:p>
    <w:p w14:paraId="32D552B2" w14:textId="3F27092B" w:rsidR="00424C8F" w:rsidRDefault="00800CDB" w:rsidP="006B254D">
      <w:pPr>
        <w:spacing w:line="240" w:lineRule="auto"/>
      </w:pPr>
      <w:r>
        <w:t>T</w:t>
      </w:r>
      <w:r w:rsidR="00BE03F6">
        <w:t>he</w:t>
      </w:r>
      <w:r>
        <w:t xml:space="preserve"> next stage</w:t>
      </w:r>
      <w:r w:rsidR="00BE03F6">
        <w:t xml:space="preserve"> </w:t>
      </w:r>
      <w:r w:rsidR="0083104E">
        <w:t>of the PPP Program’s journey require</w:t>
      </w:r>
      <w:r w:rsidR="00424C8F">
        <w:t>d</w:t>
      </w:r>
      <w:r w:rsidR="0083104E">
        <w:t xml:space="preserve"> the development of </w:t>
      </w:r>
      <w:r w:rsidR="00BE03F6">
        <w:t xml:space="preserve">more specialised technical capacity and resources in inclusion and </w:t>
      </w:r>
      <w:r w:rsidR="0090640F">
        <w:t xml:space="preserve">social </w:t>
      </w:r>
      <w:r w:rsidR="00BE03F6">
        <w:t xml:space="preserve">safeguarding to support different types of sectors and projects. </w:t>
      </w:r>
      <w:r w:rsidR="00420B95">
        <w:t>P</w:t>
      </w:r>
      <w:r w:rsidR="00BE03F6">
        <w:t>olicy and guidelines require</w:t>
      </w:r>
      <w:r w:rsidR="00424C8F">
        <w:t>d</w:t>
      </w:r>
      <w:r w:rsidR="00BE03F6">
        <w:t xml:space="preserve"> the incorporation of GED</w:t>
      </w:r>
      <w:r w:rsidR="00AA7FBE">
        <w:t>S</w:t>
      </w:r>
      <w:r w:rsidR="00BE03F6">
        <w:t xml:space="preserve">I considerations into </w:t>
      </w:r>
      <w:r w:rsidR="00780E8B" w:rsidRPr="00145F85">
        <w:t xml:space="preserve">Minimum Performance Standards and Specifications </w:t>
      </w:r>
      <w:r w:rsidR="00780E8B">
        <w:t>(</w:t>
      </w:r>
      <w:r w:rsidR="00BE03F6" w:rsidRPr="00BE03F6">
        <w:t>MPSS</w:t>
      </w:r>
      <w:r w:rsidR="00780E8B">
        <w:t>)</w:t>
      </w:r>
      <w:r w:rsidR="0049514B">
        <w:rPr>
          <w:rStyle w:val="FootnoteReference"/>
        </w:rPr>
        <w:footnoteReference w:id="38"/>
      </w:r>
      <w:r w:rsidR="00BE03F6" w:rsidRPr="00BE03F6">
        <w:t xml:space="preserve"> and </w:t>
      </w:r>
      <w:r w:rsidR="00611826">
        <w:t>k</w:t>
      </w:r>
      <w:r w:rsidR="00BE03F6" w:rsidRPr="00BE03F6">
        <w:t xml:space="preserve">ey </w:t>
      </w:r>
      <w:r w:rsidR="00611826">
        <w:t>p</w:t>
      </w:r>
      <w:r w:rsidR="00BE03F6" w:rsidRPr="00BE03F6">
        <w:t xml:space="preserve">erformance </w:t>
      </w:r>
      <w:r w:rsidR="00611826">
        <w:t>i</w:t>
      </w:r>
      <w:r w:rsidR="00BE03F6" w:rsidRPr="00BE03F6">
        <w:t>ndicators</w:t>
      </w:r>
      <w:r w:rsidR="00420B95">
        <w:t xml:space="preserve">. However, further effort is required to formulate and integrate standards into contracts targeted to different </w:t>
      </w:r>
      <w:r w:rsidR="00420B95" w:rsidRPr="00420B95">
        <w:t>technical and sectoral</w:t>
      </w:r>
      <w:r w:rsidR="00420B95">
        <w:t xml:space="preserve"> areas</w:t>
      </w:r>
      <w:r w:rsidR="00630ABF">
        <w:t xml:space="preserve"> (</w:t>
      </w:r>
      <w:r w:rsidR="00B177BA">
        <w:t>i.e.,</w:t>
      </w:r>
      <w:r w:rsidR="00420B95">
        <w:t xml:space="preserve"> facility type</w:t>
      </w:r>
      <w:r w:rsidR="00630ABF">
        <w:t>)</w:t>
      </w:r>
      <w:r w:rsidR="00420B95">
        <w:t xml:space="preserve"> to ensure </w:t>
      </w:r>
      <w:r w:rsidR="00AA7FBE">
        <w:t>private sector</w:t>
      </w:r>
      <w:r w:rsidR="00630ABF">
        <w:t xml:space="preserve"> partners</w:t>
      </w:r>
      <w:r w:rsidR="00420B95">
        <w:t xml:space="preserve"> track and report on inclusion and safeguarding and </w:t>
      </w:r>
      <w:r w:rsidR="00630ABF">
        <w:t xml:space="preserve">are </w:t>
      </w:r>
      <w:r w:rsidR="00420B95">
        <w:t xml:space="preserve">appropriately held to account for delivering in these areas. </w:t>
      </w:r>
    </w:p>
    <w:p w14:paraId="30869ED4" w14:textId="3CD23F6C" w:rsidR="00420B95" w:rsidRPr="00637E32" w:rsidRDefault="00420B95" w:rsidP="006B254D">
      <w:pPr>
        <w:spacing w:line="240" w:lineRule="auto"/>
        <w:rPr>
          <w:rFonts w:cstheme="minorHAnsi"/>
          <w:color w:val="000000" w:themeColor="text1"/>
        </w:rPr>
      </w:pPr>
      <w:r>
        <w:t xml:space="preserve">There is also recognition that the PPP monitoring component must go beyond monitoring of contract deliverables to assess the positive and negative impacts at the community level, including from a GEDSI and </w:t>
      </w:r>
      <w:r w:rsidR="00121329">
        <w:t xml:space="preserve">social </w:t>
      </w:r>
      <w:r w:rsidR="00AA7FBE">
        <w:t xml:space="preserve">and environmental </w:t>
      </w:r>
      <w:r>
        <w:t>safeguarding perspective</w:t>
      </w:r>
      <w:r w:rsidR="00424C8F">
        <w:t>,</w:t>
      </w:r>
      <w:r w:rsidR="00121329">
        <w:t xml:space="preserve"> which</w:t>
      </w:r>
      <w:r w:rsidR="00AA7FBE">
        <w:t xml:space="preserve"> includes a consideration of </w:t>
      </w:r>
      <w:r w:rsidR="00523158">
        <w:t>the longer-</w:t>
      </w:r>
      <w:r w:rsidR="00121329">
        <w:t>term impact</w:t>
      </w:r>
      <w:r w:rsidR="00AA7FBE">
        <w:t xml:space="preserve"> </w:t>
      </w:r>
      <w:r w:rsidR="00121329">
        <w:t>on</w:t>
      </w:r>
      <w:r w:rsidR="00121329" w:rsidRPr="00121329">
        <w:t xml:space="preserve"> indigenous people and resettlement impact</w:t>
      </w:r>
      <w:r w:rsidR="00AA7FBE">
        <w:t>.</w:t>
      </w:r>
    </w:p>
    <w:p w14:paraId="00C0CCC3" w14:textId="77777777" w:rsidR="00AC794F" w:rsidRPr="005E374A" w:rsidRDefault="00AC794F" w:rsidP="00F5700C">
      <w:pPr>
        <w:spacing w:line="240" w:lineRule="auto"/>
      </w:pPr>
    </w:p>
    <w:p w14:paraId="0862974E" w14:textId="7FC0E5AE" w:rsidR="005E374A" w:rsidRDefault="005E374A" w:rsidP="00F2226C">
      <w:pPr>
        <w:pStyle w:val="Heading3"/>
      </w:pPr>
      <w:bookmarkStart w:id="69" w:name="_Toc96435331"/>
      <w:r>
        <w:t>3.</w:t>
      </w:r>
      <w:r w:rsidR="006A2EA1">
        <w:t>5</w:t>
      </w:r>
      <w:r>
        <w:t xml:space="preserve"> </w:t>
      </w:r>
      <w:r w:rsidRPr="005E374A">
        <w:t>Relevance</w:t>
      </w:r>
      <w:bookmarkEnd w:id="69"/>
    </w:p>
    <w:p w14:paraId="2FED2B3B" w14:textId="5CB4F313" w:rsidR="00234AAC" w:rsidRDefault="00DF77AA" w:rsidP="006B254D">
      <w:pPr>
        <w:spacing w:line="240" w:lineRule="auto"/>
      </w:pPr>
      <w:bookmarkStart w:id="70" w:name="_Hlk66711838"/>
      <w:r w:rsidRPr="00BF7C54">
        <w:t>The TA was designed for an era where there was strong political support, and faced challenges when there were significant changes in policy direction. While the TA responded to aspects of the changing context and supported the Philippines to harness PPPs to meet critical infrastructure development needs, undertaking a more formal TA strategy realignment upon a change in the policy environment may have resulted in a more targeted approach to advancing the PPP modality in line with government directions, addressing bottlenecks and extending the gains of DFAT’s investment.</w:t>
      </w:r>
    </w:p>
    <w:p w14:paraId="59086FCE" w14:textId="153BE0BD" w:rsidR="00424C8F" w:rsidRDefault="00DF77AA" w:rsidP="006B254D">
      <w:pPr>
        <w:spacing w:line="240" w:lineRule="auto"/>
      </w:pPr>
      <w:r w:rsidRPr="000955C3">
        <w:t>The TA continue</w:t>
      </w:r>
      <w:r>
        <w:t>d</w:t>
      </w:r>
      <w:r w:rsidRPr="000955C3">
        <w:t xml:space="preserve"> to </w:t>
      </w:r>
      <w:r>
        <w:t xml:space="preserve">meet government priorities to address infrastructure gaps </w:t>
      </w:r>
      <w:r w:rsidR="00FC79DB">
        <w:t>constraining</w:t>
      </w:r>
      <w:r>
        <w:t xml:space="preserve"> development. The </w:t>
      </w:r>
      <w:r w:rsidR="00981339">
        <w:t>2010</w:t>
      </w:r>
      <w:r w:rsidR="00424C8F">
        <w:t>-2016</w:t>
      </w:r>
      <w:r w:rsidR="00981339">
        <w:t xml:space="preserve"> </w:t>
      </w:r>
      <w:r>
        <w:t xml:space="preserve">Aquino administration saw a new emphasis on infrastructure as a key driver of equitable development with PPP identified as a key component of an overall growth strategy. The </w:t>
      </w:r>
      <w:r w:rsidR="00981339">
        <w:t>PPP Program</w:t>
      </w:r>
      <w:r>
        <w:t xml:space="preserve"> </w:t>
      </w:r>
      <w:r w:rsidR="00FC79DB">
        <w:t>thrived</w:t>
      </w:r>
      <w:r>
        <w:t xml:space="preserve"> in this enabling environment, driving reforms and successfully stimulating the development of the Philippines' PPP market and national infrastructure development projects</w:t>
      </w:r>
      <w:r w:rsidR="00FC79DB">
        <w:rPr>
          <w:rStyle w:val="FootnoteReference"/>
        </w:rPr>
        <w:footnoteReference w:id="39"/>
      </w:r>
      <w:r>
        <w:t>. While the government’s policy direction shifted in 2016</w:t>
      </w:r>
      <w:r w:rsidR="00424C8F">
        <w:t xml:space="preserve">, </w:t>
      </w:r>
      <w:r>
        <w:t xml:space="preserve">as outlined in Section 2.2, the TA remained relevant to the </w:t>
      </w:r>
      <w:r w:rsidR="00424C8F">
        <w:t xml:space="preserve">Duterte </w:t>
      </w:r>
      <w:r w:rsidR="007A253D">
        <w:t>administration’s</w:t>
      </w:r>
      <w:r w:rsidR="00424C8F">
        <w:t xml:space="preserve"> (2016-2021)</w:t>
      </w:r>
      <w:r w:rsidR="007A253D">
        <w:t xml:space="preserve"> </w:t>
      </w:r>
      <w:r>
        <w:t xml:space="preserve">focus on infrastructure development, captured in the government’s </w:t>
      </w:r>
      <w:r w:rsidRPr="009C6424">
        <w:t xml:space="preserve">Build-Build-Build infrastructure program under the Philippines Development Program (2017–2022). </w:t>
      </w:r>
    </w:p>
    <w:p w14:paraId="015A32C8" w14:textId="32BD2508" w:rsidR="00234AAC" w:rsidRDefault="00C74F48" w:rsidP="006B254D">
      <w:pPr>
        <w:spacing w:line="240" w:lineRule="auto"/>
      </w:pPr>
      <w:r w:rsidRPr="00C74F48">
        <w:t xml:space="preserve">The TA supported advancement of strategies embodied in Chapter 19: Accelerating Infrastructure </w:t>
      </w:r>
      <w:r w:rsidR="00780E8B">
        <w:t>Philippine Development Plan (</w:t>
      </w:r>
      <w:r w:rsidRPr="00C74F48">
        <w:t>PDP</w:t>
      </w:r>
      <w:r w:rsidR="00780E8B">
        <w:t>)</w:t>
      </w:r>
      <w:r w:rsidRPr="00C74F48">
        <w:t xml:space="preserve"> 2017-2022, particularly on improving the government’s PPP Program as a vehicle for private sector participation in financing infrastructure projects. It assisted in providing a strategic direction to address bottlenecks in PPP planning and implementation through framing infrastructure development strategies and building government institutional capacity. </w:t>
      </w:r>
      <w:r w:rsidR="00DF77AA" w:rsidRPr="009C6424">
        <w:t xml:space="preserve">The PPP Program </w:t>
      </w:r>
      <w:r w:rsidR="00424C8F">
        <w:t>was</w:t>
      </w:r>
      <w:r w:rsidR="00DF77AA" w:rsidRPr="009C6424">
        <w:t xml:space="preserve"> also reflected in the government’s </w:t>
      </w:r>
      <w:r w:rsidR="00580E90">
        <w:t>“</w:t>
      </w:r>
      <w:r w:rsidR="00324D06">
        <w:t>0-</w:t>
      </w:r>
      <w:r w:rsidR="00DF77AA" w:rsidRPr="009C6424">
        <w:t>10-Point Socioeconomic Agenda</w:t>
      </w:r>
      <w:r w:rsidR="00580E90">
        <w:t>”</w:t>
      </w:r>
      <w:r w:rsidR="00DF77AA" w:rsidRPr="009C6424">
        <w:t>.</w:t>
      </w:r>
    </w:p>
    <w:p w14:paraId="2DCE969C" w14:textId="12D23668" w:rsidR="00234AAC" w:rsidRDefault="00F273E5" w:rsidP="006B254D">
      <w:pPr>
        <w:spacing w:line="240" w:lineRule="auto"/>
      </w:pPr>
      <w:r w:rsidRPr="00665162">
        <w:lastRenderedPageBreak/>
        <w:t xml:space="preserve">The TA and its focus gained increased relevance in the context of </w:t>
      </w:r>
      <w:r w:rsidR="00665162" w:rsidRPr="00665162">
        <w:t xml:space="preserve">the </w:t>
      </w:r>
      <w:r w:rsidR="000321CA">
        <w:t>COVID</w:t>
      </w:r>
      <w:r w:rsidR="00665162" w:rsidRPr="00665162">
        <w:t xml:space="preserve">-19 </w:t>
      </w:r>
      <w:r w:rsidR="00362F87">
        <w:t>p</w:t>
      </w:r>
      <w:r w:rsidR="00665162" w:rsidRPr="00665162">
        <w:t>andemic of 2020</w:t>
      </w:r>
      <w:r w:rsidR="00424C8F">
        <w:t>-21</w:t>
      </w:r>
      <w:r w:rsidRPr="00AC2213">
        <w:t xml:space="preserve">. </w:t>
      </w:r>
      <w:r w:rsidR="006E441D" w:rsidRPr="00AC2213">
        <w:t>The TA</w:t>
      </w:r>
      <w:r w:rsidR="003027F6" w:rsidRPr="00FC3ADC">
        <w:t xml:space="preserve"> remain</w:t>
      </w:r>
      <w:r w:rsidR="00424C8F">
        <w:t>ed</w:t>
      </w:r>
      <w:r w:rsidR="003027F6" w:rsidRPr="00FC3ADC">
        <w:t xml:space="preserve"> pertinent to addressing health infrastructure gaps brought into focus through </w:t>
      </w:r>
      <w:r w:rsidR="000321CA">
        <w:t>COVID</w:t>
      </w:r>
      <w:r w:rsidR="003027F6" w:rsidRPr="00FC3ADC">
        <w:t>-19</w:t>
      </w:r>
      <w:r w:rsidR="00C74F48" w:rsidRPr="00FC3ADC">
        <w:t>.</w:t>
      </w:r>
      <w:r w:rsidR="00362F87">
        <w:t xml:space="preserve"> </w:t>
      </w:r>
      <w:r w:rsidR="006E441D" w:rsidRPr="00FC3ADC">
        <w:t>The TA built a foundation as the government strives to implement the strategies espoused in</w:t>
      </w:r>
      <w:r w:rsidR="006E441D" w:rsidRPr="006E441D">
        <w:t xml:space="preserve"> the updated Philippine Development Plan 2017-2022, particularly on encouraging greater private sector involvement to compensate for the narrower fiscal space brought about by the </w:t>
      </w:r>
      <w:r w:rsidR="000321CA">
        <w:t>COVID</w:t>
      </w:r>
      <w:r w:rsidR="006E441D" w:rsidRPr="006E441D">
        <w:t xml:space="preserve">-19 pandemic. </w:t>
      </w:r>
      <w:r w:rsidR="006E441D">
        <w:t>The</w:t>
      </w:r>
      <w:r w:rsidR="006E441D" w:rsidRPr="006E441D">
        <w:t xml:space="preserve"> strategy </w:t>
      </w:r>
      <w:r w:rsidR="00424C8F">
        <w:t>was</w:t>
      </w:r>
      <w:r w:rsidR="006E441D">
        <w:t xml:space="preserve"> expected to</w:t>
      </w:r>
      <w:r w:rsidR="006E441D" w:rsidRPr="006E441D">
        <w:t xml:space="preserve"> ease the pressure on the national government’s fiscal position. PPP c</w:t>
      </w:r>
      <w:r w:rsidR="00424C8F">
        <w:t>ould</w:t>
      </w:r>
      <w:r w:rsidR="006E441D" w:rsidRPr="006E441D">
        <w:t xml:space="preserve"> also supplement the limited capacities in project implementation at the </w:t>
      </w:r>
      <w:r w:rsidR="00424C8F">
        <w:t xml:space="preserve">local government </w:t>
      </w:r>
      <w:r w:rsidR="006E441D" w:rsidRPr="006E441D">
        <w:t>level.</w:t>
      </w:r>
    </w:p>
    <w:p w14:paraId="4EF10CB3" w14:textId="03A8BCAE" w:rsidR="00234AAC" w:rsidRDefault="00C74F48" w:rsidP="006B254D">
      <w:pPr>
        <w:spacing w:line="240" w:lineRule="auto"/>
      </w:pPr>
      <w:r>
        <w:t xml:space="preserve">The TA </w:t>
      </w:r>
      <w:r w:rsidR="00424C8F">
        <w:t>was</w:t>
      </w:r>
      <w:r w:rsidR="003027F6">
        <w:t xml:space="preserve"> aligned to </w:t>
      </w:r>
      <w:r w:rsidR="00424C8F">
        <w:t>t</w:t>
      </w:r>
      <w:r w:rsidR="003027F6">
        <w:t xml:space="preserve">he Australian Government’s </w:t>
      </w:r>
      <w:r w:rsidR="003027F6" w:rsidRPr="003027F6">
        <w:t xml:space="preserve">Philippines </w:t>
      </w:r>
      <w:r w:rsidR="000321CA">
        <w:t>COVID</w:t>
      </w:r>
      <w:r w:rsidR="003027F6" w:rsidRPr="003027F6">
        <w:t>-19 Development Response Plan</w:t>
      </w:r>
      <w:r w:rsidR="00424C8F">
        <w:t>, Partnerships for Recovery,</w:t>
      </w:r>
      <w:r w:rsidR="003027F6">
        <w:t xml:space="preserve"> which </w:t>
      </w:r>
      <w:r w:rsidR="00424C8F">
        <w:t>focused</w:t>
      </w:r>
      <w:r w:rsidR="003027F6">
        <w:t xml:space="preserve"> on health security and economic recovery. </w:t>
      </w:r>
      <w:r w:rsidR="00DF77AA">
        <w:t xml:space="preserve">The TA </w:t>
      </w:r>
      <w:r w:rsidR="00424C8F">
        <w:t>was</w:t>
      </w:r>
      <w:r w:rsidR="00DF77AA">
        <w:t xml:space="preserve"> consistent with the Australian Government’s </w:t>
      </w:r>
      <w:r w:rsidR="00424C8F">
        <w:t xml:space="preserve">Foreign Policy </w:t>
      </w:r>
      <w:r w:rsidR="00DF77AA">
        <w:t>White Paper (2017) and the</w:t>
      </w:r>
      <w:r w:rsidR="00424C8F">
        <w:t xml:space="preserve"> previous</w:t>
      </w:r>
      <w:r w:rsidR="00DF77AA">
        <w:t xml:space="preserve"> strategy underpinning </w:t>
      </w:r>
      <w:r w:rsidR="00DF77AA" w:rsidRPr="000033D7">
        <w:t>Australia's aid program to the Philippines</w:t>
      </w:r>
      <w:r w:rsidR="00424C8F">
        <w:t xml:space="preserve"> (</w:t>
      </w:r>
      <w:r w:rsidR="00324473">
        <w:t>2015-2018</w:t>
      </w:r>
      <w:r w:rsidR="008F709D">
        <w:t>) which</w:t>
      </w:r>
      <w:r w:rsidR="00DF77AA">
        <w:t xml:space="preserve"> </w:t>
      </w:r>
      <w:r w:rsidR="00424C8F">
        <w:t xml:space="preserve">had </w:t>
      </w:r>
      <w:r w:rsidR="00DF77AA">
        <w:t xml:space="preserve">a focus on infrastructure development and economic growth. It </w:t>
      </w:r>
      <w:r w:rsidR="00424C8F">
        <w:t>was</w:t>
      </w:r>
      <w:r w:rsidR="00DF77AA">
        <w:t xml:space="preserve"> also </w:t>
      </w:r>
      <w:r w:rsidR="00DF77AA" w:rsidRPr="000033D7">
        <w:t xml:space="preserve">consistent with </w:t>
      </w:r>
      <w:r w:rsidR="00981339">
        <w:t xml:space="preserve">the </w:t>
      </w:r>
      <w:r w:rsidR="00DF77AA" w:rsidRPr="000033D7">
        <w:t xml:space="preserve">ADB’s Strategy </w:t>
      </w:r>
      <w:r w:rsidR="006527BC">
        <w:t>2008-</w:t>
      </w:r>
      <w:r w:rsidR="00DF77AA" w:rsidRPr="000033D7">
        <w:t>2020</w:t>
      </w:r>
      <w:r w:rsidR="006527BC">
        <w:t xml:space="preserve"> (Strategy 2020)</w:t>
      </w:r>
      <w:r w:rsidR="00DF77AA" w:rsidRPr="000033D7">
        <w:t>, with infrastructure being one of ADB’s five core operational areas</w:t>
      </w:r>
      <w:r w:rsidR="00DF77AA">
        <w:t>.</w:t>
      </w:r>
    </w:p>
    <w:p w14:paraId="4D8B01CA" w14:textId="3BA23053" w:rsidR="00DD6E47" w:rsidRDefault="00DF77AA" w:rsidP="006B254D">
      <w:pPr>
        <w:spacing w:line="240" w:lineRule="auto"/>
      </w:pPr>
      <w:r>
        <w:t xml:space="preserve">While the early years </w:t>
      </w:r>
      <w:r w:rsidR="00424C8F">
        <w:t>of the Program (</w:t>
      </w:r>
      <w:r w:rsidR="00324473">
        <w:t>2011-2015</w:t>
      </w:r>
      <w:r w:rsidR="00424C8F">
        <w:t xml:space="preserve">) </w:t>
      </w:r>
      <w:r>
        <w:t xml:space="preserve">saw </w:t>
      </w:r>
      <w:r w:rsidR="00865D23">
        <w:t xml:space="preserve">impressive </w:t>
      </w:r>
      <w:r>
        <w:t xml:space="preserve">momentum and success, efforts </w:t>
      </w:r>
      <w:r w:rsidR="00424C8F">
        <w:t xml:space="preserve">did </w:t>
      </w:r>
      <w:r>
        <w:t>not come to</w:t>
      </w:r>
      <w:r w:rsidR="00865D23">
        <w:t xml:space="preserve"> the same level of</w:t>
      </w:r>
      <w:r>
        <w:t xml:space="preserve"> fruition in subsequent years</w:t>
      </w:r>
      <w:r w:rsidR="00424C8F">
        <w:t xml:space="preserve"> (</w:t>
      </w:r>
      <w:r w:rsidR="00324473">
        <w:t>beginning 2016 to about 2018</w:t>
      </w:r>
      <w:r w:rsidR="00424C8F">
        <w:t>)</w:t>
      </w:r>
      <w:r>
        <w:t xml:space="preserve"> due to a change in policy environment. </w:t>
      </w:r>
      <w:r w:rsidR="00865D23">
        <w:t xml:space="preserve">It was perhaps </w:t>
      </w:r>
      <w:r>
        <w:t xml:space="preserve">expected </w:t>
      </w:r>
      <w:r w:rsidR="00865D23">
        <w:t xml:space="preserve">that </w:t>
      </w:r>
      <w:r>
        <w:t xml:space="preserve">the success and momentum from previous years would continue. </w:t>
      </w:r>
      <w:r w:rsidR="00865D23">
        <w:t>In hindsight, r</w:t>
      </w:r>
      <w:r>
        <w:t>espondents commonly highlighted the political nature of PPP</w:t>
      </w:r>
      <w:r w:rsidR="00865D23">
        <w:t>s</w:t>
      </w:r>
      <w:r>
        <w:t>,</w:t>
      </w:r>
      <w:r w:rsidR="00865D23">
        <w:t xml:space="preserve"> and lessons learned around </w:t>
      </w:r>
      <w:r w:rsidR="00AC2213">
        <w:t xml:space="preserve">the need to </w:t>
      </w:r>
      <w:r w:rsidR="00865D23">
        <w:t xml:space="preserve">listen to and realign to a new government’s brand and vision of PPPs. </w:t>
      </w:r>
    </w:p>
    <w:p w14:paraId="5F116C3B" w14:textId="387CEA09" w:rsidR="00234AAC" w:rsidRDefault="00865D23" w:rsidP="006B254D">
      <w:pPr>
        <w:spacing w:line="240" w:lineRule="auto"/>
      </w:pPr>
      <w:r>
        <w:t xml:space="preserve">The </w:t>
      </w:r>
      <w:r w:rsidR="007A253D">
        <w:t xml:space="preserve">current </w:t>
      </w:r>
      <w:r w:rsidR="00DD6E47">
        <w:t xml:space="preserve">Duterte </w:t>
      </w:r>
      <w:r>
        <w:t xml:space="preserve">administration’s vision shifted towards </w:t>
      </w:r>
      <w:r w:rsidR="00DF77AA">
        <w:t>unsolicited</w:t>
      </w:r>
      <w:r>
        <w:t xml:space="preserve"> PPP</w:t>
      </w:r>
      <w:r w:rsidR="00DF77AA">
        <w:t xml:space="preserve"> projects</w:t>
      </w:r>
      <w:r>
        <w:t xml:space="preserve"> and</w:t>
      </w:r>
      <w:r w:rsidR="00DF77AA">
        <w:t xml:space="preserve"> hybrid modalities</w:t>
      </w:r>
      <w:r>
        <w:t xml:space="preserve">, and held concerns for the PPP </w:t>
      </w:r>
      <w:r w:rsidR="00C57FA0">
        <w:t>m</w:t>
      </w:r>
      <w:r>
        <w:t xml:space="preserve">odality related to </w:t>
      </w:r>
      <w:r w:rsidR="00DF77AA">
        <w:t xml:space="preserve">contingent </w:t>
      </w:r>
      <w:r w:rsidR="00DF77AA" w:rsidRPr="007A253D">
        <w:t>l</w:t>
      </w:r>
      <w:r w:rsidR="00DF77AA" w:rsidRPr="00AA23C1">
        <w:t>iabilities</w:t>
      </w:r>
      <w:r w:rsidR="00B2306C">
        <w:rPr>
          <w:rStyle w:val="FootnoteReference"/>
        </w:rPr>
        <w:footnoteReference w:id="40"/>
      </w:r>
      <w:r w:rsidR="00DF77AA" w:rsidRPr="00AA23C1">
        <w:t xml:space="preserve">. </w:t>
      </w:r>
      <w:r w:rsidR="00AC2213">
        <w:t xml:space="preserve">The TA supported </w:t>
      </w:r>
      <w:r w:rsidRPr="007A253D">
        <w:t>work</w:t>
      </w:r>
      <w:r>
        <w:t xml:space="preserve"> in these areas</w:t>
      </w:r>
      <w:r w:rsidR="00784AE6">
        <w:rPr>
          <w:rStyle w:val="FootnoteReference"/>
        </w:rPr>
        <w:footnoteReference w:id="41"/>
      </w:r>
      <w:r>
        <w:t>,</w:t>
      </w:r>
      <w:r w:rsidR="000B35DD">
        <w:t xml:space="preserve"> </w:t>
      </w:r>
      <w:r w:rsidR="00AC2213">
        <w:t xml:space="preserve">and </w:t>
      </w:r>
      <w:r w:rsidR="007A1CEA">
        <w:t>DFAT approved the use of Australian Government funds for unsolicited projects</w:t>
      </w:r>
      <w:r w:rsidR="00AC2213">
        <w:t>, with capacity to evaluate unsolicited proposals strengthened.</w:t>
      </w:r>
      <w:r w:rsidR="000B35DD">
        <w:t xml:space="preserve"> </w:t>
      </w:r>
      <w:r w:rsidR="00AC2213">
        <w:t>Partner agencies have also gained insights into planning hybrid-projects</w:t>
      </w:r>
      <w:r w:rsidR="00AC2213">
        <w:rPr>
          <w:rStyle w:val="FootnoteReference"/>
        </w:rPr>
        <w:footnoteReference w:id="42"/>
      </w:r>
      <w:r w:rsidR="00AC2213">
        <w:t>.</w:t>
      </w:r>
      <w:r w:rsidR="00362F87">
        <w:t xml:space="preserve"> </w:t>
      </w:r>
      <w:r w:rsidR="009F7867">
        <w:t xml:space="preserve">The TA </w:t>
      </w:r>
      <w:r w:rsidR="00AC2213">
        <w:t xml:space="preserve">also </w:t>
      </w:r>
      <w:r w:rsidR="009F7867">
        <w:t>adapted in response to the change in administration</w:t>
      </w:r>
      <w:r w:rsidR="00DD6E47">
        <w:t xml:space="preserve"> in 2016</w:t>
      </w:r>
      <w:r w:rsidR="00AC2213">
        <w:t xml:space="preserve"> </w:t>
      </w:r>
      <w:r w:rsidR="009F7867">
        <w:t>through the formulation and launch of the PPP Cente</w:t>
      </w:r>
      <w:r w:rsidR="00A92122">
        <w:t>r</w:t>
      </w:r>
      <w:r w:rsidR="009F7867">
        <w:t xml:space="preserve">’s Local </w:t>
      </w:r>
      <w:r w:rsidR="009F7867" w:rsidRPr="009F7867">
        <w:t>Strategy with a refocusing TA support to developing local PPP projects</w:t>
      </w:r>
      <w:r w:rsidR="009F7867">
        <w:rPr>
          <w:rStyle w:val="FootnoteReference"/>
        </w:rPr>
        <w:footnoteReference w:id="43"/>
      </w:r>
      <w:r w:rsidR="009F7867">
        <w:t>. However, a</w:t>
      </w:r>
      <w:r w:rsidR="00DF77AA">
        <w:t xml:space="preserve"> formal political economy analysis</w:t>
      </w:r>
      <w:r w:rsidR="00EB2244">
        <w:t xml:space="preserve"> </w:t>
      </w:r>
      <w:r w:rsidR="00DF77AA">
        <w:t xml:space="preserve">and </w:t>
      </w:r>
      <w:r w:rsidR="009F7867">
        <w:t xml:space="preserve">repositioning of the TA upon a change of administration in 2016 </w:t>
      </w:r>
      <w:r w:rsidR="00DD6E47">
        <w:t>was not</w:t>
      </w:r>
      <w:r w:rsidR="009F7867">
        <w:t xml:space="preserve"> undertaken by the ADB, such as re-setting of TA objectives</w:t>
      </w:r>
      <w:r w:rsidR="00D54F4B">
        <w:t xml:space="preserve"> and</w:t>
      </w:r>
      <w:r w:rsidR="009F7867">
        <w:t xml:space="preserve"> outcomes </w:t>
      </w:r>
      <w:r w:rsidR="0024041B">
        <w:t>(in line with the new administration’s brand of PPPs)</w:t>
      </w:r>
      <w:r w:rsidR="00D54F4B">
        <w:t>,</w:t>
      </w:r>
      <w:r w:rsidR="0024041B">
        <w:t xml:space="preserve"> </w:t>
      </w:r>
      <w:r w:rsidR="009F7867">
        <w:t>and the inclusion of other components such as high-level government engagement and communication on PPPs</w:t>
      </w:r>
      <w:r w:rsidR="00234AAC">
        <w:t>.</w:t>
      </w:r>
    </w:p>
    <w:p w14:paraId="3ACAFBF0" w14:textId="744D212B" w:rsidR="00234AAC" w:rsidRDefault="00A936A4" w:rsidP="006B254D">
      <w:pPr>
        <w:spacing w:line="240" w:lineRule="auto"/>
      </w:pPr>
      <w:r w:rsidRPr="00A0722A">
        <w:t xml:space="preserve">A reset </w:t>
      </w:r>
      <w:r w:rsidR="00DF77AA" w:rsidRPr="00A0722A">
        <w:t xml:space="preserve">would have enabled the TA to better listen to </w:t>
      </w:r>
      <w:r w:rsidR="00865D23" w:rsidRPr="00A0722A">
        <w:t xml:space="preserve">and align with </w:t>
      </w:r>
      <w:r w:rsidR="00DF77AA" w:rsidRPr="00A0722A">
        <w:t xml:space="preserve">the policy direction of the </w:t>
      </w:r>
      <w:r w:rsidR="00DD6E47">
        <w:t xml:space="preserve">Duterte </w:t>
      </w:r>
      <w:r w:rsidR="00DF77AA" w:rsidRPr="00A0722A">
        <w:t>government</w:t>
      </w:r>
      <w:r w:rsidR="00D54F4B" w:rsidRPr="00A0722A">
        <w:t>.</w:t>
      </w:r>
      <w:r w:rsidRPr="00A0722A">
        <w:t xml:space="preserve"> </w:t>
      </w:r>
      <w:r w:rsidR="00DF77AA" w:rsidRPr="00A0722A">
        <w:t xml:space="preserve">For example, a stronger </w:t>
      </w:r>
      <w:r w:rsidR="00997FAC">
        <w:t xml:space="preserve">and earlier </w:t>
      </w:r>
      <w:r w:rsidR="00DF77AA" w:rsidRPr="00A0722A">
        <w:t>pivot to unsolicited</w:t>
      </w:r>
      <w:r w:rsidR="00865D23" w:rsidRPr="00A0722A">
        <w:t xml:space="preserve"> proposals</w:t>
      </w:r>
      <w:r w:rsidR="00AA772C" w:rsidRPr="00A0722A">
        <w:t xml:space="preserve"> </w:t>
      </w:r>
      <w:r w:rsidRPr="00A0722A">
        <w:t xml:space="preserve">such as by </w:t>
      </w:r>
      <w:r w:rsidR="00DF77AA" w:rsidRPr="00A0722A">
        <w:t>assisting</w:t>
      </w:r>
      <w:r w:rsidR="00865D23" w:rsidRPr="00A0722A">
        <w:t xml:space="preserve"> </w:t>
      </w:r>
      <w:r w:rsidR="00DD6E47">
        <w:t xml:space="preserve">the Philippine </w:t>
      </w:r>
      <w:r w:rsidR="00865D23" w:rsidRPr="00A0722A">
        <w:t>government</w:t>
      </w:r>
      <w:r w:rsidR="00DF77AA" w:rsidRPr="00A0722A">
        <w:t xml:space="preserve"> to establish a framework for </w:t>
      </w:r>
      <w:r w:rsidR="00997FAC">
        <w:t>estimating</w:t>
      </w:r>
      <w:r w:rsidR="00997FAC" w:rsidRPr="00A0722A">
        <w:t xml:space="preserve"> </w:t>
      </w:r>
      <w:r w:rsidR="00DF77AA" w:rsidRPr="00A0722A">
        <w:t>contingent liabilities may have been more relevant</w:t>
      </w:r>
      <w:r w:rsidR="00DD6E47">
        <w:t>,</w:t>
      </w:r>
      <w:r w:rsidR="00DF77AA" w:rsidRPr="00A0722A">
        <w:t xml:space="preserve"> and yielded </w:t>
      </w:r>
      <w:r w:rsidR="00CE7F50" w:rsidRPr="00A0722A">
        <w:t>an</w:t>
      </w:r>
      <w:r w:rsidR="00865D23" w:rsidRPr="00A0722A">
        <w:t xml:space="preserve"> increase in the </w:t>
      </w:r>
      <w:r w:rsidR="00CE7F50" w:rsidRPr="00A0722A">
        <w:t xml:space="preserve">number of </w:t>
      </w:r>
      <w:r w:rsidR="00865D23" w:rsidRPr="00A0722A">
        <w:t>PPP projects</w:t>
      </w:r>
      <w:r w:rsidR="00CE7F50" w:rsidRPr="00A0722A">
        <w:t xml:space="preserve"> by addressing </w:t>
      </w:r>
      <w:r w:rsidR="00CE7F50" w:rsidRPr="00A0722A">
        <w:lastRenderedPageBreak/>
        <w:t>issues that prevent</w:t>
      </w:r>
      <w:r w:rsidR="00997FAC">
        <w:t>ed</w:t>
      </w:r>
      <w:r w:rsidR="00CE7F50" w:rsidRPr="00A0722A">
        <w:t xml:space="preserve"> </w:t>
      </w:r>
      <w:r w:rsidRPr="00A0722A">
        <w:t>private sector</w:t>
      </w:r>
      <w:r w:rsidR="000B35DD" w:rsidRPr="00A0722A">
        <w:t xml:space="preserve"> </w:t>
      </w:r>
      <w:r w:rsidR="00CE7F50" w:rsidRPr="00A0722A">
        <w:t>firms from entering into contracts</w:t>
      </w:r>
      <w:r w:rsidR="00DF77AA" w:rsidRPr="00A0722A">
        <w:rPr>
          <w:rStyle w:val="FootnoteReference"/>
        </w:rPr>
        <w:footnoteReference w:id="44"/>
      </w:r>
      <w:r w:rsidR="00DF77AA" w:rsidRPr="00A0722A">
        <w:t>.</w:t>
      </w:r>
      <w:r w:rsidR="00D54F4B">
        <w:t xml:space="preserve"> The </w:t>
      </w:r>
      <w:r w:rsidR="00D54F4B" w:rsidRPr="00AA772C">
        <w:t>d</w:t>
      </w:r>
      <w:r w:rsidR="00D54F4B" w:rsidRPr="00FC3ADC">
        <w:t>evelopment of a mechanism</w:t>
      </w:r>
      <w:r w:rsidR="00DD6E47">
        <w:t xml:space="preserve"> was needed,</w:t>
      </w:r>
      <w:r w:rsidR="00D54F4B" w:rsidRPr="00FC3ADC">
        <w:t xml:space="preserve"> that prioritise</w:t>
      </w:r>
      <w:r w:rsidR="00DD6E47">
        <w:t>d</w:t>
      </w:r>
      <w:r w:rsidR="00D54F4B">
        <w:t xml:space="preserve"> and communicate</w:t>
      </w:r>
      <w:r w:rsidR="00DD6E47">
        <w:t>d</w:t>
      </w:r>
      <w:r w:rsidR="00D54F4B" w:rsidRPr="00FC3ADC">
        <w:t xml:space="preserve"> PPP projects in which </w:t>
      </w:r>
      <w:r w:rsidR="00DD6E47">
        <w:t xml:space="preserve">the </w:t>
      </w:r>
      <w:r w:rsidR="00D54F4B">
        <w:t>government</w:t>
      </w:r>
      <w:r w:rsidR="00D54F4B" w:rsidRPr="00FC3ADC">
        <w:t xml:space="preserve"> is seeking </w:t>
      </w:r>
      <w:r w:rsidR="00D54F4B">
        <w:t>private sector</w:t>
      </w:r>
      <w:r w:rsidR="00D54F4B" w:rsidRPr="00FC3ADC">
        <w:t xml:space="preserve"> engagement</w:t>
      </w:r>
      <w:r w:rsidR="00D54F4B">
        <w:t xml:space="preserve"> (by sector, facility type, location) </w:t>
      </w:r>
      <w:r w:rsidR="00DD6E47">
        <w:t>which would have</w:t>
      </w:r>
      <w:r w:rsidR="00D54F4B">
        <w:t xml:space="preserve"> ensure</w:t>
      </w:r>
      <w:r w:rsidR="00DD6E47">
        <w:t>d</w:t>
      </w:r>
      <w:r w:rsidR="00D54F4B">
        <w:t xml:space="preserve"> targeted unsolicited proposals in line with government needs, and </w:t>
      </w:r>
      <w:r w:rsidR="00DD6E47">
        <w:t xml:space="preserve">could have </w:t>
      </w:r>
      <w:r w:rsidR="00D54F4B">
        <w:t>buil</w:t>
      </w:r>
      <w:r w:rsidR="00DD6E47">
        <w:t>t</w:t>
      </w:r>
      <w:r w:rsidR="00D54F4B">
        <w:t xml:space="preserve"> government expertise to evaluate the technical dimensions of priority projects would perhaps have better positioned the PPP Center to </w:t>
      </w:r>
      <w:r w:rsidR="0030039E">
        <w:t>perform its intermediary role more strongly</w:t>
      </w:r>
      <w:r w:rsidR="00DD6E47">
        <w:t>. This also would have</w:t>
      </w:r>
      <w:r w:rsidR="00622DF0">
        <w:t xml:space="preserve"> served to</w:t>
      </w:r>
      <w:r w:rsidR="00DD6E47">
        <w:t xml:space="preserve"> facilitate more</w:t>
      </w:r>
      <w:r w:rsidR="00D54F4B">
        <w:t xml:space="preserve"> meaningful discussions between government and private sector entities and ensure the program’s relevance to government</w:t>
      </w:r>
      <w:r w:rsidR="00D54F4B">
        <w:rPr>
          <w:rStyle w:val="FootnoteReference"/>
        </w:rPr>
        <w:footnoteReference w:id="45"/>
      </w:r>
      <w:r w:rsidR="00D54F4B">
        <w:t xml:space="preserve">. </w:t>
      </w:r>
      <w:r w:rsidR="00997FAC">
        <w:t xml:space="preserve">While the </w:t>
      </w:r>
      <w:r w:rsidR="00F12D94">
        <w:t>TA</w:t>
      </w:r>
      <w:r w:rsidR="00997FAC">
        <w:t xml:space="preserve"> provided some support in the area of unsolicited proposals</w:t>
      </w:r>
      <w:r w:rsidR="00AA772C">
        <w:rPr>
          <w:rStyle w:val="FootnoteReference"/>
        </w:rPr>
        <w:footnoteReference w:id="46"/>
      </w:r>
      <w:r w:rsidR="00F12D94" w:rsidRPr="00FC3ADC">
        <w:t>a</w:t>
      </w:r>
      <w:r w:rsidR="00F12D94">
        <w:rPr>
          <w:rFonts w:ascii="Arial" w:hAnsi="Arial" w:cs="Arial"/>
          <w:color w:val="000000" w:themeColor="text1"/>
        </w:rPr>
        <w:t xml:space="preserve"> </w:t>
      </w:r>
      <w:r w:rsidR="00F12D94">
        <w:t>more extensive</w:t>
      </w:r>
      <w:r w:rsidR="00DF77AA">
        <w:t xml:space="preserve"> </w:t>
      </w:r>
      <w:r w:rsidR="00AA772C">
        <w:t xml:space="preserve">pivot </w:t>
      </w:r>
      <w:r w:rsidR="00D54F4B">
        <w:t xml:space="preserve">may have resulted in enhanced effectiveness. </w:t>
      </w:r>
    </w:p>
    <w:p w14:paraId="68AEF13B" w14:textId="11065938" w:rsidR="00697B82" w:rsidRDefault="00DF77AA" w:rsidP="006B254D">
      <w:pPr>
        <w:spacing w:line="240" w:lineRule="auto"/>
      </w:pPr>
      <w:r>
        <w:t xml:space="preserve">In response to </w:t>
      </w:r>
      <w:r w:rsidR="003D4D77">
        <w:t xml:space="preserve">these limitations </w:t>
      </w:r>
      <w:r>
        <w:t>in the enabling environment</w:t>
      </w:r>
      <w:r w:rsidR="003D4D77">
        <w:t xml:space="preserve"> </w:t>
      </w:r>
      <w:r>
        <w:t xml:space="preserve">and opportunities at the local level, the PPP Program re-calibrated initiatives, shifting towards supporting </w:t>
      </w:r>
      <w:r w:rsidR="00697B82">
        <w:t xml:space="preserve">local governments </w:t>
      </w:r>
      <w:r>
        <w:t>and local</w:t>
      </w:r>
      <w:r w:rsidR="00697B82">
        <w:t>-level</w:t>
      </w:r>
      <w:r>
        <w:t xml:space="preserve"> non-traditional clients to develop and advance a diverse range of smaller-scale PPP projects.</w:t>
      </w:r>
      <w:r w:rsidR="007A1CEA">
        <w:t xml:space="preserve"> </w:t>
      </w:r>
      <w:r w:rsidRPr="00093952">
        <w:t xml:space="preserve">In 2017, the PPP Center launched the </w:t>
      </w:r>
      <w:r>
        <w:t>Local PPP</w:t>
      </w:r>
      <w:r w:rsidRPr="00093952">
        <w:t xml:space="preserve"> </w:t>
      </w:r>
      <w:r>
        <w:t>S</w:t>
      </w:r>
      <w:r w:rsidRPr="00093952">
        <w:t xml:space="preserve">trategy </w:t>
      </w:r>
      <w:r w:rsidR="00CE0F48">
        <w:t>which</w:t>
      </w:r>
      <w:r w:rsidR="00CE0F48" w:rsidRPr="00093952">
        <w:t xml:space="preserve"> </w:t>
      </w:r>
      <w:r w:rsidRPr="00093952">
        <w:t>includ</w:t>
      </w:r>
      <w:r w:rsidR="00CE0F48">
        <w:t>ed</w:t>
      </w:r>
      <w:r w:rsidRPr="00093952">
        <w:t xml:space="preserve"> the roll out of in-house, project-based assistance and partnerships with training institutions. </w:t>
      </w:r>
      <w:r>
        <w:t xml:space="preserve">Of particular note </w:t>
      </w:r>
      <w:r w:rsidR="00697B82">
        <w:t>was</w:t>
      </w:r>
      <w:r>
        <w:t xml:space="preserve"> the business case initiative tool developed to build </w:t>
      </w:r>
      <w:r w:rsidR="00E51EF4">
        <w:t xml:space="preserve">local government </w:t>
      </w:r>
      <w:r>
        <w:t xml:space="preserve"> capacity, which adopt</w:t>
      </w:r>
      <w:r w:rsidR="00697B82">
        <w:t>ed</w:t>
      </w:r>
      <w:r>
        <w:t xml:space="preserve"> a collaborative learning by doing approach</w:t>
      </w:r>
      <w:r>
        <w:rPr>
          <w:rStyle w:val="FootnoteReference"/>
        </w:rPr>
        <w:footnoteReference w:id="47"/>
      </w:r>
      <w:r>
        <w:t xml:space="preserve">. </w:t>
      </w:r>
    </w:p>
    <w:p w14:paraId="1BB44056" w14:textId="0F666849" w:rsidR="00DF77AA" w:rsidRDefault="00DF77AA" w:rsidP="006B254D">
      <w:pPr>
        <w:spacing w:line="240" w:lineRule="auto"/>
      </w:pPr>
      <w:r>
        <w:t>The PPP Cent</w:t>
      </w:r>
      <w:r w:rsidR="00FF532B">
        <w:t>er</w:t>
      </w:r>
      <w:r w:rsidRPr="00093952">
        <w:t xml:space="preserve"> also established a separate PDMF Committee for local projects and a new panel of consultants for local resilient PPP projects.</w:t>
      </w:r>
      <w:r w:rsidR="000B35DD">
        <w:t xml:space="preserve"> </w:t>
      </w:r>
      <w:r w:rsidR="007A1CEA">
        <w:t>DFAT in turn</w:t>
      </w:r>
      <w:r w:rsidR="00697B82">
        <w:t>,</w:t>
      </w:r>
      <w:r w:rsidR="007A1CEA">
        <w:t xml:space="preserve"> agreed to amend the use of Australian Government funds for the PDMF for </w:t>
      </w:r>
      <w:r w:rsidR="00697B82">
        <w:t xml:space="preserve">local government </w:t>
      </w:r>
      <w:r w:rsidR="007A1CEA">
        <w:t>projects.</w:t>
      </w:r>
      <w:r w:rsidR="007A1CEA" w:rsidRPr="00093952">
        <w:t xml:space="preserve"> </w:t>
      </w:r>
      <w:r w:rsidRPr="00093952">
        <w:t>Utili</w:t>
      </w:r>
      <w:r>
        <w:t>s</w:t>
      </w:r>
      <w:r w:rsidRPr="00093952">
        <w:t xml:space="preserve">ing this support, two </w:t>
      </w:r>
      <w:r w:rsidR="00697B82">
        <w:t>local government</w:t>
      </w:r>
      <w:r w:rsidR="00697B82" w:rsidRPr="00093952">
        <w:t xml:space="preserve"> </w:t>
      </w:r>
      <w:r w:rsidRPr="00093952">
        <w:t>PPP projects were awarded, one was tendered, and two feasibility studies were completed</w:t>
      </w:r>
      <w:r>
        <w:t xml:space="preserve">, and </w:t>
      </w:r>
      <w:r w:rsidRPr="00093952">
        <w:t xml:space="preserve">10 </w:t>
      </w:r>
      <w:r w:rsidR="00E51EF4">
        <w:t>local government unit</w:t>
      </w:r>
      <w:r w:rsidR="00C469F3">
        <w:t>s</w:t>
      </w:r>
      <w:r w:rsidRPr="00093952">
        <w:t xml:space="preserve"> PPPs </w:t>
      </w:r>
      <w:r w:rsidR="00697B82">
        <w:t>were</w:t>
      </w:r>
      <w:r w:rsidRPr="00093952">
        <w:t xml:space="preserve"> under development</w:t>
      </w:r>
      <w:r w:rsidR="00697B82">
        <w:t xml:space="preserve"> at the time of writing</w:t>
      </w:r>
      <w:r>
        <w:rPr>
          <w:rStyle w:val="FootnoteReference"/>
        </w:rPr>
        <w:footnoteReference w:id="48"/>
      </w:r>
      <w:r w:rsidRPr="00093952">
        <w:t xml:space="preserve">. </w:t>
      </w:r>
      <w:r w:rsidR="00C938E9">
        <w:t>This</w:t>
      </w:r>
      <w:r>
        <w:t xml:space="preserve"> approach </w:t>
      </w:r>
      <w:r w:rsidR="00C938E9">
        <w:t xml:space="preserve">enabled </w:t>
      </w:r>
      <w:r>
        <w:t xml:space="preserve">the PPP Program </w:t>
      </w:r>
      <w:r w:rsidR="00C938E9">
        <w:t xml:space="preserve">to </w:t>
      </w:r>
      <w:r>
        <w:t xml:space="preserve">target local </w:t>
      </w:r>
      <w:r w:rsidR="00021678">
        <w:t>implementing agencies</w:t>
      </w:r>
      <w:r>
        <w:t xml:space="preserve"> and </w:t>
      </w:r>
      <w:r w:rsidR="00E51EF4">
        <w:t>local government units</w:t>
      </w:r>
      <w:r>
        <w:t xml:space="preserve"> outside of </w:t>
      </w:r>
      <w:r w:rsidR="000C09FB">
        <w:t>M</w:t>
      </w:r>
      <w:r>
        <w:t>etro Manila</w:t>
      </w:r>
      <w:r>
        <w:rPr>
          <w:rStyle w:val="FootnoteReference"/>
        </w:rPr>
        <w:footnoteReference w:id="49"/>
      </w:r>
      <w:r>
        <w:t xml:space="preserve"> in </w:t>
      </w:r>
      <w:bookmarkStart w:id="71" w:name="_Hlk75868020"/>
      <w:r>
        <w:t xml:space="preserve">areas where the benefits of PPP projects would also be experienced outside </w:t>
      </w:r>
      <w:r w:rsidR="00697B82">
        <w:t>the capital city</w:t>
      </w:r>
      <w:r w:rsidR="00C938E9">
        <w:t xml:space="preserve">, </w:t>
      </w:r>
      <w:r>
        <w:t>directly respond</w:t>
      </w:r>
      <w:r w:rsidR="00697B82">
        <w:t>ing</w:t>
      </w:r>
      <w:r>
        <w:t xml:space="preserve"> to </w:t>
      </w:r>
      <w:r w:rsidR="00C938E9">
        <w:t>G</w:t>
      </w:r>
      <w:r>
        <w:t xml:space="preserve">overnment priorities to </w:t>
      </w:r>
      <w:bookmarkStart w:id="72" w:name="_Hlk75868314"/>
      <w:r>
        <w:t>disperse benefits to the regions</w:t>
      </w:r>
      <w:bookmarkEnd w:id="71"/>
      <w:bookmarkEnd w:id="72"/>
      <w:r>
        <w:t>.</w:t>
      </w:r>
      <w:r>
        <w:rPr>
          <w:rFonts w:cstheme="minorHAnsi"/>
          <w:sz w:val="18"/>
          <w:szCs w:val="18"/>
        </w:rPr>
        <w:t xml:space="preserve"> </w:t>
      </w:r>
      <w:r>
        <w:t xml:space="preserve">This well positioned the </w:t>
      </w:r>
      <w:r w:rsidR="00697B82">
        <w:t xml:space="preserve">government of the Philippines </w:t>
      </w:r>
      <w:r>
        <w:t>to respond to the</w:t>
      </w:r>
      <w:r w:rsidR="00564C61">
        <w:t xml:space="preserve"> decentralisation established by the</w:t>
      </w:r>
      <w:r>
        <w:t xml:space="preserve"> Mandanas ruling</w:t>
      </w:r>
      <w:r w:rsidR="00564C61">
        <w:t>,</w:t>
      </w:r>
      <w:r>
        <w:t xml:space="preserve"> that will result in a substantial increase in </w:t>
      </w:r>
      <w:r w:rsidR="00697B82">
        <w:t xml:space="preserve">devolved </w:t>
      </w:r>
      <w:r>
        <w:t xml:space="preserve">funding </w:t>
      </w:r>
      <w:r w:rsidR="00697B82">
        <w:t>to be re-</w:t>
      </w:r>
      <w:r>
        <w:t>allocated</w:t>
      </w:r>
      <w:r w:rsidR="00DD61AA">
        <w:t xml:space="preserve"> from national agencies</w:t>
      </w:r>
      <w:r w:rsidR="00697B82">
        <w:t xml:space="preserve"> directly</w:t>
      </w:r>
      <w:r>
        <w:t xml:space="preserve"> to </w:t>
      </w:r>
      <w:r w:rsidR="00697B82">
        <w:t xml:space="preserve">local governments </w:t>
      </w:r>
      <w:r>
        <w:t>to meet local infrastructure development needs in 2022 as outlined in section 2.2.</w:t>
      </w:r>
    </w:p>
    <w:bookmarkEnd w:id="70"/>
    <w:p w14:paraId="18427E98" w14:textId="4822BC4B" w:rsidR="0037464E" w:rsidRDefault="0037464E" w:rsidP="00F5700C">
      <w:pPr>
        <w:spacing w:line="240" w:lineRule="auto"/>
      </w:pPr>
    </w:p>
    <w:p w14:paraId="79A8ABCB" w14:textId="07B7F521" w:rsidR="005E374A" w:rsidRDefault="005E374A" w:rsidP="00F2226C">
      <w:pPr>
        <w:pStyle w:val="Heading3"/>
      </w:pPr>
      <w:bookmarkStart w:id="73" w:name="_Toc96435332"/>
      <w:r>
        <w:t>3.</w:t>
      </w:r>
      <w:r w:rsidR="006A2EA1">
        <w:t>6</w:t>
      </w:r>
      <w:r>
        <w:t xml:space="preserve"> </w:t>
      </w:r>
      <w:r w:rsidRPr="005E374A">
        <w:t>Monitoring and Evaluation</w:t>
      </w:r>
      <w:bookmarkEnd w:id="73"/>
    </w:p>
    <w:p w14:paraId="244B4DF8" w14:textId="6D1C4DDD" w:rsidR="00234AAC" w:rsidRDefault="00CF7BC1" w:rsidP="006B254D">
      <w:pPr>
        <w:spacing w:line="240" w:lineRule="auto"/>
      </w:pPr>
      <w:bookmarkStart w:id="74" w:name="_Hlk66884538"/>
      <w:bookmarkStart w:id="75" w:name="_Hlk66890005"/>
      <w:r w:rsidRPr="00BF7C54">
        <w:t xml:space="preserve">The TA’s </w:t>
      </w:r>
      <w:r w:rsidR="002116B8">
        <w:t>monitoring and evaluation</w:t>
      </w:r>
      <w:r w:rsidR="00683760">
        <w:t xml:space="preserve"> </w:t>
      </w:r>
      <w:r w:rsidRPr="00BF7C54">
        <w:t>framework</w:t>
      </w:r>
      <w:r w:rsidR="007F7E52">
        <w:t>, designed and administered through the ADB</w:t>
      </w:r>
      <w:r w:rsidR="002116B8">
        <w:t>,</w:t>
      </w:r>
      <w:r w:rsidRPr="00BF7C54">
        <w:t xml:space="preserve"> remained relatively rigid and</w:t>
      </w:r>
      <w:r w:rsidR="0083104E">
        <w:t xml:space="preserve"> </w:t>
      </w:r>
      <w:r w:rsidR="002116B8">
        <w:t>did</w:t>
      </w:r>
      <w:r w:rsidRPr="00BF7C54">
        <w:t xml:space="preserve"> not produce sufficient qualitative information and analysis, or appropriately evolve over the 10-year</w:t>
      </w:r>
      <w:r w:rsidR="002116B8">
        <w:t xml:space="preserve"> Program</w:t>
      </w:r>
      <w:r w:rsidRPr="00BF7C54">
        <w:t xml:space="preserve"> period to enable DFAT to effectively tell the TA’s </w:t>
      </w:r>
      <w:r w:rsidRPr="00BF7C54">
        <w:lastRenderedPageBreak/>
        <w:t>performance story or make evidence-based investment decisions.</w:t>
      </w:r>
      <w:bookmarkEnd w:id="74"/>
      <w:r w:rsidRPr="00BF7C54">
        <w:t xml:space="preserve"> </w:t>
      </w:r>
      <w:r w:rsidR="00D662E6">
        <w:t>The TA’s</w:t>
      </w:r>
      <w:r w:rsidR="00897087">
        <w:t xml:space="preserve"> </w:t>
      </w:r>
      <w:r w:rsidR="002116B8">
        <w:t xml:space="preserve">monitoring and evaluation </w:t>
      </w:r>
      <w:r w:rsidRPr="00BF7C54">
        <w:t xml:space="preserve">could </w:t>
      </w:r>
      <w:r w:rsidR="002116B8">
        <w:t xml:space="preserve">have </w:t>
      </w:r>
      <w:r w:rsidRPr="00BF7C54">
        <w:t>be</w:t>
      </w:r>
      <w:r w:rsidR="002116B8">
        <w:t>en</w:t>
      </w:r>
      <w:r w:rsidRPr="00BF7C54">
        <w:t xml:space="preserve"> strengthened by more strongly drawing on and analysing </w:t>
      </w:r>
      <w:r w:rsidR="007C4A62">
        <w:t xml:space="preserve">PPP </w:t>
      </w:r>
      <w:r w:rsidR="009C55DB">
        <w:t>Cent</w:t>
      </w:r>
      <w:r w:rsidR="00A97FED">
        <w:t>er</w:t>
      </w:r>
      <w:r w:rsidRPr="00BF7C54">
        <w:t xml:space="preserve"> data as part of political economy monitoring, linked to strategy testing and development.</w:t>
      </w:r>
    </w:p>
    <w:p w14:paraId="3C7B0E4C" w14:textId="34C753F9" w:rsidR="00234AAC" w:rsidRDefault="00CE692F" w:rsidP="006B254D">
      <w:pPr>
        <w:spacing w:line="240" w:lineRule="auto"/>
      </w:pPr>
      <w:r>
        <w:t xml:space="preserve">The TA design was </w:t>
      </w:r>
      <w:r w:rsidR="009E7955">
        <w:t>developed</w:t>
      </w:r>
      <w:r>
        <w:t xml:space="preserve"> through the use of </w:t>
      </w:r>
      <w:r w:rsidR="00897087">
        <w:t xml:space="preserve">ADB’s </w:t>
      </w:r>
      <w:r>
        <w:t>systems and processes, and does not have an articulated Program Logic</w:t>
      </w:r>
      <w:r w:rsidR="00A14A69">
        <w:t xml:space="preserve"> or Theory of Change</w:t>
      </w:r>
      <w:r>
        <w:t xml:space="preserve"> </w:t>
      </w:r>
      <w:r w:rsidR="009E7955">
        <w:t>typically</w:t>
      </w:r>
      <w:r>
        <w:t xml:space="preserve"> required </w:t>
      </w:r>
      <w:r w:rsidR="009E7955">
        <w:t>by</w:t>
      </w:r>
      <w:r>
        <w:t xml:space="preserve"> DFAT</w:t>
      </w:r>
      <w:r w:rsidR="0011263F">
        <w:t xml:space="preserve">-led </w:t>
      </w:r>
      <w:r>
        <w:t xml:space="preserve">design processes. Rather, a broad set of outcomes </w:t>
      </w:r>
      <w:r w:rsidR="009E7955">
        <w:t>were</w:t>
      </w:r>
      <w:r>
        <w:t xml:space="preserve"> </w:t>
      </w:r>
      <w:r w:rsidR="009E7955">
        <w:t>established</w:t>
      </w:r>
      <w:r>
        <w:t xml:space="preserve"> from the outset</w:t>
      </w:r>
      <w:r w:rsidR="009E7955">
        <w:t xml:space="preserve"> and retained</w:t>
      </w:r>
      <w:r>
        <w:t xml:space="preserve">, </w:t>
      </w:r>
      <w:r w:rsidR="009E7955">
        <w:t>guiding the TA</w:t>
      </w:r>
      <w:r w:rsidR="009C55DB">
        <w:t xml:space="preserve"> over the course of the </w:t>
      </w:r>
      <w:r w:rsidR="00294D9E">
        <w:t>ten-year</w:t>
      </w:r>
      <w:r w:rsidR="005E5567">
        <w:t xml:space="preserve"> period</w:t>
      </w:r>
      <w:r w:rsidR="009C55DB">
        <w:t xml:space="preserve">. </w:t>
      </w:r>
      <w:r w:rsidR="00FD3F8A">
        <w:t xml:space="preserve">The five outcomes </w:t>
      </w:r>
      <w:r w:rsidR="000D1D7C">
        <w:t xml:space="preserve">provided a </w:t>
      </w:r>
      <w:r w:rsidR="005766C6">
        <w:t>strong</w:t>
      </w:r>
      <w:r w:rsidR="000D1D7C">
        <w:t xml:space="preserve"> </w:t>
      </w:r>
      <w:r w:rsidR="0011263F">
        <w:t xml:space="preserve">shared vision and </w:t>
      </w:r>
      <w:r w:rsidR="000D1D7C">
        <w:t>foundation for focusing the TA</w:t>
      </w:r>
      <w:r w:rsidR="005766C6">
        <w:t xml:space="preserve">’s efforts. They </w:t>
      </w:r>
      <w:r w:rsidR="00F0701D">
        <w:t>were</w:t>
      </w:r>
      <w:r w:rsidR="005766C6">
        <w:t xml:space="preserve"> used as a basis for </w:t>
      </w:r>
      <w:r w:rsidR="000D1D7C">
        <w:t>reporting against</w:t>
      </w:r>
      <w:r w:rsidR="0011263F">
        <w:t xml:space="preserve"> </w:t>
      </w:r>
      <w:r w:rsidR="000D1D7C">
        <w:t>outcomes</w:t>
      </w:r>
      <w:r w:rsidR="005766C6">
        <w:t>, with t</w:t>
      </w:r>
      <w:r w:rsidR="000D1D7C">
        <w:t>he Design and Monitoring Framework</w:t>
      </w:r>
      <w:r w:rsidR="000D1D7C" w:rsidRPr="000D1D7C">
        <w:t xml:space="preserve"> (DMF)</w:t>
      </w:r>
      <w:r w:rsidR="005766C6">
        <w:t xml:space="preserve"> structured around the five outcomes. The DMF</w:t>
      </w:r>
      <w:r w:rsidR="000D1D7C">
        <w:t xml:space="preserve"> </w:t>
      </w:r>
      <w:r w:rsidR="00F0701D">
        <w:t>was</w:t>
      </w:r>
      <w:r w:rsidR="000D1D7C">
        <w:t xml:space="preserve"> periodically updated, with new activities, </w:t>
      </w:r>
      <w:r>
        <w:t>targets</w:t>
      </w:r>
      <w:r w:rsidR="0011263F">
        <w:t xml:space="preserve"> and indicators,</w:t>
      </w:r>
      <w:r>
        <w:t xml:space="preserve"> and timelines set under each outcome</w:t>
      </w:r>
      <w:r w:rsidR="0011263F">
        <w:t xml:space="preserve">. </w:t>
      </w:r>
      <w:r w:rsidR="00D662E6">
        <w:t>However,</w:t>
      </w:r>
      <w:r w:rsidR="00897087">
        <w:t xml:space="preserve"> this did not occur in the context of the attainment of increased funding, resulting in the bar being set too low.</w:t>
      </w:r>
    </w:p>
    <w:p w14:paraId="162BAE71" w14:textId="553428AC" w:rsidR="00F0701D" w:rsidRDefault="00C2056F" w:rsidP="006B254D">
      <w:pPr>
        <w:spacing w:line="240" w:lineRule="auto"/>
      </w:pPr>
      <w:r>
        <w:t xml:space="preserve">While </w:t>
      </w:r>
      <w:r w:rsidR="00F0701D">
        <w:t xml:space="preserve">monitoring and evaluation </w:t>
      </w:r>
      <w:r>
        <w:t xml:space="preserve">and </w:t>
      </w:r>
      <w:r w:rsidR="00A97FED">
        <w:t>TA</w:t>
      </w:r>
      <w:r>
        <w:t xml:space="preserve"> reporting tell DFAT where and how the money was spen</w:t>
      </w:r>
      <w:r w:rsidR="00A97FED">
        <w:t>t</w:t>
      </w:r>
      <w:r>
        <w:t xml:space="preserve">, it </w:t>
      </w:r>
      <w:r w:rsidR="00F0701D">
        <w:t xml:space="preserve">did </w:t>
      </w:r>
      <w:r>
        <w:t xml:space="preserve">not </w:t>
      </w:r>
      <w:r w:rsidR="00A14A69">
        <w:t>provide</w:t>
      </w:r>
      <w:r>
        <w:t xml:space="preserve"> the full performance story</w:t>
      </w:r>
      <w:r w:rsidR="00611826">
        <w:t>,</w:t>
      </w:r>
      <w:r>
        <w:t xml:space="preserve"> including quality </w:t>
      </w:r>
      <w:r w:rsidR="00A97FED">
        <w:t xml:space="preserve">of the intervention </w:t>
      </w:r>
      <w:r>
        <w:t>and development outcomes</w:t>
      </w:r>
      <w:r w:rsidR="003D4EF1">
        <w:t xml:space="preserve"> nor did it </w:t>
      </w:r>
      <w:r w:rsidR="0088719F">
        <w:t>generate sufficient data to enable DFAT</w:t>
      </w:r>
      <w:r w:rsidR="00A97FED">
        <w:t xml:space="preserve"> </w:t>
      </w:r>
      <w:r w:rsidR="00897087">
        <w:t>and the PPP Cent</w:t>
      </w:r>
      <w:r w:rsidR="00A97FED">
        <w:t>er</w:t>
      </w:r>
      <w:r w:rsidR="0088719F">
        <w:t xml:space="preserve"> to track against key marker</w:t>
      </w:r>
      <w:r w:rsidR="005277AA">
        <w:t>s</w:t>
      </w:r>
      <w:r w:rsidR="0088719F">
        <w:t xml:space="preserve"> such as efficiency, relevance and sustainability</w:t>
      </w:r>
      <w:r w:rsidR="005E5567">
        <w:t xml:space="preserve">. For example, </w:t>
      </w:r>
      <w:r w:rsidR="00017798">
        <w:t xml:space="preserve">the data provided does not </w:t>
      </w:r>
      <w:r w:rsidR="00F75E9A">
        <w:t xml:space="preserve">speak to the </w:t>
      </w:r>
      <w:r w:rsidR="00294D9E">
        <w:t xml:space="preserve">ownership and credibility of the </w:t>
      </w:r>
      <w:r w:rsidR="00A71EAA" w:rsidRPr="00AC794F">
        <w:t xml:space="preserve">Project Development and </w:t>
      </w:r>
      <w:r w:rsidR="00A71EAA">
        <w:t xml:space="preserve">Monitoring </w:t>
      </w:r>
      <w:r w:rsidR="00A71EAA" w:rsidRPr="00AC794F">
        <w:t xml:space="preserve">Facility </w:t>
      </w:r>
      <w:r w:rsidR="00A71EAA">
        <w:t>(</w:t>
      </w:r>
      <w:r w:rsidR="00294D9E">
        <w:t>PDMF</w:t>
      </w:r>
      <w:r w:rsidR="00A71EAA">
        <w:t>)</w:t>
      </w:r>
      <w:r w:rsidR="00294D9E">
        <w:t xml:space="preserve">, </w:t>
      </w:r>
      <w:r w:rsidR="00F75E9A">
        <w:t>the</w:t>
      </w:r>
      <w:r w:rsidR="00294D9E">
        <w:t xml:space="preserve"> capacities built</w:t>
      </w:r>
      <w:r w:rsidR="00F75E9A">
        <w:t xml:space="preserve"> among </w:t>
      </w:r>
      <w:r w:rsidR="00F0701D">
        <w:t xml:space="preserve">Philippine </w:t>
      </w:r>
      <w:r w:rsidR="00F75E9A">
        <w:t>national counterparts</w:t>
      </w:r>
      <w:r w:rsidR="00F0701D">
        <w:t>,</w:t>
      </w:r>
      <w:r w:rsidR="00F75E9A">
        <w:t xml:space="preserve"> and</w:t>
      </w:r>
      <w:r w:rsidR="00294D9E">
        <w:t xml:space="preserve"> how these in turn</w:t>
      </w:r>
      <w:r w:rsidR="00F75E9A">
        <w:t xml:space="preserve"> have</w:t>
      </w:r>
      <w:r w:rsidR="00294D9E">
        <w:t xml:space="preserve"> impact</w:t>
      </w:r>
      <w:r w:rsidR="00F75E9A">
        <w:t>ed</w:t>
      </w:r>
      <w:r w:rsidR="00294D9E">
        <w:t xml:space="preserve"> on the </w:t>
      </w:r>
      <w:r w:rsidR="00F75E9A">
        <w:t xml:space="preserve">quality and effectiveness </w:t>
      </w:r>
      <w:r w:rsidR="00294D9E">
        <w:t xml:space="preserve">of </w:t>
      </w:r>
      <w:r w:rsidR="00F75E9A">
        <w:t>various</w:t>
      </w:r>
      <w:r w:rsidR="00294D9E">
        <w:t xml:space="preserve"> </w:t>
      </w:r>
      <w:r w:rsidR="00F75E9A">
        <w:t>stages of the PPP business</w:t>
      </w:r>
      <w:r w:rsidR="00294D9E">
        <w:t xml:space="preserve"> cycle, or on particular PPP projects. </w:t>
      </w:r>
    </w:p>
    <w:p w14:paraId="5B28EFE8" w14:textId="3CEA0532" w:rsidR="00234AAC" w:rsidRDefault="00294D9E" w:rsidP="006B254D">
      <w:pPr>
        <w:spacing w:line="240" w:lineRule="auto"/>
      </w:pPr>
      <w:r>
        <w:t xml:space="preserve">Furthermore, </w:t>
      </w:r>
      <w:r w:rsidR="00F0701D">
        <w:t xml:space="preserve">Program </w:t>
      </w:r>
      <w:r>
        <w:t xml:space="preserve">reporting </w:t>
      </w:r>
      <w:r w:rsidR="00C11EF7">
        <w:t>is largely</w:t>
      </w:r>
      <w:r w:rsidR="00CE65C4">
        <w:t xml:space="preserve"> descriptive </w:t>
      </w:r>
      <w:r>
        <w:t xml:space="preserve">rather than </w:t>
      </w:r>
      <w:r w:rsidR="00CE65C4">
        <w:t>analytical</w:t>
      </w:r>
      <w:r w:rsidR="00D12E51">
        <w:t xml:space="preserve">. </w:t>
      </w:r>
      <w:r w:rsidR="00C11EF7">
        <w:t xml:space="preserve">For example, information </w:t>
      </w:r>
      <w:r w:rsidR="00F0701D">
        <w:t>was</w:t>
      </w:r>
      <w:r w:rsidR="00C11EF7">
        <w:t xml:space="preserve"> provided on the number of projects competitively tendered, awarded, and reach</w:t>
      </w:r>
      <w:r w:rsidR="007C55F4">
        <w:t>ing</w:t>
      </w:r>
      <w:r w:rsidR="00C11EF7">
        <w:t xml:space="preserve"> financial close. T</w:t>
      </w:r>
      <w:r w:rsidR="00276610">
        <w:t xml:space="preserve">here </w:t>
      </w:r>
      <w:r w:rsidR="00F0701D">
        <w:t>was</w:t>
      </w:r>
      <w:r w:rsidR="00276610">
        <w:t xml:space="preserve"> little qualitative analysis</w:t>
      </w:r>
      <w:r w:rsidR="00C11EF7">
        <w:t xml:space="preserve"> of key trends such as why </w:t>
      </w:r>
      <w:r w:rsidR="00276610">
        <w:t xml:space="preserve">projects are </w:t>
      </w:r>
      <w:r w:rsidR="00A97FED">
        <w:t>or</w:t>
      </w:r>
      <w:r w:rsidR="00C11EF7">
        <w:t xml:space="preserve"> are not </w:t>
      </w:r>
      <w:r w:rsidR="00A97FED">
        <w:t xml:space="preserve">moving </w:t>
      </w:r>
      <w:r w:rsidR="00C11EF7">
        <w:t>to approval</w:t>
      </w:r>
      <w:r w:rsidR="00F0701D">
        <w:t>,</w:t>
      </w:r>
      <w:r w:rsidR="00C11EF7">
        <w:t xml:space="preserve"> or being approved, progressing to </w:t>
      </w:r>
      <w:r w:rsidR="00C11EF7" w:rsidRPr="00D662E6">
        <w:t>award and</w:t>
      </w:r>
      <w:r w:rsidR="007C55F4" w:rsidRPr="00D662E6">
        <w:t xml:space="preserve"> successfully</w:t>
      </w:r>
      <w:r w:rsidR="00C11EF7" w:rsidRPr="00D662E6">
        <w:t xml:space="preserve"> contract</w:t>
      </w:r>
      <w:r w:rsidR="007C55F4" w:rsidRPr="00D662E6">
        <w:t>ed</w:t>
      </w:r>
      <w:r w:rsidR="00C11EF7" w:rsidRPr="00D662E6">
        <w:t xml:space="preserve">, or being implemented and closed out according to established timeframes. </w:t>
      </w:r>
      <w:r w:rsidR="007C55F4" w:rsidRPr="00D662E6">
        <w:t xml:space="preserve">This is </w:t>
      </w:r>
      <w:r w:rsidR="00BC3F98">
        <w:t>limited</w:t>
      </w:r>
      <w:r w:rsidR="007C55F4" w:rsidRPr="00D662E6">
        <w:t xml:space="preserve"> analysis of the </w:t>
      </w:r>
      <w:r w:rsidR="00CE65C4" w:rsidRPr="00D662E6">
        <w:t>value of the PDMF</w:t>
      </w:r>
      <w:r w:rsidR="00F664B6">
        <w:rPr>
          <w:rStyle w:val="FootnoteReference"/>
        </w:rPr>
        <w:footnoteReference w:id="50"/>
      </w:r>
      <w:r w:rsidR="00BC3F98">
        <w:t xml:space="preserve"> in project reporting to DFAT</w:t>
      </w:r>
      <w:r w:rsidR="00CE65C4" w:rsidRPr="00D662E6">
        <w:t xml:space="preserve">, such as whether it </w:t>
      </w:r>
      <w:r w:rsidR="00F0701D">
        <w:t>was</w:t>
      </w:r>
      <w:r w:rsidR="00CE65C4" w:rsidRPr="00D662E6">
        <w:t xml:space="preserve"> resulting in a high number of PPP projects reaching</w:t>
      </w:r>
      <w:r w:rsidR="00CE65C4">
        <w:t xml:space="preserve"> approval and contracting phases, or</w:t>
      </w:r>
      <w:r w:rsidR="00F0701D">
        <w:t xml:space="preserve"> whether it</w:t>
      </w:r>
      <w:r w:rsidR="00CE65C4">
        <w:t xml:space="preserve"> improved safeguarding measures when compared with non-</w:t>
      </w:r>
      <w:r w:rsidR="007C55F4">
        <w:t xml:space="preserve">PDMF </w:t>
      </w:r>
      <w:r w:rsidR="00CE65C4">
        <w:t xml:space="preserve">supported projects. </w:t>
      </w:r>
      <w:r w:rsidR="00B72BF4">
        <w:t xml:space="preserve">The social value created by PPP projects </w:t>
      </w:r>
      <w:r w:rsidR="00F0701D">
        <w:t>was</w:t>
      </w:r>
      <w:r w:rsidR="00B72BF4">
        <w:t xml:space="preserve"> also not captured in </w:t>
      </w:r>
      <w:r w:rsidR="00F0701D">
        <w:t xml:space="preserve">monitoring and evaluation </w:t>
      </w:r>
      <w:r w:rsidR="00B72BF4">
        <w:t xml:space="preserve">or reporting. </w:t>
      </w:r>
      <w:r w:rsidR="00CE65C4">
        <w:t>This create</w:t>
      </w:r>
      <w:r w:rsidR="00F0701D">
        <w:t>d</w:t>
      </w:r>
      <w:r w:rsidR="00CE65C4">
        <w:t xml:space="preserve"> challenges</w:t>
      </w:r>
      <w:r w:rsidR="00276610">
        <w:t xml:space="preserve"> </w:t>
      </w:r>
      <w:r w:rsidR="00CE65C4">
        <w:t>in assessing the value of DFAT’s contribution</w:t>
      </w:r>
      <w:r w:rsidR="00B72BF4">
        <w:t xml:space="preserve"> beyond one-dimensional metric</w:t>
      </w:r>
      <w:r w:rsidR="00162B1A">
        <w:t>s such as</w:t>
      </w:r>
      <w:r w:rsidR="00162B1A" w:rsidRPr="00162B1A">
        <w:t xml:space="preserve"> the number of PDMF-supported projects</w:t>
      </w:r>
      <w:r w:rsidR="00162B1A">
        <w:t xml:space="preserve"> awarded to date and the</w:t>
      </w:r>
      <w:r w:rsidR="00B72BF4">
        <w:t xml:space="preserve"> dollar value generated</w:t>
      </w:r>
      <w:r w:rsidR="00CE65C4">
        <w:t xml:space="preserve">, </w:t>
      </w:r>
      <w:r w:rsidR="00A96753">
        <w:t>and hinder</w:t>
      </w:r>
      <w:r w:rsidR="00F0701D">
        <w:t>ed</w:t>
      </w:r>
      <w:r w:rsidR="00A96753">
        <w:t xml:space="preserve"> </w:t>
      </w:r>
      <w:r w:rsidR="00FE2E51">
        <w:t>DFAT’s</w:t>
      </w:r>
      <w:r w:rsidR="00A96753">
        <w:t xml:space="preserve"> ability to </w:t>
      </w:r>
      <w:r w:rsidR="005306C0">
        <w:t xml:space="preserve">recommend program enhancements and </w:t>
      </w:r>
      <w:r w:rsidR="00A96753">
        <w:t>make evidence-based decisions regarding its investment.</w:t>
      </w:r>
      <w:r w:rsidR="00CE0F48" w:rsidRPr="00CE0F48">
        <w:t xml:space="preserve"> The absence of analysis on this front h also downplayed the PDMF value in adopting its guidelines to cater </w:t>
      </w:r>
      <w:r w:rsidR="0030039E" w:rsidRPr="00CE0F48">
        <w:t xml:space="preserve">to </w:t>
      </w:r>
      <w:r w:rsidR="0030039E">
        <w:t>local</w:t>
      </w:r>
      <w:r w:rsidR="00F0701D">
        <w:t xml:space="preserve"> governments</w:t>
      </w:r>
      <w:r w:rsidR="00CE0F48" w:rsidRPr="00CE0F48">
        <w:t xml:space="preserve">, </w:t>
      </w:r>
      <w:r w:rsidR="00F0701D">
        <w:t>or enabling</w:t>
      </w:r>
      <w:r w:rsidR="00F0701D" w:rsidRPr="00CE0F48">
        <w:t xml:space="preserve"> </w:t>
      </w:r>
      <w:r w:rsidR="00CE0F48" w:rsidRPr="00CE0F48">
        <w:t xml:space="preserve">support for </w:t>
      </w:r>
      <w:r w:rsidR="00CE0F48">
        <w:t>joint-venture</w:t>
      </w:r>
      <w:r w:rsidR="00CE0F48" w:rsidRPr="00CE0F48">
        <w:t xml:space="preserve"> structures and expanded </w:t>
      </w:r>
      <w:r w:rsidR="00233054">
        <w:t xml:space="preserve">unsolicited proposal </w:t>
      </w:r>
      <w:r w:rsidR="00CE0F48" w:rsidRPr="00CE0F48">
        <w:t>evaluation.</w:t>
      </w:r>
    </w:p>
    <w:p w14:paraId="0D654DEF" w14:textId="6035C8EA" w:rsidR="00234AAC" w:rsidRDefault="00897087" w:rsidP="006B254D">
      <w:pPr>
        <w:spacing w:line="240" w:lineRule="auto"/>
      </w:pPr>
      <w:r>
        <w:t xml:space="preserve">These issues </w:t>
      </w:r>
      <w:r w:rsidR="001D0B53">
        <w:t xml:space="preserve">also </w:t>
      </w:r>
      <w:r>
        <w:t>appear</w:t>
      </w:r>
      <w:r w:rsidR="00F0701D">
        <w:t>ed</w:t>
      </w:r>
      <w:r>
        <w:t xml:space="preserve"> to </w:t>
      </w:r>
      <w:r w:rsidR="00D662E6">
        <w:t>stem from</w:t>
      </w:r>
      <w:r w:rsidR="001D0B53">
        <w:t xml:space="preserve"> the lack of an appropriate </w:t>
      </w:r>
      <w:r w:rsidR="00F0701D">
        <w:t xml:space="preserve">monitoring and evaluation </w:t>
      </w:r>
      <w:r w:rsidR="001D0B53">
        <w:t xml:space="preserve">framework in the original design </w:t>
      </w:r>
      <w:r>
        <w:t xml:space="preserve">which </w:t>
      </w:r>
      <w:r w:rsidR="00F0701D">
        <w:t>was</w:t>
      </w:r>
      <w:r w:rsidR="00A23408">
        <w:t xml:space="preserve"> </w:t>
      </w:r>
      <w:r>
        <w:t>guided by quantitative data tracking, and d</w:t>
      </w:r>
      <w:r w:rsidR="00F0701D">
        <w:t>id</w:t>
      </w:r>
      <w:r>
        <w:t xml:space="preserve"> not </w:t>
      </w:r>
      <w:r w:rsidR="00A23408">
        <w:t xml:space="preserve">meet DFAT’s </w:t>
      </w:r>
      <w:r w:rsidR="00F0701D">
        <w:t xml:space="preserve">monitoring and evaluation </w:t>
      </w:r>
      <w:r w:rsidR="00A23408">
        <w:t>standards</w:t>
      </w:r>
      <w:r w:rsidR="00F0701D">
        <w:t>,</w:t>
      </w:r>
      <w:r w:rsidR="00A23408">
        <w:t xml:space="preserve"> </w:t>
      </w:r>
      <w:r w:rsidR="00F0701D">
        <w:t>n</w:t>
      </w:r>
      <w:r w:rsidR="00A23408">
        <w:t xml:space="preserve">or </w:t>
      </w:r>
      <w:r w:rsidR="00F0701D">
        <w:t xml:space="preserve">did it </w:t>
      </w:r>
      <w:r w:rsidR="00A23408">
        <w:t xml:space="preserve">generate </w:t>
      </w:r>
      <w:r>
        <w:t xml:space="preserve">the level of qualitative analysis </w:t>
      </w:r>
      <w:r w:rsidR="00A23408">
        <w:t>and</w:t>
      </w:r>
      <w:r>
        <w:t xml:space="preserve"> reporting </w:t>
      </w:r>
      <w:r w:rsidR="00A23408">
        <w:t>typically required by</w:t>
      </w:r>
      <w:r w:rsidR="00F664B6">
        <w:t xml:space="preserve"> </w:t>
      </w:r>
      <w:r>
        <w:t xml:space="preserve">DFAT. Furthermore, DFAT </w:t>
      </w:r>
      <w:r w:rsidR="00F0701D">
        <w:t>did</w:t>
      </w:r>
      <w:r>
        <w:t xml:space="preserve"> not appear to have ensured </w:t>
      </w:r>
      <w:r w:rsidR="007F2AF4">
        <w:t xml:space="preserve">this </w:t>
      </w:r>
      <w:r w:rsidR="00F664B6">
        <w:t>through</w:t>
      </w:r>
      <w:r w:rsidR="007F2AF4">
        <w:t xml:space="preserve"> the contracting process. </w:t>
      </w:r>
      <w:r w:rsidR="009E4CDF">
        <w:t>It is likely that the ADB and PPP Cent</w:t>
      </w:r>
      <w:r w:rsidR="00033C40">
        <w:t>er</w:t>
      </w:r>
      <w:r w:rsidR="009E4CDF">
        <w:t xml:space="preserve"> would </w:t>
      </w:r>
      <w:r w:rsidR="00F0701D">
        <w:t xml:space="preserve">have </w:t>
      </w:r>
      <w:r w:rsidR="009E4CDF">
        <w:t>require</w:t>
      </w:r>
      <w:r w:rsidR="00F0701D">
        <w:t>d</w:t>
      </w:r>
      <w:r w:rsidR="009E4CDF">
        <w:t xml:space="preserve"> additional resources and technical support to develop a more adaptive </w:t>
      </w:r>
      <w:r w:rsidR="00F0701D">
        <w:t xml:space="preserve">monitoring and evaluation </w:t>
      </w:r>
      <w:r w:rsidR="009E4CDF">
        <w:t>framework that meets DFAT’s standards and requirements.</w:t>
      </w:r>
      <w:r w:rsidR="000B35DD">
        <w:t xml:space="preserve"> </w:t>
      </w:r>
    </w:p>
    <w:p w14:paraId="1D0891CE" w14:textId="645A28BF" w:rsidR="00234AAC" w:rsidRDefault="00276610" w:rsidP="006B254D">
      <w:pPr>
        <w:spacing w:line="240" w:lineRule="auto"/>
      </w:pPr>
      <w:r>
        <w:t xml:space="preserve">The lack of a more holistic, contextually located </w:t>
      </w:r>
      <w:r w:rsidR="00F0701D">
        <w:t xml:space="preserve">monitoring and evaluation </w:t>
      </w:r>
      <w:r>
        <w:t xml:space="preserve">framework </w:t>
      </w:r>
      <w:r w:rsidR="00975515">
        <w:t xml:space="preserve">also </w:t>
      </w:r>
      <w:r>
        <w:t>create</w:t>
      </w:r>
      <w:r w:rsidR="00F0701D">
        <w:t>d</w:t>
      </w:r>
      <w:r>
        <w:t xml:space="preserve"> limitation</w:t>
      </w:r>
      <w:r w:rsidR="00CE65C4">
        <w:t>s</w:t>
      </w:r>
      <w:r>
        <w:t xml:space="preserve"> in assessing the</w:t>
      </w:r>
      <w:r w:rsidR="00975515">
        <w:t xml:space="preserve"> TA’s</w:t>
      </w:r>
      <w:r>
        <w:t xml:space="preserve"> performance. The </w:t>
      </w:r>
      <w:r w:rsidR="00EB2244">
        <w:t xml:space="preserve">DMF </w:t>
      </w:r>
      <w:r w:rsidR="00975515">
        <w:t>essentially define</w:t>
      </w:r>
      <w:r w:rsidR="00F0701D">
        <w:t>d</w:t>
      </w:r>
      <w:r w:rsidR="00975515">
        <w:t xml:space="preserve"> success as the meeting </w:t>
      </w:r>
      <w:r w:rsidR="003B57CE">
        <w:t xml:space="preserve">or exceeding </w:t>
      </w:r>
      <w:r w:rsidR="00975515">
        <w:t xml:space="preserve">of </w:t>
      </w:r>
      <w:r>
        <w:t>established targets</w:t>
      </w:r>
      <w:r w:rsidR="00975515">
        <w:t xml:space="preserve"> and indicators</w:t>
      </w:r>
      <w:r w:rsidR="003B57CE">
        <w:t>,</w:t>
      </w:r>
      <w:r w:rsidR="003B57CE" w:rsidRPr="003B57CE">
        <w:t xml:space="preserve"> </w:t>
      </w:r>
      <w:r w:rsidR="003B57CE">
        <w:t>which result</w:t>
      </w:r>
      <w:r w:rsidR="00F0701D">
        <w:t>ed</w:t>
      </w:r>
      <w:r w:rsidR="003B57CE">
        <w:t xml:space="preserve"> in the TA being assessed as high performing. </w:t>
      </w:r>
      <w:r>
        <w:t>However, arguably t</w:t>
      </w:r>
      <w:r w:rsidR="00B12307">
        <w:t>he design set the</w:t>
      </w:r>
      <w:r>
        <w:t xml:space="preserve"> bar very low. A more sophisticated assessment </w:t>
      </w:r>
      <w:r>
        <w:lastRenderedPageBreak/>
        <w:t>framework would</w:t>
      </w:r>
      <w:r w:rsidR="00F0701D">
        <w:t xml:space="preserve"> have</w:t>
      </w:r>
      <w:r>
        <w:t xml:space="preserve"> consider</w:t>
      </w:r>
      <w:r w:rsidR="00F0701D">
        <w:t>ed</w:t>
      </w:r>
      <w:r>
        <w:t xml:space="preserve"> the extent to which the TA had supported optimal change and outcomes within the constraints of the political and operating environment. </w:t>
      </w:r>
      <w:r w:rsidR="00CE65C4">
        <w:t>Moreover, the PPP</w:t>
      </w:r>
      <w:r w:rsidR="00033C40">
        <w:t xml:space="preserve"> Center</w:t>
      </w:r>
      <w:r w:rsidR="00CE65C4">
        <w:t xml:space="preserve"> established an</w:t>
      </w:r>
      <w:r w:rsidR="00BB2D05">
        <w:t>d maintain</w:t>
      </w:r>
      <w:r w:rsidR="00F0701D">
        <w:t>ed</w:t>
      </w:r>
      <w:r w:rsidR="00BB2D05">
        <w:t xml:space="preserve"> an</w:t>
      </w:r>
      <w:r w:rsidR="00CE65C4">
        <w:t xml:space="preserve"> excellent database </w:t>
      </w:r>
      <w:r w:rsidR="0004233C">
        <w:t>that</w:t>
      </w:r>
      <w:r w:rsidR="00CE65C4">
        <w:t xml:space="preserve"> enable</w:t>
      </w:r>
      <w:r w:rsidR="00F0701D">
        <w:t>d</w:t>
      </w:r>
      <w:r w:rsidR="00CE65C4">
        <w:t xml:space="preserve"> systematic track</w:t>
      </w:r>
      <w:r w:rsidR="000C0FAA">
        <w:t>ing</w:t>
      </w:r>
      <w:r w:rsidR="00CE65C4">
        <w:t xml:space="preserve"> against key metrics</w:t>
      </w:r>
      <w:r w:rsidR="00F0701D">
        <w:t>,</w:t>
      </w:r>
      <w:r w:rsidR="0004233C">
        <w:t xml:space="preserve"> as </w:t>
      </w:r>
      <w:r w:rsidR="000C0FAA">
        <w:t>illustrated</w:t>
      </w:r>
      <w:r w:rsidR="0004233C">
        <w:t xml:space="preserve"> by the PDMF data </w:t>
      </w:r>
      <w:r w:rsidR="000C0FAA">
        <w:t>provided</w:t>
      </w:r>
      <w:r w:rsidR="0004233C">
        <w:t xml:space="preserve"> in Annex 3</w:t>
      </w:r>
      <w:r w:rsidR="0004233C">
        <w:rPr>
          <w:rStyle w:val="FootnoteReference"/>
        </w:rPr>
        <w:footnoteReference w:id="51"/>
      </w:r>
      <w:r w:rsidR="0004233C">
        <w:t>.</w:t>
      </w:r>
      <w:r w:rsidR="00C40294">
        <w:t xml:space="preserve"> Embedding enhanced analysis and sensemaking in relation to this data into the </w:t>
      </w:r>
      <w:r w:rsidR="00EB2244">
        <w:t xml:space="preserve">DMF </w:t>
      </w:r>
      <w:r w:rsidR="00C40294">
        <w:t>would</w:t>
      </w:r>
      <w:r w:rsidR="00F0701D">
        <w:t xml:space="preserve"> have</w:t>
      </w:r>
      <w:r w:rsidR="00C40294">
        <w:t xml:space="preserve"> serve</w:t>
      </w:r>
      <w:r w:rsidR="00F0701D">
        <w:t>d</w:t>
      </w:r>
      <w:r w:rsidR="00C40294">
        <w:t xml:space="preserve"> to provide a more comprehensive impact and performance story, and would</w:t>
      </w:r>
      <w:r w:rsidR="00F0701D">
        <w:t xml:space="preserve"> have</w:t>
      </w:r>
      <w:r w:rsidR="00C40294">
        <w:t xml:space="preserve"> support</w:t>
      </w:r>
      <w:r w:rsidR="00F0701D">
        <w:t>ed</w:t>
      </w:r>
      <w:r w:rsidR="00C40294">
        <w:t xml:space="preserve"> adaptive management, with the TA being directed towards addressing critical issues limi</w:t>
      </w:r>
      <w:r w:rsidR="00FF3C32">
        <w:t xml:space="preserve">ting impact. </w:t>
      </w:r>
    </w:p>
    <w:p w14:paraId="42E0A484" w14:textId="5D841FD6" w:rsidR="00F0701D" w:rsidRDefault="00DC4810" w:rsidP="006B254D">
      <w:pPr>
        <w:spacing w:line="240" w:lineRule="auto"/>
      </w:pPr>
      <w:r>
        <w:t xml:space="preserve">While the ADB </w:t>
      </w:r>
      <w:r w:rsidR="00F0701D">
        <w:t xml:space="preserve">undertook </w:t>
      </w:r>
      <w:r>
        <w:t>review</w:t>
      </w:r>
      <w:r w:rsidR="00F0701D">
        <w:t>s</w:t>
      </w:r>
      <w:r>
        <w:t xml:space="preserve"> and adaption over the course of the</w:t>
      </w:r>
      <w:r w:rsidR="000B35DD">
        <w:t xml:space="preserve"> </w:t>
      </w:r>
      <w:r w:rsidR="0062510F">
        <w:t>ten-year timeframe</w:t>
      </w:r>
      <w:r>
        <w:rPr>
          <w:rStyle w:val="FootnoteReference"/>
        </w:rPr>
        <w:footnoteReference w:id="52"/>
      </w:r>
      <w:r>
        <w:t>, a</w:t>
      </w:r>
      <w:r w:rsidR="00FA1B43">
        <w:t>s outlined in Section 3.</w:t>
      </w:r>
      <w:r w:rsidR="00F82A2F">
        <w:t xml:space="preserve">4 Relevance, it </w:t>
      </w:r>
      <w:r w:rsidR="00F0701D">
        <w:t xml:space="preserve">did </w:t>
      </w:r>
      <w:r w:rsidR="00F82A2F">
        <w:t xml:space="preserve">not </w:t>
      </w:r>
      <w:r w:rsidR="0030039E">
        <w:t>embed</w:t>
      </w:r>
      <w:r w:rsidR="00F82A2F">
        <w:t xml:space="preserve"> formal </w:t>
      </w:r>
      <w:r w:rsidR="00FF3C32">
        <w:t xml:space="preserve">periodic </w:t>
      </w:r>
      <w:r w:rsidR="00D54F4B">
        <w:t>political economy analysis</w:t>
      </w:r>
      <w:r w:rsidR="00FF3C32">
        <w:t>, linked to strategy testing and resetting</w:t>
      </w:r>
      <w:r w:rsidR="00F664B6">
        <w:t xml:space="preserve"> or </w:t>
      </w:r>
      <w:r>
        <w:t>redesign</w:t>
      </w:r>
      <w:r w:rsidR="00FF3C32">
        <w:t xml:space="preserve"> despite significant shifts in national policy direction. </w:t>
      </w:r>
      <w:r>
        <w:t xml:space="preserve">While </w:t>
      </w:r>
      <w:r w:rsidR="00033C40">
        <w:t>this is</w:t>
      </w:r>
      <w:r>
        <w:t xml:space="preserve"> now common practice in DFAT-funded programs and aligns with </w:t>
      </w:r>
      <w:r w:rsidR="00033C40">
        <w:t>DFAT’s</w:t>
      </w:r>
      <w:r>
        <w:t xml:space="preserve"> approach of thinking and working politically, it should be noted that</w:t>
      </w:r>
      <w:r w:rsidR="00033C40">
        <w:t xml:space="preserve"> at the time, </w:t>
      </w:r>
      <w:r w:rsidR="00F0701D">
        <w:t xml:space="preserve">monitoring and evaluation </w:t>
      </w:r>
      <w:r w:rsidR="009C0726">
        <w:t xml:space="preserve">theory and practice was not as progressive, and such an approach was </w:t>
      </w:r>
      <w:r>
        <w:t xml:space="preserve">not mandated </w:t>
      </w:r>
      <w:r w:rsidR="00F664B6">
        <w:t>up</w:t>
      </w:r>
      <w:r w:rsidR="009C0726">
        <w:t>on</w:t>
      </w:r>
      <w:r>
        <w:t xml:space="preserve"> de</w:t>
      </w:r>
      <w:r w:rsidR="009C0726">
        <w:t>s</w:t>
      </w:r>
      <w:r>
        <w:t xml:space="preserve">ign </w:t>
      </w:r>
      <w:r w:rsidR="009C0726">
        <w:t xml:space="preserve">or included in the </w:t>
      </w:r>
      <w:r>
        <w:t xml:space="preserve">funding agreement between DFAT and the ADB. </w:t>
      </w:r>
    </w:p>
    <w:p w14:paraId="41A9F314" w14:textId="3A24B33F" w:rsidR="00234AAC" w:rsidRDefault="00FF3C32" w:rsidP="006B254D">
      <w:pPr>
        <w:spacing w:line="240" w:lineRule="auto"/>
      </w:pPr>
      <w:r>
        <w:t>Formally revisiting the strategic positioning of the TA and building adaptive management into M&amp;E would likely have enhanced the effectiveness of the TA. For example, such measures</w:t>
      </w:r>
      <w:r w:rsidR="00FB3BA1">
        <w:t xml:space="preserve"> may have prompted a</w:t>
      </w:r>
      <w:r w:rsidR="003E3E3A">
        <w:t xml:space="preserve">n </w:t>
      </w:r>
      <w:r w:rsidR="00FB3BA1">
        <w:t xml:space="preserve">examination of </w:t>
      </w:r>
      <w:r>
        <w:t xml:space="preserve">the appropriateness of the positioning of the PPP </w:t>
      </w:r>
      <w:r w:rsidR="00FB3BA1">
        <w:t>P</w:t>
      </w:r>
      <w:r>
        <w:t>rogram in relation to the political context, and whether such a singular focus on promoting and driving the PPP modality should have been maintained, or</w:t>
      </w:r>
      <w:r w:rsidR="00FB3BA1">
        <w:t xml:space="preserve"> whether it should have </w:t>
      </w:r>
      <w:r w:rsidR="003E3E3A">
        <w:t xml:space="preserve">shifted course, </w:t>
      </w:r>
      <w:r w:rsidR="00FB3BA1">
        <w:t>and</w:t>
      </w:r>
      <w:r w:rsidR="003E3E3A">
        <w:t xml:space="preserve"> been</w:t>
      </w:r>
      <w:r w:rsidR="00FB3BA1">
        <w:t xml:space="preserve"> </w:t>
      </w:r>
      <w:r>
        <w:t xml:space="preserve">repackaged to </w:t>
      </w:r>
      <w:r w:rsidR="00F0701D">
        <w:t>respond to the priorities of the</w:t>
      </w:r>
      <w:r>
        <w:t xml:space="preserve"> </w:t>
      </w:r>
      <w:r w:rsidR="00FB3BA1">
        <w:t>new administration</w:t>
      </w:r>
      <w:r w:rsidR="00F0701D">
        <w:t xml:space="preserve"> in 2016</w:t>
      </w:r>
      <w:r w:rsidR="007E65E8">
        <w:rPr>
          <w:rStyle w:val="FootnoteReference"/>
        </w:rPr>
        <w:footnoteReference w:id="53"/>
      </w:r>
      <w:r w:rsidR="00FB3BA1">
        <w:t>.</w:t>
      </w:r>
      <w:r w:rsidR="000B35DD">
        <w:t xml:space="preserve"> </w:t>
      </w:r>
    </w:p>
    <w:p w14:paraId="42CE4290" w14:textId="7056421C" w:rsidR="00F0701D" w:rsidRDefault="00EC6269" w:rsidP="006B254D">
      <w:pPr>
        <w:spacing w:line="240" w:lineRule="auto"/>
      </w:pPr>
      <w:r>
        <w:t xml:space="preserve">Challenges </w:t>
      </w:r>
      <w:r w:rsidR="00F0701D">
        <w:t>were</w:t>
      </w:r>
      <w:r>
        <w:t xml:space="preserve"> exacerbated by a lack of clarity</w:t>
      </w:r>
      <w:r w:rsidR="00484411">
        <w:t xml:space="preserve"> and shared expectations of the role and responsibilities of partners in </w:t>
      </w:r>
      <w:r w:rsidR="00F0701D">
        <w:t xml:space="preserve">monitoring and evaluation </w:t>
      </w:r>
      <w:r w:rsidR="00484411">
        <w:t>processes</w:t>
      </w:r>
      <w:r w:rsidR="00484411" w:rsidRPr="00B87690">
        <w:t>.</w:t>
      </w:r>
      <w:r w:rsidR="000B35DD">
        <w:t xml:space="preserve"> </w:t>
      </w:r>
      <w:r w:rsidR="00484411">
        <w:t xml:space="preserve">While the Philippines PPP Program and TA </w:t>
      </w:r>
      <w:r w:rsidR="00F0701D">
        <w:t>were</w:t>
      </w:r>
      <w:r w:rsidR="00484411">
        <w:t xml:space="preserve"> closely intertwined, with the TA seeking to strengthen and increase the impact of the PPP </w:t>
      </w:r>
      <w:r w:rsidR="00507B0B">
        <w:t>P</w:t>
      </w:r>
      <w:r w:rsidR="00484411">
        <w:t>rogram, a distinction</w:t>
      </w:r>
      <w:r w:rsidR="00507B0B">
        <w:t xml:space="preserve"> between the </w:t>
      </w:r>
      <w:r w:rsidR="00F0701D">
        <w:t xml:space="preserve">monitoring and evaluation </w:t>
      </w:r>
      <w:r w:rsidR="00507B0B">
        <w:t>of the TA and the PPP Program</w:t>
      </w:r>
      <w:r w:rsidR="00484411">
        <w:t xml:space="preserve"> </w:t>
      </w:r>
      <w:r w:rsidR="00F0701D">
        <w:t xml:space="preserve">was </w:t>
      </w:r>
      <w:r w:rsidR="00484411">
        <w:t>not been clearly delineated. There</w:t>
      </w:r>
      <w:r w:rsidR="009D7B99">
        <w:t xml:space="preserve"> also</w:t>
      </w:r>
      <w:r w:rsidR="00484411">
        <w:t xml:space="preserve"> appear</w:t>
      </w:r>
      <w:r w:rsidR="00F0701D">
        <w:t>ed</w:t>
      </w:r>
      <w:r w:rsidR="00484411">
        <w:t xml:space="preserve"> to be a lack of clarity on project reporting, and whether national partners </w:t>
      </w:r>
      <w:r w:rsidR="00F0701D">
        <w:t>were</w:t>
      </w:r>
      <w:r w:rsidR="00484411">
        <w:t xml:space="preserve"> required to report </w:t>
      </w:r>
      <w:r w:rsidR="009D7B99">
        <w:t>against TA indicators</w:t>
      </w:r>
      <w:r w:rsidR="00484411">
        <w:t xml:space="preserve">, or whether an additional layer of reporting and analysis </w:t>
      </w:r>
      <w:r w:rsidR="00F0701D">
        <w:t>was</w:t>
      </w:r>
      <w:r w:rsidR="00484411">
        <w:t xml:space="preserve"> required by </w:t>
      </w:r>
      <w:r w:rsidR="009D7B99">
        <w:t xml:space="preserve">the </w:t>
      </w:r>
      <w:r w:rsidR="00484411">
        <w:t>ADB to</w:t>
      </w:r>
      <w:r w:rsidR="009D7B99">
        <w:t xml:space="preserve"> support</w:t>
      </w:r>
      <w:r w:rsidR="00484411">
        <w:t xml:space="preserve"> report</w:t>
      </w:r>
      <w:r w:rsidR="009D7B99">
        <w:t>ing</w:t>
      </w:r>
      <w:r w:rsidR="00484411">
        <w:t xml:space="preserve"> </w:t>
      </w:r>
      <w:r w:rsidR="009D7B99">
        <w:t>in relation to</w:t>
      </w:r>
      <w:r w:rsidR="00484411">
        <w:t xml:space="preserve"> aspects of the TA’s performance in supporting the PPP </w:t>
      </w:r>
      <w:r w:rsidR="009D7B99">
        <w:t>P</w:t>
      </w:r>
      <w:r w:rsidR="00484411">
        <w:t xml:space="preserve">rogram. </w:t>
      </w:r>
    </w:p>
    <w:p w14:paraId="148426D5" w14:textId="2D00DB82" w:rsidR="00234AAC" w:rsidRDefault="00484411" w:rsidP="006B254D">
      <w:pPr>
        <w:spacing w:line="240" w:lineRule="auto"/>
        <w:rPr>
          <w:rFonts w:cs="Arial"/>
        </w:rPr>
      </w:pPr>
      <w:r>
        <w:t xml:space="preserve">These aspects and associated roles </w:t>
      </w:r>
      <w:r w:rsidR="00F0701D">
        <w:t>were</w:t>
      </w:r>
      <w:r>
        <w:t xml:space="preserve"> not clearly outlined in documentation. While DFAT played a </w:t>
      </w:r>
      <w:r w:rsidR="005D631A">
        <w:t xml:space="preserve">more hands-on </w:t>
      </w:r>
      <w:r>
        <w:t xml:space="preserve">monitoring role at various points </w:t>
      </w:r>
      <w:r w:rsidR="009D7B99">
        <w:t>including</w:t>
      </w:r>
      <w:r>
        <w:t xml:space="preserve"> through joint</w:t>
      </w:r>
      <w:r w:rsidR="009D7B99">
        <w:t xml:space="preserve"> ADB-donor</w:t>
      </w:r>
      <w:r>
        <w:t xml:space="preserve"> monitoring missions</w:t>
      </w:r>
      <w:r w:rsidR="007C7AC3">
        <w:t xml:space="preserve"> in 2012-2014</w:t>
      </w:r>
      <w:r>
        <w:t xml:space="preserve">, </w:t>
      </w:r>
      <w:r w:rsidR="009D7B99">
        <w:t>this</w:t>
      </w:r>
      <w:r>
        <w:t xml:space="preserve"> appear</w:t>
      </w:r>
      <w:r w:rsidR="006937B4">
        <w:t>s</w:t>
      </w:r>
      <w:r>
        <w:t xml:space="preserve"> to have</w:t>
      </w:r>
      <w:r w:rsidR="009D7B99">
        <w:t xml:space="preserve"> diminished over the course of the TA</w:t>
      </w:r>
      <w:r w:rsidR="005D631A">
        <w:t xml:space="preserve">, with </w:t>
      </w:r>
      <w:r w:rsidR="008C699B">
        <w:t>DFAT’s</w:t>
      </w:r>
      <w:r w:rsidR="005D631A">
        <w:t xml:space="preserve"> engagement limited to reviewing reports submitted by ADB</w:t>
      </w:r>
      <w:r w:rsidR="006937B4">
        <w:t xml:space="preserve"> in later years</w:t>
      </w:r>
      <w:r>
        <w:t xml:space="preserve">. </w:t>
      </w:r>
      <w:r w:rsidR="005D631A">
        <w:t xml:space="preserve">While a process for </w:t>
      </w:r>
      <w:r w:rsidR="005D631A">
        <w:lastRenderedPageBreak/>
        <w:t xml:space="preserve">reporting of the TA </w:t>
      </w:r>
      <w:r w:rsidR="008C699B">
        <w:t>was</w:t>
      </w:r>
      <w:r w:rsidR="005D631A">
        <w:t xml:space="preserve"> in place and </w:t>
      </w:r>
      <w:r w:rsidR="008C699B">
        <w:t>was</w:t>
      </w:r>
      <w:r w:rsidR="005D631A">
        <w:t xml:space="preserve"> systematically executed by ADB</w:t>
      </w:r>
      <w:r w:rsidR="005D631A">
        <w:rPr>
          <w:rStyle w:val="FootnoteReference"/>
        </w:rPr>
        <w:footnoteReference w:id="54"/>
      </w:r>
      <w:r w:rsidR="005D631A">
        <w:t xml:space="preserve">, </w:t>
      </w:r>
      <w:r w:rsidR="00E6739A">
        <w:t xml:space="preserve">a more considered and detailed articulation </w:t>
      </w:r>
      <w:r>
        <w:t>of the roles of key government partners, ADB and DFAT</w:t>
      </w:r>
      <w:r w:rsidR="00E6739A">
        <w:t xml:space="preserve">, </w:t>
      </w:r>
      <w:r w:rsidR="008C699B">
        <w:t xml:space="preserve">to </w:t>
      </w:r>
      <w:r w:rsidR="001F1037">
        <w:t>garner greater</w:t>
      </w:r>
      <w:r w:rsidR="00E6739A">
        <w:t xml:space="preserve"> levels of participation</w:t>
      </w:r>
      <w:r>
        <w:t xml:space="preserve"> in </w:t>
      </w:r>
      <w:r w:rsidR="008C699B">
        <w:t>monitoring and evaluation</w:t>
      </w:r>
      <w:r w:rsidR="00E6739A">
        <w:t>, learning, reflection and oversight</w:t>
      </w:r>
      <w:r>
        <w:t xml:space="preserve"> would have </w:t>
      </w:r>
      <w:r w:rsidR="009D7B99">
        <w:t xml:space="preserve">perhaps </w:t>
      </w:r>
      <w:r>
        <w:t xml:space="preserve">enabled a more effective </w:t>
      </w:r>
      <w:r w:rsidR="009D7B99">
        <w:t xml:space="preserve">monitoring and reporting </w:t>
      </w:r>
      <w:r>
        <w:t>process</w:t>
      </w:r>
      <w:r w:rsidR="001F1037">
        <w:t xml:space="preserve"> of value to all stakeholders. DFAT has learned lessons in this area, </w:t>
      </w:r>
      <w:r w:rsidR="006937B4">
        <w:t>including</w:t>
      </w:r>
      <w:r w:rsidR="001F1037">
        <w:t xml:space="preserve"> the importance of ensuring </w:t>
      </w:r>
      <w:r w:rsidR="00C2056F">
        <w:rPr>
          <w:rFonts w:cs="Arial"/>
        </w:rPr>
        <w:t>clearer roles, communicat</w:t>
      </w:r>
      <w:r w:rsidR="001F1037">
        <w:rPr>
          <w:rFonts w:cs="Arial"/>
        </w:rPr>
        <w:t>ion of</w:t>
      </w:r>
      <w:r w:rsidR="00C2056F">
        <w:rPr>
          <w:rFonts w:cs="Arial"/>
        </w:rPr>
        <w:t xml:space="preserve"> wins, and </w:t>
      </w:r>
      <w:r w:rsidR="008C699B">
        <w:t xml:space="preserve">monitoring and evaluation </w:t>
      </w:r>
      <w:r w:rsidR="001F1037">
        <w:rPr>
          <w:rFonts w:cs="Arial"/>
        </w:rPr>
        <w:t>that enables it to tell a</w:t>
      </w:r>
      <w:r w:rsidR="00C2056F">
        <w:rPr>
          <w:rFonts w:cs="Arial"/>
        </w:rPr>
        <w:t xml:space="preserve"> clearer performance story</w:t>
      </w:r>
      <w:r w:rsidR="001F1037">
        <w:rPr>
          <w:rFonts w:cs="Arial"/>
        </w:rPr>
        <w:t>, and support</w:t>
      </w:r>
      <w:r w:rsidR="00D8746A">
        <w:rPr>
          <w:rFonts w:cs="Arial"/>
        </w:rPr>
        <w:t>s</w:t>
      </w:r>
      <w:r w:rsidR="001F1037">
        <w:rPr>
          <w:rFonts w:cs="Arial"/>
        </w:rPr>
        <w:t xml:space="preserve"> performance management and programmatic decision making.</w:t>
      </w:r>
    </w:p>
    <w:p w14:paraId="2B625937" w14:textId="780DD9AC" w:rsidR="00282AB3" w:rsidRDefault="00282AB3" w:rsidP="006B254D">
      <w:pPr>
        <w:spacing w:line="240" w:lineRule="auto"/>
        <w:rPr>
          <w:rFonts w:ascii="Arial" w:hAnsi="Arial" w:cs="Arial"/>
        </w:rPr>
      </w:pPr>
      <w:r w:rsidRPr="00BE6C05">
        <w:rPr>
          <w:rFonts w:cstheme="minorHAnsi"/>
        </w:rPr>
        <w:t>There are some features unique to PPP projects that may</w:t>
      </w:r>
      <w:r w:rsidR="004A5D68">
        <w:rPr>
          <w:rFonts w:cstheme="minorHAnsi"/>
        </w:rPr>
        <w:t xml:space="preserve"> have</w:t>
      </w:r>
      <w:r w:rsidRPr="00BE6C05">
        <w:rPr>
          <w:rFonts w:cstheme="minorHAnsi"/>
        </w:rPr>
        <w:t xml:space="preserve"> create</w:t>
      </w:r>
      <w:r w:rsidR="004A5D68">
        <w:rPr>
          <w:rFonts w:cstheme="minorHAnsi"/>
        </w:rPr>
        <w:t>d</w:t>
      </w:r>
      <w:r w:rsidRPr="00BE6C05">
        <w:rPr>
          <w:rFonts w:cstheme="minorHAnsi"/>
        </w:rPr>
        <w:t xml:space="preserve"> challenges in establishing </w:t>
      </w:r>
      <w:r w:rsidR="004A5D68">
        <w:t xml:space="preserve">monitoring and evaluation </w:t>
      </w:r>
      <w:r w:rsidRPr="00BE6C05">
        <w:rPr>
          <w:rFonts w:cstheme="minorHAnsi"/>
        </w:rPr>
        <w:t>systems</w:t>
      </w:r>
      <w:r>
        <w:rPr>
          <w:rFonts w:cstheme="minorHAnsi"/>
        </w:rPr>
        <w:t xml:space="preserve"> linked to ODA</w:t>
      </w:r>
      <w:r w:rsidR="004A5D68">
        <w:rPr>
          <w:rFonts w:cstheme="minorHAnsi"/>
        </w:rPr>
        <w:t>-</w:t>
      </w:r>
      <w:r>
        <w:rPr>
          <w:rFonts w:cstheme="minorHAnsi"/>
        </w:rPr>
        <w:t>funded projects</w:t>
      </w:r>
      <w:r>
        <w:rPr>
          <w:rStyle w:val="FootnoteReference"/>
          <w:rFonts w:cstheme="minorHAnsi"/>
        </w:rPr>
        <w:footnoteReference w:id="55"/>
      </w:r>
      <w:r w:rsidRPr="00BE6C05">
        <w:rPr>
          <w:rFonts w:cstheme="minorHAnsi"/>
        </w:rPr>
        <w:t xml:space="preserve">. Furthermore, the lack of </w:t>
      </w:r>
      <w:r w:rsidR="00611826">
        <w:rPr>
          <w:rFonts w:cstheme="minorHAnsi"/>
        </w:rPr>
        <w:t xml:space="preserve">a </w:t>
      </w:r>
      <w:r w:rsidRPr="00BE6C05">
        <w:rPr>
          <w:rFonts w:cstheme="minorHAnsi"/>
        </w:rPr>
        <w:t xml:space="preserve">dedicated </w:t>
      </w:r>
      <w:r w:rsidR="004A5D68">
        <w:t xml:space="preserve">monitoring and evaluation </w:t>
      </w:r>
      <w:r w:rsidRPr="00BE6C05">
        <w:rPr>
          <w:rFonts w:cstheme="minorHAnsi"/>
        </w:rPr>
        <w:t>unit in the PPP Cent</w:t>
      </w:r>
      <w:r w:rsidR="00D171B5">
        <w:rPr>
          <w:rFonts w:cstheme="minorHAnsi"/>
        </w:rPr>
        <w:t>er may have</w:t>
      </w:r>
      <w:r w:rsidRPr="00BE6C05">
        <w:rPr>
          <w:rFonts w:cstheme="minorHAnsi"/>
        </w:rPr>
        <w:t xml:space="preserve"> contributed to </w:t>
      </w:r>
      <w:r w:rsidR="00D171B5">
        <w:rPr>
          <w:rFonts w:cstheme="minorHAnsi"/>
        </w:rPr>
        <w:t>a</w:t>
      </w:r>
      <w:r w:rsidRPr="00BE6C05">
        <w:rPr>
          <w:rFonts w:cstheme="minorHAnsi"/>
        </w:rPr>
        <w:t xml:space="preserve"> limited focus and investment in </w:t>
      </w:r>
      <w:r w:rsidR="004A5D68">
        <w:t xml:space="preserve">monitoring and evaluation </w:t>
      </w:r>
      <w:r w:rsidR="00D171B5">
        <w:rPr>
          <w:rFonts w:cstheme="minorHAnsi"/>
        </w:rPr>
        <w:t>in relation to PPPs</w:t>
      </w:r>
      <w:r w:rsidRPr="00BE6C05">
        <w:rPr>
          <w:rFonts w:cstheme="minorHAnsi"/>
        </w:rPr>
        <w:t xml:space="preserve">. However, </w:t>
      </w:r>
      <w:r>
        <w:rPr>
          <w:rFonts w:cstheme="minorHAnsi"/>
        </w:rPr>
        <w:t>there are</w:t>
      </w:r>
      <w:r w:rsidRPr="00BE6C05">
        <w:rPr>
          <w:rFonts w:cstheme="minorHAnsi"/>
        </w:rPr>
        <w:t xml:space="preserve"> enabling factors </w:t>
      </w:r>
      <w:r>
        <w:rPr>
          <w:rFonts w:cstheme="minorHAnsi"/>
        </w:rPr>
        <w:t>and</w:t>
      </w:r>
      <w:r w:rsidRPr="00BE6C05">
        <w:rPr>
          <w:rFonts w:cstheme="minorHAnsi"/>
        </w:rPr>
        <w:t xml:space="preserve"> opportunities to strength the PPP Cent</w:t>
      </w:r>
      <w:r w:rsidR="00D171B5">
        <w:rPr>
          <w:rFonts w:cstheme="minorHAnsi"/>
        </w:rPr>
        <w:t>er</w:t>
      </w:r>
      <w:r w:rsidRPr="00BE6C05">
        <w:rPr>
          <w:rFonts w:cstheme="minorHAnsi"/>
        </w:rPr>
        <w:t xml:space="preserve">’s </w:t>
      </w:r>
      <w:r w:rsidR="004A5D68">
        <w:t xml:space="preserve">monitoring and evaluation </w:t>
      </w:r>
      <w:r w:rsidRPr="00BE6C05">
        <w:rPr>
          <w:rFonts w:cstheme="minorHAnsi"/>
        </w:rPr>
        <w:t xml:space="preserve">in the future. For example, </w:t>
      </w:r>
      <w:r>
        <w:rPr>
          <w:rFonts w:cstheme="minorHAnsi"/>
        </w:rPr>
        <w:t>a</w:t>
      </w:r>
      <w:r w:rsidRPr="00BE6C05">
        <w:rPr>
          <w:rFonts w:cstheme="minorHAnsi"/>
        </w:rPr>
        <w:t xml:space="preserve"> Project Information and Management System </w:t>
      </w:r>
      <w:r w:rsidR="004900E0" w:rsidRPr="004900E0">
        <w:rPr>
          <w:rFonts w:cstheme="minorHAnsi"/>
        </w:rPr>
        <w:t>(</w:t>
      </w:r>
      <w:r w:rsidR="004900E0" w:rsidRPr="004900E0">
        <w:t>PIMS)</w:t>
      </w:r>
      <w:r w:rsidR="004900E0" w:rsidRPr="004900E0">
        <w:rPr>
          <w:b/>
          <w:bCs/>
        </w:rPr>
        <w:t xml:space="preserve"> </w:t>
      </w:r>
      <w:r w:rsidR="004A5D68">
        <w:rPr>
          <w:rFonts w:cstheme="minorHAnsi"/>
        </w:rPr>
        <w:t>was</w:t>
      </w:r>
      <w:r w:rsidRPr="00BE6C05">
        <w:rPr>
          <w:rFonts w:cstheme="minorHAnsi"/>
        </w:rPr>
        <w:t xml:space="preserve"> being developed </w:t>
      </w:r>
      <w:r w:rsidR="004A5D68">
        <w:rPr>
          <w:rFonts w:cstheme="minorHAnsi"/>
        </w:rPr>
        <w:t xml:space="preserve">at the time of writing </w:t>
      </w:r>
      <w:r w:rsidRPr="00BE6C05">
        <w:rPr>
          <w:rFonts w:cstheme="minorHAnsi"/>
        </w:rPr>
        <w:t xml:space="preserve">to support ease of </w:t>
      </w:r>
      <w:r w:rsidR="004A5D68">
        <w:t xml:space="preserve">monitoring and evaluation </w:t>
      </w:r>
      <w:r w:rsidRPr="00BE6C05">
        <w:rPr>
          <w:rFonts w:cstheme="minorHAnsi"/>
        </w:rPr>
        <w:t>information access, reporting, sharing and utilisation of PPP project</w:t>
      </w:r>
      <w:r w:rsidR="00D171B5">
        <w:rPr>
          <w:rFonts w:cstheme="minorHAnsi"/>
        </w:rPr>
        <w:t>s</w:t>
      </w:r>
      <w:r w:rsidRPr="00BE6C05">
        <w:rPr>
          <w:rFonts w:cstheme="minorHAnsi"/>
        </w:rPr>
        <w:t xml:space="preserve">. </w:t>
      </w:r>
      <w:r w:rsidR="004A5D68">
        <w:t xml:space="preserve">Monitoring and evaluation </w:t>
      </w:r>
      <w:r>
        <w:rPr>
          <w:rFonts w:cstheme="minorHAnsi"/>
        </w:rPr>
        <w:t xml:space="preserve">could be enhanced through the development of a </w:t>
      </w:r>
      <w:r w:rsidRPr="00BE6C05">
        <w:rPr>
          <w:rFonts w:cstheme="minorHAnsi"/>
        </w:rPr>
        <w:t>M&amp;E capacity development roadmap for PPP Center</w:t>
      </w:r>
      <w:r>
        <w:rPr>
          <w:rFonts w:cstheme="minorHAnsi"/>
        </w:rPr>
        <w:t xml:space="preserve"> and institution of </w:t>
      </w:r>
      <w:r w:rsidRPr="00BE6C05">
        <w:rPr>
          <w:rFonts w:cstheme="minorHAnsi"/>
        </w:rPr>
        <w:t>regular implementation reviews among development partners and implementing units to discuss the progress of PPP projects against set timeframe</w:t>
      </w:r>
      <w:r>
        <w:rPr>
          <w:rFonts w:cstheme="minorHAnsi"/>
        </w:rPr>
        <w:t>s</w:t>
      </w:r>
      <w:r w:rsidRPr="00BE6C05">
        <w:rPr>
          <w:rFonts w:cstheme="minorHAnsi"/>
        </w:rPr>
        <w:t>, and resolve bottlenecks in the whole PPP business cycle - from approval, contracting and awarding to implementation and closing.</w:t>
      </w:r>
      <w:r w:rsidRPr="00635C0C">
        <w:rPr>
          <w:rFonts w:ascii="Arial" w:hAnsi="Arial" w:cs="Arial"/>
        </w:rPr>
        <w:t xml:space="preserve"> </w:t>
      </w:r>
    </w:p>
    <w:p w14:paraId="466485E2" w14:textId="77777777" w:rsidR="00F2226C" w:rsidRPr="00234AAC" w:rsidRDefault="00F2226C" w:rsidP="006B254D">
      <w:pPr>
        <w:spacing w:line="240" w:lineRule="auto"/>
      </w:pPr>
    </w:p>
    <w:p w14:paraId="5A2AB260" w14:textId="63410B26" w:rsidR="005E374A" w:rsidRPr="005E374A" w:rsidRDefault="003446A8" w:rsidP="00F5700C">
      <w:pPr>
        <w:pStyle w:val="Heading3"/>
      </w:pPr>
      <w:bookmarkStart w:id="76" w:name="_Toc96435333"/>
      <w:bookmarkEnd w:id="75"/>
      <w:r>
        <w:t>3.</w:t>
      </w:r>
      <w:r w:rsidR="006A2EA1">
        <w:t>7</w:t>
      </w:r>
      <w:r>
        <w:t xml:space="preserve"> </w:t>
      </w:r>
      <w:r w:rsidR="005E374A" w:rsidRPr="005E374A">
        <w:t>Sustainability</w:t>
      </w:r>
      <w:bookmarkEnd w:id="76"/>
    </w:p>
    <w:p w14:paraId="6D7CD553" w14:textId="6760827E" w:rsidR="00234AAC" w:rsidRDefault="0008238A" w:rsidP="006B254D">
      <w:pPr>
        <w:spacing w:line="240" w:lineRule="auto"/>
        <w:rPr>
          <w:rFonts w:cstheme="minorHAnsi"/>
        </w:rPr>
      </w:pPr>
      <w:bookmarkStart w:id="77" w:name="_Hlk66890995"/>
      <w:r w:rsidRPr="00234AAC">
        <w:rPr>
          <w:rFonts w:cstheme="minorHAnsi"/>
        </w:rPr>
        <w:t xml:space="preserve">There </w:t>
      </w:r>
      <w:r w:rsidR="00E4780B">
        <w:rPr>
          <w:rFonts w:cstheme="minorHAnsi"/>
        </w:rPr>
        <w:t>was</w:t>
      </w:r>
      <w:r w:rsidRPr="00234AAC">
        <w:rPr>
          <w:rFonts w:cstheme="minorHAnsi"/>
        </w:rPr>
        <w:t xml:space="preserve"> strong sustainability of outcomes</w:t>
      </w:r>
      <w:r w:rsidR="00CA13E9" w:rsidRPr="00234AAC">
        <w:rPr>
          <w:rFonts w:cstheme="minorHAnsi"/>
        </w:rPr>
        <w:t xml:space="preserve"> </w:t>
      </w:r>
      <w:r w:rsidR="009579C7" w:rsidRPr="00234AAC">
        <w:rPr>
          <w:rFonts w:cstheme="minorHAnsi"/>
        </w:rPr>
        <w:t>facilitated under</w:t>
      </w:r>
      <w:r w:rsidRPr="00234AAC">
        <w:rPr>
          <w:rFonts w:cstheme="minorHAnsi"/>
        </w:rPr>
        <w:t xml:space="preserve"> the Capacity Building component</w:t>
      </w:r>
      <w:r w:rsidR="00CA13E9" w:rsidRPr="00234AAC">
        <w:rPr>
          <w:rFonts w:cstheme="minorHAnsi"/>
        </w:rPr>
        <w:t xml:space="preserve"> of the TA. As outlined in Section 3.1, a high level of individual and institution</w:t>
      </w:r>
      <w:r w:rsidR="00DD23DE" w:rsidRPr="00234AAC">
        <w:rPr>
          <w:rFonts w:cstheme="minorHAnsi"/>
        </w:rPr>
        <w:t>al</w:t>
      </w:r>
      <w:r w:rsidR="00CA13E9" w:rsidRPr="00234AAC">
        <w:rPr>
          <w:rFonts w:cstheme="minorHAnsi"/>
        </w:rPr>
        <w:t xml:space="preserve"> capacity </w:t>
      </w:r>
      <w:r w:rsidR="00E4780B">
        <w:rPr>
          <w:rFonts w:cstheme="minorHAnsi"/>
        </w:rPr>
        <w:t>was</w:t>
      </w:r>
      <w:r w:rsidR="00CA13E9" w:rsidRPr="00234AAC">
        <w:rPr>
          <w:rFonts w:cstheme="minorHAnsi"/>
        </w:rPr>
        <w:t xml:space="preserve"> developed. </w:t>
      </w:r>
      <w:r w:rsidR="0016656E" w:rsidRPr="00234AAC">
        <w:rPr>
          <w:rFonts w:cstheme="minorHAnsi"/>
        </w:rPr>
        <w:t xml:space="preserve">Sustainability </w:t>
      </w:r>
      <w:r w:rsidR="00E4780B">
        <w:rPr>
          <w:rFonts w:cstheme="minorHAnsi"/>
        </w:rPr>
        <w:t>was</w:t>
      </w:r>
      <w:r w:rsidR="0016656E" w:rsidRPr="00234AAC">
        <w:rPr>
          <w:rFonts w:cstheme="minorHAnsi"/>
        </w:rPr>
        <w:t xml:space="preserve"> supported by a focus on policies, systems and guidelines which helped to build </w:t>
      </w:r>
      <w:r w:rsidR="00611826">
        <w:rPr>
          <w:rFonts w:cstheme="minorHAnsi"/>
        </w:rPr>
        <w:t xml:space="preserve">the </w:t>
      </w:r>
      <w:r w:rsidR="0016656E" w:rsidRPr="00234AAC">
        <w:rPr>
          <w:rFonts w:cstheme="minorHAnsi"/>
        </w:rPr>
        <w:t>institutional capacity</w:t>
      </w:r>
      <w:r w:rsidR="0035635F" w:rsidRPr="00234AAC">
        <w:rPr>
          <w:rFonts w:cstheme="minorHAnsi"/>
        </w:rPr>
        <w:t xml:space="preserve"> of the PPP Cent</w:t>
      </w:r>
      <w:r w:rsidR="00DD23DE" w:rsidRPr="00234AAC">
        <w:rPr>
          <w:rFonts w:cstheme="minorHAnsi"/>
        </w:rPr>
        <w:t>er</w:t>
      </w:r>
      <w:r w:rsidR="0035635F" w:rsidRPr="00234AAC">
        <w:rPr>
          <w:rFonts w:cstheme="minorHAnsi"/>
        </w:rPr>
        <w:t xml:space="preserve">, irrespective of staff turnover. </w:t>
      </w:r>
      <w:r w:rsidR="00A01E01" w:rsidRPr="00234AAC">
        <w:rPr>
          <w:rFonts w:cstheme="minorHAnsi"/>
        </w:rPr>
        <w:t xml:space="preserve">Individual knowledge and expertise </w:t>
      </w:r>
      <w:r w:rsidR="00E4780B">
        <w:rPr>
          <w:rFonts w:cstheme="minorHAnsi"/>
        </w:rPr>
        <w:t>were</w:t>
      </w:r>
      <w:r w:rsidR="00A01E01" w:rsidRPr="00234AAC">
        <w:rPr>
          <w:rFonts w:cstheme="minorHAnsi"/>
        </w:rPr>
        <w:t xml:space="preserve"> widely built among government counterparts. </w:t>
      </w:r>
      <w:r w:rsidR="001B1973" w:rsidRPr="00234AAC">
        <w:rPr>
          <w:rFonts w:cstheme="minorHAnsi"/>
        </w:rPr>
        <w:t>The capacity building role performed by various</w:t>
      </w:r>
      <w:r w:rsidR="001B1021" w:rsidRPr="00234AAC">
        <w:rPr>
          <w:rFonts w:cstheme="minorHAnsi"/>
        </w:rPr>
        <w:t xml:space="preserve"> PPP Cent</w:t>
      </w:r>
      <w:r w:rsidR="00DD23DE" w:rsidRPr="00234AAC">
        <w:rPr>
          <w:rFonts w:cstheme="minorHAnsi"/>
        </w:rPr>
        <w:t>er</w:t>
      </w:r>
      <w:r w:rsidR="001B1021" w:rsidRPr="00234AAC">
        <w:rPr>
          <w:rFonts w:cstheme="minorHAnsi"/>
        </w:rPr>
        <w:t xml:space="preserve"> service divisions</w:t>
      </w:r>
      <w:r w:rsidR="001B1973" w:rsidRPr="00234AAC">
        <w:rPr>
          <w:rFonts w:cstheme="minorHAnsi"/>
        </w:rPr>
        <w:t xml:space="preserve"> </w:t>
      </w:r>
      <w:r w:rsidR="00A065F9" w:rsidRPr="00234AAC">
        <w:rPr>
          <w:rFonts w:cstheme="minorHAnsi"/>
        </w:rPr>
        <w:t>require</w:t>
      </w:r>
      <w:r w:rsidR="00E4780B">
        <w:rPr>
          <w:rFonts w:cstheme="minorHAnsi"/>
        </w:rPr>
        <w:t>d</w:t>
      </w:r>
      <w:r w:rsidR="001B1973" w:rsidRPr="00234AAC">
        <w:rPr>
          <w:rFonts w:cstheme="minorHAnsi"/>
        </w:rPr>
        <w:t xml:space="preserve"> staff </w:t>
      </w:r>
      <w:r w:rsidR="001B1021" w:rsidRPr="00234AAC">
        <w:rPr>
          <w:rFonts w:cstheme="minorHAnsi"/>
        </w:rPr>
        <w:t>to</w:t>
      </w:r>
      <w:r w:rsidR="009579C7" w:rsidRPr="00234AAC">
        <w:rPr>
          <w:rFonts w:cstheme="minorHAnsi"/>
        </w:rPr>
        <w:t xml:space="preserve"> </w:t>
      </w:r>
      <w:r w:rsidR="001B1021" w:rsidRPr="00234AAC">
        <w:rPr>
          <w:rFonts w:cstheme="minorHAnsi"/>
        </w:rPr>
        <w:t xml:space="preserve">apply knowledge </w:t>
      </w:r>
      <w:r w:rsidR="009579C7" w:rsidRPr="00234AAC">
        <w:rPr>
          <w:rFonts w:cstheme="minorHAnsi"/>
        </w:rPr>
        <w:t>and teach others the concepts</w:t>
      </w:r>
      <w:r w:rsidR="00A01E01" w:rsidRPr="00234AAC">
        <w:rPr>
          <w:rFonts w:cstheme="minorHAnsi"/>
        </w:rPr>
        <w:t xml:space="preserve"> </w:t>
      </w:r>
      <w:r w:rsidR="009579C7" w:rsidRPr="00234AAC">
        <w:rPr>
          <w:rFonts w:cstheme="minorHAnsi"/>
        </w:rPr>
        <w:t>they learned</w:t>
      </w:r>
      <w:r w:rsidR="001B1021" w:rsidRPr="00234AAC">
        <w:rPr>
          <w:rFonts w:cstheme="minorHAnsi"/>
        </w:rPr>
        <w:t>, strongly support</w:t>
      </w:r>
      <w:r w:rsidR="009579C7" w:rsidRPr="00234AAC">
        <w:rPr>
          <w:rFonts w:cstheme="minorHAnsi"/>
        </w:rPr>
        <w:t>ing</w:t>
      </w:r>
      <w:r w:rsidR="001B1021" w:rsidRPr="00234AAC">
        <w:rPr>
          <w:rFonts w:cstheme="minorHAnsi"/>
        </w:rPr>
        <w:t xml:space="preserve"> </w:t>
      </w:r>
      <w:r w:rsidR="00A01E01" w:rsidRPr="00234AAC">
        <w:rPr>
          <w:rFonts w:cstheme="minorHAnsi"/>
        </w:rPr>
        <w:t xml:space="preserve">knowledge and skills development and </w:t>
      </w:r>
      <w:r w:rsidR="001B1021" w:rsidRPr="00234AAC">
        <w:rPr>
          <w:rFonts w:cstheme="minorHAnsi"/>
        </w:rPr>
        <w:t xml:space="preserve">retention. </w:t>
      </w:r>
      <w:r w:rsidR="00F470F5" w:rsidRPr="00234AAC">
        <w:rPr>
          <w:rFonts w:cstheme="minorHAnsi"/>
        </w:rPr>
        <w:t xml:space="preserve">While there </w:t>
      </w:r>
      <w:r w:rsidR="00E4780B">
        <w:rPr>
          <w:rFonts w:cstheme="minorHAnsi"/>
        </w:rPr>
        <w:t>was</w:t>
      </w:r>
      <w:r w:rsidR="00F470F5" w:rsidRPr="00234AAC">
        <w:rPr>
          <w:rFonts w:cstheme="minorHAnsi"/>
        </w:rPr>
        <w:t xml:space="preserve"> turnover of PPP Cent</w:t>
      </w:r>
      <w:r w:rsidR="00DD23DE" w:rsidRPr="00234AAC">
        <w:rPr>
          <w:rFonts w:cstheme="minorHAnsi"/>
        </w:rPr>
        <w:t>er</w:t>
      </w:r>
      <w:r w:rsidR="00F470F5" w:rsidRPr="00234AAC">
        <w:rPr>
          <w:rFonts w:cstheme="minorHAnsi"/>
        </w:rPr>
        <w:t xml:space="preserve"> staff over the ten-year period, several personnel </w:t>
      </w:r>
      <w:r w:rsidR="00E4780B">
        <w:rPr>
          <w:rFonts w:cstheme="minorHAnsi"/>
        </w:rPr>
        <w:t>went</w:t>
      </w:r>
      <w:r w:rsidR="00F470F5" w:rsidRPr="00234AAC">
        <w:rPr>
          <w:rFonts w:cstheme="minorHAnsi"/>
        </w:rPr>
        <w:t xml:space="preserve"> on to become consultants on </w:t>
      </w:r>
      <w:r w:rsidR="00A71EAA" w:rsidRPr="00AC794F">
        <w:t xml:space="preserve">Project Development and </w:t>
      </w:r>
      <w:r w:rsidR="00A71EAA">
        <w:t xml:space="preserve">Monitoring </w:t>
      </w:r>
      <w:r w:rsidR="00A71EAA" w:rsidRPr="00AC794F">
        <w:t xml:space="preserve">Facility </w:t>
      </w:r>
      <w:r w:rsidR="00A71EAA">
        <w:t>(</w:t>
      </w:r>
      <w:r w:rsidR="00A065F9" w:rsidRPr="00234AAC">
        <w:rPr>
          <w:rFonts w:cstheme="minorHAnsi"/>
        </w:rPr>
        <w:t>PDMF</w:t>
      </w:r>
      <w:r w:rsidR="00A71EAA">
        <w:rPr>
          <w:rFonts w:cstheme="minorHAnsi"/>
        </w:rPr>
        <w:t>)</w:t>
      </w:r>
      <w:r w:rsidR="00A065F9" w:rsidRPr="00234AAC">
        <w:rPr>
          <w:rFonts w:cstheme="minorHAnsi"/>
        </w:rPr>
        <w:t xml:space="preserve"> </w:t>
      </w:r>
      <w:r w:rsidR="00F470F5" w:rsidRPr="00234AAC">
        <w:rPr>
          <w:rFonts w:cstheme="minorHAnsi"/>
        </w:rPr>
        <w:t xml:space="preserve">panels, or </w:t>
      </w:r>
      <w:r w:rsidR="00A065F9" w:rsidRPr="00234AAC">
        <w:rPr>
          <w:rFonts w:cstheme="minorHAnsi"/>
        </w:rPr>
        <w:t>to work for</w:t>
      </w:r>
      <w:r w:rsidR="00F470F5" w:rsidRPr="00234AAC">
        <w:rPr>
          <w:rFonts w:cstheme="minorHAnsi"/>
        </w:rPr>
        <w:t xml:space="preserve"> Philippine </w:t>
      </w:r>
      <w:r w:rsidR="00DD23DE" w:rsidRPr="00234AAC">
        <w:rPr>
          <w:rFonts w:cstheme="minorHAnsi"/>
        </w:rPr>
        <w:t>private sector</w:t>
      </w:r>
      <w:r w:rsidR="00F470F5" w:rsidRPr="00234AAC">
        <w:rPr>
          <w:rFonts w:cstheme="minorHAnsi"/>
        </w:rPr>
        <w:t xml:space="preserve"> companies. This worked to keep knowledge within the sector and further support</w:t>
      </w:r>
      <w:r w:rsidR="00E4780B">
        <w:rPr>
          <w:rFonts w:cstheme="minorHAnsi"/>
        </w:rPr>
        <w:t>ed</w:t>
      </w:r>
      <w:r w:rsidR="00F470F5" w:rsidRPr="00234AAC">
        <w:rPr>
          <w:rFonts w:cstheme="minorHAnsi"/>
        </w:rPr>
        <w:t xml:space="preserve"> knowledge transfer to different stakeholders.</w:t>
      </w:r>
    </w:p>
    <w:p w14:paraId="30E56BF1" w14:textId="3B40D052" w:rsidR="00234AAC" w:rsidRDefault="0096488D" w:rsidP="006B254D">
      <w:pPr>
        <w:spacing w:line="240" w:lineRule="auto"/>
        <w:rPr>
          <w:rFonts w:cstheme="minorHAnsi"/>
        </w:rPr>
      </w:pPr>
      <w:r>
        <w:rPr>
          <w:lang w:val="en-GB"/>
        </w:rPr>
        <w:t>The PPP Cent</w:t>
      </w:r>
      <w:r w:rsidR="00DD23DE">
        <w:rPr>
          <w:lang w:val="en-GB"/>
        </w:rPr>
        <w:t>er</w:t>
      </w:r>
      <w:r>
        <w:rPr>
          <w:lang w:val="en-GB"/>
        </w:rPr>
        <w:t xml:space="preserve"> </w:t>
      </w:r>
      <w:r w:rsidR="00E4780B">
        <w:rPr>
          <w:lang w:val="en-GB"/>
        </w:rPr>
        <w:t xml:space="preserve">could </w:t>
      </w:r>
      <w:r>
        <w:rPr>
          <w:lang w:val="en-GB"/>
        </w:rPr>
        <w:t>be expected to operate sustainab</w:t>
      </w:r>
      <w:r w:rsidR="00E41B16">
        <w:rPr>
          <w:lang w:val="en-GB"/>
        </w:rPr>
        <w:t>ly</w:t>
      </w:r>
      <w:r>
        <w:rPr>
          <w:lang w:val="en-GB"/>
        </w:rPr>
        <w:t xml:space="preserve"> without the </w:t>
      </w:r>
      <w:r w:rsidR="00E41B16">
        <w:rPr>
          <w:lang w:val="en-GB"/>
        </w:rPr>
        <w:t xml:space="preserve">continued </w:t>
      </w:r>
      <w:r>
        <w:rPr>
          <w:lang w:val="en-GB"/>
        </w:rPr>
        <w:t xml:space="preserve">support of the TA. </w:t>
      </w:r>
      <w:r w:rsidR="00217960">
        <w:rPr>
          <w:lang w:val="en-GB"/>
        </w:rPr>
        <w:t xml:space="preserve">However, </w:t>
      </w:r>
      <w:r w:rsidR="00217960" w:rsidRPr="00217960">
        <w:rPr>
          <w:lang w:val="en-GB"/>
        </w:rPr>
        <w:t xml:space="preserve">the advancing level of maturity of the Philippine PPP </w:t>
      </w:r>
      <w:r w:rsidR="00DD23DE">
        <w:rPr>
          <w:lang w:val="en-GB"/>
        </w:rPr>
        <w:t>P</w:t>
      </w:r>
      <w:r w:rsidR="00217960" w:rsidRPr="00217960">
        <w:rPr>
          <w:lang w:val="en-GB"/>
        </w:rPr>
        <w:t>rogram still requires assistance in addressing more complex concepts in PPPs, such as management of contingent liabilities, including at the local level, structuring social and basic infrastructure projects (such as health, sanitation, solid waste management, and renewable energy), and incorporation of</w:t>
      </w:r>
      <w:r w:rsidR="00DD23DE">
        <w:rPr>
          <w:lang w:val="en-GB"/>
        </w:rPr>
        <w:t xml:space="preserve"> more technical</w:t>
      </w:r>
      <w:r w:rsidR="00217960">
        <w:rPr>
          <w:lang w:val="en-GB"/>
        </w:rPr>
        <w:t xml:space="preserve"> GEDSI,</w:t>
      </w:r>
      <w:r w:rsidR="00217960" w:rsidRPr="00217960">
        <w:rPr>
          <w:lang w:val="en-GB"/>
        </w:rPr>
        <w:t xml:space="preserve"> climate change and sustainability considerations in PPP projects, among others. Thus, there are still more opportunities for targeted and speciali</w:t>
      </w:r>
      <w:r w:rsidR="00DD23DE">
        <w:rPr>
          <w:lang w:val="en-GB"/>
        </w:rPr>
        <w:t>s</w:t>
      </w:r>
      <w:r w:rsidR="00217960" w:rsidRPr="00217960">
        <w:rPr>
          <w:lang w:val="en-GB"/>
        </w:rPr>
        <w:t xml:space="preserve">ed TA support from </w:t>
      </w:r>
      <w:r w:rsidR="00E4780B">
        <w:rPr>
          <w:lang w:val="en-GB"/>
        </w:rPr>
        <w:t xml:space="preserve">international </w:t>
      </w:r>
      <w:r w:rsidR="00217960" w:rsidRPr="00217960">
        <w:rPr>
          <w:lang w:val="en-GB"/>
        </w:rPr>
        <w:t>development partners.</w:t>
      </w:r>
    </w:p>
    <w:p w14:paraId="2FA1CF18" w14:textId="43D4CEDA" w:rsidR="00234AAC" w:rsidRDefault="00686C97" w:rsidP="006B254D">
      <w:pPr>
        <w:spacing w:line="240" w:lineRule="auto"/>
        <w:rPr>
          <w:rFonts w:cstheme="minorHAnsi"/>
        </w:rPr>
      </w:pPr>
      <w:r w:rsidRPr="00FC3ADC">
        <w:rPr>
          <w:rFonts w:cstheme="minorHAnsi"/>
        </w:rPr>
        <w:t>Capacity building interventions were able to reach agencies and units at the local level.</w:t>
      </w:r>
      <w:r w:rsidRPr="00686C97">
        <w:rPr>
          <w:rFonts w:cstheme="minorHAnsi"/>
          <w:lang w:val="en-GB"/>
        </w:rPr>
        <w:t xml:space="preserve"> </w:t>
      </w:r>
      <w:r w:rsidR="003F737A" w:rsidRPr="00686C97">
        <w:rPr>
          <w:rFonts w:cstheme="minorHAnsi"/>
          <w:lang w:val="en-GB"/>
        </w:rPr>
        <w:t>While the PPP Cent</w:t>
      </w:r>
      <w:r w:rsidR="00DD23DE">
        <w:rPr>
          <w:rFonts w:cstheme="minorHAnsi"/>
          <w:lang w:val="en-GB"/>
        </w:rPr>
        <w:t>er</w:t>
      </w:r>
      <w:r w:rsidR="003F737A" w:rsidRPr="00686C97">
        <w:rPr>
          <w:rFonts w:cstheme="minorHAnsi"/>
          <w:lang w:val="en-GB"/>
        </w:rPr>
        <w:t xml:space="preserve"> </w:t>
      </w:r>
      <w:r w:rsidR="00E4780B">
        <w:rPr>
          <w:rFonts w:cstheme="minorHAnsi"/>
          <w:lang w:val="en-GB"/>
        </w:rPr>
        <w:t>could</w:t>
      </w:r>
      <w:r w:rsidR="00E4780B" w:rsidRPr="00686C97">
        <w:rPr>
          <w:rFonts w:cstheme="minorHAnsi"/>
          <w:lang w:val="en-GB"/>
        </w:rPr>
        <w:t xml:space="preserve"> largely</w:t>
      </w:r>
      <w:r w:rsidR="00B06EEF" w:rsidRPr="00686C97">
        <w:rPr>
          <w:rFonts w:cstheme="minorHAnsi"/>
          <w:lang w:val="en-GB"/>
        </w:rPr>
        <w:t xml:space="preserve"> </w:t>
      </w:r>
      <w:r w:rsidR="003F737A" w:rsidRPr="00F54585">
        <w:rPr>
          <w:rFonts w:cstheme="minorHAnsi"/>
          <w:lang w:val="en-GB"/>
        </w:rPr>
        <w:t xml:space="preserve">be expected to deliver support to clients at </w:t>
      </w:r>
      <w:r w:rsidR="00E4780B">
        <w:rPr>
          <w:rFonts w:cstheme="minorHAnsi"/>
          <w:lang w:val="en-GB"/>
        </w:rPr>
        <w:t>its</w:t>
      </w:r>
      <w:r w:rsidR="003F737A" w:rsidRPr="00F54585">
        <w:rPr>
          <w:rFonts w:cstheme="minorHAnsi"/>
          <w:lang w:val="en-GB"/>
        </w:rPr>
        <w:t xml:space="preserve"> current level, it does not </w:t>
      </w:r>
      <w:r w:rsidR="003F737A" w:rsidRPr="00F54585">
        <w:rPr>
          <w:rFonts w:cstheme="minorHAnsi"/>
          <w:lang w:val="en-GB"/>
        </w:rPr>
        <w:lastRenderedPageBreak/>
        <w:t xml:space="preserve">have the </w:t>
      </w:r>
      <w:r w:rsidR="00E4780B">
        <w:rPr>
          <w:rFonts w:cstheme="minorHAnsi"/>
          <w:lang w:val="en-GB"/>
        </w:rPr>
        <w:t>human resources</w:t>
      </w:r>
      <w:r w:rsidR="00E4780B" w:rsidRPr="00F54585">
        <w:rPr>
          <w:rFonts w:cstheme="minorHAnsi"/>
          <w:lang w:val="en-GB"/>
        </w:rPr>
        <w:t xml:space="preserve"> </w:t>
      </w:r>
      <w:r w:rsidR="003F737A" w:rsidRPr="00F54585">
        <w:rPr>
          <w:rFonts w:cstheme="minorHAnsi"/>
          <w:lang w:val="en-GB"/>
        </w:rPr>
        <w:t xml:space="preserve">and budget required to meet </w:t>
      </w:r>
      <w:r w:rsidR="00B06EEF" w:rsidRPr="00B14AF6">
        <w:rPr>
          <w:rFonts w:cstheme="minorHAnsi"/>
          <w:lang w:val="en-GB"/>
        </w:rPr>
        <w:t>the</w:t>
      </w:r>
      <w:r w:rsidR="003F737A" w:rsidRPr="00B14AF6">
        <w:rPr>
          <w:rFonts w:cstheme="minorHAnsi"/>
          <w:lang w:val="en-GB"/>
        </w:rPr>
        <w:t xml:space="preserve"> increase in demand expected </w:t>
      </w:r>
      <w:r w:rsidR="00B06EEF" w:rsidRPr="004304A0">
        <w:rPr>
          <w:rFonts w:cstheme="minorHAnsi"/>
          <w:lang w:val="en-GB"/>
        </w:rPr>
        <w:t xml:space="preserve">to result from </w:t>
      </w:r>
      <w:r w:rsidR="003F737A" w:rsidRPr="004304A0">
        <w:rPr>
          <w:rFonts w:cstheme="minorHAnsi"/>
          <w:lang w:val="en-GB"/>
        </w:rPr>
        <w:t xml:space="preserve">requests for support from </w:t>
      </w:r>
      <w:r w:rsidR="00E4780B">
        <w:rPr>
          <w:rFonts w:cstheme="minorHAnsi"/>
          <w:lang w:val="en-GB"/>
        </w:rPr>
        <w:t>local governments</w:t>
      </w:r>
      <w:r w:rsidR="00E4780B" w:rsidRPr="004304A0">
        <w:rPr>
          <w:rFonts w:cstheme="minorHAnsi"/>
          <w:lang w:val="en-GB"/>
        </w:rPr>
        <w:t xml:space="preserve"> </w:t>
      </w:r>
      <w:r w:rsidR="003F737A" w:rsidRPr="004304A0">
        <w:rPr>
          <w:rFonts w:cstheme="minorHAnsi"/>
          <w:lang w:val="en-GB"/>
        </w:rPr>
        <w:t>due to the</w:t>
      </w:r>
      <w:r w:rsidR="00E4780B">
        <w:rPr>
          <w:rFonts w:cstheme="minorHAnsi"/>
          <w:lang w:val="en-GB"/>
        </w:rPr>
        <w:t xml:space="preserve"> expected decentralisation of funds in 2022 as a result of the</w:t>
      </w:r>
      <w:r w:rsidR="003F737A" w:rsidRPr="004304A0">
        <w:rPr>
          <w:rFonts w:cstheme="minorHAnsi"/>
          <w:lang w:val="en-GB"/>
        </w:rPr>
        <w:t xml:space="preserve"> Mandan</w:t>
      </w:r>
      <w:r w:rsidR="00787807" w:rsidRPr="004304A0">
        <w:rPr>
          <w:rFonts w:cstheme="minorHAnsi"/>
          <w:lang w:val="en-GB"/>
        </w:rPr>
        <w:t>a</w:t>
      </w:r>
      <w:r w:rsidR="003F737A" w:rsidRPr="004304A0">
        <w:rPr>
          <w:rFonts w:cstheme="minorHAnsi"/>
          <w:lang w:val="en-GB"/>
        </w:rPr>
        <w:t>s ruling.</w:t>
      </w:r>
      <w:r w:rsidRPr="004304A0">
        <w:rPr>
          <w:rFonts w:cstheme="minorHAnsi"/>
          <w:lang w:val="en-GB"/>
        </w:rPr>
        <w:t xml:space="preserve"> While NEDA notes that the </w:t>
      </w:r>
      <w:r w:rsidRPr="00FC3ADC">
        <w:rPr>
          <w:rFonts w:cstheme="minorHAnsi"/>
        </w:rPr>
        <w:t>PPP Center should source</w:t>
      </w:r>
      <w:r w:rsidR="007C7D12">
        <w:rPr>
          <w:rFonts w:cstheme="minorHAnsi"/>
        </w:rPr>
        <w:t xml:space="preserve"> and </w:t>
      </w:r>
      <w:r w:rsidRPr="00FC3ADC">
        <w:rPr>
          <w:rFonts w:cstheme="minorHAnsi"/>
        </w:rPr>
        <w:t xml:space="preserve">allocate budget and provide </w:t>
      </w:r>
      <w:r w:rsidR="00DD23DE">
        <w:rPr>
          <w:rFonts w:cstheme="minorHAnsi"/>
        </w:rPr>
        <w:t xml:space="preserve">the </w:t>
      </w:r>
      <w:r w:rsidRPr="00FC3ADC">
        <w:rPr>
          <w:rFonts w:cstheme="minorHAnsi"/>
        </w:rPr>
        <w:t xml:space="preserve">necessary manpower to support and </w:t>
      </w:r>
      <w:r w:rsidR="00DD23DE">
        <w:rPr>
          <w:rFonts w:cstheme="minorHAnsi"/>
        </w:rPr>
        <w:t xml:space="preserve">enable the </w:t>
      </w:r>
      <w:r w:rsidRPr="00FC3ADC">
        <w:rPr>
          <w:rFonts w:cstheme="minorHAnsi"/>
        </w:rPr>
        <w:t>continu</w:t>
      </w:r>
      <w:r w:rsidR="00DD23DE">
        <w:rPr>
          <w:rFonts w:cstheme="minorHAnsi"/>
        </w:rPr>
        <w:t>ation of</w:t>
      </w:r>
      <w:r w:rsidRPr="00FC3ADC">
        <w:rPr>
          <w:rFonts w:cstheme="minorHAnsi"/>
        </w:rPr>
        <w:t xml:space="preserve"> benefits gained from the TA, the absence of PPP Center units coordinating at the local level may pose a challenge in the sustainability of efforts</w:t>
      </w:r>
      <w:r w:rsidR="00E4780B">
        <w:rPr>
          <w:rFonts w:cstheme="minorHAnsi"/>
        </w:rPr>
        <w:t xml:space="preserve"> in future</w:t>
      </w:r>
      <w:r w:rsidRPr="00FC3ADC">
        <w:rPr>
          <w:rFonts w:cstheme="minorHAnsi"/>
        </w:rPr>
        <w:t>.</w:t>
      </w:r>
      <w:r w:rsidR="007C7D12">
        <w:rPr>
          <w:rFonts w:cstheme="minorHAnsi"/>
        </w:rPr>
        <w:t xml:space="preserve"> </w:t>
      </w:r>
      <w:r w:rsidR="00567422" w:rsidRPr="00FC3ADC">
        <w:rPr>
          <w:rFonts w:cstheme="minorHAnsi"/>
          <w:lang w:val="en-GB"/>
        </w:rPr>
        <w:t xml:space="preserve">Sustainability </w:t>
      </w:r>
      <w:r w:rsidRPr="00FC3ADC">
        <w:rPr>
          <w:rFonts w:cstheme="minorHAnsi"/>
          <w:lang w:val="en-GB"/>
        </w:rPr>
        <w:t xml:space="preserve">could also </w:t>
      </w:r>
      <w:r w:rsidR="00567422" w:rsidRPr="00FC3ADC">
        <w:rPr>
          <w:rFonts w:cstheme="minorHAnsi"/>
          <w:lang w:val="en-GB"/>
        </w:rPr>
        <w:t xml:space="preserve">be enhanced through the establishment of a formal certificated training course, accessible to </w:t>
      </w:r>
      <w:r w:rsidR="00E4780B">
        <w:rPr>
          <w:rFonts w:cstheme="minorHAnsi"/>
          <w:lang w:val="en-GB"/>
        </w:rPr>
        <w:t>local government</w:t>
      </w:r>
      <w:r w:rsidR="00E4780B" w:rsidRPr="00FC3ADC">
        <w:rPr>
          <w:rFonts w:cstheme="minorHAnsi"/>
          <w:lang w:val="en-GB"/>
        </w:rPr>
        <w:t xml:space="preserve"> </w:t>
      </w:r>
      <w:r w:rsidR="00567422" w:rsidRPr="00FC3ADC">
        <w:rPr>
          <w:rFonts w:cstheme="minorHAnsi"/>
          <w:lang w:val="en-GB"/>
        </w:rPr>
        <w:t xml:space="preserve">officials. </w:t>
      </w:r>
      <w:r w:rsidR="00E4780B">
        <w:rPr>
          <w:rFonts w:cstheme="minorHAnsi"/>
          <w:lang w:val="en-GB"/>
        </w:rPr>
        <w:t>At the time of writing, t</w:t>
      </w:r>
      <w:r w:rsidR="00567422" w:rsidRPr="00FC3ADC">
        <w:rPr>
          <w:rFonts w:cstheme="minorHAnsi"/>
          <w:lang w:val="en-GB"/>
        </w:rPr>
        <w:t>he PPP Cent</w:t>
      </w:r>
      <w:r w:rsidR="00DD23DE">
        <w:rPr>
          <w:rFonts w:cstheme="minorHAnsi"/>
          <w:lang w:val="en-GB"/>
        </w:rPr>
        <w:t>er</w:t>
      </w:r>
      <w:r w:rsidR="00567422" w:rsidRPr="00FC3ADC">
        <w:rPr>
          <w:rFonts w:cstheme="minorHAnsi"/>
          <w:lang w:val="en-GB"/>
        </w:rPr>
        <w:t xml:space="preserve"> </w:t>
      </w:r>
      <w:r w:rsidR="00E4780B">
        <w:rPr>
          <w:rFonts w:cstheme="minorHAnsi"/>
          <w:lang w:val="en-GB"/>
        </w:rPr>
        <w:t>was</w:t>
      </w:r>
      <w:r w:rsidR="00567422" w:rsidRPr="00FC3ADC">
        <w:rPr>
          <w:rFonts w:cstheme="minorHAnsi"/>
          <w:lang w:val="en-GB"/>
        </w:rPr>
        <w:t xml:space="preserve"> in talks with </w:t>
      </w:r>
      <w:r w:rsidR="0037447A">
        <w:rPr>
          <w:rFonts w:cstheme="minorHAnsi"/>
          <w:lang w:val="en-GB"/>
        </w:rPr>
        <w:t xml:space="preserve">the </w:t>
      </w:r>
      <w:r w:rsidR="00074507">
        <w:rPr>
          <w:rFonts w:cstheme="minorHAnsi"/>
          <w:lang w:val="en-GB"/>
        </w:rPr>
        <w:t xml:space="preserve">Asian Institute of Management, Ateneo de Manila University and University of the Philippines </w:t>
      </w:r>
      <w:r w:rsidR="00567422" w:rsidRPr="00FC3ADC">
        <w:rPr>
          <w:rFonts w:cstheme="minorHAnsi"/>
        </w:rPr>
        <w:t xml:space="preserve">regarding </w:t>
      </w:r>
      <w:r w:rsidR="00E4780B">
        <w:rPr>
          <w:rFonts w:cstheme="minorHAnsi"/>
        </w:rPr>
        <w:t xml:space="preserve">development of </w:t>
      </w:r>
      <w:r w:rsidR="00567422" w:rsidRPr="00FC3ADC">
        <w:rPr>
          <w:rFonts w:cstheme="minorHAnsi"/>
        </w:rPr>
        <w:t xml:space="preserve">modules and diplomas on PPPs that </w:t>
      </w:r>
      <w:r w:rsidR="00E4780B">
        <w:rPr>
          <w:rFonts w:cstheme="minorHAnsi"/>
        </w:rPr>
        <w:t xml:space="preserve">could </w:t>
      </w:r>
      <w:r w:rsidR="00567422" w:rsidRPr="00FC3ADC">
        <w:rPr>
          <w:rFonts w:cstheme="minorHAnsi"/>
        </w:rPr>
        <w:t>give recognition</w:t>
      </w:r>
      <w:r w:rsidR="00B06EEF" w:rsidRPr="00FC3ADC">
        <w:rPr>
          <w:rFonts w:cstheme="minorHAnsi"/>
        </w:rPr>
        <w:t xml:space="preserve"> and </w:t>
      </w:r>
      <w:r w:rsidR="00E4780B">
        <w:rPr>
          <w:rFonts w:cstheme="minorHAnsi"/>
        </w:rPr>
        <w:t>be</w:t>
      </w:r>
      <w:r w:rsidR="00567422" w:rsidRPr="00FC3ADC">
        <w:rPr>
          <w:rFonts w:cstheme="minorHAnsi"/>
        </w:rPr>
        <w:t xml:space="preserve"> formally mainstreamed into the </w:t>
      </w:r>
      <w:r w:rsidR="00E4780B">
        <w:rPr>
          <w:rFonts w:cstheme="minorHAnsi"/>
        </w:rPr>
        <w:t xml:space="preserve">Philippine </w:t>
      </w:r>
      <w:r w:rsidR="00567422" w:rsidRPr="00FC3ADC">
        <w:rPr>
          <w:rFonts w:cstheme="minorHAnsi"/>
        </w:rPr>
        <w:t>system be over the long term</w:t>
      </w:r>
      <w:r w:rsidR="008F478A" w:rsidRPr="00686C97">
        <w:rPr>
          <w:rStyle w:val="FootnoteReference"/>
          <w:rFonts w:cstheme="minorHAnsi"/>
        </w:rPr>
        <w:footnoteReference w:id="56"/>
      </w:r>
      <w:r w:rsidR="007C5D73" w:rsidRPr="00686C97">
        <w:rPr>
          <w:rFonts w:cstheme="minorHAnsi"/>
        </w:rPr>
        <w:t>.</w:t>
      </w:r>
      <w:r w:rsidR="00217960" w:rsidRPr="00686C97">
        <w:rPr>
          <w:rFonts w:cstheme="minorHAnsi"/>
        </w:rPr>
        <w:t xml:space="preserve"> </w:t>
      </w:r>
    </w:p>
    <w:p w14:paraId="16B4A0C5" w14:textId="69CD5098" w:rsidR="00234AAC" w:rsidRDefault="00D52D06" w:rsidP="006B254D">
      <w:pPr>
        <w:spacing w:line="240" w:lineRule="auto"/>
      </w:pPr>
      <w:r>
        <w:t xml:space="preserve">The PPP Program </w:t>
      </w:r>
      <w:r w:rsidR="00E4780B">
        <w:t>was</w:t>
      </w:r>
      <w:r>
        <w:t xml:space="preserve"> effectively institutionalised by the Government of Philippines through </w:t>
      </w:r>
      <w:r w:rsidR="00344727" w:rsidRPr="00344727">
        <w:t xml:space="preserve">the issuance of executive orders (EOs). The EOs </w:t>
      </w:r>
      <w:r>
        <w:t>institutionalised the PPP Governing Board</w:t>
      </w:r>
      <w:r w:rsidR="00F66055">
        <w:t xml:space="preserve"> and</w:t>
      </w:r>
      <w:r>
        <w:t xml:space="preserve"> the PDMF (through the provision of funding, staff and issuance of governance and operational guidelines</w:t>
      </w:r>
      <w:r w:rsidR="00B06EEF">
        <w:t>,</w:t>
      </w:r>
      <w:r>
        <w:t xml:space="preserve"> and </w:t>
      </w:r>
      <w:r w:rsidR="00B06EEF">
        <w:t>the</w:t>
      </w:r>
      <w:r>
        <w:t xml:space="preserve"> consultant engagement framework</w:t>
      </w:r>
      <w:r w:rsidR="00B06EEF">
        <w:t>)</w:t>
      </w:r>
      <w:r w:rsidR="00344727">
        <w:t>.</w:t>
      </w:r>
      <w:r w:rsidR="00344727" w:rsidRPr="00344727">
        <w:t xml:space="preserve"> The Development Budget Coordination Committee </w:t>
      </w:r>
      <w:r w:rsidR="00480FBC">
        <w:t xml:space="preserve">approved </w:t>
      </w:r>
      <w:r w:rsidR="00480FBC" w:rsidRPr="00344727">
        <w:t>Resolution No. 2015-2</w:t>
      </w:r>
      <w:r w:rsidR="00480FBC">
        <w:t xml:space="preserve"> (</w:t>
      </w:r>
      <w:r w:rsidR="0037447A">
        <w:t>c</w:t>
      </w:r>
      <w:r w:rsidR="00480FBC">
        <w:t>reation of the T</w:t>
      </w:r>
      <w:r w:rsidR="00344727" w:rsidRPr="00344727">
        <w:t xml:space="preserve">echnical </w:t>
      </w:r>
      <w:r w:rsidR="00480FBC">
        <w:t>W</w:t>
      </w:r>
      <w:r w:rsidR="00344727" w:rsidRPr="00344727">
        <w:t xml:space="preserve">orking </w:t>
      </w:r>
      <w:r w:rsidR="00480FBC">
        <w:t>G</w:t>
      </w:r>
      <w:r w:rsidR="00344727" w:rsidRPr="00344727">
        <w:t xml:space="preserve">roup on </w:t>
      </w:r>
      <w:r w:rsidR="00480FBC">
        <w:t>C</w:t>
      </w:r>
      <w:r w:rsidR="00344727" w:rsidRPr="00344727">
        <w:t xml:space="preserve">ontingent </w:t>
      </w:r>
      <w:r w:rsidR="00480FBC">
        <w:t>L</w:t>
      </w:r>
      <w:r w:rsidR="00344727" w:rsidRPr="00344727">
        <w:t>iabilities</w:t>
      </w:r>
      <w:r w:rsidR="008F709D">
        <w:t>)</w:t>
      </w:r>
      <w:r w:rsidR="008F709D" w:rsidRPr="00344727">
        <w:t>,</w:t>
      </w:r>
      <w:r w:rsidR="00344727" w:rsidRPr="00344727">
        <w:t xml:space="preserve"> and established a risk management program under the Philippine government’s unprogrammed appropriations</w:t>
      </w:r>
      <w:r w:rsidR="00344727">
        <w:t xml:space="preserve">, </w:t>
      </w:r>
      <w:r>
        <w:t xml:space="preserve">which institutionalised the funding for government direct and contingent liabilities arising from PPP projects. While the PPP Program </w:t>
      </w:r>
      <w:r w:rsidR="00E4780B">
        <w:t>was</w:t>
      </w:r>
      <w:r>
        <w:t xml:space="preserve"> firmly embedded and </w:t>
      </w:r>
      <w:r w:rsidR="00E4780B">
        <w:t>grew</w:t>
      </w:r>
      <w:r>
        <w:t xml:space="preserve"> in size and scale, </w:t>
      </w:r>
      <w:r w:rsidR="003D64E7">
        <w:t xml:space="preserve">some challenges and lessons related to sustainability </w:t>
      </w:r>
      <w:r w:rsidR="00E4780B">
        <w:t xml:space="preserve">were </w:t>
      </w:r>
      <w:r w:rsidR="00402262">
        <w:t>highlighted</w:t>
      </w:r>
      <w:r w:rsidR="003D64E7">
        <w:t xml:space="preserve"> by the ADB</w:t>
      </w:r>
      <w:r w:rsidR="005809FA">
        <w:rPr>
          <w:rStyle w:val="FootnoteReference"/>
        </w:rPr>
        <w:footnoteReference w:id="57"/>
      </w:r>
      <w:r w:rsidR="00C76239">
        <w:t>. These include</w:t>
      </w:r>
      <w:r w:rsidR="00E4780B">
        <w:t>d</w:t>
      </w:r>
      <w:r w:rsidR="003D64E7">
        <w:t xml:space="preserve"> the imperative of </w:t>
      </w:r>
      <w:r w:rsidR="00B06EEF">
        <w:t xml:space="preserve">the PPP Center to </w:t>
      </w:r>
      <w:r w:rsidR="00402262">
        <w:t>maintain</w:t>
      </w:r>
      <w:r w:rsidR="003D64E7">
        <w:t xml:space="preserve"> its </w:t>
      </w:r>
      <w:r w:rsidR="003D64E7" w:rsidRPr="00402262">
        <w:t xml:space="preserve">independence from political process to ensure </w:t>
      </w:r>
      <w:r w:rsidR="00AB2E38" w:rsidRPr="00402262">
        <w:t>continu</w:t>
      </w:r>
      <w:r w:rsidR="003D64E7" w:rsidRPr="00402262">
        <w:t>ed</w:t>
      </w:r>
      <w:r w:rsidR="00AB2E38" w:rsidRPr="00402262">
        <w:t xml:space="preserve"> confidence in </w:t>
      </w:r>
      <w:r w:rsidR="00B06EEF">
        <w:t xml:space="preserve">the </w:t>
      </w:r>
      <w:r w:rsidR="00AB2E38" w:rsidRPr="00402262">
        <w:t xml:space="preserve">Center and its decisions, </w:t>
      </w:r>
      <w:r w:rsidR="003D64E7" w:rsidRPr="00402262">
        <w:t>and the need</w:t>
      </w:r>
      <w:r w:rsidR="00402262">
        <w:t xml:space="preserve"> to </w:t>
      </w:r>
      <w:r w:rsidR="00C76239">
        <w:t>shorten</w:t>
      </w:r>
      <w:r w:rsidR="00402262">
        <w:t xml:space="preserve"> </w:t>
      </w:r>
      <w:r w:rsidR="00E4780B">
        <w:t xml:space="preserve">local government </w:t>
      </w:r>
      <w:r w:rsidR="00402262">
        <w:t xml:space="preserve">project cycles so that </w:t>
      </w:r>
      <w:r w:rsidR="00402262" w:rsidRPr="00402262">
        <w:t>projects</w:t>
      </w:r>
      <w:r w:rsidR="00E4780B">
        <w:t xml:space="preserve"> could</w:t>
      </w:r>
      <w:r w:rsidR="00402262" w:rsidRPr="00402262">
        <w:t xml:space="preserve"> achieve physical and financial closing within </w:t>
      </w:r>
      <w:r w:rsidR="00C76239" w:rsidRPr="00402262">
        <w:t>three-year</w:t>
      </w:r>
      <w:r w:rsidR="00402262" w:rsidRPr="00402262">
        <w:t xml:space="preserve"> local election cycles</w:t>
      </w:r>
      <w:r w:rsidR="00C76239">
        <w:t xml:space="preserve"> to address delays and cancellations that occur </w:t>
      </w:r>
      <w:r w:rsidR="001E067D">
        <w:t>due to</w:t>
      </w:r>
      <w:r w:rsidR="00C76239">
        <w:t xml:space="preserve"> a change of leadership. </w:t>
      </w:r>
    </w:p>
    <w:p w14:paraId="22811207" w14:textId="0C3FB140" w:rsidR="00234AAC" w:rsidRDefault="002B62B8" w:rsidP="006B254D">
      <w:pPr>
        <w:spacing w:line="240" w:lineRule="auto"/>
        <w:rPr>
          <w:rFonts w:cstheme="minorHAnsi"/>
        </w:rPr>
      </w:pPr>
      <w:r w:rsidRPr="00FC3ADC">
        <w:t>While reforms passed in the early years successfully s</w:t>
      </w:r>
      <w:r w:rsidR="00483005">
        <w:t>t</w:t>
      </w:r>
      <w:r w:rsidRPr="00FC3ADC">
        <w:t xml:space="preserve">imulated </w:t>
      </w:r>
      <w:r w:rsidR="00B270D0">
        <w:t>private sector</w:t>
      </w:r>
      <w:r w:rsidRPr="00FC3ADC">
        <w:t xml:space="preserve"> investment and infrastructure development, the full set of reforms required were not</w:t>
      </w:r>
      <w:r w:rsidR="003B0F07" w:rsidRPr="00FC3ADC">
        <w:t xml:space="preserve"> legislated under the previous </w:t>
      </w:r>
      <w:r w:rsidR="00E4780B">
        <w:t xml:space="preserve">Aquino </w:t>
      </w:r>
      <w:r w:rsidR="003B0F07" w:rsidRPr="00FC3ADC">
        <w:t>administration</w:t>
      </w:r>
      <w:r w:rsidR="00E4780B">
        <w:t xml:space="preserve"> (2010-</w:t>
      </w:r>
      <w:r w:rsidR="004151D9">
        <w:t>2</w:t>
      </w:r>
      <w:r w:rsidR="00E4780B">
        <w:t>016)</w:t>
      </w:r>
      <w:r w:rsidR="003B0F07" w:rsidRPr="00FC3ADC">
        <w:t>, limiting sustainability</w:t>
      </w:r>
      <w:r w:rsidRPr="00FC3ADC">
        <w:t xml:space="preserve">. </w:t>
      </w:r>
      <w:r w:rsidR="003B0F07" w:rsidRPr="00FC3ADC">
        <w:t>C</w:t>
      </w:r>
      <w:r w:rsidRPr="00FC3ADC">
        <w:t>hallenges persist</w:t>
      </w:r>
      <w:r w:rsidR="007506A0">
        <w:t>ed</w:t>
      </w:r>
      <w:r w:rsidRPr="00FC3ADC">
        <w:t xml:space="preserve"> as the PPP Act has not been </w:t>
      </w:r>
      <w:r w:rsidR="003B0F07" w:rsidRPr="00FC3ADC">
        <w:t xml:space="preserve">legislated into law. This </w:t>
      </w:r>
      <w:r w:rsidRPr="00FC3ADC">
        <w:t>hinder</w:t>
      </w:r>
      <w:r w:rsidR="003B0F07" w:rsidRPr="00FC3ADC">
        <w:t>s</w:t>
      </w:r>
      <w:r w:rsidRPr="00FC3ADC">
        <w:t xml:space="preserve"> the enabling environment</w:t>
      </w:r>
      <w:r w:rsidR="007550FA" w:rsidRPr="00FC3ADC">
        <w:t xml:space="preserve"> as there are a range of gaps and issues (such as </w:t>
      </w:r>
      <w:r w:rsidR="005B24D5">
        <w:t>J</w:t>
      </w:r>
      <w:r w:rsidR="007550FA" w:rsidRPr="00FC3ADC">
        <w:t xml:space="preserve">oint </w:t>
      </w:r>
      <w:r w:rsidR="005B24D5">
        <w:t>V</w:t>
      </w:r>
      <w:r w:rsidR="007550FA" w:rsidRPr="00FC3ADC">
        <w:t xml:space="preserve">entures) that remain open to interpretation due to a lack of legislated policy direction, causing confusion, challenges in contract structuring, delay and a lack of clarity in communication to the </w:t>
      </w:r>
      <w:r w:rsidR="00B270D0">
        <w:t>private sector</w:t>
      </w:r>
      <w:r w:rsidR="007550FA" w:rsidRPr="00FC3ADC">
        <w:t>.</w:t>
      </w:r>
      <w:r w:rsidR="0063059C" w:rsidRPr="00FC3ADC">
        <w:t xml:space="preserve"> </w:t>
      </w:r>
      <w:r w:rsidR="00B270D0">
        <w:rPr>
          <w:rFonts w:cstheme="minorHAnsi"/>
        </w:rPr>
        <w:t>P</w:t>
      </w:r>
      <w:r w:rsidR="0063059C" w:rsidRPr="00FC3ADC">
        <w:rPr>
          <w:rFonts w:cstheme="minorHAnsi"/>
        </w:rPr>
        <w:t xml:space="preserve">roposed amendments to the Republic Act (RA) No. 6957 (as amended by RA 7718), otherwise known as the </w:t>
      </w:r>
      <w:r w:rsidR="0049514B">
        <w:rPr>
          <w:rFonts w:cstheme="minorHAnsi"/>
        </w:rPr>
        <w:t>Build-Operate-and-Transfer (</w:t>
      </w:r>
      <w:r w:rsidR="0063059C" w:rsidRPr="00FC3ADC">
        <w:rPr>
          <w:rFonts w:cstheme="minorHAnsi"/>
        </w:rPr>
        <w:t>BOT</w:t>
      </w:r>
      <w:r w:rsidR="0049514B">
        <w:rPr>
          <w:rFonts w:cstheme="minorHAnsi"/>
        </w:rPr>
        <w:t>)</w:t>
      </w:r>
      <w:r w:rsidR="0063059C" w:rsidRPr="00FC3ADC">
        <w:rPr>
          <w:rFonts w:cstheme="minorHAnsi"/>
        </w:rPr>
        <w:t xml:space="preserve"> Law</w:t>
      </w:r>
      <w:r w:rsidR="00B270D0">
        <w:rPr>
          <w:rFonts w:cstheme="minorHAnsi"/>
        </w:rPr>
        <w:t xml:space="preserve">, </w:t>
      </w:r>
      <w:r w:rsidR="0063059C" w:rsidRPr="00FC3ADC">
        <w:rPr>
          <w:rFonts w:cstheme="minorHAnsi"/>
        </w:rPr>
        <w:t xml:space="preserve">were initiated </w:t>
      </w:r>
      <w:r w:rsidR="007506A0">
        <w:rPr>
          <w:rFonts w:cstheme="minorHAnsi"/>
        </w:rPr>
        <w:t xml:space="preserve">in </w:t>
      </w:r>
      <w:r w:rsidR="00267FC3">
        <w:rPr>
          <w:rFonts w:cstheme="minorHAnsi"/>
        </w:rPr>
        <w:t>2010</w:t>
      </w:r>
      <w:r w:rsidR="00480FBC">
        <w:rPr>
          <w:rFonts w:cstheme="minorHAnsi"/>
        </w:rPr>
        <w:t xml:space="preserve"> </w:t>
      </w:r>
      <w:r w:rsidR="0063059C" w:rsidRPr="00FC3ADC">
        <w:rPr>
          <w:rFonts w:cstheme="minorHAnsi"/>
        </w:rPr>
        <w:t>to address various issues, ambiguities, bottlenecks, and challenges to effective implementation.</w:t>
      </w:r>
      <w:r w:rsidR="00B270D0" w:rsidRPr="00FC3ADC">
        <w:rPr>
          <w:rFonts w:cstheme="minorHAnsi"/>
        </w:rPr>
        <w:t xml:space="preserve"> While</w:t>
      </w:r>
      <w:r w:rsidR="0063059C" w:rsidRPr="00FC3ADC">
        <w:rPr>
          <w:rFonts w:cstheme="minorHAnsi"/>
        </w:rPr>
        <w:t xml:space="preserve"> </w:t>
      </w:r>
      <w:r w:rsidR="00B270D0" w:rsidRPr="00FC3ADC">
        <w:rPr>
          <w:rFonts w:cstheme="minorHAnsi"/>
        </w:rPr>
        <w:t>t</w:t>
      </w:r>
      <w:r w:rsidR="0063059C" w:rsidRPr="00FC3ADC">
        <w:rPr>
          <w:rFonts w:cstheme="minorHAnsi"/>
        </w:rPr>
        <w:t xml:space="preserve">he amendments will expand coverage to all undertakings related to private participation, including </w:t>
      </w:r>
      <w:r w:rsidR="00483005">
        <w:rPr>
          <w:rFonts w:cstheme="minorHAnsi"/>
        </w:rPr>
        <w:t>j</w:t>
      </w:r>
      <w:r w:rsidR="0063059C" w:rsidRPr="00FC3ADC">
        <w:rPr>
          <w:rFonts w:cstheme="minorHAnsi"/>
        </w:rPr>
        <w:t xml:space="preserve">oint </w:t>
      </w:r>
      <w:r w:rsidR="00483005">
        <w:rPr>
          <w:rFonts w:cstheme="minorHAnsi"/>
        </w:rPr>
        <w:t>v</w:t>
      </w:r>
      <w:r w:rsidR="0063059C" w:rsidRPr="00FC3ADC">
        <w:rPr>
          <w:rFonts w:cstheme="minorHAnsi"/>
        </w:rPr>
        <w:t>entures</w:t>
      </w:r>
      <w:r w:rsidR="00B270D0" w:rsidRPr="00FC3ADC">
        <w:rPr>
          <w:rFonts w:cstheme="minorHAnsi"/>
        </w:rPr>
        <w:t xml:space="preserve">, </w:t>
      </w:r>
      <w:r w:rsidR="007506A0">
        <w:rPr>
          <w:rFonts w:cstheme="minorHAnsi"/>
        </w:rPr>
        <w:t xml:space="preserve">as of the time of writing (August 2021) </w:t>
      </w:r>
      <w:r w:rsidR="0063059C" w:rsidRPr="00FC3ADC">
        <w:rPr>
          <w:rFonts w:cstheme="minorHAnsi"/>
        </w:rPr>
        <w:t>these ha</w:t>
      </w:r>
      <w:r w:rsidR="007506A0">
        <w:rPr>
          <w:rFonts w:cstheme="minorHAnsi"/>
        </w:rPr>
        <w:t>d</w:t>
      </w:r>
      <w:r w:rsidR="0063059C" w:rsidRPr="00FC3ADC">
        <w:rPr>
          <w:rFonts w:cstheme="minorHAnsi"/>
        </w:rPr>
        <w:t xml:space="preserve"> not yet been approved</w:t>
      </w:r>
      <w:r w:rsidR="004304A0" w:rsidRPr="00FC3ADC">
        <w:rPr>
          <w:rStyle w:val="FootnoteReference"/>
          <w:rFonts w:cstheme="minorHAnsi"/>
        </w:rPr>
        <w:footnoteReference w:id="58"/>
      </w:r>
      <w:r w:rsidR="0063059C" w:rsidRPr="00FC3ADC">
        <w:rPr>
          <w:rFonts w:cstheme="minorHAnsi"/>
        </w:rPr>
        <w:t xml:space="preserve">. </w:t>
      </w:r>
    </w:p>
    <w:p w14:paraId="7CC5C000" w14:textId="42F44CB3" w:rsidR="00D662E6" w:rsidRPr="00234AAC" w:rsidRDefault="00342223" w:rsidP="006B254D">
      <w:pPr>
        <w:spacing w:line="240" w:lineRule="auto"/>
        <w:rPr>
          <w:rFonts w:cstheme="minorHAnsi"/>
        </w:rPr>
      </w:pPr>
      <w:r>
        <w:t>As outlined in Section 3.1, s</w:t>
      </w:r>
      <w:r w:rsidR="00CF7BC1">
        <w:t xml:space="preserve">upport provided through the PDMF was effective in capitalising on momentum and jumpstarting PPP projects in the early years by </w:t>
      </w:r>
      <w:r w:rsidR="00CF7BC1" w:rsidRPr="00BF7C54">
        <w:t>expediting the procurement of pre</w:t>
      </w:r>
      <w:r w:rsidR="007506A0">
        <w:noBreakHyphen/>
      </w:r>
      <w:r w:rsidR="00CF7BC1" w:rsidRPr="00BF7C54">
        <w:t>selected international consultants</w:t>
      </w:r>
      <w:r w:rsidR="00E4740C">
        <w:t xml:space="preserve">, an </w:t>
      </w:r>
      <w:r w:rsidR="00E4740C" w:rsidRPr="00E4740C">
        <w:t>arrangement that would be challenging under national procurement laws without the cover of an international executive agreement (such as a Technical Assistance Agreement with ADB).</w:t>
      </w:r>
      <w:r w:rsidR="00E4740C">
        <w:t xml:space="preserve"> </w:t>
      </w:r>
      <w:r w:rsidR="00CF7BC1" w:rsidRPr="00BF7C54">
        <w:t>While the procurement mechanism was appropriate at the time and effective in quickly bringing in the right expertise, challenges to sustainability remain.</w:t>
      </w:r>
      <w:r>
        <w:t xml:space="preserve"> In the event that the TA ceases and no </w:t>
      </w:r>
      <w:r w:rsidR="007506A0">
        <w:t xml:space="preserve">further international </w:t>
      </w:r>
      <w:r>
        <w:t xml:space="preserve">funds are provided, the </w:t>
      </w:r>
      <w:r w:rsidRPr="00EB2244">
        <w:t xml:space="preserve">PDMF fund would </w:t>
      </w:r>
      <w:r w:rsidRPr="00EB2244">
        <w:lastRenderedPageBreak/>
        <w:t>continue</w:t>
      </w:r>
      <w:r w:rsidRPr="00EB2244">
        <w:rPr>
          <w:rStyle w:val="FootnoteReference"/>
        </w:rPr>
        <w:footnoteReference w:id="59"/>
      </w:r>
      <w:r w:rsidR="00973DD5" w:rsidRPr="00EB2244">
        <w:t>, however</w:t>
      </w:r>
      <w:r w:rsidR="00483005">
        <w:t>,</w:t>
      </w:r>
      <w:r w:rsidR="00973DD5" w:rsidRPr="00EB2244">
        <w:t xml:space="preserve"> it would be bound by local </w:t>
      </w:r>
      <w:r w:rsidR="00973DD5" w:rsidRPr="00D662E6">
        <w:t xml:space="preserve">procurement processes established </w:t>
      </w:r>
      <w:r w:rsidR="00EE1428" w:rsidRPr="00D662E6">
        <w:t>by</w:t>
      </w:r>
      <w:r w:rsidR="00973DD5" w:rsidRPr="00D662E6">
        <w:t xml:space="preserve"> </w:t>
      </w:r>
      <w:r w:rsidR="00D80B71">
        <w:t>R</w:t>
      </w:r>
      <w:r w:rsidR="00480FBC">
        <w:t xml:space="preserve">epublic </w:t>
      </w:r>
      <w:r w:rsidR="00D80B71">
        <w:t>A</w:t>
      </w:r>
      <w:r w:rsidR="00480FBC">
        <w:t>ct</w:t>
      </w:r>
      <w:r w:rsidR="00EE1428" w:rsidRPr="00D662E6">
        <w:t xml:space="preserve"> </w:t>
      </w:r>
      <w:r w:rsidR="00973DD5" w:rsidRPr="00D662E6">
        <w:rPr>
          <w:lang w:val="en-GB"/>
        </w:rPr>
        <w:t>91</w:t>
      </w:r>
      <w:r w:rsidR="00B06E88" w:rsidRPr="00D662E6">
        <w:rPr>
          <w:lang w:val="en-GB"/>
        </w:rPr>
        <w:t>8</w:t>
      </w:r>
      <w:r w:rsidR="00973DD5" w:rsidRPr="00D662E6">
        <w:rPr>
          <w:lang w:val="en-GB"/>
        </w:rPr>
        <w:t>4</w:t>
      </w:r>
      <w:r w:rsidR="00480FBC">
        <w:rPr>
          <w:lang w:val="en-GB"/>
        </w:rPr>
        <w:t xml:space="preserve"> (Government Procurement Reform Act)</w:t>
      </w:r>
      <w:r w:rsidR="00973DD5" w:rsidRPr="00D662E6">
        <w:rPr>
          <w:lang w:val="en-GB"/>
        </w:rPr>
        <w:t>. This would result</w:t>
      </w:r>
      <w:r w:rsidR="00EE1428" w:rsidRPr="00D662E6">
        <w:rPr>
          <w:lang w:val="en-GB"/>
        </w:rPr>
        <w:t xml:space="preserve"> in the</w:t>
      </w:r>
      <w:r w:rsidR="00973DD5" w:rsidRPr="00D662E6">
        <w:rPr>
          <w:lang w:val="en-GB"/>
        </w:rPr>
        <w:t xml:space="preserve"> PDMF panels being disband</w:t>
      </w:r>
      <w:r w:rsidR="00875DF7" w:rsidRPr="00D662E6">
        <w:rPr>
          <w:lang w:val="en-GB"/>
        </w:rPr>
        <w:t>ed</w:t>
      </w:r>
      <w:r w:rsidR="00601490">
        <w:rPr>
          <w:rStyle w:val="FootnoteReference"/>
          <w:lang w:val="en-GB"/>
        </w:rPr>
        <w:footnoteReference w:id="60"/>
      </w:r>
      <w:r w:rsidR="00923157" w:rsidRPr="00D662E6">
        <w:rPr>
          <w:lang w:val="en-GB"/>
        </w:rPr>
        <w:t xml:space="preserve"> which</w:t>
      </w:r>
      <w:r w:rsidR="00973DD5" w:rsidRPr="00D662E6">
        <w:rPr>
          <w:lang w:val="en-GB"/>
        </w:rPr>
        <w:t xml:space="preserve"> would </w:t>
      </w:r>
      <w:r w:rsidR="00EE1428" w:rsidRPr="00D662E6">
        <w:rPr>
          <w:lang w:val="en-GB"/>
        </w:rPr>
        <w:t>likely have</w:t>
      </w:r>
      <w:r w:rsidR="00596580" w:rsidRPr="00D662E6">
        <w:rPr>
          <w:lang w:val="en-GB"/>
        </w:rPr>
        <w:t xml:space="preserve"> </w:t>
      </w:r>
      <w:r w:rsidR="00973DD5" w:rsidRPr="00D662E6">
        <w:rPr>
          <w:lang w:val="en-GB"/>
        </w:rPr>
        <w:t xml:space="preserve">implications </w:t>
      </w:r>
      <w:r w:rsidR="00EE1428" w:rsidRPr="00D662E6">
        <w:rPr>
          <w:lang w:val="en-GB"/>
        </w:rPr>
        <w:t>on</w:t>
      </w:r>
      <w:r w:rsidR="00973DD5" w:rsidRPr="00D662E6">
        <w:rPr>
          <w:lang w:val="en-GB"/>
        </w:rPr>
        <w:t xml:space="preserve"> the</w:t>
      </w:r>
      <w:r w:rsidR="00923157" w:rsidRPr="00D662E6">
        <w:rPr>
          <w:lang w:val="en-GB"/>
        </w:rPr>
        <w:t xml:space="preserve"> PPP Center’s</w:t>
      </w:r>
      <w:r w:rsidR="00973DD5" w:rsidRPr="00D662E6">
        <w:rPr>
          <w:lang w:val="en-GB"/>
        </w:rPr>
        <w:t xml:space="preserve"> </w:t>
      </w:r>
      <w:r w:rsidR="00923157" w:rsidRPr="00D662E6">
        <w:t>ability to market the PDMF and may result</w:t>
      </w:r>
      <w:r w:rsidR="00923157">
        <w:t xml:space="preserve"> in some transaction advisors being unable to complete milestones</w:t>
      </w:r>
      <w:r w:rsidR="00EE1428">
        <w:t xml:space="preserve"> reaching</w:t>
      </w:r>
      <w:r w:rsidR="00923157">
        <w:t xml:space="preserve"> beyond the TA’s end date</w:t>
      </w:r>
      <w:r w:rsidR="007506A0">
        <w:t>,</w:t>
      </w:r>
      <w:r w:rsidR="00E402FE">
        <w:t xml:space="preserve"> </w:t>
      </w:r>
      <w:r w:rsidR="00E402FE" w:rsidRPr="00E402FE">
        <w:t xml:space="preserve">and </w:t>
      </w:r>
      <w:r w:rsidR="007506A0">
        <w:t xml:space="preserve">in turn </w:t>
      </w:r>
      <w:r w:rsidR="00E402FE" w:rsidRPr="00E402FE">
        <w:t>cause delays in the procurement of consultants</w:t>
      </w:r>
      <w:r w:rsidR="00923157">
        <w:t>.</w:t>
      </w:r>
      <w:r w:rsidR="00596580">
        <w:t xml:space="preserve"> Hence, w</w:t>
      </w:r>
      <w:r w:rsidR="00596580" w:rsidRPr="00BF7C54">
        <w:t>hile the procurement mechanism was appropriate at the time</w:t>
      </w:r>
      <w:r w:rsidR="00EE1428">
        <w:t>,</w:t>
      </w:r>
      <w:r w:rsidR="00596580">
        <w:t xml:space="preserve"> </w:t>
      </w:r>
      <w:r w:rsidR="00EE1428">
        <w:t>s</w:t>
      </w:r>
      <w:r w:rsidR="00596580">
        <w:t xml:space="preserve">ustainability could </w:t>
      </w:r>
      <w:r w:rsidR="00AC35F2">
        <w:t>perhaps have</w:t>
      </w:r>
      <w:r w:rsidR="00596580">
        <w:t xml:space="preserve"> been better supported by increasing the number of local consultants on the panels</w:t>
      </w:r>
      <w:r w:rsidR="00E402FE">
        <w:rPr>
          <w:rStyle w:val="FootnoteReference"/>
        </w:rPr>
        <w:footnoteReference w:id="61"/>
      </w:r>
      <w:r w:rsidR="00596580">
        <w:t>, and by exploring other options for engaging</w:t>
      </w:r>
      <w:r w:rsidR="00596580" w:rsidRPr="00596580">
        <w:t xml:space="preserve"> </w:t>
      </w:r>
      <w:r w:rsidR="00596580">
        <w:t>international consultants in accordance with local procurement law</w:t>
      </w:r>
      <w:r w:rsidR="00773CFA">
        <w:t xml:space="preserve">s, such as </w:t>
      </w:r>
      <w:r w:rsidR="00AC35F2">
        <w:t xml:space="preserve">directly </w:t>
      </w:r>
      <w:r w:rsidR="00773CFA">
        <w:t xml:space="preserve">through Philippine </w:t>
      </w:r>
      <w:r w:rsidR="00B270D0">
        <w:t>private sector</w:t>
      </w:r>
      <w:r w:rsidR="00773CFA">
        <w:t xml:space="preserve"> entities. While</w:t>
      </w:r>
      <w:r w:rsidR="00AC35F2">
        <w:t xml:space="preserve"> such an approach would be more challenging for donors, a future program that supports </w:t>
      </w:r>
      <w:r w:rsidR="004151D9" w:rsidRPr="00596580">
        <w:t>locally</w:t>
      </w:r>
      <w:r w:rsidR="004151D9">
        <w:t xml:space="preserve"> led</w:t>
      </w:r>
      <w:r w:rsidR="00596580" w:rsidRPr="00596580">
        <w:t xml:space="preserve"> partnering</w:t>
      </w:r>
      <w:r w:rsidR="00773CFA">
        <w:t xml:space="preserve"> that is </w:t>
      </w:r>
      <w:r w:rsidR="00596580">
        <w:t xml:space="preserve">harmonised </w:t>
      </w:r>
      <w:r w:rsidR="00773CFA">
        <w:t xml:space="preserve">with partner-country </w:t>
      </w:r>
      <w:r w:rsidR="00596580">
        <w:t>systems</w:t>
      </w:r>
      <w:r w:rsidR="00AC35F2">
        <w:t xml:space="preserve">, </w:t>
      </w:r>
      <w:r w:rsidR="007506A0">
        <w:t>would be</w:t>
      </w:r>
      <w:r w:rsidR="00AC35F2">
        <w:t xml:space="preserve"> well aligned with a paradigm shift supported by the Philippines</w:t>
      </w:r>
      <w:r w:rsidR="00452D57">
        <w:t>’</w:t>
      </w:r>
      <w:r w:rsidR="00AC35F2">
        <w:t xml:space="preserve"> trajectory towards becoming an upper middle-income country.</w:t>
      </w:r>
    </w:p>
    <w:p w14:paraId="5225C029" w14:textId="0C1D6B45" w:rsidR="002F744B" w:rsidRPr="00BF7C54" w:rsidRDefault="002F744B" w:rsidP="00F2226C">
      <w:pPr>
        <w:pStyle w:val="Heading20"/>
      </w:pPr>
      <w:bookmarkStart w:id="79" w:name="_Toc96435334"/>
      <w:bookmarkEnd w:id="77"/>
      <w:r>
        <w:t>4</w:t>
      </w:r>
      <w:r w:rsidRPr="00BF7C54">
        <w:tab/>
      </w:r>
      <w:r>
        <w:t>Lessons Learned</w:t>
      </w:r>
      <w:bookmarkEnd w:id="79"/>
      <w:r w:rsidRPr="00BF7C54">
        <w:t xml:space="preserve"> </w:t>
      </w:r>
    </w:p>
    <w:p w14:paraId="315F21E8" w14:textId="67B98447" w:rsidR="00A05683" w:rsidRDefault="00A05683" w:rsidP="006B254D">
      <w:pPr>
        <w:spacing w:line="240" w:lineRule="auto"/>
      </w:pPr>
      <w:bookmarkStart w:id="80" w:name="_Hlk66891869"/>
      <w:r>
        <w:t xml:space="preserve">The following lessons learned and success factors </w:t>
      </w:r>
      <w:r w:rsidR="00D15D6E">
        <w:t xml:space="preserve">were </w:t>
      </w:r>
      <w:r w:rsidR="00875DF7">
        <w:t>identified in relation to both th</w:t>
      </w:r>
      <w:r w:rsidR="008464B6">
        <w:t xml:space="preserve">e TA and the PPP </w:t>
      </w:r>
      <w:r w:rsidR="0030039E">
        <w:t>Program</w:t>
      </w:r>
      <w:r w:rsidR="00D36FD0">
        <w:t>,</w:t>
      </w:r>
      <w:r w:rsidR="0030039E">
        <w:t xml:space="preserve"> and</w:t>
      </w:r>
      <w:r w:rsidR="00D15D6E">
        <w:t xml:space="preserve"> were</w:t>
      </w:r>
      <w:r>
        <w:t xml:space="preserve"> highlighted by the stakeholders involved in the </w:t>
      </w:r>
      <w:r w:rsidR="008464B6">
        <w:t>evaluation</w:t>
      </w:r>
      <w:r>
        <w:t>:</w:t>
      </w:r>
    </w:p>
    <w:p w14:paraId="0CE765C4" w14:textId="38D1E344" w:rsidR="00C727B3" w:rsidRDefault="00C727B3" w:rsidP="006B254D">
      <w:pPr>
        <w:numPr>
          <w:ilvl w:val="0"/>
          <w:numId w:val="42"/>
        </w:numPr>
        <w:spacing w:after="60" w:line="240" w:lineRule="auto"/>
        <w:ind w:left="357" w:hanging="357"/>
        <w:rPr>
          <w:bCs/>
        </w:rPr>
      </w:pPr>
      <w:r>
        <w:rPr>
          <w:b/>
        </w:rPr>
        <w:t xml:space="preserve">The importance of engaging the international and local </w:t>
      </w:r>
      <w:r w:rsidR="00234AAC">
        <w:rPr>
          <w:b/>
        </w:rPr>
        <w:t>private sector</w:t>
      </w:r>
      <w:r>
        <w:rPr>
          <w:b/>
        </w:rPr>
        <w:t xml:space="preserve"> in market soundings prior to the tendering of a project</w:t>
      </w:r>
      <w:r w:rsidRPr="00C727B3">
        <w:rPr>
          <w:bCs/>
        </w:rPr>
        <w:t>, to</w:t>
      </w:r>
      <w:r>
        <w:rPr>
          <w:b/>
        </w:rPr>
        <w:t xml:space="preserve"> </w:t>
      </w:r>
      <w:r w:rsidRPr="00027041">
        <w:rPr>
          <w:bCs/>
        </w:rPr>
        <w:t xml:space="preserve">test the specifications and terms with </w:t>
      </w:r>
      <w:r w:rsidR="00A92122">
        <w:rPr>
          <w:bCs/>
        </w:rPr>
        <w:t>private sector</w:t>
      </w:r>
      <w:r w:rsidRPr="00027041">
        <w:rPr>
          <w:bCs/>
        </w:rPr>
        <w:t xml:space="preserve"> entities </w:t>
      </w:r>
      <w:r>
        <w:rPr>
          <w:bCs/>
        </w:rPr>
        <w:t xml:space="preserve">and make amendments </w:t>
      </w:r>
      <w:r w:rsidRPr="00027041">
        <w:rPr>
          <w:bCs/>
        </w:rPr>
        <w:t xml:space="preserve">to </w:t>
      </w:r>
      <w:r>
        <w:rPr>
          <w:bCs/>
        </w:rPr>
        <w:t xml:space="preserve">enhance </w:t>
      </w:r>
      <w:r w:rsidRPr="00027041">
        <w:rPr>
          <w:bCs/>
        </w:rPr>
        <w:t xml:space="preserve">the acceptability of terms </w:t>
      </w:r>
      <w:r>
        <w:rPr>
          <w:bCs/>
        </w:rPr>
        <w:t xml:space="preserve">from the </w:t>
      </w:r>
      <w:r w:rsidR="00A92122">
        <w:rPr>
          <w:bCs/>
        </w:rPr>
        <w:t>private sector</w:t>
      </w:r>
      <w:r>
        <w:rPr>
          <w:bCs/>
        </w:rPr>
        <w:t xml:space="preserve"> perspective</w:t>
      </w:r>
      <w:r w:rsidR="00890951">
        <w:rPr>
          <w:bCs/>
        </w:rPr>
        <w:t xml:space="preserve">. This </w:t>
      </w:r>
      <w:r w:rsidR="0030039E">
        <w:rPr>
          <w:bCs/>
        </w:rPr>
        <w:t>would ensure</w:t>
      </w:r>
      <w:r>
        <w:rPr>
          <w:bCs/>
        </w:rPr>
        <w:t xml:space="preserve"> alignment</w:t>
      </w:r>
      <w:r w:rsidR="00E10A23">
        <w:rPr>
          <w:bCs/>
        </w:rPr>
        <w:t xml:space="preserve"> viability</w:t>
      </w:r>
      <w:r>
        <w:rPr>
          <w:bCs/>
        </w:rPr>
        <w:t xml:space="preserve"> and increase the likelihood that </w:t>
      </w:r>
      <w:r w:rsidR="00A92122">
        <w:rPr>
          <w:bCs/>
        </w:rPr>
        <w:t>private sector</w:t>
      </w:r>
      <w:r>
        <w:rPr>
          <w:bCs/>
        </w:rPr>
        <w:t xml:space="preserve"> partners w</w:t>
      </w:r>
      <w:r w:rsidR="00890951">
        <w:rPr>
          <w:bCs/>
        </w:rPr>
        <w:t>ould</w:t>
      </w:r>
      <w:r>
        <w:rPr>
          <w:bCs/>
        </w:rPr>
        <w:t xml:space="preserve"> enter into contracts</w:t>
      </w:r>
      <w:r w:rsidR="00E10A23">
        <w:rPr>
          <w:bCs/>
        </w:rPr>
        <w:t>.</w:t>
      </w:r>
    </w:p>
    <w:p w14:paraId="2437CC5F" w14:textId="0EFE35C7" w:rsidR="00C727B3" w:rsidRDefault="00C727B3" w:rsidP="006B254D">
      <w:pPr>
        <w:numPr>
          <w:ilvl w:val="0"/>
          <w:numId w:val="42"/>
        </w:numPr>
        <w:spacing w:after="60" w:line="240" w:lineRule="auto"/>
        <w:ind w:left="357" w:hanging="357"/>
        <w:rPr>
          <w:bCs/>
        </w:rPr>
      </w:pPr>
      <w:r>
        <w:rPr>
          <w:b/>
        </w:rPr>
        <w:t>Local and international consultants perform two distinct but valuable functions;</w:t>
      </w:r>
      <w:r w:rsidRPr="00947E89">
        <w:rPr>
          <w:bCs/>
        </w:rPr>
        <w:t xml:space="preserve"> local consultants are typically better able to mainstream practices into different </w:t>
      </w:r>
      <w:r w:rsidR="003F110B">
        <w:rPr>
          <w:bCs/>
        </w:rPr>
        <w:t xml:space="preserve">implementing and </w:t>
      </w:r>
      <w:r w:rsidRPr="00947E89">
        <w:rPr>
          <w:bCs/>
        </w:rPr>
        <w:t>oversight agencies, whereas international consultants have a strong role to play in introducing best practices.</w:t>
      </w:r>
    </w:p>
    <w:p w14:paraId="29A49820" w14:textId="25D6C2CF" w:rsidR="00A05683" w:rsidRPr="00E10A23" w:rsidRDefault="00A05683" w:rsidP="006B254D">
      <w:pPr>
        <w:numPr>
          <w:ilvl w:val="0"/>
          <w:numId w:val="42"/>
        </w:numPr>
        <w:spacing w:after="60" w:line="240" w:lineRule="auto"/>
        <w:ind w:left="357" w:hanging="357"/>
        <w:rPr>
          <w:bCs/>
        </w:rPr>
      </w:pPr>
      <w:r>
        <w:rPr>
          <w:b/>
        </w:rPr>
        <w:t>It is</w:t>
      </w:r>
      <w:r w:rsidRPr="00FE0665">
        <w:rPr>
          <w:b/>
        </w:rPr>
        <w:t xml:space="preserve"> importan</w:t>
      </w:r>
      <w:r>
        <w:rPr>
          <w:b/>
        </w:rPr>
        <w:t>t to</w:t>
      </w:r>
      <w:r w:rsidR="00E10A23">
        <w:rPr>
          <w:b/>
        </w:rPr>
        <w:t xml:space="preserve"> consider political positioning</w:t>
      </w:r>
      <w:r w:rsidR="00E10A23" w:rsidRPr="00E10A23">
        <w:rPr>
          <w:bCs/>
        </w:rPr>
        <w:t xml:space="preserve">, such as by packaging support </w:t>
      </w:r>
      <w:r w:rsidR="00E10A23">
        <w:rPr>
          <w:bCs/>
        </w:rPr>
        <w:t xml:space="preserve">to </w:t>
      </w:r>
      <w:r w:rsidR="00890951">
        <w:rPr>
          <w:bCs/>
        </w:rPr>
        <w:t xml:space="preserve">align with </w:t>
      </w:r>
      <w:r w:rsidR="00E10A23">
        <w:rPr>
          <w:bCs/>
        </w:rPr>
        <w:t>national government agendas, and by</w:t>
      </w:r>
      <w:r w:rsidRPr="00E10A23">
        <w:rPr>
          <w:b/>
        </w:rPr>
        <w:t xml:space="preserve"> </w:t>
      </w:r>
      <w:r w:rsidRPr="00E10A23">
        <w:rPr>
          <w:bCs/>
        </w:rPr>
        <w:t>target</w:t>
      </w:r>
      <w:r w:rsidR="00E10A23">
        <w:rPr>
          <w:bCs/>
        </w:rPr>
        <w:t xml:space="preserve">ing </w:t>
      </w:r>
      <w:r w:rsidRPr="00E10A23">
        <w:rPr>
          <w:bCs/>
        </w:rPr>
        <w:t>local leaders and decision</w:t>
      </w:r>
      <w:r w:rsidR="00890951">
        <w:rPr>
          <w:bCs/>
        </w:rPr>
        <w:t>-</w:t>
      </w:r>
      <w:r w:rsidRPr="00E10A23">
        <w:rPr>
          <w:bCs/>
        </w:rPr>
        <w:t xml:space="preserve">makers (such as city mayors) in the development of PPP </w:t>
      </w:r>
      <w:r w:rsidR="00793661">
        <w:rPr>
          <w:bCs/>
        </w:rPr>
        <w:t>p</w:t>
      </w:r>
      <w:r w:rsidRPr="00E10A23">
        <w:rPr>
          <w:bCs/>
        </w:rPr>
        <w:t>roject</w:t>
      </w:r>
      <w:r w:rsidR="00793661">
        <w:rPr>
          <w:bCs/>
        </w:rPr>
        <w:t>s</w:t>
      </w:r>
      <w:r w:rsidRPr="00E10A23">
        <w:rPr>
          <w:bCs/>
        </w:rPr>
        <w:t xml:space="preserve"> through short briefings and events</w:t>
      </w:r>
      <w:r w:rsidR="00890951">
        <w:rPr>
          <w:bCs/>
        </w:rPr>
        <w:t>, which can serve</w:t>
      </w:r>
      <w:r w:rsidRPr="00E10A23">
        <w:rPr>
          <w:bCs/>
        </w:rPr>
        <w:t xml:space="preserve"> to </w:t>
      </w:r>
      <w:r w:rsidR="00890951">
        <w:rPr>
          <w:bCs/>
        </w:rPr>
        <w:t>secure</w:t>
      </w:r>
      <w:r w:rsidR="00890951" w:rsidRPr="00E10A23">
        <w:rPr>
          <w:bCs/>
        </w:rPr>
        <w:t xml:space="preserve"> </w:t>
      </w:r>
      <w:r w:rsidRPr="00E10A23">
        <w:rPr>
          <w:bCs/>
        </w:rPr>
        <w:t>buy</w:t>
      </w:r>
      <w:r w:rsidR="00890951">
        <w:rPr>
          <w:bCs/>
        </w:rPr>
        <w:t>-</w:t>
      </w:r>
      <w:r w:rsidRPr="00E10A23">
        <w:rPr>
          <w:bCs/>
        </w:rPr>
        <w:t xml:space="preserve">in and support to </w:t>
      </w:r>
      <w:r w:rsidR="00890951">
        <w:rPr>
          <w:bCs/>
        </w:rPr>
        <w:t xml:space="preserve">mitigate and </w:t>
      </w:r>
      <w:r w:rsidRPr="00E10A23">
        <w:rPr>
          <w:bCs/>
        </w:rPr>
        <w:t xml:space="preserve">overcome PPP project challenges. </w:t>
      </w:r>
    </w:p>
    <w:p w14:paraId="2A6CCB1C" w14:textId="3AFC41D0" w:rsidR="00A05683" w:rsidRPr="00094070" w:rsidRDefault="00890951" w:rsidP="006B254D">
      <w:pPr>
        <w:numPr>
          <w:ilvl w:val="0"/>
          <w:numId w:val="42"/>
        </w:numPr>
        <w:spacing w:after="60" w:line="240" w:lineRule="auto"/>
        <w:ind w:left="357" w:hanging="357"/>
        <w:rPr>
          <w:lang w:val="en-GB"/>
        </w:rPr>
      </w:pPr>
      <w:r>
        <w:rPr>
          <w:b/>
        </w:rPr>
        <w:t>Local government</w:t>
      </w:r>
      <w:r w:rsidRPr="00FE0665">
        <w:rPr>
          <w:b/>
        </w:rPr>
        <w:t xml:space="preserve">s </w:t>
      </w:r>
      <w:r w:rsidR="00A05683" w:rsidRPr="00FE0665">
        <w:rPr>
          <w:b/>
        </w:rPr>
        <w:t>face challenging planning horizons because of the election cycle</w:t>
      </w:r>
      <w:r w:rsidR="00E10A23">
        <w:rPr>
          <w:b/>
        </w:rPr>
        <w:t xml:space="preserve">, </w:t>
      </w:r>
      <w:r w:rsidR="00E10A23" w:rsidRPr="00E10A23">
        <w:rPr>
          <w:bCs/>
        </w:rPr>
        <w:t>with</w:t>
      </w:r>
      <w:r w:rsidR="00A05683" w:rsidRPr="00FE0665">
        <w:rPr>
          <w:b/>
        </w:rPr>
        <w:t xml:space="preserve"> </w:t>
      </w:r>
      <w:r w:rsidR="00E10A23">
        <w:rPr>
          <w:bCs/>
        </w:rPr>
        <w:t>p</w:t>
      </w:r>
      <w:r w:rsidR="00A05683" w:rsidRPr="00FE0665">
        <w:rPr>
          <w:bCs/>
        </w:rPr>
        <w:t>rojects that have not been completed and carr</w:t>
      </w:r>
      <w:r w:rsidR="003F110B">
        <w:rPr>
          <w:bCs/>
        </w:rPr>
        <w:t>ied</w:t>
      </w:r>
      <w:r w:rsidR="00A05683" w:rsidRPr="00FE0665">
        <w:rPr>
          <w:bCs/>
        </w:rPr>
        <w:t xml:space="preserve"> over to the </w:t>
      </w:r>
      <w:r w:rsidR="007A253D">
        <w:rPr>
          <w:bCs/>
        </w:rPr>
        <w:t>current administration</w:t>
      </w:r>
      <w:r w:rsidR="008464B6">
        <w:rPr>
          <w:bCs/>
        </w:rPr>
        <w:t xml:space="preserve"> </w:t>
      </w:r>
      <w:r w:rsidR="00A05683" w:rsidRPr="00FE0665">
        <w:rPr>
          <w:bCs/>
        </w:rPr>
        <w:t>often fac</w:t>
      </w:r>
      <w:r w:rsidR="003F110B">
        <w:rPr>
          <w:bCs/>
        </w:rPr>
        <w:t>ing</w:t>
      </w:r>
      <w:r w:rsidR="00A05683" w:rsidRPr="00FE0665">
        <w:rPr>
          <w:bCs/>
        </w:rPr>
        <w:t xml:space="preserve"> delays</w:t>
      </w:r>
      <w:r w:rsidR="00A05683">
        <w:rPr>
          <w:bCs/>
        </w:rPr>
        <w:t xml:space="preserve"> or </w:t>
      </w:r>
      <w:r w:rsidR="00A05683" w:rsidRPr="00FE0665">
        <w:rPr>
          <w:bCs/>
        </w:rPr>
        <w:t xml:space="preserve">cancellation. To address this limiting factor, </w:t>
      </w:r>
      <w:r w:rsidR="00566A89">
        <w:rPr>
          <w:bCs/>
        </w:rPr>
        <w:t xml:space="preserve">options for supporting </w:t>
      </w:r>
      <w:r w:rsidR="00A05683" w:rsidRPr="00FE0665">
        <w:rPr>
          <w:bCs/>
        </w:rPr>
        <w:t>projects</w:t>
      </w:r>
      <w:r w:rsidR="00566A89">
        <w:rPr>
          <w:bCs/>
        </w:rPr>
        <w:t xml:space="preserve"> to </w:t>
      </w:r>
      <w:r w:rsidR="00A05683" w:rsidRPr="00FE0665">
        <w:rPr>
          <w:bCs/>
        </w:rPr>
        <w:t>achieve physical and financial closing within local election cycles</w:t>
      </w:r>
      <w:r w:rsidR="00566A89">
        <w:rPr>
          <w:bCs/>
        </w:rPr>
        <w:t xml:space="preserve"> could be explored</w:t>
      </w:r>
      <w:r w:rsidR="00B14AF6">
        <w:rPr>
          <w:rStyle w:val="FootnoteReference"/>
          <w:bCs/>
        </w:rPr>
        <w:footnoteReference w:id="62"/>
      </w:r>
      <w:r w:rsidR="00D304D0">
        <w:rPr>
          <w:bCs/>
        </w:rPr>
        <w:t>.</w:t>
      </w:r>
    </w:p>
    <w:p w14:paraId="2AB8AF97" w14:textId="77777777" w:rsidR="00A05683" w:rsidRPr="00DC34D4" w:rsidRDefault="00A05683" w:rsidP="006B254D">
      <w:pPr>
        <w:numPr>
          <w:ilvl w:val="0"/>
          <w:numId w:val="42"/>
        </w:numPr>
        <w:spacing w:after="60" w:line="240" w:lineRule="auto"/>
        <w:ind w:left="357" w:hanging="357"/>
        <w:rPr>
          <w:bCs/>
          <w:lang w:val="en-GB"/>
        </w:rPr>
      </w:pPr>
      <w:r>
        <w:rPr>
          <w:b/>
        </w:rPr>
        <w:lastRenderedPageBreak/>
        <w:t xml:space="preserve">Negative stakeholder perceptions of a program can result in its cancellation, </w:t>
      </w:r>
      <w:r w:rsidRPr="00DC34D4">
        <w:rPr>
          <w:bCs/>
        </w:rPr>
        <w:t>even when safeguards a</w:t>
      </w:r>
      <w:r>
        <w:rPr>
          <w:bCs/>
        </w:rPr>
        <w:t>re</w:t>
      </w:r>
      <w:r w:rsidRPr="00DC34D4">
        <w:rPr>
          <w:bCs/>
        </w:rPr>
        <w:t xml:space="preserve"> well managed and a strong case for community benefit has been made; the importance of in-depth and continuous stakeholder consultation cannot be </w:t>
      </w:r>
      <w:r>
        <w:rPr>
          <w:bCs/>
        </w:rPr>
        <w:t xml:space="preserve">over-stated. </w:t>
      </w:r>
    </w:p>
    <w:p w14:paraId="0A34F319" w14:textId="2A5533CA" w:rsidR="00A05683" w:rsidRPr="00DC34D4" w:rsidRDefault="00A05683" w:rsidP="006B254D">
      <w:pPr>
        <w:numPr>
          <w:ilvl w:val="0"/>
          <w:numId w:val="42"/>
        </w:numPr>
        <w:spacing w:after="60" w:line="240" w:lineRule="auto"/>
        <w:ind w:left="357" w:hanging="357"/>
        <w:rPr>
          <w:lang w:val="en-GB"/>
        </w:rPr>
      </w:pPr>
      <w:r>
        <w:rPr>
          <w:b/>
        </w:rPr>
        <w:t xml:space="preserve">Having a </w:t>
      </w:r>
      <w:r w:rsidRPr="00FE0665">
        <w:rPr>
          <w:b/>
          <w:bCs/>
          <w:lang w:val="en-GB"/>
        </w:rPr>
        <w:t>dedicated communications expert</w:t>
      </w:r>
      <w:r>
        <w:rPr>
          <w:b/>
          <w:bCs/>
          <w:lang w:val="en-GB"/>
        </w:rPr>
        <w:t xml:space="preserve"> on board</w:t>
      </w:r>
      <w:r w:rsidRPr="00FE0665">
        <w:rPr>
          <w:b/>
          <w:bCs/>
          <w:lang w:val="en-GB"/>
        </w:rPr>
        <w:t xml:space="preserve"> is essential in overcoming challenges</w:t>
      </w:r>
      <w:r w:rsidRPr="00FE0665">
        <w:rPr>
          <w:lang w:val="en-GB"/>
        </w:rPr>
        <w:t xml:space="preserve"> and countering issues in PPP</w:t>
      </w:r>
      <w:r w:rsidR="00D304D0">
        <w:rPr>
          <w:lang w:val="en-GB"/>
        </w:rPr>
        <w:t xml:space="preserve"> projects</w:t>
      </w:r>
      <w:r w:rsidRPr="00FE0665">
        <w:rPr>
          <w:lang w:val="en-GB"/>
        </w:rPr>
        <w:t xml:space="preserve"> being delayed</w:t>
      </w:r>
      <w:r>
        <w:rPr>
          <w:lang w:val="en-GB"/>
        </w:rPr>
        <w:t xml:space="preserve"> by proactively communicating with the public and key stakeholders</w:t>
      </w:r>
      <w:r w:rsidR="00890951">
        <w:rPr>
          <w:lang w:val="en-GB"/>
        </w:rPr>
        <w:t>,</w:t>
      </w:r>
      <w:r w:rsidR="0030039E">
        <w:rPr>
          <w:lang w:val="en-GB"/>
        </w:rPr>
        <w:t xml:space="preserve"> </w:t>
      </w:r>
      <w:r>
        <w:rPr>
          <w:lang w:val="en-GB"/>
        </w:rPr>
        <w:t>and taking control of the narrative</w:t>
      </w:r>
      <w:r>
        <w:rPr>
          <w:rStyle w:val="FootnoteReference"/>
          <w:lang w:val="en-GB"/>
        </w:rPr>
        <w:footnoteReference w:id="63"/>
      </w:r>
      <w:r>
        <w:rPr>
          <w:lang w:val="en-GB"/>
        </w:rPr>
        <w:t xml:space="preserve">. </w:t>
      </w:r>
    </w:p>
    <w:p w14:paraId="2C5EC540" w14:textId="7F7FAA02" w:rsidR="00A05683" w:rsidRPr="00DC34D4" w:rsidRDefault="00A05683" w:rsidP="006B254D">
      <w:pPr>
        <w:numPr>
          <w:ilvl w:val="0"/>
          <w:numId w:val="42"/>
        </w:numPr>
        <w:spacing w:after="60" w:line="240" w:lineRule="auto"/>
        <w:ind w:left="357" w:hanging="357"/>
        <w:rPr>
          <w:bCs/>
          <w:lang w:val="en-GB"/>
        </w:rPr>
      </w:pPr>
      <w:r>
        <w:rPr>
          <w:b/>
        </w:rPr>
        <w:t>The engagement of core technical staff based in</w:t>
      </w:r>
      <w:r w:rsidR="00D304D0">
        <w:rPr>
          <w:b/>
        </w:rPr>
        <w:t xml:space="preserve"> the</w:t>
      </w:r>
      <w:r>
        <w:rPr>
          <w:b/>
        </w:rPr>
        <w:t xml:space="preserve"> </w:t>
      </w:r>
      <w:r w:rsidR="003F110B">
        <w:rPr>
          <w:b/>
        </w:rPr>
        <w:t xml:space="preserve">PPP Center </w:t>
      </w:r>
      <w:r w:rsidRPr="00771A4B">
        <w:rPr>
          <w:b/>
        </w:rPr>
        <w:t>has been essential</w:t>
      </w:r>
      <w:r>
        <w:rPr>
          <w:b/>
        </w:rPr>
        <w:t xml:space="preserve">, </w:t>
      </w:r>
      <w:r>
        <w:rPr>
          <w:bCs/>
        </w:rPr>
        <w:t>despite</w:t>
      </w:r>
      <w:r w:rsidRPr="00AF046C">
        <w:rPr>
          <w:bCs/>
        </w:rPr>
        <w:t xml:space="preserve"> high turnover and changes in </w:t>
      </w:r>
      <w:r>
        <w:rPr>
          <w:bCs/>
        </w:rPr>
        <w:t>departments</w:t>
      </w:r>
      <w:r w:rsidRPr="00AF046C">
        <w:rPr>
          <w:bCs/>
        </w:rPr>
        <w:t xml:space="preserve">, a </w:t>
      </w:r>
      <w:r>
        <w:rPr>
          <w:bCs/>
        </w:rPr>
        <w:t>core</w:t>
      </w:r>
      <w:r w:rsidRPr="00AF046C">
        <w:rPr>
          <w:bCs/>
        </w:rPr>
        <w:t xml:space="preserve"> group o</w:t>
      </w:r>
      <w:r>
        <w:rPr>
          <w:bCs/>
        </w:rPr>
        <w:t>f</w:t>
      </w:r>
      <w:r w:rsidRPr="00AF046C">
        <w:rPr>
          <w:bCs/>
        </w:rPr>
        <w:t xml:space="preserve"> technical staff </w:t>
      </w:r>
      <w:r>
        <w:rPr>
          <w:bCs/>
        </w:rPr>
        <w:t>remained in their roles,</w:t>
      </w:r>
      <w:r w:rsidRPr="00AF046C">
        <w:rPr>
          <w:bCs/>
        </w:rPr>
        <w:t xml:space="preserve"> </w:t>
      </w:r>
      <w:r>
        <w:rPr>
          <w:bCs/>
        </w:rPr>
        <w:t xml:space="preserve">holding </w:t>
      </w:r>
      <w:r w:rsidRPr="00AF046C">
        <w:rPr>
          <w:bCs/>
        </w:rPr>
        <w:t>institutional memory</w:t>
      </w:r>
      <w:r>
        <w:rPr>
          <w:bCs/>
        </w:rPr>
        <w:t xml:space="preserve"> and supporting consistency </w:t>
      </w:r>
      <w:r w:rsidR="00E10A23">
        <w:rPr>
          <w:bCs/>
        </w:rPr>
        <w:t>of the</w:t>
      </w:r>
      <w:r>
        <w:rPr>
          <w:bCs/>
        </w:rPr>
        <w:t xml:space="preserve"> PPP </w:t>
      </w:r>
      <w:r w:rsidR="00D304D0">
        <w:rPr>
          <w:bCs/>
        </w:rPr>
        <w:t>P</w:t>
      </w:r>
      <w:r>
        <w:rPr>
          <w:bCs/>
        </w:rPr>
        <w:t xml:space="preserve">rogram </w:t>
      </w:r>
      <w:r w:rsidR="00E10A23">
        <w:rPr>
          <w:bCs/>
        </w:rPr>
        <w:t>across a change in</w:t>
      </w:r>
      <w:r>
        <w:rPr>
          <w:bCs/>
        </w:rPr>
        <w:t xml:space="preserve"> administration.</w:t>
      </w:r>
    </w:p>
    <w:p w14:paraId="4AC1E072" w14:textId="5FAA1958" w:rsidR="00A05683" w:rsidRPr="00027041" w:rsidRDefault="00A05683" w:rsidP="006B254D">
      <w:pPr>
        <w:numPr>
          <w:ilvl w:val="0"/>
          <w:numId w:val="42"/>
        </w:numPr>
        <w:spacing w:after="60" w:line="240" w:lineRule="auto"/>
        <w:ind w:left="357" w:hanging="357"/>
        <w:rPr>
          <w:bCs/>
          <w:lang w:val="en-GB"/>
        </w:rPr>
      </w:pPr>
      <w:r>
        <w:rPr>
          <w:b/>
        </w:rPr>
        <w:t xml:space="preserve">Learning from failures as well as success is a powerful learning tool; </w:t>
      </w:r>
      <w:r w:rsidRPr="00DC34D4">
        <w:rPr>
          <w:bCs/>
        </w:rPr>
        <w:t>it is a key method used by international institutions</w:t>
      </w:r>
      <w:r w:rsidR="00890951">
        <w:rPr>
          <w:bCs/>
        </w:rPr>
        <w:t>, and was</w:t>
      </w:r>
      <w:r w:rsidRPr="00DC34D4">
        <w:rPr>
          <w:bCs/>
        </w:rPr>
        <w:t xml:space="preserve"> </w:t>
      </w:r>
      <w:r>
        <w:rPr>
          <w:bCs/>
        </w:rPr>
        <w:t>highly endorsed by partners who participated in learning and exchange</w:t>
      </w:r>
      <w:r w:rsidR="00E10A23">
        <w:rPr>
          <w:bCs/>
        </w:rPr>
        <w:t>s.</w:t>
      </w:r>
    </w:p>
    <w:p w14:paraId="61B59301" w14:textId="3AE109CF" w:rsidR="00A05683" w:rsidRDefault="00A05683" w:rsidP="006B254D">
      <w:pPr>
        <w:numPr>
          <w:ilvl w:val="0"/>
          <w:numId w:val="42"/>
        </w:numPr>
        <w:spacing w:after="60" w:line="240" w:lineRule="auto"/>
        <w:ind w:left="357" w:hanging="357"/>
        <w:rPr>
          <w:bCs/>
        </w:rPr>
      </w:pPr>
      <w:r>
        <w:rPr>
          <w:b/>
        </w:rPr>
        <w:t>The success of a PPP relies strongly on the capability of project implementers;</w:t>
      </w:r>
      <w:r>
        <w:rPr>
          <w:bCs/>
        </w:rPr>
        <w:t xml:space="preserve"> capacity should continue to be directed and </w:t>
      </w:r>
      <w:r w:rsidR="00E10A23">
        <w:rPr>
          <w:bCs/>
        </w:rPr>
        <w:t>expanded towards working with</w:t>
      </w:r>
      <w:r>
        <w:rPr>
          <w:bCs/>
        </w:rPr>
        <w:t xml:space="preserve"> </w:t>
      </w:r>
      <w:r w:rsidR="00890951">
        <w:rPr>
          <w:bCs/>
        </w:rPr>
        <w:t xml:space="preserve">local governments </w:t>
      </w:r>
      <w:r>
        <w:rPr>
          <w:bCs/>
        </w:rPr>
        <w:t xml:space="preserve">and </w:t>
      </w:r>
      <w:r w:rsidR="007464F3">
        <w:rPr>
          <w:bCs/>
        </w:rPr>
        <w:t>implementing</w:t>
      </w:r>
      <w:r w:rsidR="00554EE4">
        <w:rPr>
          <w:bCs/>
        </w:rPr>
        <w:t xml:space="preserve"> agencies</w:t>
      </w:r>
      <w:r>
        <w:rPr>
          <w:bCs/>
        </w:rPr>
        <w:t xml:space="preserve">, </w:t>
      </w:r>
      <w:r w:rsidR="00E10A23">
        <w:rPr>
          <w:bCs/>
        </w:rPr>
        <w:t xml:space="preserve">and </w:t>
      </w:r>
      <w:r>
        <w:rPr>
          <w:bCs/>
        </w:rPr>
        <w:t>building their capacity to implement.</w:t>
      </w:r>
    </w:p>
    <w:p w14:paraId="57A9A82F" w14:textId="414E9213" w:rsidR="00CF0A10" w:rsidRDefault="00A05683" w:rsidP="006B254D">
      <w:pPr>
        <w:numPr>
          <w:ilvl w:val="0"/>
          <w:numId w:val="42"/>
        </w:numPr>
        <w:spacing w:after="60" w:line="240" w:lineRule="auto"/>
        <w:ind w:left="357" w:hanging="357"/>
        <w:rPr>
          <w:bCs/>
        </w:rPr>
      </w:pPr>
      <w:r w:rsidRPr="00023388">
        <w:rPr>
          <w:b/>
        </w:rPr>
        <w:t>Some twinning partners such as</w:t>
      </w:r>
      <w:r w:rsidRPr="00023388">
        <w:t xml:space="preserve"> </w:t>
      </w:r>
      <w:r w:rsidRPr="00023388">
        <w:rPr>
          <w:b/>
        </w:rPr>
        <w:t>Carnegie Mellon University</w:t>
      </w:r>
      <w:r>
        <w:rPr>
          <w:b/>
        </w:rPr>
        <w:t xml:space="preserve"> invested in building their own understanding </w:t>
      </w:r>
      <w:r w:rsidRPr="004760AB">
        <w:rPr>
          <w:bCs/>
        </w:rPr>
        <w:t xml:space="preserve">of the Philippine context through </w:t>
      </w:r>
      <w:r w:rsidR="00E10A23">
        <w:rPr>
          <w:bCs/>
        </w:rPr>
        <w:t>discussions</w:t>
      </w:r>
      <w:r w:rsidRPr="004760AB">
        <w:rPr>
          <w:bCs/>
        </w:rPr>
        <w:t xml:space="preserve"> with </w:t>
      </w:r>
      <w:r>
        <w:rPr>
          <w:bCs/>
        </w:rPr>
        <w:t xml:space="preserve">country </w:t>
      </w:r>
      <w:r w:rsidRPr="004760AB">
        <w:rPr>
          <w:bCs/>
        </w:rPr>
        <w:t>stakeholders</w:t>
      </w:r>
      <w:r>
        <w:rPr>
          <w:b/>
        </w:rPr>
        <w:t xml:space="preserve"> </w:t>
      </w:r>
      <w:r w:rsidRPr="004760AB">
        <w:rPr>
          <w:bCs/>
        </w:rPr>
        <w:t xml:space="preserve">to </w:t>
      </w:r>
      <w:r w:rsidR="00E10A23">
        <w:rPr>
          <w:bCs/>
        </w:rPr>
        <w:t xml:space="preserve">understand the </w:t>
      </w:r>
      <w:r w:rsidRPr="004760AB">
        <w:rPr>
          <w:bCs/>
        </w:rPr>
        <w:t xml:space="preserve">legal and regulatory environment </w:t>
      </w:r>
      <w:r w:rsidR="00E10A23">
        <w:rPr>
          <w:bCs/>
        </w:rPr>
        <w:t>and</w:t>
      </w:r>
      <w:r w:rsidRPr="004760AB">
        <w:rPr>
          <w:bCs/>
        </w:rPr>
        <w:t xml:space="preserve"> the needs and challenges of those working in PPPs to develop tailored context</w:t>
      </w:r>
      <w:r w:rsidR="00483005">
        <w:rPr>
          <w:bCs/>
        </w:rPr>
        <w:t>-</w:t>
      </w:r>
      <w:r w:rsidRPr="004760AB">
        <w:rPr>
          <w:bCs/>
        </w:rPr>
        <w:t xml:space="preserve">informed sessions that </w:t>
      </w:r>
      <w:r w:rsidR="00E24D2D">
        <w:rPr>
          <w:bCs/>
        </w:rPr>
        <w:t>go beyond</w:t>
      </w:r>
      <w:r w:rsidRPr="004760AB">
        <w:rPr>
          <w:bCs/>
        </w:rPr>
        <w:t xml:space="preserve"> theor</w:t>
      </w:r>
      <w:r w:rsidR="00E24D2D">
        <w:rPr>
          <w:bCs/>
        </w:rPr>
        <w:t>y</w:t>
      </w:r>
      <w:r>
        <w:rPr>
          <w:bCs/>
        </w:rPr>
        <w:t>.</w:t>
      </w:r>
    </w:p>
    <w:p w14:paraId="328AA89C" w14:textId="5E22D095" w:rsidR="00CF0A10" w:rsidRDefault="00A05683" w:rsidP="006B254D">
      <w:pPr>
        <w:numPr>
          <w:ilvl w:val="0"/>
          <w:numId w:val="42"/>
        </w:numPr>
        <w:tabs>
          <w:tab w:val="left" w:pos="8505"/>
        </w:tabs>
        <w:spacing w:after="60" w:line="240" w:lineRule="auto"/>
        <w:ind w:left="357" w:hanging="357"/>
        <w:rPr>
          <w:bCs/>
        </w:rPr>
      </w:pPr>
      <w:r>
        <w:t>The structure of</w:t>
      </w:r>
      <w:r w:rsidRPr="0065306D">
        <w:t xml:space="preserve"> having the </w:t>
      </w:r>
      <w:r w:rsidRPr="00CF0A10">
        <w:rPr>
          <w:b/>
          <w:bCs/>
        </w:rPr>
        <w:t xml:space="preserve">ADB </w:t>
      </w:r>
      <w:r w:rsidR="00793661">
        <w:rPr>
          <w:b/>
          <w:bCs/>
        </w:rPr>
        <w:t>Technical Advisor</w:t>
      </w:r>
      <w:r w:rsidR="00793661" w:rsidRPr="00CF0A10">
        <w:rPr>
          <w:b/>
          <w:bCs/>
        </w:rPr>
        <w:t xml:space="preserve"> </w:t>
      </w:r>
      <w:r w:rsidRPr="00CF0A10">
        <w:rPr>
          <w:b/>
          <w:bCs/>
        </w:rPr>
        <w:t>physically located at the PPP</w:t>
      </w:r>
      <w:r w:rsidR="00240D75">
        <w:rPr>
          <w:b/>
          <w:bCs/>
        </w:rPr>
        <w:t xml:space="preserve"> Center</w:t>
      </w:r>
      <w:r w:rsidRPr="0065306D">
        <w:t xml:space="preserve"> </w:t>
      </w:r>
      <w:r w:rsidR="00890951">
        <w:t xml:space="preserve">served to </w:t>
      </w:r>
      <w:r w:rsidRPr="003B244C">
        <w:t>embed link</w:t>
      </w:r>
      <w:r w:rsidR="00890951">
        <w:t>ages</w:t>
      </w:r>
      <w:r>
        <w:t xml:space="preserve"> and relationships</w:t>
      </w:r>
      <w:r w:rsidR="00890951">
        <w:t>,</w:t>
      </w:r>
      <w:r>
        <w:t xml:space="preserve"> and</w:t>
      </w:r>
      <w:r w:rsidRPr="003B244C">
        <w:t xml:space="preserve"> ensured greater alignment of the TA </w:t>
      </w:r>
      <w:r>
        <w:t>with</w:t>
      </w:r>
      <w:r w:rsidRPr="003B244C">
        <w:t xml:space="preserve"> the </w:t>
      </w:r>
      <w:r>
        <w:t>PPP Program</w:t>
      </w:r>
      <w:r w:rsidR="00CF0A10">
        <w:t>.</w:t>
      </w:r>
    </w:p>
    <w:p w14:paraId="5B3BE2F0" w14:textId="0122CDCA" w:rsidR="002C7C6F" w:rsidRDefault="00A05683" w:rsidP="006B254D">
      <w:pPr>
        <w:numPr>
          <w:ilvl w:val="0"/>
          <w:numId w:val="42"/>
        </w:numPr>
        <w:spacing w:after="60" w:line="240" w:lineRule="auto"/>
        <w:ind w:left="357" w:hanging="357"/>
        <w:rPr>
          <w:bCs/>
        </w:rPr>
      </w:pPr>
      <w:r w:rsidRPr="00CF0A10">
        <w:rPr>
          <w:b/>
          <w:bCs/>
        </w:rPr>
        <w:t xml:space="preserve">Close engagement between </w:t>
      </w:r>
      <w:r w:rsidR="00A92122">
        <w:rPr>
          <w:b/>
          <w:bCs/>
        </w:rPr>
        <w:t>private sector</w:t>
      </w:r>
      <w:r w:rsidRPr="00CF0A10">
        <w:rPr>
          <w:b/>
          <w:bCs/>
        </w:rPr>
        <w:t xml:space="preserve"> partners implementing PPP</w:t>
      </w:r>
      <w:r w:rsidR="00240D75">
        <w:rPr>
          <w:b/>
          <w:bCs/>
        </w:rPr>
        <w:t xml:space="preserve"> projects </w:t>
      </w:r>
      <w:r w:rsidRPr="00CF0A10">
        <w:rPr>
          <w:b/>
          <w:bCs/>
        </w:rPr>
        <w:t xml:space="preserve">with government departments during PPP </w:t>
      </w:r>
      <w:r w:rsidR="00CF0A10">
        <w:rPr>
          <w:b/>
          <w:bCs/>
        </w:rPr>
        <w:t xml:space="preserve">design and </w:t>
      </w:r>
      <w:r w:rsidRPr="00CF0A10">
        <w:rPr>
          <w:b/>
          <w:bCs/>
        </w:rPr>
        <w:t>implementation</w:t>
      </w:r>
      <w:r>
        <w:t xml:space="preserve">, such as </w:t>
      </w:r>
      <w:r w:rsidRPr="00CF0A10">
        <w:rPr>
          <w:rFonts w:cs="Times New Roman"/>
        </w:rPr>
        <w:t>marketing</w:t>
      </w:r>
      <w:r>
        <w:t xml:space="preserve"> through local TV and radio</w:t>
      </w:r>
      <w:r w:rsidRPr="00CF0A10">
        <w:rPr>
          <w:rFonts w:cs="Times New Roman"/>
        </w:rPr>
        <w:t xml:space="preserve">, working with </w:t>
      </w:r>
      <w:r w:rsidR="00CF0A10">
        <w:rPr>
          <w:rFonts w:cs="Times New Roman"/>
        </w:rPr>
        <w:t xml:space="preserve">the </w:t>
      </w:r>
      <w:r w:rsidR="005038FD" w:rsidRPr="00CF0A10">
        <w:rPr>
          <w:rFonts w:cs="Times New Roman"/>
        </w:rPr>
        <w:t xml:space="preserve">Department of </w:t>
      </w:r>
      <w:r w:rsidR="005038FD">
        <w:rPr>
          <w:rFonts w:cs="Times New Roman"/>
        </w:rPr>
        <w:t xml:space="preserve">Tourism </w:t>
      </w:r>
      <w:r w:rsidR="005038FD">
        <w:t xml:space="preserve">helped </w:t>
      </w:r>
      <w:r>
        <w:t xml:space="preserve">enhance utilisation of some </w:t>
      </w:r>
      <w:r w:rsidR="00A92122">
        <w:t>private sector</w:t>
      </w:r>
      <w:r>
        <w:t xml:space="preserve"> facilities such as the Clark Airport project. </w:t>
      </w:r>
    </w:p>
    <w:p w14:paraId="0B7B53F9" w14:textId="5E66FBA1" w:rsidR="002C7C6F" w:rsidRDefault="00A05683" w:rsidP="006B254D">
      <w:pPr>
        <w:numPr>
          <w:ilvl w:val="0"/>
          <w:numId w:val="42"/>
        </w:numPr>
        <w:spacing w:after="60" w:line="240" w:lineRule="auto"/>
        <w:ind w:left="357" w:hanging="357"/>
        <w:rPr>
          <w:bCs/>
        </w:rPr>
      </w:pPr>
      <w:r w:rsidRPr="002C7C6F">
        <w:rPr>
          <w:b/>
          <w:bCs/>
        </w:rPr>
        <w:t xml:space="preserve">Court decisions </w:t>
      </w:r>
      <w:r w:rsidR="00240D75">
        <w:rPr>
          <w:b/>
          <w:bCs/>
        </w:rPr>
        <w:t>can have a</w:t>
      </w:r>
      <w:r w:rsidRPr="002C7C6F">
        <w:rPr>
          <w:b/>
          <w:bCs/>
        </w:rPr>
        <w:t xml:space="preserve"> major impact on </w:t>
      </w:r>
      <w:r w:rsidR="00A92122">
        <w:rPr>
          <w:b/>
          <w:bCs/>
        </w:rPr>
        <w:t>private sector</w:t>
      </w:r>
      <w:r w:rsidRPr="002C7C6F">
        <w:rPr>
          <w:b/>
          <w:bCs/>
        </w:rPr>
        <w:t xml:space="preserve"> sentiment,</w:t>
      </w:r>
      <w:r>
        <w:t xml:space="preserve"> with judgements against the </w:t>
      </w:r>
      <w:r w:rsidR="00A92122">
        <w:t>private sector</w:t>
      </w:r>
      <w:r>
        <w:t xml:space="preserve"> chilling </w:t>
      </w:r>
      <w:r w:rsidR="00A92122">
        <w:t>private sector</w:t>
      </w:r>
      <w:r>
        <w:t xml:space="preserve"> sentiment, and judgements for </w:t>
      </w:r>
      <w:r w:rsidR="00CF0A10">
        <w:t xml:space="preserve">the </w:t>
      </w:r>
      <w:r w:rsidR="00A92122">
        <w:t>private sector</w:t>
      </w:r>
      <w:r>
        <w:t xml:space="preserve"> reinforcing confidence</w:t>
      </w:r>
      <w:r>
        <w:rPr>
          <w:rStyle w:val="FootnoteReference"/>
        </w:rPr>
        <w:footnoteReference w:id="64"/>
      </w:r>
      <w:r>
        <w:t xml:space="preserve">, a key component </w:t>
      </w:r>
      <w:r w:rsidR="00CF0A10">
        <w:t xml:space="preserve">that needs to be considered in </w:t>
      </w:r>
      <w:r>
        <w:t xml:space="preserve">political economy </w:t>
      </w:r>
      <w:r w:rsidR="00CF0A10">
        <w:t>analysis</w:t>
      </w:r>
      <w:r>
        <w:t xml:space="preserve">. </w:t>
      </w:r>
    </w:p>
    <w:p w14:paraId="7C42115F" w14:textId="2F3D681F" w:rsidR="002C7C6F" w:rsidRPr="002C7C6F" w:rsidRDefault="00A05683" w:rsidP="006B254D">
      <w:pPr>
        <w:numPr>
          <w:ilvl w:val="0"/>
          <w:numId w:val="42"/>
        </w:numPr>
        <w:spacing w:after="60" w:line="240" w:lineRule="auto"/>
        <w:ind w:left="357" w:hanging="357"/>
        <w:rPr>
          <w:bCs/>
        </w:rPr>
      </w:pPr>
      <w:r w:rsidRPr="002C7C6F">
        <w:rPr>
          <w:b/>
          <w:bCs/>
        </w:rPr>
        <w:t>Government’s success in facilitating transparency and a high degree of information sharing</w:t>
      </w:r>
      <w:r w:rsidRPr="00AB37F8">
        <w:t xml:space="preserve"> during the bidding process supported </w:t>
      </w:r>
      <w:r w:rsidR="00A92122">
        <w:t>private sector</w:t>
      </w:r>
      <w:r w:rsidRPr="00AB37F8">
        <w:t xml:space="preserve"> bidders to </w:t>
      </w:r>
      <w:r>
        <w:t xml:space="preserve">consider the best solutions, noting that getting the best projects is not only about the structure of the project, but the solution it offers. </w:t>
      </w:r>
    </w:p>
    <w:p w14:paraId="4CBB492F" w14:textId="08963070" w:rsidR="002C7C6F" w:rsidRDefault="002C7C6F" w:rsidP="006B254D">
      <w:pPr>
        <w:pStyle w:val="ListParagraph"/>
        <w:numPr>
          <w:ilvl w:val="0"/>
          <w:numId w:val="42"/>
        </w:numPr>
        <w:spacing w:after="0" w:line="240" w:lineRule="auto"/>
        <w:ind w:right="-589"/>
      </w:pPr>
      <w:r w:rsidRPr="002C7C6F">
        <w:rPr>
          <w:b/>
          <w:bCs/>
        </w:rPr>
        <w:t>A design that does not embed a clear partnership approach</w:t>
      </w:r>
      <w:r w:rsidR="008464B6">
        <w:rPr>
          <w:b/>
          <w:bCs/>
        </w:rPr>
        <w:t xml:space="preserve"> between donors, the administrator implementing partners</w:t>
      </w:r>
      <w:r w:rsidRPr="002C7C6F">
        <w:rPr>
          <w:b/>
          <w:bCs/>
        </w:rPr>
        <w:t xml:space="preserve">, </w:t>
      </w:r>
      <w:r>
        <w:t>and</w:t>
      </w:r>
      <w:r w:rsidRPr="002C7C6F">
        <w:t xml:space="preserve"> leaves roles and expectations </w:t>
      </w:r>
      <w:r>
        <w:t>unarticulated may result in ad hoc engagement, with levels of engagement determined by the individual preferences of staff.</w:t>
      </w:r>
      <w:r w:rsidR="000B35DD">
        <w:t xml:space="preserve"> </w:t>
      </w:r>
    </w:p>
    <w:p w14:paraId="04CCF29C" w14:textId="77777777" w:rsidR="00F2226C" w:rsidRDefault="00F2226C" w:rsidP="00F2226C">
      <w:pPr>
        <w:pStyle w:val="ListParagraph"/>
        <w:spacing w:after="0" w:line="240" w:lineRule="auto"/>
        <w:ind w:left="360" w:right="-589"/>
      </w:pPr>
    </w:p>
    <w:p w14:paraId="0F030A55" w14:textId="186414E9" w:rsidR="002F744B" w:rsidRPr="00BF7C54" w:rsidRDefault="002F744B" w:rsidP="00F2226C">
      <w:pPr>
        <w:pStyle w:val="Heading20"/>
      </w:pPr>
      <w:bookmarkStart w:id="81" w:name="_Toc96435335"/>
      <w:bookmarkEnd w:id="80"/>
      <w:r>
        <w:lastRenderedPageBreak/>
        <w:t>5</w:t>
      </w:r>
      <w:r w:rsidRPr="00BF7C54">
        <w:tab/>
      </w:r>
      <w:r>
        <w:t>Recommendations</w:t>
      </w:r>
      <w:bookmarkEnd w:id="81"/>
      <w:r w:rsidRPr="00BF7C54">
        <w:t xml:space="preserve"> </w:t>
      </w:r>
    </w:p>
    <w:p w14:paraId="6708D1CE" w14:textId="77777777" w:rsidR="008464B6" w:rsidRDefault="00473AA0" w:rsidP="006B254D">
      <w:pPr>
        <w:spacing w:line="240" w:lineRule="auto"/>
        <w:rPr>
          <w:b/>
        </w:rPr>
      </w:pPr>
      <w:bookmarkStart w:id="82" w:name="_Hlk66891563"/>
      <w:r w:rsidRPr="00B127A8">
        <w:rPr>
          <w:b/>
        </w:rPr>
        <w:t xml:space="preserve">Recommendations </w:t>
      </w:r>
      <w:r>
        <w:rPr>
          <w:b/>
        </w:rPr>
        <w:t xml:space="preserve">to </w:t>
      </w:r>
      <w:r w:rsidR="00751C23">
        <w:rPr>
          <w:b/>
        </w:rPr>
        <w:t>improve the Philippines PPP Program</w:t>
      </w:r>
    </w:p>
    <w:p w14:paraId="4083BB6B" w14:textId="0383199F" w:rsidR="00473AA0" w:rsidRPr="003D2BC5" w:rsidRDefault="008464B6" w:rsidP="006B254D">
      <w:pPr>
        <w:spacing w:line="240" w:lineRule="auto"/>
        <w:rPr>
          <w:bCs/>
        </w:rPr>
      </w:pPr>
      <w:r>
        <w:rPr>
          <w:bCs/>
        </w:rPr>
        <w:t xml:space="preserve">Recommendations </w:t>
      </w:r>
      <w:r w:rsidR="00C40974">
        <w:rPr>
          <w:bCs/>
        </w:rPr>
        <w:t>were</w:t>
      </w:r>
      <w:r>
        <w:rPr>
          <w:bCs/>
        </w:rPr>
        <w:t xml:space="preserve"> provided for consideration by the Philippine Government and ADB. These </w:t>
      </w:r>
      <w:r w:rsidR="00C40974">
        <w:rPr>
          <w:bCs/>
        </w:rPr>
        <w:t>were</w:t>
      </w:r>
      <w:r w:rsidR="0013446D">
        <w:rPr>
          <w:bCs/>
        </w:rPr>
        <w:t xml:space="preserve"> formulated from recommendations provided directly b</w:t>
      </w:r>
      <w:r w:rsidR="003F110B">
        <w:rPr>
          <w:bCs/>
        </w:rPr>
        <w:t>y</w:t>
      </w:r>
      <w:r w:rsidR="0013446D">
        <w:rPr>
          <w:bCs/>
        </w:rPr>
        <w:t xml:space="preserve"> stakeholders, and from the evaluator’s analysis. These </w:t>
      </w:r>
      <w:r w:rsidR="00C40974">
        <w:rPr>
          <w:bCs/>
        </w:rPr>
        <w:t xml:space="preserve">recommendations </w:t>
      </w:r>
      <w:r w:rsidR="0013446D">
        <w:rPr>
          <w:bCs/>
        </w:rPr>
        <w:t xml:space="preserve">are intended as </w:t>
      </w:r>
      <w:r>
        <w:rPr>
          <w:bCs/>
        </w:rPr>
        <w:t>suggestions for improvement</w:t>
      </w:r>
      <w:r w:rsidR="0013446D">
        <w:rPr>
          <w:bCs/>
        </w:rPr>
        <w:t xml:space="preserve"> only</w:t>
      </w:r>
      <w:r>
        <w:rPr>
          <w:bCs/>
        </w:rPr>
        <w:t xml:space="preserve">, </w:t>
      </w:r>
      <w:r w:rsidR="0013446D">
        <w:rPr>
          <w:bCs/>
        </w:rPr>
        <w:t>and</w:t>
      </w:r>
      <w:r>
        <w:rPr>
          <w:bCs/>
        </w:rPr>
        <w:t xml:space="preserve"> can be taken up or left by program partners</w:t>
      </w:r>
      <w:r w:rsidR="00C40974">
        <w:rPr>
          <w:bCs/>
        </w:rPr>
        <w:t>, at their discretion</w:t>
      </w:r>
      <w:r>
        <w:rPr>
          <w:bCs/>
        </w:rPr>
        <w:t>.</w:t>
      </w:r>
    </w:p>
    <w:p w14:paraId="2CD43799" w14:textId="01D5B72C" w:rsidR="00473AA0" w:rsidRDefault="00473AA0" w:rsidP="006B254D">
      <w:pPr>
        <w:pStyle w:val="ListParagraph"/>
        <w:numPr>
          <w:ilvl w:val="0"/>
          <w:numId w:val="40"/>
        </w:numPr>
        <w:spacing w:after="60" w:line="240" w:lineRule="auto"/>
        <w:ind w:left="714" w:right="-23" w:hanging="357"/>
        <w:contextualSpacing w:val="0"/>
      </w:pPr>
      <w:r>
        <w:t xml:space="preserve">Focus and </w:t>
      </w:r>
      <w:r w:rsidRPr="0094412C">
        <w:rPr>
          <w:b/>
          <w:bCs/>
        </w:rPr>
        <w:t xml:space="preserve">accelerate priority aspects of </w:t>
      </w:r>
      <w:r w:rsidR="00EE5D83">
        <w:rPr>
          <w:b/>
          <w:bCs/>
        </w:rPr>
        <w:t>the PPP Program</w:t>
      </w:r>
      <w:r w:rsidRPr="0094412C">
        <w:t xml:space="preserve"> </w:t>
      </w:r>
      <w:r>
        <w:t xml:space="preserve">that </w:t>
      </w:r>
      <w:r w:rsidR="008F709D">
        <w:t>could be</w:t>
      </w:r>
      <w:r>
        <w:t xml:space="preserve"> achieved before the national elections in 2022.</w:t>
      </w:r>
    </w:p>
    <w:p w14:paraId="637A42D9" w14:textId="7F891B6F" w:rsidR="001A253F" w:rsidRDefault="00473AA0" w:rsidP="006B254D">
      <w:pPr>
        <w:pStyle w:val="ListParagraph"/>
        <w:numPr>
          <w:ilvl w:val="0"/>
          <w:numId w:val="40"/>
        </w:numPr>
        <w:spacing w:after="60" w:line="240" w:lineRule="auto"/>
        <w:ind w:left="714" w:right="-23" w:hanging="357"/>
        <w:contextualSpacing w:val="0"/>
      </w:pPr>
      <w:r>
        <w:t xml:space="preserve">Prioritise and ramp up efforts to </w:t>
      </w:r>
      <w:r w:rsidRPr="008F1DA8">
        <w:rPr>
          <w:b/>
          <w:bCs/>
        </w:rPr>
        <w:t xml:space="preserve">address common challenges </w:t>
      </w:r>
      <w:r>
        <w:rPr>
          <w:b/>
          <w:bCs/>
        </w:rPr>
        <w:t>impeding the</w:t>
      </w:r>
      <w:r w:rsidRPr="008F1DA8">
        <w:rPr>
          <w:b/>
          <w:bCs/>
        </w:rPr>
        <w:t xml:space="preserve"> approval</w:t>
      </w:r>
      <w:r>
        <w:rPr>
          <w:b/>
          <w:bCs/>
        </w:rPr>
        <w:t xml:space="preserve">, </w:t>
      </w:r>
      <w:r w:rsidR="00B177BA">
        <w:rPr>
          <w:b/>
          <w:bCs/>
        </w:rPr>
        <w:t>negotiation,</w:t>
      </w:r>
      <w:r w:rsidRPr="008F1DA8">
        <w:rPr>
          <w:b/>
          <w:bCs/>
        </w:rPr>
        <w:t xml:space="preserve"> and implementation</w:t>
      </w:r>
      <w:r>
        <w:t xml:space="preserve"> of PPP projects (</w:t>
      </w:r>
      <w:r w:rsidR="00B177BA">
        <w:t>i.e.,</w:t>
      </w:r>
      <w:r>
        <w:t xml:space="preserve"> </w:t>
      </w:r>
      <w:r w:rsidRPr="00F0491F">
        <w:t>contingent liabilities</w:t>
      </w:r>
      <w:r>
        <w:t xml:space="preserve">, </w:t>
      </w:r>
      <w:r w:rsidR="00096288">
        <w:t>j</w:t>
      </w:r>
      <w:r>
        <w:t>oint</w:t>
      </w:r>
      <w:r w:rsidR="00755052">
        <w:t xml:space="preserve"> </w:t>
      </w:r>
      <w:r w:rsidR="00096288">
        <w:t>v</w:t>
      </w:r>
      <w:r>
        <w:t>entures</w:t>
      </w:r>
      <w:r w:rsidR="00755052">
        <w:t xml:space="preserve"> and</w:t>
      </w:r>
      <w:r>
        <w:t xml:space="preserve"> hybrid modalities)</w:t>
      </w:r>
      <w:r w:rsidR="0063059C">
        <w:t xml:space="preserve"> and </w:t>
      </w:r>
      <w:r w:rsidR="00C46D4F">
        <w:t xml:space="preserve">garner support for the passing of proposed amendments to the </w:t>
      </w:r>
      <w:r w:rsidR="00480FBC">
        <w:t>Build-Operate-and-Transfer (</w:t>
      </w:r>
      <w:r w:rsidR="00C46D4F">
        <w:t>BOT</w:t>
      </w:r>
      <w:r w:rsidR="00480FBC">
        <w:t>)</w:t>
      </w:r>
      <w:r w:rsidR="00C46D4F">
        <w:t xml:space="preserve"> law</w:t>
      </w:r>
      <w:r w:rsidR="001A253F">
        <w:t>.</w:t>
      </w:r>
    </w:p>
    <w:p w14:paraId="45FC433A" w14:textId="4B0AB3F9" w:rsidR="00755052" w:rsidRDefault="00473AA0" w:rsidP="006B254D">
      <w:pPr>
        <w:pStyle w:val="ListParagraph"/>
        <w:numPr>
          <w:ilvl w:val="0"/>
          <w:numId w:val="40"/>
        </w:numPr>
        <w:spacing w:after="60" w:line="240" w:lineRule="auto"/>
        <w:ind w:left="714" w:right="-23" w:hanging="357"/>
        <w:contextualSpacing w:val="0"/>
      </w:pPr>
      <w:r>
        <w:t xml:space="preserve">Continue support for local </w:t>
      </w:r>
      <w:r w:rsidR="00554EE4">
        <w:t>Implementing agencies</w:t>
      </w:r>
      <w:r>
        <w:t xml:space="preserve"> and </w:t>
      </w:r>
      <w:r w:rsidR="00C40974">
        <w:t>local government</w:t>
      </w:r>
      <w:r w:rsidR="00360A22">
        <w:t>s</w:t>
      </w:r>
      <w:r w:rsidR="00C40974">
        <w:t xml:space="preserve"> </w:t>
      </w:r>
      <w:r>
        <w:t xml:space="preserve">to advance </w:t>
      </w:r>
      <w:r w:rsidRPr="005615B4">
        <w:t>PPP</w:t>
      </w:r>
      <w:r w:rsidR="004D1434">
        <w:t xml:space="preserve"> projects</w:t>
      </w:r>
      <w:r w:rsidRPr="005615B4">
        <w:t xml:space="preserve"> that </w:t>
      </w:r>
      <w:r w:rsidRPr="001A253F">
        <w:rPr>
          <w:b/>
          <w:bCs/>
        </w:rPr>
        <w:t>foster inclusive and climate resilient infrastructure in priority sectors</w:t>
      </w:r>
      <w:r>
        <w:t xml:space="preserve"> (</w:t>
      </w:r>
      <w:r w:rsidR="008F709D">
        <w:t>i.e.,</w:t>
      </w:r>
      <w:r>
        <w:t xml:space="preserve"> health, waste management, </w:t>
      </w:r>
      <w:r w:rsidR="004D1434">
        <w:t xml:space="preserve">energy and </w:t>
      </w:r>
      <w:r w:rsidR="003F110B">
        <w:t xml:space="preserve">water, </w:t>
      </w:r>
      <w:r w:rsidR="004D1434">
        <w:t>agri</w:t>
      </w:r>
      <w:r w:rsidR="000B176E">
        <w:t>cultural</w:t>
      </w:r>
      <w:r w:rsidR="004D1434">
        <w:t xml:space="preserve">-based enterprises, research development, environment, </w:t>
      </w:r>
      <w:r>
        <w:t xml:space="preserve">tourism, </w:t>
      </w:r>
      <w:r w:rsidRPr="008F1DA8">
        <w:t xml:space="preserve">public </w:t>
      </w:r>
      <w:r w:rsidR="00B177BA" w:rsidRPr="008F1DA8">
        <w:t>markets,</w:t>
      </w:r>
      <w:r w:rsidR="00755052">
        <w:t xml:space="preserve"> and</w:t>
      </w:r>
      <w:r w:rsidRPr="008F1DA8">
        <w:t xml:space="preserve"> </w:t>
      </w:r>
      <w:r w:rsidR="00B177BA" w:rsidRPr="008F1DA8">
        <w:t>rainwater</w:t>
      </w:r>
      <w:r w:rsidRPr="008F1DA8">
        <w:t xml:space="preserve"> harvesting</w:t>
      </w:r>
      <w:r>
        <w:t xml:space="preserve">) including by exploring bundles of support for program development, planning, </w:t>
      </w:r>
      <w:r w:rsidR="00B177BA">
        <w:t>management,</w:t>
      </w:r>
      <w:r>
        <w:t xml:space="preserve"> and monitoring. </w:t>
      </w:r>
    </w:p>
    <w:p w14:paraId="2D393944" w14:textId="7A893ABB" w:rsidR="00F54585" w:rsidRPr="001A253F" w:rsidRDefault="00F54585" w:rsidP="006B254D">
      <w:pPr>
        <w:pStyle w:val="ListParagraph"/>
        <w:numPr>
          <w:ilvl w:val="0"/>
          <w:numId w:val="40"/>
        </w:numPr>
        <w:spacing w:after="60" w:line="240" w:lineRule="auto"/>
        <w:ind w:left="714" w:right="-23" w:hanging="357"/>
        <w:contextualSpacing w:val="0"/>
      </w:pPr>
      <w:r w:rsidRPr="001A253F">
        <w:rPr>
          <w:rFonts w:cstheme="minorHAnsi"/>
        </w:rPr>
        <w:t>Provide support for</w:t>
      </w:r>
      <w:r w:rsidR="00C40974">
        <w:rPr>
          <w:rFonts w:cstheme="minorHAnsi"/>
        </w:rPr>
        <w:t xml:space="preserve"> the Philippine</w:t>
      </w:r>
      <w:r w:rsidRPr="001A253F">
        <w:rPr>
          <w:rFonts w:cstheme="minorHAnsi"/>
        </w:rPr>
        <w:t xml:space="preserve"> </w:t>
      </w:r>
      <w:r w:rsidR="00C40974">
        <w:rPr>
          <w:rFonts w:cstheme="minorHAnsi"/>
          <w:b/>
          <w:bCs/>
        </w:rPr>
        <w:t>g</w:t>
      </w:r>
      <w:r w:rsidRPr="00755052">
        <w:rPr>
          <w:rFonts w:cstheme="minorHAnsi"/>
          <w:b/>
          <w:bCs/>
        </w:rPr>
        <w:t xml:space="preserve">overnment to transition to the “new normal” </w:t>
      </w:r>
      <w:r w:rsidR="00C40974">
        <w:rPr>
          <w:rFonts w:cstheme="minorHAnsi"/>
          <w:b/>
          <w:bCs/>
        </w:rPr>
        <w:t xml:space="preserve">post-pandemic for </w:t>
      </w:r>
      <w:r w:rsidRPr="00755052">
        <w:rPr>
          <w:rFonts w:cstheme="minorHAnsi"/>
          <w:b/>
          <w:bCs/>
        </w:rPr>
        <w:t xml:space="preserve">PPPs in </w:t>
      </w:r>
      <w:r w:rsidR="00C40974">
        <w:rPr>
          <w:rFonts w:cstheme="minorHAnsi"/>
          <w:b/>
          <w:bCs/>
        </w:rPr>
        <w:t>o</w:t>
      </w:r>
      <w:r w:rsidRPr="00755052">
        <w:rPr>
          <w:rFonts w:cstheme="minorHAnsi"/>
          <w:b/>
          <w:bCs/>
        </w:rPr>
        <w:t>peration</w:t>
      </w:r>
      <w:r w:rsidRPr="001A253F">
        <w:rPr>
          <w:rFonts w:cstheme="minorHAnsi"/>
        </w:rPr>
        <w:t xml:space="preserve"> by ensuring capacity building activities focus on risk mitigation</w:t>
      </w:r>
      <w:r w:rsidR="00C40974">
        <w:rPr>
          <w:rFonts w:cstheme="minorHAnsi"/>
        </w:rPr>
        <w:t>,</w:t>
      </w:r>
      <w:r w:rsidRPr="001A253F">
        <w:rPr>
          <w:rFonts w:cstheme="minorHAnsi"/>
        </w:rPr>
        <w:t xml:space="preserve"> considering the adverse impacts on access to financing for PPP projects due to the business shocks</w:t>
      </w:r>
      <w:r w:rsidR="00C40974">
        <w:rPr>
          <w:rFonts w:cstheme="minorHAnsi"/>
        </w:rPr>
        <w:t xml:space="preserve"> and economic downturn</w:t>
      </w:r>
      <w:r w:rsidRPr="001A253F">
        <w:rPr>
          <w:rFonts w:cstheme="minorHAnsi"/>
        </w:rPr>
        <w:t xml:space="preserve"> brought about by </w:t>
      </w:r>
      <w:r w:rsidR="000321CA">
        <w:rPr>
          <w:rFonts w:cstheme="minorHAnsi"/>
        </w:rPr>
        <w:t>COVID</w:t>
      </w:r>
      <w:r w:rsidRPr="001A253F">
        <w:rPr>
          <w:rFonts w:cstheme="minorHAnsi"/>
        </w:rPr>
        <w:t>-19</w:t>
      </w:r>
      <w:r>
        <w:rPr>
          <w:rStyle w:val="FootnoteReference"/>
          <w:rFonts w:cstheme="minorHAnsi"/>
        </w:rPr>
        <w:footnoteReference w:id="65"/>
      </w:r>
      <w:r w:rsidRPr="001A253F">
        <w:rPr>
          <w:rFonts w:cstheme="minorHAnsi"/>
        </w:rPr>
        <w:t xml:space="preserve">. </w:t>
      </w:r>
    </w:p>
    <w:p w14:paraId="593E8DEC" w14:textId="502C4FC4" w:rsidR="00473AA0" w:rsidRDefault="00EE5D83" w:rsidP="006B254D">
      <w:pPr>
        <w:pStyle w:val="ListParagraph"/>
        <w:numPr>
          <w:ilvl w:val="0"/>
          <w:numId w:val="40"/>
        </w:numPr>
        <w:spacing w:after="60" w:line="240" w:lineRule="auto"/>
        <w:ind w:left="714" w:right="-23" w:hanging="357"/>
        <w:contextualSpacing w:val="0"/>
      </w:pPr>
      <w:r>
        <w:t>Revisit the</w:t>
      </w:r>
      <w:r w:rsidR="00473AA0" w:rsidRPr="00763D1B">
        <w:rPr>
          <w:b/>
          <w:bCs/>
        </w:rPr>
        <w:t xml:space="preserve"> PPP</w:t>
      </w:r>
      <w:r>
        <w:rPr>
          <w:b/>
          <w:bCs/>
        </w:rPr>
        <w:t xml:space="preserve"> Cent</w:t>
      </w:r>
      <w:r w:rsidR="00A92122">
        <w:rPr>
          <w:b/>
          <w:bCs/>
        </w:rPr>
        <w:t>er</w:t>
      </w:r>
      <w:r w:rsidR="00473AA0" w:rsidRPr="00763D1B">
        <w:rPr>
          <w:b/>
          <w:bCs/>
        </w:rPr>
        <w:t xml:space="preserve"> mandate and services structure in relation to its high level of maturity</w:t>
      </w:r>
      <w:r w:rsidR="00473AA0">
        <w:rPr>
          <w:b/>
          <w:bCs/>
        </w:rPr>
        <w:t xml:space="preserve">, </w:t>
      </w:r>
      <w:r w:rsidR="00B177BA" w:rsidRPr="00763D1B">
        <w:rPr>
          <w:b/>
          <w:bCs/>
        </w:rPr>
        <w:t>capacity,</w:t>
      </w:r>
      <w:r w:rsidR="00473AA0" w:rsidRPr="00763D1B">
        <w:rPr>
          <w:b/>
          <w:bCs/>
        </w:rPr>
        <w:t xml:space="preserve"> and country cont</w:t>
      </w:r>
      <w:r w:rsidR="00473AA0" w:rsidRPr="00AB6542">
        <w:rPr>
          <w:b/>
          <w:bCs/>
        </w:rPr>
        <w:t>ext</w:t>
      </w:r>
      <w:r w:rsidR="00473AA0">
        <w:t xml:space="preserve"> to ensure it remains relevant (</w:t>
      </w:r>
      <w:r w:rsidR="00B177BA">
        <w:t>i.e.,</w:t>
      </w:r>
      <w:r w:rsidR="00473AA0">
        <w:t xml:space="preserve"> </w:t>
      </w:r>
      <w:r>
        <w:t>explore the p</w:t>
      </w:r>
      <w:r w:rsidR="00672D26">
        <w:t>r</w:t>
      </w:r>
      <w:r>
        <w:t xml:space="preserve">os and cons of </w:t>
      </w:r>
      <w:r w:rsidR="00473AA0">
        <w:t>becom</w:t>
      </w:r>
      <w:r>
        <w:t>ing</w:t>
      </w:r>
      <w:r w:rsidR="00473AA0">
        <w:t xml:space="preserve"> an </w:t>
      </w:r>
      <w:r w:rsidR="00473AA0" w:rsidRPr="005615B4">
        <w:t>infrastructure agency with a broader mandate</w:t>
      </w:r>
      <w:r>
        <w:t xml:space="preserve"> - </w:t>
      </w:r>
      <w:r w:rsidR="00473AA0">
        <w:t>a PPP</w:t>
      </w:r>
      <w:r>
        <w:t xml:space="preserve"> in</w:t>
      </w:r>
      <w:r w:rsidR="00473AA0">
        <w:t xml:space="preserve"> itself that brings </w:t>
      </w:r>
      <w:r w:rsidR="00A92122">
        <w:t>private sector</w:t>
      </w:r>
      <w:r w:rsidR="00473AA0">
        <w:t xml:space="preserve"> operators, lenders and investors in</w:t>
      </w:r>
      <w:r>
        <w:t xml:space="preserve">, </w:t>
      </w:r>
      <w:r w:rsidR="00473AA0">
        <w:t xml:space="preserve">engagement in unsolicited and intermediary role between </w:t>
      </w:r>
      <w:r w:rsidR="00A92122">
        <w:t>private sector</w:t>
      </w:r>
      <w:r w:rsidR="00473AA0">
        <w:t xml:space="preserve"> and </w:t>
      </w:r>
      <w:r>
        <w:t>government</w:t>
      </w:r>
      <w:r w:rsidR="00473AA0">
        <w:t>).</w:t>
      </w:r>
    </w:p>
    <w:p w14:paraId="194A70FA" w14:textId="6BDC4ECE" w:rsidR="00B3000B" w:rsidRPr="00B3000B" w:rsidRDefault="00B3000B" w:rsidP="006B254D">
      <w:pPr>
        <w:pStyle w:val="ListParagraph"/>
        <w:numPr>
          <w:ilvl w:val="0"/>
          <w:numId w:val="40"/>
        </w:numPr>
        <w:spacing w:after="60" w:line="240" w:lineRule="auto"/>
        <w:ind w:right="-23"/>
        <w:contextualSpacing w:val="0"/>
        <w:rPr>
          <w:lang w:val="en-GB"/>
        </w:rPr>
      </w:pPr>
      <w:r>
        <w:rPr>
          <w:lang w:val="en-GB"/>
        </w:rPr>
        <w:t xml:space="preserve">That the PPP Center continues to progress its plan </w:t>
      </w:r>
      <w:r w:rsidRPr="006E4028">
        <w:rPr>
          <w:lang w:val="en-GB"/>
        </w:rPr>
        <w:t xml:space="preserve">to </w:t>
      </w:r>
      <w:r w:rsidRPr="006E4028">
        <w:rPr>
          <w:b/>
          <w:bCs/>
          <w:lang w:val="en-GB"/>
        </w:rPr>
        <w:t>create a national PPP certification program</w:t>
      </w:r>
      <w:r w:rsidRPr="006E4028">
        <w:rPr>
          <w:lang w:val="en-GB"/>
        </w:rPr>
        <w:t>, to support sustainable long-term capacity development.</w:t>
      </w:r>
      <w:r>
        <w:rPr>
          <w:lang w:val="en-GB"/>
        </w:rPr>
        <w:t xml:space="preserve"> </w:t>
      </w:r>
    </w:p>
    <w:p w14:paraId="1FC98BA3" w14:textId="65D62488" w:rsidR="00C9334A" w:rsidRDefault="00EE5D83" w:rsidP="006B254D">
      <w:pPr>
        <w:pStyle w:val="ListParagraph"/>
        <w:numPr>
          <w:ilvl w:val="0"/>
          <w:numId w:val="40"/>
        </w:numPr>
        <w:spacing w:after="60" w:line="240" w:lineRule="auto"/>
        <w:ind w:left="714" w:right="-23" w:hanging="357"/>
        <w:contextualSpacing w:val="0"/>
      </w:pPr>
      <w:r>
        <w:rPr>
          <w:b/>
          <w:bCs/>
        </w:rPr>
        <w:t>D</w:t>
      </w:r>
      <w:r w:rsidR="00473AA0" w:rsidRPr="00383861">
        <w:rPr>
          <w:b/>
          <w:bCs/>
        </w:rPr>
        <w:t xml:space="preserve">evelop a mechanism that prioritises PPP projects in which </w:t>
      </w:r>
      <w:r w:rsidR="00361399">
        <w:rPr>
          <w:b/>
          <w:bCs/>
        </w:rPr>
        <w:t>government</w:t>
      </w:r>
      <w:r w:rsidR="00473AA0" w:rsidRPr="00383861">
        <w:rPr>
          <w:b/>
          <w:bCs/>
        </w:rPr>
        <w:t xml:space="preserve"> is seeking </w:t>
      </w:r>
      <w:r w:rsidR="00A92122">
        <w:rPr>
          <w:b/>
          <w:bCs/>
        </w:rPr>
        <w:t>private sector</w:t>
      </w:r>
      <w:r w:rsidR="00473AA0" w:rsidRPr="00383861">
        <w:rPr>
          <w:b/>
          <w:bCs/>
        </w:rPr>
        <w:t xml:space="preserve"> engagement</w:t>
      </w:r>
      <w:r w:rsidR="00473AA0">
        <w:t xml:space="preserve"> (sector, facility type, location) and identifies the type of modality sought (</w:t>
      </w:r>
      <w:r w:rsidR="00B177BA">
        <w:t>i.e.,</w:t>
      </w:r>
      <w:r w:rsidR="00473AA0">
        <w:t xml:space="preserve"> full PPP, hybrid) to ensure targeted unsolicited proposals in line with government </w:t>
      </w:r>
      <w:r w:rsidR="00680BA5">
        <w:t>needs and</w:t>
      </w:r>
      <w:r w:rsidR="00473AA0">
        <w:t xml:space="preserve"> build government expertise to evaluate the technical dimensions of priority projects.</w:t>
      </w:r>
    </w:p>
    <w:p w14:paraId="22880635" w14:textId="5F2F496A" w:rsidR="00B3000B" w:rsidRPr="00B3000B" w:rsidRDefault="0074670A" w:rsidP="006B254D">
      <w:pPr>
        <w:pStyle w:val="ListParagraph"/>
        <w:numPr>
          <w:ilvl w:val="0"/>
          <w:numId w:val="40"/>
        </w:numPr>
        <w:spacing w:after="60" w:line="240" w:lineRule="auto"/>
        <w:ind w:left="714" w:right="-23" w:hanging="357"/>
        <w:contextualSpacing w:val="0"/>
        <w:rPr>
          <w:b/>
          <w:bCs/>
        </w:rPr>
      </w:pPr>
      <w:r w:rsidRPr="003D2BC5">
        <w:rPr>
          <w:b/>
          <w:bCs/>
        </w:rPr>
        <w:t xml:space="preserve">Develop a more </w:t>
      </w:r>
      <w:r w:rsidRPr="00B50F69">
        <w:t xml:space="preserve">holistic </w:t>
      </w:r>
      <w:r w:rsidR="00C40974" w:rsidRPr="00C40974">
        <w:t>monitoring and evaluation</w:t>
      </w:r>
      <w:r w:rsidR="00C40974">
        <w:t xml:space="preserve"> </w:t>
      </w:r>
      <w:r w:rsidRPr="003D2BC5">
        <w:rPr>
          <w:b/>
          <w:bCs/>
        </w:rPr>
        <w:t xml:space="preserve">system </w:t>
      </w:r>
      <w:r w:rsidRPr="003D2BC5">
        <w:t xml:space="preserve">that also supports the collection of qualitative data and </w:t>
      </w:r>
      <w:r w:rsidR="00D54BD2">
        <w:t>analysis</w:t>
      </w:r>
      <w:r w:rsidRPr="003D2BC5">
        <w:t xml:space="preserve"> and reflection of data for use in </w:t>
      </w:r>
      <w:r w:rsidR="00C9334A" w:rsidRPr="0074670A">
        <w:t>strategic decision-making</w:t>
      </w:r>
      <w:r w:rsidR="008F4500">
        <w:t xml:space="preserve"> and s</w:t>
      </w:r>
      <w:r w:rsidR="00282AB3" w:rsidRPr="008F4500">
        <w:rPr>
          <w:rFonts w:cstheme="minorHAnsi"/>
        </w:rPr>
        <w:t>trengthen</w:t>
      </w:r>
      <w:r w:rsidR="008F4500" w:rsidRPr="008F4500">
        <w:rPr>
          <w:rFonts w:cstheme="minorHAnsi"/>
        </w:rPr>
        <w:t xml:space="preserve"> </w:t>
      </w:r>
      <w:r w:rsidR="00C40974">
        <w:t xml:space="preserve">monitoring and evaluation </w:t>
      </w:r>
      <w:r w:rsidR="00282AB3" w:rsidRPr="00BC3F98">
        <w:rPr>
          <w:rFonts w:cstheme="minorHAnsi"/>
        </w:rPr>
        <w:t xml:space="preserve">through the development of </w:t>
      </w:r>
      <w:r w:rsidR="00C40974">
        <w:t xml:space="preserve">monitoring and evaluation </w:t>
      </w:r>
      <w:r w:rsidR="00282AB3" w:rsidRPr="00BC3F98">
        <w:rPr>
          <w:rFonts w:cstheme="minorHAnsi"/>
        </w:rPr>
        <w:t xml:space="preserve">capacity development roadmap for </w:t>
      </w:r>
      <w:r w:rsidR="00096288">
        <w:rPr>
          <w:rFonts w:cstheme="minorHAnsi"/>
        </w:rPr>
        <w:t xml:space="preserve">the </w:t>
      </w:r>
      <w:r w:rsidR="00282AB3" w:rsidRPr="00BC3F98">
        <w:rPr>
          <w:rFonts w:cstheme="minorHAnsi"/>
        </w:rPr>
        <w:t>PPP Center</w:t>
      </w:r>
      <w:r w:rsidR="00282AB3" w:rsidRPr="00F45186">
        <w:rPr>
          <w:rFonts w:cstheme="minorHAnsi"/>
        </w:rPr>
        <w:t>, an</w:t>
      </w:r>
      <w:r w:rsidR="00282AB3" w:rsidRPr="00324F63">
        <w:rPr>
          <w:rFonts w:cstheme="minorHAnsi"/>
        </w:rPr>
        <w:t>d institution of regular reviews to assess progress of PPP project</w:t>
      </w:r>
      <w:r w:rsidR="00361399">
        <w:rPr>
          <w:rFonts w:cstheme="minorHAnsi"/>
        </w:rPr>
        <w:t>s</w:t>
      </w:r>
      <w:r w:rsidR="00282AB3" w:rsidRPr="00324F63">
        <w:rPr>
          <w:rFonts w:cstheme="minorHAnsi"/>
        </w:rPr>
        <w:t xml:space="preserve"> against set timeframes and resolve bottlenecks in the whole PPP business cycle. </w:t>
      </w:r>
    </w:p>
    <w:p w14:paraId="15C9C661" w14:textId="34205CEC" w:rsidR="00AD183D" w:rsidRPr="00B3000B" w:rsidRDefault="00CF0A10" w:rsidP="006B254D">
      <w:pPr>
        <w:pStyle w:val="ListParagraph"/>
        <w:numPr>
          <w:ilvl w:val="0"/>
          <w:numId w:val="40"/>
        </w:numPr>
        <w:spacing w:after="60" w:line="240" w:lineRule="auto"/>
        <w:ind w:left="714" w:right="-23" w:hanging="357"/>
        <w:contextualSpacing w:val="0"/>
        <w:rPr>
          <w:b/>
          <w:bCs/>
        </w:rPr>
      </w:pPr>
      <w:r w:rsidRPr="00B3000B">
        <w:rPr>
          <w:b/>
          <w:bCs/>
        </w:rPr>
        <w:t xml:space="preserve">Expand monitoring systems to capture perspectives of the </w:t>
      </w:r>
      <w:r w:rsidR="004900E0" w:rsidRPr="00B3000B">
        <w:rPr>
          <w:b/>
          <w:bCs/>
        </w:rPr>
        <w:t>private sector</w:t>
      </w:r>
      <w:r w:rsidRPr="00B3000B">
        <w:rPr>
          <w:b/>
          <w:bCs/>
        </w:rPr>
        <w:t xml:space="preserve">, </w:t>
      </w:r>
      <w:r>
        <w:t xml:space="preserve">including </w:t>
      </w:r>
      <w:r w:rsidR="002C7C6F">
        <w:t xml:space="preserve">barriers to bidding and entering into contracts, and conduct </w:t>
      </w:r>
      <w:r w:rsidR="00D54BD2">
        <w:t>analysis</w:t>
      </w:r>
      <w:r w:rsidR="002C7C6F">
        <w:t xml:space="preserve"> of trends in PPP data by </w:t>
      </w:r>
      <w:r w:rsidR="002C7C6F">
        <w:lastRenderedPageBreak/>
        <w:t xml:space="preserve">considering </w:t>
      </w:r>
      <w:r w:rsidR="00A92122">
        <w:t>private sector</w:t>
      </w:r>
      <w:r w:rsidR="002C7C6F">
        <w:t xml:space="preserve"> perspectives in addition to the experience of government counterparts and clients. </w:t>
      </w:r>
    </w:p>
    <w:p w14:paraId="469723B2" w14:textId="77777777" w:rsidR="00B3000B" w:rsidRPr="00B3000B" w:rsidRDefault="00AD183D" w:rsidP="006B254D">
      <w:pPr>
        <w:pStyle w:val="ListParagraph"/>
        <w:numPr>
          <w:ilvl w:val="0"/>
          <w:numId w:val="40"/>
        </w:numPr>
        <w:spacing w:after="60" w:line="240" w:lineRule="auto"/>
        <w:ind w:left="714" w:right="-23" w:hanging="357"/>
        <w:contextualSpacing w:val="0"/>
      </w:pPr>
      <w:r>
        <w:rPr>
          <w:rFonts w:cstheme="minorHAnsi"/>
        </w:rPr>
        <w:t xml:space="preserve">That the </w:t>
      </w:r>
      <w:r w:rsidRPr="00AD183D">
        <w:rPr>
          <w:rFonts w:cstheme="minorHAnsi"/>
          <w:b/>
          <w:bCs/>
        </w:rPr>
        <w:t>ADB convene periodic meetings between Government’s executing and implementing agencies and development partners</w:t>
      </w:r>
      <w:r w:rsidRPr="00AD183D">
        <w:rPr>
          <w:rFonts w:cstheme="minorHAnsi"/>
        </w:rPr>
        <w:t xml:space="preserve"> to monitor the progress of the TA, review the achievement of targets, and share and discuss findings from the Technical Advisor’s quarterly report. </w:t>
      </w:r>
    </w:p>
    <w:p w14:paraId="79FDD127" w14:textId="77777777" w:rsidR="00B3000B" w:rsidRPr="00B3000B" w:rsidRDefault="00473AA0" w:rsidP="006B254D">
      <w:pPr>
        <w:pStyle w:val="ListParagraph"/>
        <w:numPr>
          <w:ilvl w:val="0"/>
          <w:numId w:val="40"/>
        </w:numPr>
        <w:spacing w:after="60" w:line="240" w:lineRule="auto"/>
        <w:ind w:left="714" w:right="-23" w:hanging="357"/>
        <w:contextualSpacing w:val="0"/>
      </w:pPr>
      <w:r w:rsidRPr="00B3000B">
        <w:rPr>
          <w:lang w:val="en-GB"/>
        </w:rPr>
        <w:t xml:space="preserve">Conduct a PPP assessment with the aim of informing national government on PPP related concerns and issues to </w:t>
      </w:r>
      <w:r w:rsidRPr="00B3000B">
        <w:rPr>
          <w:b/>
          <w:bCs/>
          <w:lang w:val="en-GB"/>
        </w:rPr>
        <w:t>ensure transparency and accountability on the reforms</w:t>
      </w:r>
      <w:r w:rsidRPr="00B3000B">
        <w:rPr>
          <w:lang w:val="en-GB"/>
        </w:rPr>
        <w:t xml:space="preserve"> needed to enable more competitive, accountable PPPs and address concerns by members of the public who will ultimately have to pay for PPP services. </w:t>
      </w:r>
    </w:p>
    <w:p w14:paraId="356B2D41" w14:textId="07582CAB" w:rsidR="00B3000B" w:rsidRDefault="00F170EC" w:rsidP="006B254D">
      <w:pPr>
        <w:pStyle w:val="ListParagraph"/>
        <w:numPr>
          <w:ilvl w:val="0"/>
          <w:numId w:val="40"/>
        </w:numPr>
        <w:spacing w:after="60" w:line="240" w:lineRule="auto"/>
        <w:ind w:left="714" w:right="-23" w:hanging="357"/>
        <w:contextualSpacing w:val="0"/>
      </w:pPr>
      <w:r w:rsidRPr="00B3000B">
        <w:rPr>
          <w:lang w:val="en-GB"/>
        </w:rPr>
        <w:t xml:space="preserve">To support strengthened transparency and information sharing as per the recommendation above, </w:t>
      </w:r>
      <w:r w:rsidRPr="00B3000B">
        <w:rPr>
          <w:b/>
          <w:bCs/>
          <w:lang w:val="en-GB"/>
        </w:rPr>
        <w:t xml:space="preserve">support the </w:t>
      </w:r>
      <w:r w:rsidRPr="00B3000B">
        <w:rPr>
          <w:b/>
          <w:bCs/>
        </w:rPr>
        <w:t xml:space="preserve">harmonisation and integration of existing PPP data into the proposed </w:t>
      </w:r>
      <w:r w:rsidR="00880A63" w:rsidRPr="00880A63">
        <w:rPr>
          <w:b/>
          <w:bCs/>
        </w:rPr>
        <w:t xml:space="preserve">Project Information and Management System </w:t>
      </w:r>
      <w:r w:rsidR="00880A63">
        <w:rPr>
          <w:b/>
          <w:bCs/>
        </w:rPr>
        <w:t>(</w:t>
      </w:r>
      <w:r w:rsidRPr="00B3000B">
        <w:rPr>
          <w:b/>
          <w:bCs/>
        </w:rPr>
        <w:t>PIMS</w:t>
      </w:r>
      <w:r w:rsidR="00880A63">
        <w:rPr>
          <w:b/>
          <w:bCs/>
        </w:rPr>
        <w:t>)</w:t>
      </w:r>
      <w:r w:rsidRPr="00B3000B">
        <w:rPr>
          <w:b/>
          <w:bCs/>
        </w:rPr>
        <w:t xml:space="preserve"> to track and analyse </w:t>
      </w:r>
      <w:r w:rsidR="00AD183D" w:rsidRPr="00B3000B">
        <w:rPr>
          <w:b/>
          <w:bCs/>
        </w:rPr>
        <w:t xml:space="preserve">the </w:t>
      </w:r>
      <w:r w:rsidRPr="00B3000B">
        <w:rPr>
          <w:b/>
          <w:bCs/>
        </w:rPr>
        <w:t>status of PPP projects</w:t>
      </w:r>
      <w:r w:rsidRPr="00F170EC">
        <w:t>, and include information on technical dimensions, value and bankability of priority PPPs for private sector engagement.</w:t>
      </w:r>
    </w:p>
    <w:p w14:paraId="0E2FFFC5" w14:textId="04045630" w:rsidR="00AD183D" w:rsidRPr="00B3000B" w:rsidRDefault="00EE5D83" w:rsidP="006B254D">
      <w:pPr>
        <w:pStyle w:val="ListParagraph"/>
        <w:numPr>
          <w:ilvl w:val="0"/>
          <w:numId w:val="40"/>
        </w:numPr>
        <w:spacing w:after="60" w:line="240" w:lineRule="auto"/>
        <w:ind w:left="714" w:right="-23" w:hanging="357"/>
        <w:contextualSpacing w:val="0"/>
      </w:pPr>
      <w:r w:rsidRPr="00B3000B">
        <w:rPr>
          <w:rFonts w:cs="Roboto Light"/>
          <w:b/>
          <w:bCs/>
          <w:color w:val="000000"/>
        </w:rPr>
        <w:t>D</w:t>
      </w:r>
      <w:r w:rsidR="00473AA0" w:rsidRPr="00B3000B">
        <w:rPr>
          <w:rFonts w:cs="Roboto Light"/>
          <w:b/>
          <w:bCs/>
          <w:color w:val="000000"/>
        </w:rPr>
        <w:t>evelop a mechanism to assess the</w:t>
      </w:r>
      <w:r w:rsidR="00674256" w:rsidRPr="00B3000B">
        <w:rPr>
          <w:rFonts w:cs="Roboto Light"/>
          <w:b/>
          <w:bCs/>
          <w:color w:val="000000"/>
        </w:rPr>
        <w:t xml:space="preserve"> social</w:t>
      </w:r>
      <w:r w:rsidR="00473AA0" w:rsidRPr="00B3000B">
        <w:rPr>
          <w:rFonts w:cs="Roboto Light"/>
          <w:b/>
          <w:bCs/>
          <w:color w:val="000000"/>
        </w:rPr>
        <w:t xml:space="preserve"> value of PPP projects</w:t>
      </w:r>
      <w:r w:rsidR="00473AA0" w:rsidRPr="00B3000B">
        <w:rPr>
          <w:rFonts w:cs="Roboto Light"/>
          <w:color w:val="000000"/>
        </w:rPr>
        <w:t xml:space="preserve"> beyond the point of asset delivery, including alignment with public expectations and value. </w:t>
      </w:r>
    </w:p>
    <w:p w14:paraId="5DCCF889" w14:textId="77777777" w:rsidR="00013224" w:rsidRPr="00FC3ADC" w:rsidRDefault="00013224" w:rsidP="006B254D">
      <w:pPr>
        <w:pStyle w:val="ListParagraph"/>
        <w:spacing w:after="0" w:line="240" w:lineRule="auto"/>
        <w:rPr>
          <w:rFonts w:cs="Roboto Light"/>
          <w:color w:val="000000"/>
        </w:rPr>
      </w:pPr>
    </w:p>
    <w:p w14:paraId="39421D3B" w14:textId="1705C885" w:rsidR="00473AA0" w:rsidRDefault="00473AA0" w:rsidP="006B254D">
      <w:pPr>
        <w:spacing w:line="240" w:lineRule="auto"/>
        <w:rPr>
          <w:b/>
        </w:rPr>
      </w:pPr>
      <w:r w:rsidRPr="00B127A8">
        <w:rPr>
          <w:b/>
        </w:rPr>
        <w:t xml:space="preserve">Recommendations and Implications for </w:t>
      </w:r>
      <w:r w:rsidR="00C40974">
        <w:rPr>
          <w:b/>
        </w:rPr>
        <w:t>f</w:t>
      </w:r>
      <w:r w:rsidRPr="00B127A8">
        <w:rPr>
          <w:b/>
        </w:rPr>
        <w:t xml:space="preserve">uture </w:t>
      </w:r>
      <w:r>
        <w:rPr>
          <w:b/>
        </w:rPr>
        <w:t xml:space="preserve">DFAT </w:t>
      </w:r>
      <w:r w:rsidR="00C40974">
        <w:rPr>
          <w:b/>
        </w:rPr>
        <w:t>p</w:t>
      </w:r>
      <w:r w:rsidRPr="00B127A8">
        <w:rPr>
          <w:b/>
        </w:rPr>
        <w:t>rogramming</w:t>
      </w:r>
    </w:p>
    <w:p w14:paraId="3868460A" w14:textId="7220E7EF" w:rsidR="00473AA0" w:rsidRPr="008504E4" w:rsidRDefault="00473AA0" w:rsidP="006B254D">
      <w:pPr>
        <w:spacing w:line="240" w:lineRule="auto"/>
      </w:pPr>
      <w:r>
        <w:t xml:space="preserve">DFAT should continue to work in the sector, </w:t>
      </w:r>
      <w:r w:rsidRPr="008504E4">
        <w:t>build</w:t>
      </w:r>
      <w:r>
        <w:t>ing</w:t>
      </w:r>
      <w:r w:rsidRPr="008504E4">
        <w:t xml:space="preserve"> on</w:t>
      </w:r>
      <w:r>
        <w:t xml:space="preserve"> its</w:t>
      </w:r>
      <w:r w:rsidRPr="008504E4">
        <w:t xml:space="preserve"> long-standing engagement and contribution</w:t>
      </w:r>
      <w:r>
        <w:t>. A program of future support should:</w:t>
      </w:r>
    </w:p>
    <w:p w14:paraId="157BDCF4" w14:textId="14E1F3D4" w:rsidR="00145B89" w:rsidRPr="006B254D" w:rsidRDefault="00145B89" w:rsidP="00145B89">
      <w:pPr>
        <w:pStyle w:val="SDAbodytext"/>
        <w:numPr>
          <w:ilvl w:val="0"/>
          <w:numId w:val="41"/>
        </w:numPr>
        <w:rPr>
          <w:rFonts w:cs="Roboto Light"/>
          <w:color w:val="000000"/>
        </w:rPr>
      </w:pPr>
      <w:bookmarkStart w:id="83" w:name="_Hlk75863749"/>
      <w:r>
        <w:t xml:space="preserve">Bring Australian partners (including private sector) into a </w:t>
      </w:r>
      <w:r w:rsidRPr="000706E6">
        <w:rPr>
          <w:b/>
        </w:rPr>
        <w:t>joined-up W</w:t>
      </w:r>
      <w:r>
        <w:rPr>
          <w:b/>
        </w:rPr>
        <w:t xml:space="preserve">hole of Government </w:t>
      </w:r>
      <w:r w:rsidRPr="000706E6">
        <w:rPr>
          <w:b/>
        </w:rPr>
        <w:t>strategy</w:t>
      </w:r>
      <w:r>
        <w:rPr>
          <w:rFonts w:cs="Roboto Light"/>
          <w:color w:val="000000"/>
        </w:rPr>
        <w:t xml:space="preserve"> </w:t>
      </w:r>
      <w:r w:rsidRPr="006B254D">
        <w:rPr>
          <w:bCs/>
        </w:rPr>
        <w:t>that links other programs and priority areas (good governance, climate change, peace and security, indigenous people) in a holistic approach</w:t>
      </w:r>
      <w:r w:rsidR="00873C64">
        <w:rPr>
          <w:bCs/>
        </w:rPr>
        <w:t>,</w:t>
      </w:r>
      <w:r w:rsidRPr="006B254D">
        <w:rPr>
          <w:bCs/>
        </w:rPr>
        <w:t xml:space="preserve"> and seeks to increase Australian private sector investment and linkages (such as by providing non-ODA funding to Australian private sector entities to fund bids to increase engagement).</w:t>
      </w:r>
    </w:p>
    <w:p w14:paraId="4BD841E0" w14:textId="6AC86114" w:rsidR="00145B89" w:rsidRDefault="00145B89" w:rsidP="00145B89">
      <w:pPr>
        <w:pStyle w:val="SDAbodytext"/>
        <w:numPr>
          <w:ilvl w:val="0"/>
          <w:numId w:val="41"/>
        </w:numPr>
        <w:rPr>
          <w:rFonts w:cs="Roboto Light"/>
          <w:color w:val="000000"/>
        </w:rPr>
      </w:pPr>
      <w:r w:rsidRPr="00D43945">
        <w:rPr>
          <w:rFonts w:cs="Roboto Light"/>
          <w:color w:val="000000"/>
        </w:rPr>
        <w:t xml:space="preserve">Ensure </w:t>
      </w:r>
      <w:r>
        <w:rPr>
          <w:rFonts w:cs="Roboto Light"/>
          <w:color w:val="000000"/>
        </w:rPr>
        <w:t>DFAT undertakes a formal</w:t>
      </w:r>
      <w:r w:rsidRPr="00D43945">
        <w:rPr>
          <w:rFonts w:cs="Roboto Light"/>
          <w:color w:val="000000"/>
        </w:rPr>
        <w:t xml:space="preserve"> </w:t>
      </w:r>
      <w:r w:rsidRPr="00D43945">
        <w:rPr>
          <w:rFonts w:cs="Roboto Light"/>
          <w:b/>
          <w:bCs/>
          <w:color w:val="000000"/>
        </w:rPr>
        <w:t>political economy analysis</w:t>
      </w:r>
      <w:r>
        <w:rPr>
          <w:rFonts w:cs="Roboto Light"/>
          <w:color w:val="000000"/>
        </w:rPr>
        <w:t xml:space="preserve"> in the design </w:t>
      </w:r>
      <w:r w:rsidR="008F709D">
        <w:rPr>
          <w:rFonts w:cs="Roboto Light"/>
          <w:color w:val="000000"/>
        </w:rPr>
        <w:t>of</w:t>
      </w:r>
      <w:r w:rsidR="008F709D" w:rsidRPr="00D43945">
        <w:rPr>
          <w:rFonts w:cs="Roboto Light"/>
          <w:color w:val="000000"/>
        </w:rPr>
        <w:t xml:space="preserve"> new</w:t>
      </w:r>
      <w:r w:rsidRPr="00D43945">
        <w:rPr>
          <w:rFonts w:cs="Roboto Light"/>
          <w:color w:val="000000"/>
        </w:rPr>
        <w:t xml:space="preserve"> </w:t>
      </w:r>
      <w:r w:rsidR="006F28F9">
        <w:rPr>
          <w:rFonts w:cs="Roboto Light"/>
          <w:color w:val="000000"/>
        </w:rPr>
        <w:t xml:space="preserve">infrastructure </w:t>
      </w:r>
      <w:r w:rsidRPr="00D43945">
        <w:rPr>
          <w:rFonts w:cs="Roboto Light"/>
          <w:color w:val="000000"/>
        </w:rPr>
        <w:t>program</w:t>
      </w:r>
      <w:r w:rsidR="00214764">
        <w:rPr>
          <w:rFonts w:cs="Roboto Light"/>
          <w:color w:val="000000"/>
        </w:rPr>
        <w:t>s</w:t>
      </w:r>
      <w:r>
        <w:rPr>
          <w:rFonts w:cs="Roboto Light"/>
          <w:color w:val="000000"/>
        </w:rPr>
        <w:t xml:space="preserve"> (and that implementing partners hold ongoing responsibility for undertaking structured political economy analysis, including </w:t>
      </w:r>
      <w:r w:rsidRPr="00560FD0">
        <w:rPr>
          <w:rFonts w:cs="Roboto Light"/>
          <w:color w:val="000000"/>
        </w:rPr>
        <w:t>upon a change of government</w:t>
      </w:r>
      <w:r>
        <w:rPr>
          <w:rFonts w:cs="Roboto Light"/>
          <w:color w:val="000000"/>
        </w:rPr>
        <w:t xml:space="preserve">), </w:t>
      </w:r>
      <w:r w:rsidRPr="00560FD0">
        <w:rPr>
          <w:rFonts w:cs="Roboto Light"/>
          <w:color w:val="000000"/>
        </w:rPr>
        <w:t xml:space="preserve">package support in line with </w:t>
      </w:r>
      <w:r>
        <w:rPr>
          <w:rFonts w:cs="Roboto Light"/>
          <w:color w:val="000000"/>
        </w:rPr>
        <w:t xml:space="preserve">a </w:t>
      </w:r>
      <w:r w:rsidRPr="00560FD0">
        <w:rPr>
          <w:rFonts w:cs="Roboto Light"/>
          <w:color w:val="000000"/>
        </w:rPr>
        <w:t>new government</w:t>
      </w:r>
      <w:r>
        <w:rPr>
          <w:rFonts w:cs="Roboto Light"/>
          <w:color w:val="000000"/>
        </w:rPr>
        <w:t>’s</w:t>
      </w:r>
      <w:r w:rsidRPr="00560FD0">
        <w:rPr>
          <w:rFonts w:cs="Roboto Light"/>
          <w:color w:val="000000"/>
        </w:rPr>
        <w:t xml:space="preserve"> policy direction and</w:t>
      </w:r>
      <w:r>
        <w:rPr>
          <w:rFonts w:cs="Roboto Light"/>
          <w:color w:val="000000"/>
        </w:rPr>
        <w:t xml:space="preserve"> preferred</w:t>
      </w:r>
      <w:r w:rsidRPr="00560FD0">
        <w:rPr>
          <w:rFonts w:cs="Roboto Light"/>
          <w:color w:val="000000"/>
        </w:rPr>
        <w:t xml:space="preserve"> brand of PPPs, and ensure communication and engagement with senior government personnel is core to any new </w:t>
      </w:r>
      <w:r>
        <w:rPr>
          <w:rFonts w:cs="Roboto Light"/>
          <w:color w:val="000000"/>
        </w:rPr>
        <w:t>p</w:t>
      </w:r>
      <w:r w:rsidRPr="00560FD0">
        <w:rPr>
          <w:rFonts w:cs="Roboto Light"/>
          <w:color w:val="000000"/>
        </w:rPr>
        <w:t>rogram.</w:t>
      </w:r>
    </w:p>
    <w:p w14:paraId="426401EC" w14:textId="77777777" w:rsidR="00145B89" w:rsidRDefault="00145B89" w:rsidP="00145B89">
      <w:pPr>
        <w:pStyle w:val="SDAbodytext"/>
        <w:numPr>
          <w:ilvl w:val="0"/>
          <w:numId w:val="41"/>
        </w:numPr>
        <w:rPr>
          <w:rFonts w:cs="Roboto Light"/>
          <w:color w:val="000000"/>
        </w:rPr>
      </w:pPr>
      <w:r w:rsidRPr="0074670A">
        <w:rPr>
          <w:rFonts w:cs="Roboto Light"/>
          <w:color w:val="000000"/>
        </w:rPr>
        <w:t xml:space="preserve">Detail a </w:t>
      </w:r>
      <w:r w:rsidRPr="00C10629">
        <w:rPr>
          <w:rFonts w:cs="Roboto Light"/>
          <w:b/>
          <w:bCs/>
          <w:color w:val="000000"/>
        </w:rPr>
        <w:t xml:space="preserve">formal partnership approach </w:t>
      </w:r>
      <w:r>
        <w:rPr>
          <w:rFonts w:cs="Roboto Light"/>
          <w:b/>
          <w:bCs/>
          <w:color w:val="000000"/>
        </w:rPr>
        <w:t>within</w:t>
      </w:r>
      <w:r w:rsidRPr="00C10629">
        <w:rPr>
          <w:rFonts w:cs="Roboto Light"/>
          <w:b/>
          <w:bCs/>
          <w:color w:val="000000"/>
        </w:rPr>
        <w:t xml:space="preserve"> the design document and contract agreement</w:t>
      </w:r>
      <w:r w:rsidRPr="0074670A">
        <w:rPr>
          <w:rFonts w:cs="Roboto Light"/>
          <w:color w:val="000000"/>
        </w:rPr>
        <w:t xml:space="preserve"> that articulates clear roles and communication mechanisms to ensure DFAT’s engagement in strategic direction, monitoring and governance, and build in policy-based triggers to payments, rather than just tranche payments. </w:t>
      </w:r>
    </w:p>
    <w:p w14:paraId="11AA8285" w14:textId="4522F2C7" w:rsidR="00145B89" w:rsidRPr="00C10629" w:rsidRDefault="00145B89" w:rsidP="00145B89">
      <w:pPr>
        <w:pStyle w:val="SDAbodytext"/>
        <w:numPr>
          <w:ilvl w:val="0"/>
          <w:numId w:val="41"/>
        </w:numPr>
        <w:rPr>
          <w:rFonts w:cs="Roboto Light"/>
          <w:color w:val="000000"/>
        </w:rPr>
      </w:pPr>
      <w:r>
        <w:t xml:space="preserve">Invest in building stronger partnerships and </w:t>
      </w:r>
      <w:r w:rsidR="00C254A5">
        <w:t xml:space="preserve">maintaining </w:t>
      </w:r>
      <w:r>
        <w:t xml:space="preserve">more proactive engagement when working through ADB </w:t>
      </w:r>
      <w:r w:rsidR="00873C64">
        <w:t>or other</w:t>
      </w:r>
      <w:r>
        <w:t xml:space="preserve"> </w:t>
      </w:r>
      <w:r w:rsidRPr="00D43945">
        <w:rPr>
          <w:b/>
          <w:bCs/>
        </w:rPr>
        <w:t xml:space="preserve">multilateral institutions to ensure strategic relationships and engagement </w:t>
      </w:r>
      <w:r w:rsidRPr="0044738D">
        <w:t>with a broad range of stakeholders</w:t>
      </w:r>
      <w:r>
        <w:t xml:space="preserve">, including by allocating additional staffing resources within </w:t>
      </w:r>
      <w:r w:rsidR="00D54BD2">
        <w:t xml:space="preserve">the </w:t>
      </w:r>
      <w:r w:rsidR="00873C64">
        <w:t>Embassy</w:t>
      </w:r>
      <w:r>
        <w:t xml:space="preserve"> to support strategic and partnership engagement.</w:t>
      </w:r>
    </w:p>
    <w:p w14:paraId="555DDC3E" w14:textId="6F01EBCB" w:rsidR="00145B89" w:rsidRPr="003D2BC5" w:rsidRDefault="00145B89" w:rsidP="00145B89">
      <w:pPr>
        <w:pStyle w:val="ListParagraph"/>
        <w:numPr>
          <w:ilvl w:val="0"/>
          <w:numId w:val="41"/>
        </w:numPr>
        <w:spacing w:after="100" w:afterAutospacing="1" w:line="240" w:lineRule="auto"/>
        <w:contextualSpacing w:val="0"/>
        <w:rPr>
          <w:rFonts w:cstheme="minorHAnsi"/>
        </w:rPr>
      </w:pPr>
      <w:r w:rsidRPr="0074670A">
        <w:rPr>
          <w:rFonts w:cstheme="minorHAnsi"/>
        </w:rPr>
        <w:t>Ensure</w:t>
      </w:r>
      <w:r w:rsidRPr="00C10629">
        <w:rPr>
          <w:rFonts w:cstheme="minorHAnsi"/>
          <w:b/>
          <w:bCs/>
        </w:rPr>
        <w:t xml:space="preserve"> </w:t>
      </w:r>
      <w:r w:rsidR="00873C64" w:rsidRPr="00873C64">
        <w:rPr>
          <w:rFonts w:cstheme="minorHAnsi"/>
          <w:b/>
          <w:bCs/>
        </w:rPr>
        <w:t xml:space="preserve">monitoring and evaluation </w:t>
      </w:r>
      <w:r w:rsidRPr="00C10629">
        <w:rPr>
          <w:rFonts w:cstheme="minorHAnsi"/>
          <w:b/>
          <w:bCs/>
        </w:rPr>
        <w:t>supports adaptive management and strategy testing approaches</w:t>
      </w:r>
      <w:r w:rsidRPr="0074670A">
        <w:rPr>
          <w:rFonts w:cstheme="minorHAnsi"/>
        </w:rPr>
        <w:t xml:space="preserve"> for DFAT </w:t>
      </w:r>
      <w:r w:rsidR="00214764">
        <w:rPr>
          <w:rFonts w:cstheme="minorHAnsi"/>
        </w:rPr>
        <w:t>programs</w:t>
      </w:r>
      <w:r w:rsidR="00214764" w:rsidRPr="0074670A">
        <w:rPr>
          <w:rFonts w:cstheme="minorHAnsi"/>
        </w:rPr>
        <w:t xml:space="preserve"> </w:t>
      </w:r>
      <w:r w:rsidRPr="0074670A">
        <w:rPr>
          <w:rFonts w:cstheme="minorHAnsi"/>
        </w:rPr>
        <w:t xml:space="preserve">that are strongly shaped by political-economy factors and work closely with national governments, </w:t>
      </w:r>
      <w:r>
        <w:rPr>
          <w:rFonts w:cstheme="minorHAnsi"/>
        </w:rPr>
        <w:t xml:space="preserve">noting that this may require DFAT to negotiate, contribute to and resource a separate </w:t>
      </w:r>
      <w:r w:rsidR="00873C64">
        <w:t xml:space="preserve">monitoring and evaluation </w:t>
      </w:r>
      <w:r>
        <w:rPr>
          <w:rFonts w:cstheme="minorHAnsi"/>
        </w:rPr>
        <w:t xml:space="preserve">framework when working through multilateral institutions. </w:t>
      </w:r>
    </w:p>
    <w:p w14:paraId="0CD70BA5" w14:textId="2E084A10" w:rsidR="00145B89" w:rsidRPr="00D43945" w:rsidRDefault="00145B89" w:rsidP="00145B89">
      <w:pPr>
        <w:pStyle w:val="SDAbodytext"/>
        <w:numPr>
          <w:ilvl w:val="0"/>
          <w:numId w:val="41"/>
        </w:numPr>
        <w:rPr>
          <w:rFonts w:cs="Roboto Light"/>
          <w:color w:val="000000"/>
        </w:rPr>
      </w:pPr>
      <w:r w:rsidRPr="00A07C4D">
        <w:rPr>
          <w:rFonts w:cstheme="minorHAnsi"/>
        </w:rPr>
        <w:lastRenderedPageBreak/>
        <w:t xml:space="preserve">Explore opportunities to </w:t>
      </w:r>
      <w:r w:rsidRPr="00C10629">
        <w:rPr>
          <w:rFonts w:cstheme="minorHAnsi"/>
          <w:b/>
          <w:bCs/>
        </w:rPr>
        <w:t>integrate a future PPP element into existing DFAT</w:t>
      </w:r>
      <w:r w:rsidRPr="00D43945">
        <w:rPr>
          <w:b/>
          <w:bCs/>
        </w:rPr>
        <w:t xml:space="preserve"> investment</w:t>
      </w:r>
      <w:r w:rsidR="00214764">
        <w:rPr>
          <w:b/>
          <w:bCs/>
        </w:rPr>
        <w:t>s</w:t>
      </w:r>
      <w:r>
        <w:t xml:space="preserve">, with PPPs positioned as one of several modalities to support inclusive infrastructure development. </w:t>
      </w:r>
    </w:p>
    <w:p w14:paraId="30E6799B" w14:textId="0F0E178A" w:rsidR="00145B89" w:rsidRPr="00D43945" w:rsidRDefault="00145B89" w:rsidP="00145B89">
      <w:pPr>
        <w:pStyle w:val="SDAbodytext"/>
        <w:numPr>
          <w:ilvl w:val="0"/>
          <w:numId w:val="41"/>
        </w:numPr>
        <w:rPr>
          <w:rFonts w:cs="Roboto Light"/>
          <w:color w:val="000000"/>
        </w:rPr>
      </w:pPr>
      <w:r>
        <w:t xml:space="preserve">Consider engagement with the Australian private sector for any new project in </w:t>
      </w:r>
      <w:r w:rsidRPr="00BE08A7">
        <w:t>targeted</w:t>
      </w:r>
      <w:r>
        <w:t xml:space="preserve"> </w:t>
      </w:r>
      <w:r w:rsidRPr="00D43945">
        <w:rPr>
          <w:b/>
          <w:bCs/>
        </w:rPr>
        <w:t>Australian</w:t>
      </w:r>
      <w:r>
        <w:t xml:space="preserve"> </w:t>
      </w:r>
      <w:r w:rsidRPr="00D43945">
        <w:rPr>
          <w:b/>
          <w:bCs/>
        </w:rPr>
        <w:t>niche areas</w:t>
      </w:r>
      <w:r>
        <w:t xml:space="preserve"> such as </w:t>
      </w:r>
      <w:r w:rsidR="00D54BD2">
        <w:t>g</w:t>
      </w:r>
      <w:r>
        <w:t xml:space="preserve">ender </w:t>
      </w:r>
      <w:r w:rsidR="00D54BD2">
        <w:t>e</w:t>
      </w:r>
      <w:r>
        <w:t xml:space="preserve">quality, </w:t>
      </w:r>
      <w:r w:rsidR="00D54BD2">
        <w:t>d</w:t>
      </w:r>
      <w:r>
        <w:t xml:space="preserve">isability and </w:t>
      </w:r>
      <w:r w:rsidR="00D54BD2">
        <w:t>s</w:t>
      </w:r>
      <w:r>
        <w:t xml:space="preserve">ocial </w:t>
      </w:r>
      <w:r w:rsidR="00D54BD2">
        <w:t>i</w:t>
      </w:r>
      <w:r>
        <w:t>nclusion (GEDSI) and safeguarding, new technology, quality of infrastructure,</w:t>
      </w:r>
      <w:r w:rsidR="005D1524">
        <w:t xml:space="preserve"> and</w:t>
      </w:r>
      <w:r>
        <w:t xml:space="preserve"> anti-corruption.</w:t>
      </w:r>
    </w:p>
    <w:p w14:paraId="14D3FFC9" w14:textId="218D85C1" w:rsidR="00145B89" w:rsidRPr="003D2BC5" w:rsidRDefault="00145B89" w:rsidP="00145B89">
      <w:pPr>
        <w:pStyle w:val="SDAbodytext"/>
        <w:numPr>
          <w:ilvl w:val="0"/>
          <w:numId w:val="41"/>
        </w:numPr>
        <w:rPr>
          <w:rFonts w:cs="Roboto Light"/>
          <w:color w:val="000000"/>
        </w:rPr>
      </w:pPr>
      <w:r>
        <w:t xml:space="preserve">Link with </w:t>
      </w:r>
      <w:r w:rsidRPr="00D43945">
        <w:rPr>
          <w:b/>
          <w:bCs/>
        </w:rPr>
        <w:t xml:space="preserve">DFAT’s regional program ‘Partnerships for </w:t>
      </w:r>
      <w:r w:rsidR="00873C64">
        <w:rPr>
          <w:b/>
          <w:bCs/>
        </w:rPr>
        <w:t>I</w:t>
      </w:r>
      <w:r w:rsidRPr="00D43945">
        <w:rPr>
          <w:b/>
          <w:bCs/>
        </w:rPr>
        <w:t>nfrastructure’</w:t>
      </w:r>
      <w:r>
        <w:t xml:space="preserve"> to support continued sharing of Australian expertise, technical assistance and strengthening of bilateral links.</w:t>
      </w:r>
    </w:p>
    <w:p w14:paraId="5838C8CA" w14:textId="433919C7" w:rsidR="00145B89" w:rsidRPr="00145B89" w:rsidRDefault="00145B89" w:rsidP="00145B89">
      <w:pPr>
        <w:pStyle w:val="SDAbodytext"/>
        <w:numPr>
          <w:ilvl w:val="0"/>
          <w:numId w:val="41"/>
        </w:numPr>
        <w:rPr>
          <w:rFonts w:cs="Roboto Light"/>
          <w:color w:val="000000"/>
        </w:rPr>
      </w:pPr>
      <w:r>
        <w:t>Prioritise investment in capacity development</w:t>
      </w:r>
      <w:r w:rsidR="00873C64">
        <w:t xml:space="preserve"> in the Philippines</w:t>
      </w:r>
      <w:r>
        <w:t xml:space="preserve"> for </w:t>
      </w:r>
      <w:r w:rsidR="00873C64">
        <w:t>public financial management</w:t>
      </w:r>
      <w:r>
        <w:t xml:space="preserve">, program development, planning and contract management for </w:t>
      </w:r>
      <w:r w:rsidRPr="00D43945">
        <w:rPr>
          <w:b/>
          <w:bCs/>
        </w:rPr>
        <w:t>enhanced infrastructure development at the local level,</w:t>
      </w:r>
      <w:r>
        <w:t xml:space="preserve"> drawing on the approach used by DFAT’s humanitarian program in the Philippines (SHIELD).</w:t>
      </w:r>
    </w:p>
    <w:p w14:paraId="5282E185" w14:textId="444CDCB7" w:rsidR="002F744B" w:rsidRPr="00BF7C54" w:rsidRDefault="002F744B" w:rsidP="00F2226C">
      <w:pPr>
        <w:pStyle w:val="Heading20"/>
      </w:pPr>
      <w:bookmarkStart w:id="84" w:name="_Toc96435336"/>
      <w:bookmarkEnd w:id="82"/>
      <w:bookmarkEnd w:id="83"/>
      <w:r>
        <w:t>6</w:t>
      </w:r>
      <w:r w:rsidRPr="00BF7C54">
        <w:tab/>
      </w:r>
      <w:r>
        <w:t>Conclusion</w:t>
      </w:r>
      <w:bookmarkEnd w:id="84"/>
      <w:r w:rsidRPr="00BF7C54">
        <w:t xml:space="preserve"> </w:t>
      </w:r>
    </w:p>
    <w:p w14:paraId="1944DABB" w14:textId="333F5A0A" w:rsidR="00C82803" w:rsidRPr="00BE53BD" w:rsidRDefault="00141468" w:rsidP="006B254D">
      <w:pPr>
        <w:spacing w:line="240" w:lineRule="auto"/>
        <w:rPr>
          <w:lang w:val="en-GB"/>
        </w:rPr>
        <w:sectPr w:rsidR="00C82803" w:rsidRPr="00BE53BD" w:rsidSect="008801FC">
          <w:footerReference w:type="default" r:id="rId12"/>
          <w:pgSz w:w="11906" w:h="16838"/>
          <w:pgMar w:top="1440" w:right="1440" w:bottom="1440" w:left="1440" w:header="708" w:footer="708" w:gutter="0"/>
          <w:pgNumType w:start="1"/>
          <w:cols w:space="708"/>
          <w:docGrid w:linePitch="360"/>
        </w:sectPr>
      </w:pPr>
      <w:r>
        <w:rPr>
          <w:rFonts w:cstheme="minorHAnsi"/>
        </w:rPr>
        <w:t xml:space="preserve">The </w:t>
      </w:r>
      <w:r w:rsidR="002470CE">
        <w:rPr>
          <w:rFonts w:cstheme="minorHAnsi"/>
        </w:rPr>
        <w:t>TA</w:t>
      </w:r>
      <w:r>
        <w:rPr>
          <w:rFonts w:cstheme="minorHAnsi"/>
        </w:rPr>
        <w:t xml:space="preserve"> </w:t>
      </w:r>
      <w:r w:rsidR="00873C64">
        <w:rPr>
          <w:rFonts w:cstheme="minorHAnsi"/>
        </w:rPr>
        <w:t>was</w:t>
      </w:r>
      <w:r>
        <w:rPr>
          <w:rFonts w:cstheme="minorHAnsi"/>
        </w:rPr>
        <w:t xml:space="preserve"> an effective program that </w:t>
      </w:r>
      <w:r w:rsidR="00873C64">
        <w:rPr>
          <w:rFonts w:cstheme="minorHAnsi"/>
        </w:rPr>
        <w:t>was</w:t>
      </w:r>
      <w:r>
        <w:rPr>
          <w:rFonts w:cstheme="minorHAnsi"/>
        </w:rPr>
        <w:t xml:space="preserve"> highly valued by </w:t>
      </w:r>
      <w:r w:rsidR="002470CE">
        <w:rPr>
          <w:rFonts w:cstheme="minorHAnsi"/>
        </w:rPr>
        <w:t>Philippine country</w:t>
      </w:r>
      <w:r>
        <w:rPr>
          <w:rFonts w:cstheme="minorHAnsi"/>
        </w:rPr>
        <w:t xml:space="preserve"> partners. </w:t>
      </w:r>
      <w:r w:rsidR="00E4346F">
        <w:rPr>
          <w:rFonts w:cstheme="minorHAnsi"/>
        </w:rPr>
        <w:t xml:space="preserve">The TA </w:t>
      </w:r>
      <w:r w:rsidR="00873C64">
        <w:rPr>
          <w:rFonts w:cstheme="minorHAnsi"/>
        </w:rPr>
        <w:t>was</w:t>
      </w:r>
      <w:r w:rsidR="00E4346F">
        <w:rPr>
          <w:rFonts w:cstheme="minorHAnsi"/>
        </w:rPr>
        <w:t xml:space="preserve"> targeted and flexible, </w:t>
      </w:r>
      <w:r w:rsidR="00672D26">
        <w:rPr>
          <w:rFonts w:cstheme="minorHAnsi"/>
        </w:rPr>
        <w:t xml:space="preserve">with an </w:t>
      </w:r>
      <w:r w:rsidR="00E4346F">
        <w:rPr>
          <w:rFonts w:cstheme="minorHAnsi"/>
        </w:rPr>
        <w:t xml:space="preserve">approach that </w:t>
      </w:r>
      <w:r w:rsidR="00873C64">
        <w:rPr>
          <w:rFonts w:cstheme="minorHAnsi"/>
        </w:rPr>
        <w:t>was</w:t>
      </w:r>
      <w:r w:rsidR="00E4346F">
        <w:rPr>
          <w:rFonts w:cstheme="minorHAnsi"/>
        </w:rPr>
        <w:t xml:space="preserve"> well suited to the maturity of Philippine partner institutions and personnel, and </w:t>
      </w:r>
      <w:r w:rsidR="00E4346F">
        <w:t>significantly contributed to the Philippines PPP structure and the capacity of</w:t>
      </w:r>
      <w:r w:rsidR="00873C64">
        <w:t xml:space="preserve"> Philippine</w:t>
      </w:r>
      <w:r w:rsidR="00E4346F">
        <w:t xml:space="preserve"> government agencies which strongly </w:t>
      </w:r>
      <w:r w:rsidR="00E4346F" w:rsidRPr="001674D8">
        <w:t>advanc</w:t>
      </w:r>
      <w:r w:rsidR="00E4346F">
        <w:t>ed</w:t>
      </w:r>
      <w:r w:rsidR="00E4346F" w:rsidRPr="001674D8">
        <w:t xml:space="preserve"> </w:t>
      </w:r>
      <w:r w:rsidR="00E4346F">
        <w:t xml:space="preserve">the PPP Program. </w:t>
      </w:r>
      <w:r w:rsidR="00E4346F" w:rsidRPr="00E4346F">
        <w:t xml:space="preserve">Sharing of Australian expertise and lessons from practice </w:t>
      </w:r>
      <w:r w:rsidR="00873C64">
        <w:t>were</w:t>
      </w:r>
      <w:r w:rsidR="00E4346F" w:rsidRPr="00E4346F">
        <w:t xml:space="preserve"> well leveraged through the TA, significantly contributing to the TA’s effectiveness and to bilateral relations</w:t>
      </w:r>
      <w:r w:rsidR="00E4346F">
        <w:t xml:space="preserve">. While the TA remained relevant over the course of the ten-year period, effectiveness could have been enhanced through a </w:t>
      </w:r>
      <w:r w:rsidR="00E4346F" w:rsidRPr="003A671D">
        <w:rPr>
          <w:lang w:val="en-GB"/>
        </w:rPr>
        <w:t xml:space="preserve">more formal </w:t>
      </w:r>
      <w:r w:rsidR="00E4346F">
        <w:rPr>
          <w:lang w:val="en-GB"/>
        </w:rPr>
        <w:t>TA</w:t>
      </w:r>
      <w:r w:rsidR="00E4346F" w:rsidRPr="003A671D">
        <w:rPr>
          <w:lang w:val="en-GB"/>
        </w:rPr>
        <w:t xml:space="preserve"> strategy realignment upon a change in </w:t>
      </w:r>
      <w:r w:rsidR="00E4346F">
        <w:rPr>
          <w:lang w:val="en-GB"/>
        </w:rPr>
        <w:t xml:space="preserve">the policy environment. </w:t>
      </w:r>
      <w:r w:rsidR="00873C64">
        <w:rPr>
          <w:lang w:val="en-GB"/>
        </w:rPr>
        <w:t xml:space="preserve">The </w:t>
      </w:r>
      <w:r w:rsidR="000321CA">
        <w:rPr>
          <w:lang w:val="en-GB"/>
        </w:rPr>
        <w:t>COVID</w:t>
      </w:r>
      <w:r w:rsidR="00E4346F">
        <w:rPr>
          <w:lang w:val="en-GB"/>
        </w:rPr>
        <w:t xml:space="preserve">-19 </w:t>
      </w:r>
      <w:r w:rsidR="00873C64">
        <w:rPr>
          <w:lang w:val="en-GB"/>
        </w:rPr>
        <w:t xml:space="preserve">pandemic </w:t>
      </w:r>
      <w:r w:rsidR="00E4346F">
        <w:rPr>
          <w:lang w:val="en-GB"/>
        </w:rPr>
        <w:t xml:space="preserve">highlighted key infrastructure gaps, </w:t>
      </w:r>
      <w:r w:rsidR="00C90961">
        <w:rPr>
          <w:lang w:val="en-GB"/>
        </w:rPr>
        <w:t>signalling</w:t>
      </w:r>
      <w:r w:rsidR="00E4346F">
        <w:rPr>
          <w:lang w:val="en-GB"/>
        </w:rPr>
        <w:t xml:space="preserve"> the continued need for the PPP modality, along with the need to create </w:t>
      </w:r>
      <w:r w:rsidR="00C90961">
        <w:rPr>
          <w:lang w:val="en-GB"/>
        </w:rPr>
        <w:t xml:space="preserve">inclusive </w:t>
      </w:r>
      <w:r w:rsidR="00E4346F">
        <w:rPr>
          <w:lang w:val="en-GB"/>
        </w:rPr>
        <w:t>climate resilient infrastructure</w:t>
      </w:r>
      <w:r w:rsidR="00BE53BD">
        <w:rPr>
          <w:lang w:val="en-GB"/>
        </w:rPr>
        <w:t xml:space="preserve"> </w:t>
      </w:r>
      <w:r w:rsidR="00C90961">
        <w:rPr>
          <w:lang w:val="en-GB"/>
        </w:rPr>
        <w:t>that</w:t>
      </w:r>
      <w:r w:rsidR="00BE53BD">
        <w:rPr>
          <w:lang w:val="en-GB"/>
        </w:rPr>
        <w:t xml:space="preserve"> protect</w:t>
      </w:r>
      <w:r w:rsidR="00AF0DD8">
        <w:rPr>
          <w:lang w:val="en-GB"/>
        </w:rPr>
        <w:t>s</w:t>
      </w:r>
      <w:r w:rsidR="00BE53BD">
        <w:rPr>
          <w:lang w:val="en-GB"/>
        </w:rPr>
        <w:t xml:space="preserve"> against environmental threats</w:t>
      </w:r>
      <w:r w:rsidR="005E2421">
        <w:rPr>
          <w:lang w:val="en-GB"/>
        </w:rPr>
        <w:t>.</w:t>
      </w:r>
      <w:r w:rsidR="00E4346F">
        <w:rPr>
          <w:lang w:val="en-GB"/>
        </w:rPr>
        <w:t xml:space="preserve"> Country partners are well positioned to meet future needs, with the next step in </w:t>
      </w:r>
      <w:r w:rsidR="00AF0DD8">
        <w:rPr>
          <w:lang w:val="en-GB"/>
        </w:rPr>
        <w:t xml:space="preserve">the </w:t>
      </w:r>
      <w:r w:rsidR="00C90961">
        <w:rPr>
          <w:lang w:val="en-GB"/>
        </w:rPr>
        <w:t xml:space="preserve">Philippines </w:t>
      </w:r>
      <w:r w:rsidR="00E4346F">
        <w:rPr>
          <w:lang w:val="en-GB"/>
        </w:rPr>
        <w:t xml:space="preserve">PPP </w:t>
      </w:r>
      <w:r w:rsidR="00C90961">
        <w:rPr>
          <w:lang w:val="en-GB"/>
        </w:rPr>
        <w:t xml:space="preserve">Program’s </w:t>
      </w:r>
      <w:r w:rsidR="00E4346F">
        <w:rPr>
          <w:lang w:val="en-GB"/>
        </w:rPr>
        <w:t>development marked by a</w:t>
      </w:r>
      <w:r w:rsidR="00C90961">
        <w:rPr>
          <w:lang w:val="en-GB"/>
        </w:rPr>
        <w:t xml:space="preserve"> directive to </w:t>
      </w:r>
      <w:r w:rsidR="00E4346F">
        <w:rPr>
          <w:lang w:val="en-GB"/>
        </w:rPr>
        <w:t xml:space="preserve">support </w:t>
      </w:r>
      <w:r w:rsidR="00873C64">
        <w:rPr>
          <w:lang w:val="en-GB"/>
        </w:rPr>
        <w:t xml:space="preserve">local governments </w:t>
      </w:r>
      <w:r w:rsidR="00BE53BD">
        <w:rPr>
          <w:lang w:val="en-GB"/>
        </w:rPr>
        <w:t>to develop capacity, particularly in program development and management</w:t>
      </w:r>
      <w:r w:rsidR="00873C64">
        <w:rPr>
          <w:lang w:val="en-GB"/>
        </w:rPr>
        <w:t xml:space="preserve"> in the face of a new decentralisation process in 2022</w:t>
      </w:r>
      <w:r w:rsidR="00BE53BD">
        <w:rPr>
          <w:lang w:val="en-GB"/>
        </w:rPr>
        <w:t xml:space="preserve">. Australia is </w:t>
      </w:r>
      <w:r w:rsidR="00C90961">
        <w:rPr>
          <w:lang w:val="en-GB"/>
        </w:rPr>
        <w:t xml:space="preserve">well </w:t>
      </w:r>
      <w:r w:rsidR="00BE53BD">
        <w:rPr>
          <w:lang w:val="en-GB"/>
        </w:rPr>
        <w:t>positioned to provide targeted support, and</w:t>
      </w:r>
      <w:r>
        <w:rPr>
          <w:rFonts w:cstheme="minorHAnsi"/>
        </w:rPr>
        <w:t xml:space="preserve"> pursue a more </w:t>
      </w:r>
      <w:r w:rsidR="00BE53BD">
        <w:rPr>
          <w:rFonts w:cstheme="minorHAnsi"/>
        </w:rPr>
        <w:t>strategic and proactive engagement, that fully leverages its networks and expertise.</w:t>
      </w:r>
      <w:r w:rsidR="000B35DD">
        <w:rPr>
          <w:rFonts w:cstheme="minorHAnsi"/>
        </w:rPr>
        <w:t xml:space="preserve">  </w:t>
      </w:r>
    </w:p>
    <w:p w14:paraId="53D63774" w14:textId="456A477A" w:rsidR="002F744B" w:rsidRPr="00BF7C54" w:rsidRDefault="002F744B" w:rsidP="00F2226C">
      <w:pPr>
        <w:pStyle w:val="Heading20"/>
      </w:pPr>
      <w:bookmarkStart w:id="86" w:name="_Toc96435337"/>
      <w:r>
        <w:lastRenderedPageBreak/>
        <w:t>7</w:t>
      </w:r>
      <w:r w:rsidRPr="00BF7C54">
        <w:tab/>
      </w:r>
      <w:r>
        <w:t>Annexes</w:t>
      </w:r>
      <w:bookmarkEnd w:id="86"/>
      <w:r w:rsidRPr="00BF7C54">
        <w:t xml:space="preserve"> </w:t>
      </w:r>
    </w:p>
    <w:p w14:paraId="5C54A5F7" w14:textId="37A39876" w:rsidR="006538AE" w:rsidRPr="00C63CFB" w:rsidRDefault="00C82803" w:rsidP="00F2226C">
      <w:pPr>
        <w:pStyle w:val="Heading3"/>
      </w:pPr>
      <w:bookmarkStart w:id="87" w:name="_Toc66344293"/>
      <w:bookmarkStart w:id="88" w:name="_Toc96435338"/>
      <w:r>
        <w:t>Annex 1: Timeline</w:t>
      </w:r>
      <w:bookmarkEnd w:id="87"/>
      <w:bookmarkEnd w:id="88"/>
    </w:p>
    <w:p w14:paraId="6881C4FD" w14:textId="77777777" w:rsidR="00C82803" w:rsidRDefault="00C82803" w:rsidP="006538AE">
      <w:pPr>
        <w:spacing w:line="240" w:lineRule="auto"/>
        <w:rPr>
          <w:rFonts w:cstheme="minorHAnsi"/>
        </w:rPr>
      </w:pPr>
      <w:bookmarkStart w:id="89" w:name="_Toc66829844"/>
      <w:bookmarkEnd w:id="89"/>
    </w:p>
    <w:p w14:paraId="56F745F6" w14:textId="2875832E" w:rsidR="00E71EB2" w:rsidRPr="006538AE" w:rsidRDefault="00C22749" w:rsidP="006538AE">
      <w:pPr>
        <w:spacing w:line="240" w:lineRule="auto"/>
        <w:rPr>
          <w:rFonts w:cstheme="minorHAnsi"/>
        </w:rPr>
        <w:sectPr w:rsidR="00E71EB2" w:rsidRPr="006538AE" w:rsidSect="008801FC">
          <w:pgSz w:w="16838" w:h="11906" w:orient="landscape"/>
          <w:pgMar w:top="1440" w:right="1440" w:bottom="1440" w:left="1440" w:header="709" w:footer="709" w:gutter="0"/>
          <w:cols w:space="708"/>
          <w:docGrid w:linePitch="360"/>
        </w:sectPr>
      </w:pPr>
      <w:r>
        <w:rPr>
          <w:rFonts w:cstheme="minorHAnsi"/>
          <w:noProof/>
        </w:rPr>
        <w:drawing>
          <wp:inline distT="0" distB="0" distL="0" distR="0" wp14:anchorId="3F363ABA" wp14:editId="22EEC39B">
            <wp:extent cx="8861794" cy="4015241"/>
            <wp:effectExtent l="0" t="0" r="0" b="0"/>
            <wp:docPr id="9" name="Picture 9" descr="Annex 1:  Timeline - A timeline outlining key political economy developments and program events and developments related to the development of PPPs in the Philippines from the Arroyo Administration (2011) up to anticipated closing of the TA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nnex 1:  Timeline - A timeline outlining key political economy developments and program events and developments related to the development of PPPs in the Philippines from the Arroyo Administration (2011) up to anticipated closing of the TA (2022). "/>
                    <pic:cNvPicPr/>
                  </pic:nvPicPr>
                  <pic:blipFill>
                    <a:blip r:embed="rId13">
                      <a:extLst>
                        <a:ext uri="{28A0092B-C50C-407E-A947-70E740481C1C}">
                          <a14:useLocalDpi xmlns:a14="http://schemas.microsoft.com/office/drawing/2010/main" val="0"/>
                        </a:ext>
                      </a:extLst>
                    </a:blip>
                    <a:stretch>
                      <a:fillRect/>
                    </a:stretch>
                  </pic:blipFill>
                  <pic:spPr>
                    <a:xfrm>
                      <a:off x="0" y="0"/>
                      <a:ext cx="8861794" cy="4015241"/>
                    </a:xfrm>
                    <a:prstGeom prst="rect">
                      <a:avLst/>
                    </a:prstGeom>
                  </pic:spPr>
                </pic:pic>
              </a:graphicData>
            </a:graphic>
          </wp:inline>
        </w:drawing>
      </w:r>
    </w:p>
    <w:p w14:paraId="5291A15B" w14:textId="28C667FC" w:rsidR="00C82803" w:rsidRDefault="00C82803" w:rsidP="00F2226C">
      <w:pPr>
        <w:pStyle w:val="Heading3"/>
      </w:pPr>
      <w:bookmarkStart w:id="90" w:name="_Toc96435339"/>
      <w:r>
        <w:lastRenderedPageBreak/>
        <w:t>Annex 2: Results Charts</w:t>
      </w:r>
      <w:bookmarkEnd w:id="90"/>
    </w:p>
    <w:p w14:paraId="622403AD" w14:textId="64AD585F" w:rsidR="00800AAD" w:rsidRPr="00D25BF1" w:rsidRDefault="00800AAD" w:rsidP="00800AAD">
      <w:pPr>
        <w:spacing w:after="40" w:line="240" w:lineRule="auto"/>
        <w:ind w:right="380"/>
        <w:rPr>
          <w:b/>
          <w:bCs/>
          <w:color w:val="0070C0"/>
        </w:rPr>
      </w:pPr>
      <w:bookmarkStart w:id="91" w:name="_Hlk66892060"/>
      <w:r w:rsidRPr="00D25BF1">
        <w:rPr>
          <w:b/>
          <w:bCs/>
          <w:color w:val="0070C0"/>
        </w:rPr>
        <w:t xml:space="preserve">Outcome 1: </w:t>
      </w:r>
      <w:r w:rsidR="00A42AF3">
        <w:rPr>
          <w:b/>
          <w:bCs/>
          <w:color w:val="0070C0"/>
        </w:rPr>
        <w:t>I</w:t>
      </w:r>
      <w:r w:rsidRPr="00D25BF1">
        <w:rPr>
          <w:b/>
          <w:bCs/>
          <w:color w:val="0070C0"/>
        </w:rPr>
        <w:t>mprove the PPP enabling framework</w:t>
      </w:r>
    </w:p>
    <w:tbl>
      <w:tblPr>
        <w:tblStyle w:val="TableGrid11"/>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Caption w:val="Annex 2: Results Chart - Outcome 1: improve the PPP enabling framework"/>
        <w:tblDescription w:val="Highllights of key results for Outcome 1:  Improve the PPP enabling framework "/>
      </w:tblPr>
      <w:tblGrid>
        <w:gridCol w:w="3114"/>
        <w:gridCol w:w="5902"/>
      </w:tblGrid>
      <w:tr w:rsidR="00800AAD" w:rsidRPr="00012DBE" w14:paraId="6F2E8509" w14:textId="77777777" w:rsidTr="00D9467C">
        <w:trPr>
          <w:tblHeader/>
        </w:trPr>
        <w:tc>
          <w:tcPr>
            <w:tcW w:w="3114" w:type="dxa"/>
            <w:shd w:val="clear" w:color="auto" w:fill="9CC2E5" w:themeFill="accent1" w:themeFillTint="99"/>
          </w:tcPr>
          <w:p w14:paraId="1AADEABA" w14:textId="77777777" w:rsidR="00800AAD" w:rsidRPr="00D25BF1" w:rsidRDefault="00800AAD" w:rsidP="00930518">
            <w:pPr>
              <w:rPr>
                <w:rFonts w:cstheme="minorHAnsi"/>
                <w:b/>
                <w:sz w:val="22"/>
                <w:szCs w:val="22"/>
              </w:rPr>
            </w:pPr>
            <w:r w:rsidRPr="00D25BF1">
              <w:rPr>
                <w:rFonts w:cstheme="minorHAnsi"/>
                <w:b/>
                <w:sz w:val="22"/>
                <w:szCs w:val="22"/>
              </w:rPr>
              <w:t>Extent to which the outcome has been achieved</w:t>
            </w:r>
          </w:p>
        </w:tc>
        <w:tc>
          <w:tcPr>
            <w:tcW w:w="5902" w:type="dxa"/>
            <w:shd w:val="clear" w:color="auto" w:fill="9CC2E5" w:themeFill="accent1" w:themeFillTint="99"/>
          </w:tcPr>
          <w:p w14:paraId="1D12A41C" w14:textId="7C7CBCC0" w:rsidR="00800AAD" w:rsidRPr="00D25BF1" w:rsidRDefault="00800AAD" w:rsidP="00930518">
            <w:pPr>
              <w:rPr>
                <w:rFonts w:cstheme="minorHAnsi"/>
                <w:b/>
                <w:sz w:val="22"/>
                <w:szCs w:val="22"/>
              </w:rPr>
            </w:pPr>
            <w:r w:rsidRPr="00D25BF1">
              <w:rPr>
                <w:rFonts w:cstheme="minorHAnsi"/>
                <w:b/>
                <w:sz w:val="22"/>
                <w:szCs w:val="22"/>
              </w:rPr>
              <w:t xml:space="preserve">Key results </w:t>
            </w:r>
          </w:p>
        </w:tc>
      </w:tr>
      <w:tr w:rsidR="00800AAD" w:rsidRPr="00012DBE" w14:paraId="703C5ECA" w14:textId="77777777" w:rsidTr="00465B14">
        <w:tc>
          <w:tcPr>
            <w:tcW w:w="3114" w:type="dxa"/>
          </w:tcPr>
          <w:p w14:paraId="66B29351" w14:textId="206E1344" w:rsidR="00800AAD" w:rsidRPr="00012DBE" w:rsidRDefault="00800AAD" w:rsidP="00930518">
            <w:pPr>
              <w:tabs>
                <w:tab w:val="left" w:pos="355"/>
              </w:tabs>
              <w:spacing w:before="100"/>
              <w:rPr>
                <w:rFonts w:cstheme="minorHAnsi"/>
                <w:sz w:val="22"/>
                <w:szCs w:val="22"/>
              </w:rPr>
            </w:pPr>
            <w:r>
              <w:rPr>
                <w:rFonts w:cstheme="minorHAnsi"/>
                <w:sz w:val="22"/>
                <w:szCs w:val="22"/>
              </w:rPr>
              <w:t>Reforms passed in the early years successfully s</w:t>
            </w:r>
            <w:r w:rsidR="00417FF5">
              <w:rPr>
                <w:rFonts w:cstheme="minorHAnsi"/>
                <w:sz w:val="22"/>
                <w:szCs w:val="22"/>
              </w:rPr>
              <w:t>t</w:t>
            </w:r>
            <w:r>
              <w:rPr>
                <w:rFonts w:cstheme="minorHAnsi"/>
                <w:sz w:val="22"/>
                <w:szCs w:val="22"/>
              </w:rPr>
              <w:t xml:space="preserve">imulated </w:t>
            </w:r>
            <w:r w:rsidR="00A92122">
              <w:rPr>
                <w:rFonts w:cstheme="minorHAnsi"/>
                <w:sz w:val="22"/>
                <w:szCs w:val="22"/>
              </w:rPr>
              <w:t>private sector</w:t>
            </w:r>
            <w:r>
              <w:rPr>
                <w:rFonts w:cstheme="minorHAnsi"/>
                <w:sz w:val="22"/>
                <w:szCs w:val="22"/>
              </w:rPr>
              <w:t xml:space="preserve"> investment and </w:t>
            </w:r>
            <w:r w:rsidR="00465B14">
              <w:rPr>
                <w:rFonts w:cstheme="minorHAnsi"/>
                <w:sz w:val="22"/>
                <w:szCs w:val="22"/>
              </w:rPr>
              <w:t>infrastructure</w:t>
            </w:r>
            <w:r>
              <w:rPr>
                <w:rFonts w:cstheme="minorHAnsi"/>
                <w:sz w:val="22"/>
                <w:szCs w:val="22"/>
              </w:rPr>
              <w:t xml:space="preserve"> </w:t>
            </w:r>
            <w:r w:rsidR="00465B14">
              <w:rPr>
                <w:rFonts w:cstheme="minorHAnsi"/>
                <w:sz w:val="22"/>
                <w:szCs w:val="22"/>
              </w:rPr>
              <w:t>development. However, challenges persist</w:t>
            </w:r>
            <w:r w:rsidR="00417FF5">
              <w:rPr>
                <w:rFonts w:cstheme="minorHAnsi"/>
                <w:sz w:val="22"/>
                <w:szCs w:val="22"/>
              </w:rPr>
              <w:t>ed</w:t>
            </w:r>
            <w:r w:rsidR="00465B14">
              <w:rPr>
                <w:rFonts w:cstheme="minorHAnsi"/>
                <w:sz w:val="22"/>
                <w:szCs w:val="22"/>
              </w:rPr>
              <w:t xml:space="preserve"> as the PPP Act </w:t>
            </w:r>
            <w:r w:rsidR="00417FF5">
              <w:rPr>
                <w:rFonts w:cstheme="minorHAnsi"/>
                <w:sz w:val="22"/>
                <w:szCs w:val="22"/>
              </w:rPr>
              <w:t xml:space="preserve">was </w:t>
            </w:r>
            <w:r w:rsidR="00465B14">
              <w:rPr>
                <w:rFonts w:cstheme="minorHAnsi"/>
                <w:sz w:val="22"/>
                <w:szCs w:val="22"/>
              </w:rPr>
              <w:t xml:space="preserve">not been passed, hindering the enabling environment </w:t>
            </w:r>
          </w:p>
          <w:p w14:paraId="5246AA67" w14:textId="0647C61D" w:rsidR="00800AAD" w:rsidRPr="00012DBE" w:rsidRDefault="00800AAD" w:rsidP="00930518">
            <w:pPr>
              <w:tabs>
                <w:tab w:val="left" w:pos="355"/>
              </w:tabs>
              <w:rPr>
                <w:rFonts w:cstheme="minorHAnsi"/>
                <w:sz w:val="22"/>
                <w:szCs w:val="22"/>
              </w:rPr>
            </w:pPr>
          </w:p>
          <w:p w14:paraId="11330092" w14:textId="39E5E52E" w:rsidR="00465B14" w:rsidRDefault="00800AAD" w:rsidP="00930518">
            <w:pPr>
              <w:tabs>
                <w:tab w:val="left" w:pos="355"/>
              </w:tabs>
              <w:rPr>
                <w:rFonts w:cstheme="minorHAnsi"/>
                <w:sz w:val="22"/>
                <w:szCs w:val="22"/>
              </w:rPr>
            </w:pPr>
            <w:r w:rsidRPr="00012DBE">
              <w:rPr>
                <w:rFonts w:cstheme="minorHAnsi"/>
                <w:sz w:val="22"/>
                <w:szCs w:val="22"/>
              </w:rPr>
              <w:t xml:space="preserve">Australia played a </w:t>
            </w:r>
            <w:r w:rsidR="00465B14">
              <w:rPr>
                <w:rFonts w:cstheme="minorHAnsi"/>
                <w:sz w:val="22"/>
                <w:szCs w:val="22"/>
              </w:rPr>
              <w:t>key role in shifting the mindsets of legislators in the early years, and TA has supported the development of appropriate reforms, noting mixed success in their adoption</w:t>
            </w:r>
          </w:p>
          <w:p w14:paraId="735D957F" w14:textId="77777777" w:rsidR="00800AAD" w:rsidRPr="00012DBE" w:rsidRDefault="00800AAD" w:rsidP="00465B14">
            <w:pPr>
              <w:tabs>
                <w:tab w:val="left" w:pos="355"/>
              </w:tabs>
              <w:contextualSpacing/>
              <w:rPr>
                <w:rFonts w:cstheme="minorHAnsi"/>
                <w:sz w:val="22"/>
                <w:szCs w:val="22"/>
              </w:rPr>
            </w:pPr>
          </w:p>
        </w:tc>
        <w:tc>
          <w:tcPr>
            <w:tcW w:w="5902" w:type="dxa"/>
          </w:tcPr>
          <w:p w14:paraId="3EBEE7AF" w14:textId="172D458A" w:rsidR="00800AAD" w:rsidRPr="00417FF5" w:rsidRDefault="00800AAD" w:rsidP="00930518">
            <w:pPr>
              <w:numPr>
                <w:ilvl w:val="0"/>
                <w:numId w:val="35"/>
              </w:numPr>
              <w:tabs>
                <w:tab w:val="left" w:pos="355"/>
              </w:tabs>
              <w:contextualSpacing/>
              <w:rPr>
                <w:rFonts w:cstheme="minorHAnsi"/>
                <w:sz w:val="22"/>
                <w:szCs w:val="22"/>
              </w:rPr>
            </w:pPr>
            <w:r w:rsidRPr="00417FF5">
              <w:rPr>
                <w:rFonts w:cstheme="minorHAnsi"/>
                <w:sz w:val="22"/>
                <w:szCs w:val="22"/>
              </w:rPr>
              <w:t>Issuance of B</w:t>
            </w:r>
            <w:r w:rsidR="006F28F9">
              <w:rPr>
                <w:rFonts w:cstheme="minorHAnsi"/>
                <w:sz w:val="22"/>
                <w:szCs w:val="22"/>
              </w:rPr>
              <w:t>uild-Operate-and-Transfer (B</w:t>
            </w:r>
            <w:r w:rsidRPr="00417FF5">
              <w:rPr>
                <w:rFonts w:cstheme="minorHAnsi"/>
                <w:sz w:val="22"/>
                <w:szCs w:val="22"/>
              </w:rPr>
              <w:t>OT</w:t>
            </w:r>
            <w:r w:rsidR="006F28F9">
              <w:rPr>
                <w:rFonts w:cstheme="minorHAnsi"/>
                <w:sz w:val="22"/>
                <w:szCs w:val="22"/>
              </w:rPr>
              <w:t>)</w:t>
            </w:r>
            <w:r w:rsidRPr="00417FF5">
              <w:rPr>
                <w:rFonts w:cstheme="minorHAnsi"/>
                <w:sz w:val="22"/>
                <w:szCs w:val="22"/>
              </w:rPr>
              <w:t xml:space="preserve"> Law’s Revised Implementing Rules and Regulations and efforts to amend BOT Law via PPP Act</w:t>
            </w:r>
            <w:r w:rsidR="004304A0" w:rsidRPr="00417FF5">
              <w:rPr>
                <w:rFonts w:cstheme="minorHAnsi"/>
                <w:sz w:val="22"/>
                <w:szCs w:val="22"/>
              </w:rPr>
              <w:t xml:space="preserve"> (while proposed amendments were de</w:t>
            </w:r>
            <w:r w:rsidR="002442C5">
              <w:rPr>
                <w:rFonts w:cstheme="minorHAnsi"/>
                <w:sz w:val="22"/>
                <w:szCs w:val="22"/>
              </w:rPr>
              <w:t>l</w:t>
            </w:r>
            <w:r w:rsidR="004304A0" w:rsidRPr="00417FF5">
              <w:rPr>
                <w:rFonts w:cstheme="minorHAnsi"/>
                <w:sz w:val="22"/>
                <w:szCs w:val="22"/>
              </w:rPr>
              <w:t xml:space="preserve">isted as per footnote </w:t>
            </w:r>
            <w:r w:rsidR="002442C5">
              <w:rPr>
                <w:rFonts w:cstheme="minorHAnsi"/>
                <w:sz w:val="22"/>
                <w:szCs w:val="22"/>
              </w:rPr>
              <w:t>57</w:t>
            </w:r>
            <w:r w:rsidR="004304A0" w:rsidRPr="00417FF5">
              <w:rPr>
                <w:rFonts w:cstheme="minorHAnsi"/>
                <w:sz w:val="22"/>
                <w:szCs w:val="22"/>
              </w:rPr>
              <w:t xml:space="preserve"> </w:t>
            </w:r>
            <w:r w:rsidR="004304A0" w:rsidRPr="00417FF5">
              <w:rPr>
                <w:rFonts w:cstheme="minorHAnsi"/>
              </w:rPr>
              <w:t xml:space="preserve">hearings on the PPP Act </w:t>
            </w:r>
            <w:r w:rsidR="00417FF5" w:rsidRPr="00417FF5">
              <w:rPr>
                <w:rFonts w:cstheme="minorHAnsi"/>
              </w:rPr>
              <w:t xml:space="preserve">were </w:t>
            </w:r>
            <w:r w:rsidR="004304A0" w:rsidRPr="00417FF5">
              <w:rPr>
                <w:rFonts w:cstheme="minorHAnsi"/>
              </w:rPr>
              <w:t xml:space="preserve">still proceeding in Congress in the House of </w:t>
            </w:r>
            <w:r w:rsidR="004304A0" w:rsidRPr="00417FF5">
              <w:rPr>
                <w:rFonts w:cstheme="minorHAnsi"/>
                <w:sz w:val="22"/>
                <w:szCs w:val="22"/>
              </w:rPr>
              <w:t>Representatives</w:t>
            </w:r>
            <w:r w:rsidR="004304A0" w:rsidRPr="00417FF5">
              <w:rPr>
                <w:rStyle w:val="FootnoteReference"/>
                <w:rFonts w:cstheme="minorHAnsi"/>
                <w:sz w:val="22"/>
                <w:szCs w:val="22"/>
              </w:rPr>
              <w:footnoteReference w:id="66"/>
            </w:r>
            <w:r w:rsidR="004304A0" w:rsidRPr="00417FF5">
              <w:rPr>
                <w:rFonts w:cstheme="minorHAnsi"/>
              </w:rPr>
              <w:t xml:space="preserve"> and Senate</w:t>
            </w:r>
            <w:r w:rsidR="004304A0" w:rsidRPr="00417FF5">
              <w:rPr>
                <w:rStyle w:val="FootnoteReference"/>
                <w:rFonts w:cstheme="minorHAnsi"/>
                <w:sz w:val="22"/>
                <w:szCs w:val="22"/>
              </w:rPr>
              <w:footnoteReference w:id="67"/>
            </w:r>
            <w:r w:rsidR="004304A0" w:rsidRPr="00417FF5">
              <w:rPr>
                <w:rFonts w:cstheme="minorHAnsi"/>
              </w:rPr>
              <w:t>)</w:t>
            </w:r>
            <w:r w:rsidR="00417FF5" w:rsidRPr="00417FF5">
              <w:rPr>
                <w:rFonts w:cstheme="minorHAnsi"/>
              </w:rPr>
              <w:t>at time of writing.</w:t>
            </w:r>
          </w:p>
          <w:p w14:paraId="3CCB0D06" w14:textId="61AFF3CE" w:rsidR="00800AAD" w:rsidRPr="00417FF5" w:rsidRDefault="00800AAD" w:rsidP="00930518">
            <w:pPr>
              <w:numPr>
                <w:ilvl w:val="0"/>
                <w:numId w:val="35"/>
              </w:numPr>
              <w:tabs>
                <w:tab w:val="left" w:pos="355"/>
              </w:tabs>
              <w:contextualSpacing/>
              <w:rPr>
                <w:rFonts w:cstheme="minorHAnsi"/>
                <w:sz w:val="22"/>
                <w:szCs w:val="22"/>
              </w:rPr>
            </w:pPr>
            <w:r w:rsidRPr="00417FF5">
              <w:rPr>
                <w:rFonts w:cstheme="minorHAnsi"/>
                <w:sz w:val="22"/>
                <w:szCs w:val="22"/>
                <w:lang w:val="en-PH"/>
              </w:rPr>
              <w:t xml:space="preserve">Issuance of </w:t>
            </w:r>
            <w:r w:rsidRPr="00417FF5">
              <w:rPr>
                <w:rFonts w:cstheme="minorHAnsi"/>
                <w:b/>
                <w:bCs/>
                <w:sz w:val="22"/>
                <w:szCs w:val="22"/>
                <w:lang w:val="en-PH"/>
              </w:rPr>
              <w:t xml:space="preserve">Executive Order No. 136, </w:t>
            </w:r>
            <w:r w:rsidRPr="00417FF5">
              <w:rPr>
                <w:rFonts w:cstheme="minorHAnsi"/>
                <w:sz w:val="22"/>
                <w:szCs w:val="22"/>
                <w:lang w:val="en-PH"/>
              </w:rPr>
              <w:t>s. 2013, which cre</w:t>
            </w:r>
            <w:r w:rsidRPr="00076884">
              <w:rPr>
                <w:rFonts w:cstheme="minorHAnsi"/>
                <w:sz w:val="22"/>
                <w:szCs w:val="22"/>
                <w:lang w:val="en-PH"/>
              </w:rPr>
              <w:t xml:space="preserve">ated the PPP Governing Board (PPPGB) and </w:t>
            </w:r>
            <w:r w:rsidR="00BD00C6" w:rsidRPr="00132A29">
              <w:rPr>
                <w:rFonts w:cstheme="minorHAnsi"/>
                <w:lang w:val="en-PH"/>
              </w:rPr>
              <w:t>Project Development and Monitoring Facility</w:t>
            </w:r>
            <w:r w:rsidR="00BD00C6" w:rsidRPr="00AC794F">
              <w:t xml:space="preserve"> </w:t>
            </w:r>
            <w:r w:rsidR="00BD00C6">
              <w:t>(</w:t>
            </w:r>
            <w:r w:rsidRPr="00076884">
              <w:rPr>
                <w:rFonts w:cstheme="minorHAnsi"/>
                <w:sz w:val="22"/>
                <w:szCs w:val="22"/>
                <w:lang w:val="en-PH"/>
              </w:rPr>
              <w:t>PDMF</w:t>
            </w:r>
            <w:r w:rsidR="00BD00C6">
              <w:rPr>
                <w:rFonts w:cstheme="minorHAnsi"/>
                <w:sz w:val="22"/>
                <w:szCs w:val="22"/>
                <w:lang w:val="en-PH"/>
              </w:rPr>
              <w:t>)</w:t>
            </w:r>
            <w:r w:rsidRPr="00076884">
              <w:rPr>
                <w:rFonts w:cstheme="minorHAnsi"/>
                <w:sz w:val="22"/>
                <w:szCs w:val="22"/>
                <w:lang w:val="en-PH"/>
              </w:rPr>
              <w:t xml:space="preserve"> Committee</w:t>
            </w:r>
          </w:p>
          <w:p w14:paraId="54BF80F6" w14:textId="77777777" w:rsidR="00800AAD" w:rsidRPr="00417FF5" w:rsidRDefault="00800AAD" w:rsidP="00930518">
            <w:pPr>
              <w:numPr>
                <w:ilvl w:val="0"/>
                <w:numId w:val="35"/>
              </w:numPr>
              <w:tabs>
                <w:tab w:val="left" w:pos="355"/>
              </w:tabs>
              <w:contextualSpacing/>
              <w:rPr>
                <w:rFonts w:cstheme="minorHAnsi"/>
                <w:sz w:val="22"/>
                <w:szCs w:val="22"/>
              </w:rPr>
            </w:pPr>
            <w:r w:rsidRPr="00417FF5">
              <w:rPr>
                <w:rFonts w:cstheme="minorHAnsi"/>
                <w:lang w:val="en-PH"/>
              </w:rPr>
              <w:t xml:space="preserve">Issuance of 14 </w:t>
            </w:r>
            <w:r w:rsidRPr="00417FF5">
              <w:rPr>
                <w:rFonts w:cstheme="minorHAnsi"/>
                <w:b/>
                <w:bCs/>
                <w:lang w:val="en-PH"/>
              </w:rPr>
              <w:t xml:space="preserve">PPP Policy Circulars and Guidelines </w:t>
            </w:r>
            <w:r w:rsidRPr="00417FF5">
              <w:rPr>
                <w:rFonts w:cstheme="minorHAnsi"/>
                <w:lang w:val="en-PH"/>
              </w:rPr>
              <w:t>by PPPGB</w:t>
            </w:r>
          </w:p>
          <w:p w14:paraId="51C338C7" w14:textId="77777777" w:rsidR="00800AAD" w:rsidRPr="00417FF5" w:rsidRDefault="00800AAD" w:rsidP="00930518">
            <w:pPr>
              <w:numPr>
                <w:ilvl w:val="0"/>
                <w:numId w:val="35"/>
              </w:numPr>
              <w:tabs>
                <w:tab w:val="left" w:pos="355"/>
              </w:tabs>
              <w:contextualSpacing/>
              <w:rPr>
                <w:rFonts w:cstheme="minorHAnsi"/>
                <w:sz w:val="22"/>
                <w:szCs w:val="22"/>
              </w:rPr>
            </w:pPr>
            <w:r w:rsidRPr="00417FF5">
              <w:rPr>
                <w:rFonts w:cstheme="minorHAnsi"/>
                <w:lang w:val="en-PH"/>
              </w:rPr>
              <w:t xml:space="preserve">Formulation of tools and templates for </w:t>
            </w:r>
            <w:r w:rsidRPr="00417FF5">
              <w:rPr>
                <w:rFonts w:cstheme="minorHAnsi"/>
                <w:b/>
                <w:bCs/>
                <w:lang w:val="en-PH"/>
              </w:rPr>
              <w:t>reviewing PPP Codes and projects</w:t>
            </w:r>
          </w:p>
          <w:p w14:paraId="49661B36" w14:textId="77777777" w:rsidR="00800AAD" w:rsidRPr="00417FF5" w:rsidRDefault="00800AAD" w:rsidP="00930518">
            <w:pPr>
              <w:numPr>
                <w:ilvl w:val="0"/>
                <w:numId w:val="35"/>
              </w:numPr>
              <w:tabs>
                <w:tab w:val="left" w:pos="355"/>
              </w:tabs>
              <w:contextualSpacing/>
              <w:rPr>
                <w:rFonts w:cstheme="minorHAnsi"/>
                <w:sz w:val="22"/>
                <w:szCs w:val="22"/>
              </w:rPr>
            </w:pPr>
            <w:r w:rsidRPr="00417FF5">
              <w:rPr>
                <w:rFonts w:cstheme="minorHAnsi"/>
                <w:b/>
                <w:bCs/>
                <w:lang w:val="en-PH"/>
              </w:rPr>
              <w:t xml:space="preserve">Inter-agency collaborations </w:t>
            </w:r>
            <w:r w:rsidRPr="00417FF5">
              <w:rPr>
                <w:rFonts w:cstheme="minorHAnsi"/>
                <w:lang w:val="en-PH"/>
              </w:rPr>
              <w:t xml:space="preserve">for issuance of circulars on guidelines for implementation of PPPs by local governments, reporting of public and private sector spending, and exemption from notice requirements for PPP projects pursuant to competition regulations </w:t>
            </w:r>
          </w:p>
          <w:p w14:paraId="34104BE5" w14:textId="698240DD" w:rsidR="00800AAD" w:rsidRPr="00465B14" w:rsidRDefault="00800AAD" w:rsidP="00465B14">
            <w:pPr>
              <w:numPr>
                <w:ilvl w:val="0"/>
                <w:numId w:val="35"/>
              </w:numPr>
              <w:tabs>
                <w:tab w:val="left" w:pos="355"/>
              </w:tabs>
              <w:contextualSpacing/>
              <w:rPr>
                <w:rFonts w:cstheme="minorHAnsi"/>
                <w:sz w:val="22"/>
                <w:szCs w:val="22"/>
              </w:rPr>
            </w:pPr>
            <w:r w:rsidRPr="00417FF5">
              <w:rPr>
                <w:rFonts w:cstheme="minorHAnsi"/>
                <w:b/>
                <w:bCs/>
                <w:lang w:val="en-PH"/>
              </w:rPr>
              <w:t xml:space="preserve">PPP policy improvements </w:t>
            </w:r>
            <w:r w:rsidRPr="00417FF5">
              <w:rPr>
                <w:rFonts w:cstheme="minorHAnsi"/>
                <w:lang w:val="en-PH"/>
              </w:rPr>
              <w:t xml:space="preserve">with support from ADB TA 9229-(RETA), EPPIP 2, AP3F for the PIMS Project, Infrastructure Asia, UNESCAP, ASEAN, and other </w:t>
            </w:r>
            <w:r w:rsidR="00076884">
              <w:rPr>
                <w:rFonts w:cstheme="minorHAnsi"/>
                <w:sz w:val="22"/>
                <w:szCs w:val="22"/>
                <w:lang w:val="en-PH"/>
              </w:rPr>
              <w:t xml:space="preserve">international </w:t>
            </w:r>
            <w:r w:rsidRPr="00076884">
              <w:rPr>
                <w:rFonts w:cstheme="minorHAnsi"/>
                <w:sz w:val="22"/>
                <w:szCs w:val="22"/>
                <w:lang w:val="en-PH"/>
              </w:rPr>
              <w:t>development partners</w:t>
            </w:r>
          </w:p>
        </w:tc>
      </w:tr>
    </w:tbl>
    <w:p w14:paraId="570D59FA" w14:textId="77777777" w:rsidR="00800AAD" w:rsidRDefault="00800AAD" w:rsidP="00800AAD">
      <w:pPr>
        <w:spacing w:after="40" w:line="240" w:lineRule="auto"/>
        <w:ind w:right="380"/>
        <w:rPr>
          <w:b/>
          <w:bCs/>
          <w:color w:val="5B9BD5" w:themeColor="accent1"/>
        </w:rPr>
      </w:pPr>
    </w:p>
    <w:p w14:paraId="3641A98E" w14:textId="2A8BDEBC" w:rsidR="00800AAD" w:rsidRDefault="00800AAD" w:rsidP="00800AAD">
      <w:pPr>
        <w:spacing w:after="40" w:line="240" w:lineRule="auto"/>
        <w:ind w:right="380"/>
        <w:rPr>
          <w:b/>
          <w:bCs/>
          <w:color w:val="5B9BD5" w:themeColor="accent1"/>
        </w:rPr>
      </w:pPr>
      <w:r w:rsidRPr="00D25BF1">
        <w:rPr>
          <w:b/>
          <w:bCs/>
          <w:color w:val="0070C0"/>
        </w:rPr>
        <w:t xml:space="preserve">Outcome 2: </w:t>
      </w:r>
      <w:r w:rsidR="00A42AF3">
        <w:rPr>
          <w:b/>
          <w:bCs/>
          <w:color w:val="0070C0"/>
        </w:rPr>
        <w:t>S</w:t>
      </w:r>
      <w:r w:rsidRPr="00D25BF1">
        <w:rPr>
          <w:b/>
          <w:bCs/>
          <w:color w:val="0070C0"/>
        </w:rPr>
        <w:t>trengthen the institutional set-up and capacity in PPPs</w:t>
      </w:r>
    </w:p>
    <w:tbl>
      <w:tblPr>
        <w:tblStyle w:val="TableGrid11"/>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Caption w:val="Annex 2: Results Charts - Outcome 2: strengthen the institutional set-up and capacity in PPPs"/>
        <w:tblDescription w:val="Highlights of key results/achievements for Outcome 2: streangthen the institutional set-up and capacity in PPPs"/>
      </w:tblPr>
      <w:tblGrid>
        <w:gridCol w:w="3114"/>
        <w:gridCol w:w="5902"/>
      </w:tblGrid>
      <w:tr w:rsidR="00800AAD" w:rsidRPr="00594171" w14:paraId="50ACCA72" w14:textId="77777777" w:rsidTr="00323BBB">
        <w:trPr>
          <w:cantSplit/>
          <w:tblHeader/>
        </w:trPr>
        <w:tc>
          <w:tcPr>
            <w:tcW w:w="3114" w:type="dxa"/>
            <w:shd w:val="clear" w:color="auto" w:fill="9CC2E5" w:themeFill="accent1" w:themeFillTint="99"/>
          </w:tcPr>
          <w:p w14:paraId="10128F58" w14:textId="77777777" w:rsidR="00800AAD" w:rsidRPr="00D25BF1" w:rsidRDefault="00800AAD" w:rsidP="00930518">
            <w:pPr>
              <w:rPr>
                <w:b/>
                <w:sz w:val="22"/>
                <w:szCs w:val="22"/>
              </w:rPr>
            </w:pPr>
            <w:r w:rsidRPr="00D25BF1">
              <w:rPr>
                <w:b/>
                <w:sz w:val="22"/>
                <w:szCs w:val="22"/>
              </w:rPr>
              <w:t>Extent to which the outcome has been achieved</w:t>
            </w:r>
          </w:p>
        </w:tc>
        <w:tc>
          <w:tcPr>
            <w:tcW w:w="5902" w:type="dxa"/>
            <w:shd w:val="clear" w:color="auto" w:fill="9CC2E5" w:themeFill="accent1" w:themeFillTint="99"/>
          </w:tcPr>
          <w:p w14:paraId="3311E5E1" w14:textId="55C6E047" w:rsidR="00800AAD" w:rsidRPr="00D25BF1" w:rsidRDefault="00301ADD" w:rsidP="00930518">
            <w:pPr>
              <w:rPr>
                <w:b/>
                <w:sz w:val="22"/>
                <w:szCs w:val="22"/>
              </w:rPr>
            </w:pPr>
            <w:r w:rsidRPr="00D25BF1">
              <w:rPr>
                <w:b/>
                <w:sz w:val="22"/>
                <w:szCs w:val="22"/>
              </w:rPr>
              <w:t>Key results</w:t>
            </w:r>
            <w:r w:rsidR="00800AAD" w:rsidRPr="00D25BF1">
              <w:rPr>
                <w:b/>
                <w:sz w:val="22"/>
                <w:szCs w:val="22"/>
              </w:rPr>
              <w:t xml:space="preserve"> </w:t>
            </w:r>
          </w:p>
        </w:tc>
      </w:tr>
      <w:tr w:rsidR="00800AAD" w:rsidRPr="00594171" w14:paraId="1C3A1D31" w14:textId="77777777" w:rsidTr="00465B14">
        <w:tc>
          <w:tcPr>
            <w:tcW w:w="3114" w:type="dxa"/>
          </w:tcPr>
          <w:p w14:paraId="77823283" w14:textId="22729E4C" w:rsidR="004F5451" w:rsidRDefault="004F5451" w:rsidP="004F5451">
            <w:pPr>
              <w:tabs>
                <w:tab w:val="left" w:pos="355"/>
              </w:tabs>
              <w:spacing w:before="100"/>
              <w:rPr>
                <w:rFonts w:cstheme="minorHAnsi"/>
                <w:sz w:val="22"/>
                <w:szCs w:val="22"/>
              </w:rPr>
            </w:pPr>
            <w:r>
              <w:rPr>
                <w:rFonts w:cstheme="minorHAnsi"/>
                <w:sz w:val="22"/>
                <w:szCs w:val="22"/>
              </w:rPr>
              <w:t>The PPP Program</w:t>
            </w:r>
            <w:r w:rsidR="00301ADD">
              <w:rPr>
                <w:rFonts w:cstheme="minorHAnsi"/>
                <w:sz w:val="22"/>
                <w:szCs w:val="22"/>
              </w:rPr>
              <w:t xml:space="preserve"> and PPP </w:t>
            </w:r>
            <w:r w:rsidR="00301ADD" w:rsidRPr="00301ADD">
              <w:rPr>
                <w:rFonts w:cstheme="minorHAnsi"/>
                <w:sz w:val="22"/>
                <w:szCs w:val="22"/>
              </w:rPr>
              <w:t xml:space="preserve">structure </w:t>
            </w:r>
            <w:r w:rsidR="00076884">
              <w:rPr>
                <w:rFonts w:cstheme="minorHAnsi"/>
                <w:sz w:val="22"/>
                <w:szCs w:val="22"/>
              </w:rPr>
              <w:t>was</w:t>
            </w:r>
            <w:r w:rsidR="00301ADD" w:rsidRPr="00301ADD">
              <w:rPr>
                <w:rFonts w:cstheme="minorHAnsi"/>
                <w:sz w:val="22"/>
                <w:szCs w:val="22"/>
              </w:rPr>
              <w:t xml:space="preserve"> strengthened, increasing capacity of national partners to administer PPP projects in a way that promote</w:t>
            </w:r>
            <w:r w:rsidR="00076884">
              <w:rPr>
                <w:rFonts w:cstheme="minorHAnsi"/>
                <w:sz w:val="22"/>
                <w:szCs w:val="22"/>
              </w:rPr>
              <w:t>d</w:t>
            </w:r>
            <w:r w:rsidR="00301ADD" w:rsidRPr="00301ADD">
              <w:rPr>
                <w:rFonts w:cstheme="minorHAnsi"/>
                <w:sz w:val="22"/>
                <w:szCs w:val="22"/>
              </w:rPr>
              <w:t xml:space="preserve"> transparency</w:t>
            </w:r>
            <w:r w:rsidR="00301ADD">
              <w:rPr>
                <w:rFonts w:cstheme="minorHAnsi"/>
                <w:sz w:val="22"/>
                <w:szCs w:val="22"/>
              </w:rPr>
              <w:t xml:space="preserve"> and</w:t>
            </w:r>
            <w:r w:rsidR="00301ADD" w:rsidRPr="00301ADD">
              <w:rPr>
                <w:rFonts w:cstheme="minorHAnsi"/>
                <w:sz w:val="22"/>
                <w:szCs w:val="22"/>
              </w:rPr>
              <w:t xml:space="preserve"> safeguarding </w:t>
            </w:r>
          </w:p>
          <w:p w14:paraId="31204E25" w14:textId="77777777" w:rsidR="00682432" w:rsidRDefault="00682432" w:rsidP="004F5451">
            <w:pPr>
              <w:tabs>
                <w:tab w:val="left" w:pos="355"/>
              </w:tabs>
              <w:spacing w:before="100"/>
              <w:rPr>
                <w:rFonts w:cstheme="minorHAnsi"/>
                <w:sz w:val="22"/>
                <w:szCs w:val="22"/>
              </w:rPr>
            </w:pPr>
          </w:p>
          <w:p w14:paraId="6D3118EA" w14:textId="145FB556" w:rsidR="00800AAD" w:rsidRPr="00301ADD" w:rsidRDefault="00301ADD" w:rsidP="00301ADD">
            <w:pPr>
              <w:tabs>
                <w:tab w:val="left" w:pos="355"/>
              </w:tabs>
              <w:spacing w:before="100"/>
              <w:rPr>
                <w:rFonts w:cstheme="minorHAnsi"/>
                <w:sz w:val="22"/>
                <w:szCs w:val="22"/>
              </w:rPr>
            </w:pPr>
            <w:r>
              <w:rPr>
                <w:rFonts w:cstheme="minorHAnsi"/>
                <w:sz w:val="22"/>
                <w:szCs w:val="22"/>
              </w:rPr>
              <w:t>The TA provided flexi</w:t>
            </w:r>
            <w:r w:rsidR="00672D26">
              <w:rPr>
                <w:rFonts w:cstheme="minorHAnsi"/>
                <w:sz w:val="22"/>
                <w:szCs w:val="22"/>
              </w:rPr>
              <w:t>b</w:t>
            </w:r>
            <w:r>
              <w:rPr>
                <w:rFonts w:cstheme="minorHAnsi"/>
                <w:sz w:val="22"/>
                <w:szCs w:val="22"/>
              </w:rPr>
              <w:t xml:space="preserve">le support, targeting the right partners in the right ways, strongly meeting needs. Australian firms </w:t>
            </w:r>
            <w:r w:rsidR="00682432">
              <w:rPr>
                <w:rFonts w:cstheme="minorHAnsi"/>
                <w:sz w:val="22"/>
                <w:szCs w:val="22"/>
              </w:rPr>
              <w:t xml:space="preserve">contributed </w:t>
            </w:r>
            <w:r w:rsidR="00672D26">
              <w:rPr>
                <w:rFonts w:cstheme="minorHAnsi"/>
                <w:sz w:val="22"/>
                <w:szCs w:val="22"/>
              </w:rPr>
              <w:t xml:space="preserve">to </w:t>
            </w:r>
            <w:r w:rsidR="00682432">
              <w:rPr>
                <w:rFonts w:cstheme="minorHAnsi"/>
                <w:sz w:val="22"/>
                <w:szCs w:val="22"/>
              </w:rPr>
              <w:lastRenderedPageBreak/>
              <w:t>the strengthening of the PPP Program in important ways</w:t>
            </w:r>
            <w:r w:rsidR="00076884">
              <w:rPr>
                <w:rFonts w:cstheme="minorHAnsi"/>
                <w:sz w:val="22"/>
                <w:szCs w:val="22"/>
              </w:rPr>
              <w:t>.</w:t>
            </w:r>
          </w:p>
        </w:tc>
        <w:tc>
          <w:tcPr>
            <w:tcW w:w="5902" w:type="dxa"/>
          </w:tcPr>
          <w:p w14:paraId="7E720416" w14:textId="36BC6E7F" w:rsidR="00800AAD" w:rsidRPr="004F5451" w:rsidRDefault="00800AAD" w:rsidP="004F5451">
            <w:pPr>
              <w:numPr>
                <w:ilvl w:val="0"/>
                <w:numId w:val="35"/>
              </w:numPr>
              <w:tabs>
                <w:tab w:val="left" w:pos="355"/>
              </w:tabs>
              <w:contextualSpacing/>
              <w:rPr>
                <w:rFonts w:cstheme="minorHAnsi"/>
                <w:sz w:val="22"/>
                <w:szCs w:val="22"/>
              </w:rPr>
            </w:pPr>
            <w:r w:rsidRPr="004F5451">
              <w:rPr>
                <w:rFonts w:cstheme="minorHAnsi"/>
                <w:b/>
                <w:bCs/>
                <w:sz w:val="22"/>
                <w:szCs w:val="22"/>
              </w:rPr>
              <w:lastRenderedPageBreak/>
              <w:t>30 “On-call”</w:t>
            </w:r>
            <w:r w:rsidRPr="004F5451">
              <w:rPr>
                <w:rFonts w:cstheme="minorHAnsi"/>
                <w:sz w:val="22"/>
                <w:szCs w:val="22"/>
              </w:rPr>
              <w:t xml:space="preserve"> consultants provid</w:t>
            </w:r>
            <w:r w:rsidR="00076884">
              <w:rPr>
                <w:rFonts w:cstheme="minorHAnsi"/>
                <w:sz w:val="22"/>
                <w:szCs w:val="22"/>
              </w:rPr>
              <w:t>ed</w:t>
            </w:r>
            <w:r w:rsidRPr="004F5451">
              <w:rPr>
                <w:rFonts w:cstheme="minorHAnsi"/>
                <w:sz w:val="22"/>
                <w:szCs w:val="22"/>
              </w:rPr>
              <w:t xml:space="preserve"> capacity building to PPP Center on PPP projects and policy formulation/review</w:t>
            </w:r>
          </w:p>
          <w:p w14:paraId="7713C882" w14:textId="77777777" w:rsidR="00800AAD" w:rsidRPr="00594171" w:rsidRDefault="00800AAD" w:rsidP="00930518">
            <w:pPr>
              <w:numPr>
                <w:ilvl w:val="0"/>
                <w:numId w:val="35"/>
              </w:numPr>
              <w:tabs>
                <w:tab w:val="left" w:pos="355"/>
              </w:tabs>
              <w:contextualSpacing/>
              <w:rPr>
                <w:rFonts w:cstheme="minorHAnsi"/>
                <w:sz w:val="22"/>
                <w:szCs w:val="22"/>
              </w:rPr>
            </w:pPr>
            <w:r w:rsidRPr="00594171">
              <w:rPr>
                <w:rFonts w:cstheme="minorHAnsi"/>
                <w:b/>
                <w:bCs/>
                <w:sz w:val="22"/>
                <w:szCs w:val="22"/>
                <w:lang w:val="en-PH"/>
              </w:rPr>
              <w:t xml:space="preserve">55 Knowledge Sharing Sessions </w:t>
            </w:r>
            <w:r w:rsidRPr="00594171">
              <w:rPr>
                <w:rFonts w:cstheme="minorHAnsi"/>
                <w:sz w:val="22"/>
                <w:szCs w:val="22"/>
                <w:lang w:val="en-PH"/>
              </w:rPr>
              <w:t>delivered by Consultants on various PPP topics</w:t>
            </w:r>
          </w:p>
          <w:p w14:paraId="4D0021A1" w14:textId="75E7D833" w:rsidR="00800AAD" w:rsidRPr="00594171" w:rsidRDefault="00800AAD" w:rsidP="00930518">
            <w:pPr>
              <w:numPr>
                <w:ilvl w:val="0"/>
                <w:numId w:val="35"/>
              </w:numPr>
              <w:tabs>
                <w:tab w:val="left" w:pos="355"/>
              </w:tabs>
              <w:contextualSpacing/>
              <w:rPr>
                <w:rFonts w:cstheme="minorHAnsi"/>
                <w:sz w:val="22"/>
                <w:szCs w:val="22"/>
              </w:rPr>
            </w:pPr>
            <w:r w:rsidRPr="00594171">
              <w:rPr>
                <w:rFonts w:cstheme="minorHAnsi"/>
                <w:sz w:val="22"/>
                <w:szCs w:val="22"/>
                <w:lang w:val="en-PH"/>
              </w:rPr>
              <w:t xml:space="preserve">132 </w:t>
            </w:r>
            <w:r w:rsidRPr="0050587F">
              <w:rPr>
                <w:rFonts w:cstheme="minorHAnsi"/>
                <w:sz w:val="22"/>
                <w:szCs w:val="22"/>
                <w:lang w:val="en-PH"/>
              </w:rPr>
              <w:t xml:space="preserve">Officials of PPP Center, NEDA, DOF and other implementing agencies </w:t>
            </w:r>
            <w:r w:rsidR="00076884" w:rsidRPr="0050587F">
              <w:rPr>
                <w:rFonts w:cstheme="minorHAnsi"/>
                <w:sz w:val="22"/>
                <w:szCs w:val="22"/>
                <w:lang w:val="en-PH"/>
              </w:rPr>
              <w:t>under</w:t>
            </w:r>
            <w:r w:rsidR="00076884">
              <w:rPr>
                <w:rFonts w:cstheme="minorHAnsi"/>
                <w:sz w:val="22"/>
                <w:szCs w:val="22"/>
                <w:lang w:val="en-PH"/>
              </w:rPr>
              <w:t>took</w:t>
            </w:r>
            <w:r w:rsidR="00076884" w:rsidRPr="0050587F">
              <w:rPr>
                <w:rFonts w:cstheme="minorHAnsi"/>
                <w:sz w:val="22"/>
                <w:szCs w:val="22"/>
                <w:lang w:val="en-PH"/>
              </w:rPr>
              <w:t xml:space="preserve"> </w:t>
            </w:r>
            <w:r w:rsidRPr="0050587F">
              <w:rPr>
                <w:rFonts w:cstheme="minorHAnsi"/>
                <w:b/>
                <w:bCs/>
                <w:sz w:val="22"/>
                <w:szCs w:val="22"/>
                <w:lang w:val="en-PH"/>
              </w:rPr>
              <w:t xml:space="preserve">external training </w:t>
            </w:r>
            <w:r w:rsidRPr="0050587F">
              <w:rPr>
                <w:rFonts w:cstheme="minorHAnsi"/>
                <w:sz w:val="22"/>
                <w:szCs w:val="22"/>
                <w:lang w:val="en-PH"/>
              </w:rPr>
              <w:t xml:space="preserve">funded by the TA </w:t>
            </w:r>
          </w:p>
          <w:p w14:paraId="191707D0" w14:textId="5A5E031A" w:rsidR="00800AAD" w:rsidRPr="0050587F" w:rsidRDefault="00800AAD" w:rsidP="00930518">
            <w:pPr>
              <w:numPr>
                <w:ilvl w:val="0"/>
                <w:numId w:val="35"/>
              </w:numPr>
              <w:tabs>
                <w:tab w:val="left" w:pos="355"/>
              </w:tabs>
              <w:contextualSpacing/>
              <w:rPr>
                <w:rFonts w:cstheme="minorHAnsi"/>
                <w:sz w:val="22"/>
                <w:szCs w:val="22"/>
              </w:rPr>
            </w:pPr>
            <w:r w:rsidRPr="0050587F">
              <w:rPr>
                <w:rFonts w:cstheme="minorHAnsi"/>
                <w:sz w:val="22"/>
                <w:szCs w:val="22"/>
                <w:lang w:val="en-PH"/>
              </w:rPr>
              <w:t xml:space="preserve">NEDA Regional </w:t>
            </w:r>
            <w:r w:rsidRPr="0050587F">
              <w:rPr>
                <w:rFonts w:cstheme="minorHAnsi"/>
                <w:b/>
                <w:bCs/>
                <w:sz w:val="22"/>
                <w:szCs w:val="22"/>
                <w:lang w:val="en-PH"/>
              </w:rPr>
              <w:t xml:space="preserve">PPP Knowledge Corners </w:t>
            </w:r>
            <w:r w:rsidRPr="0050587F">
              <w:rPr>
                <w:rFonts w:cstheme="minorHAnsi"/>
                <w:sz w:val="22"/>
                <w:szCs w:val="22"/>
                <w:lang w:val="en-PH"/>
              </w:rPr>
              <w:t xml:space="preserve">in place to establish PPP Center’s presence throughout the </w:t>
            </w:r>
            <w:r w:rsidR="00076884">
              <w:rPr>
                <w:rFonts w:cstheme="minorHAnsi"/>
                <w:sz w:val="22"/>
                <w:szCs w:val="22"/>
                <w:lang w:val="en-PH"/>
              </w:rPr>
              <w:t>Philippines</w:t>
            </w:r>
          </w:p>
          <w:p w14:paraId="239386BD" w14:textId="63A9EFE8" w:rsidR="00800AAD" w:rsidRPr="0050587F" w:rsidRDefault="00800AAD" w:rsidP="00930518">
            <w:pPr>
              <w:numPr>
                <w:ilvl w:val="0"/>
                <w:numId w:val="35"/>
              </w:numPr>
              <w:tabs>
                <w:tab w:val="left" w:pos="355"/>
              </w:tabs>
              <w:contextualSpacing/>
              <w:rPr>
                <w:rFonts w:cstheme="minorHAnsi"/>
                <w:sz w:val="22"/>
                <w:szCs w:val="22"/>
              </w:rPr>
            </w:pPr>
            <w:r w:rsidRPr="00B15D62">
              <w:rPr>
                <w:rFonts w:cstheme="minorHAnsi"/>
                <w:b/>
                <w:bCs/>
                <w:sz w:val="22"/>
                <w:szCs w:val="22"/>
              </w:rPr>
              <w:t>3</w:t>
            </w:r>
            <w:r w:rsidRPr="00B15D62">
              <w:rPr>
                <w:rFonts w:cstheme="minorHAnsi"/>
                <w:sz w:val="22"/>
                <w:szCs w:val="22"/>
              </w:rPr>
              <w:t xml:space="preserve"> </w:t>
            </w:r>
            <w:r w:rsidRPr="00B15D62">
              <w:rPr>
                <w:rFonts w:cstheme="minorHAnsi"/>
                <w:b/>
                <w:bCs/>
                <w:sz w:val="22"/>
                <w:szCs w:val="22"/>
                <w:lang w:val="en-PH"/>
              </w:rPr>
              <w:t xml:space="preserve">Institutional arrangements </w:t>
            </w:r>
            <w:r w:rsidRPr="00B15D62">
              <w:rPr>
                <w:rFonts w:cstheme="minorHAnsi"/>
                <w:sz w:val="22"/>
                <w:szCs w:val="22"/>
                <w:lang w:val="en-PH"/>
              </w:rPr>
              <w:t>with Infrastructure New South Wales</w:t>
            </w:r>
            <w:r w:rsidR="00076884">
              <w:rPr>
                <w:rFonts w:cstheme="minorHAnsi"/>
                <w:sz w:val="22"/>
                <w:szCs w:val="22"/>
                <w:lang w:val="en-PH"/>
              </w:rPr>
              <w:t xml:space="preserve"> (INSW)</w:t>
            </w:r>
            <w:r w:rsidRPr="00B15D62">
              <w:rPr>
                <w:rFonts w:cstheme="minorHAnsi"/>
                <w:sz w:val="22"/>
                <w:szCs w:val="22"/>
                <w:lang w:val="en-PH"/>
              </w:rPr>
              <w:t xml:space="preserve">, </w:t>
            </w:r>
            <w:r w:rsidRPr="00B15D62">
              <w:rPr>
                <w:rFonts w:cstheme="minorHAnsi"/>
                <w:sz w:val="22"/>
                <w:szCs w:val="22"/>
                <w:lang w:val="en-US"/>
              </w:rPr>
              <w:t xml:space="preserve">Carnegie Mellon University (Australia) and Australia Awards </w:t>
            </w:r>
            <w:r w:rsidR="00076884">
              <w:rPr>
                <w:rFonts w:cstheme="minorHAnsi"/>
                <w:sz w:val="22"/>
                <w:szCs w:val="22"/>
                <w:lang w:val="en-US"/>
              </w:rPr>
              <w:t xml:space="preserve">Scholarships </w:t>
            </w:r>
          </w:p>
          <w:p w14:paraId="6DA4C1C5" w14:textId="5E7B3108" w:rsidR="00800AAD" w:rsidRPr="00B15D62" w:rsidRDefault="00800AAD" w:rsidP="00930518">
            <w:pPr>
              <w:numPr>
                <w:ilvl w:val="0"/>
                <w:numId w:val="35"/>
              </w:numPr>
              <w:tabs>
                <w:tab w:val="left" w:pos="355"/>
              </w:tabs>
              <w:contextualSpacing/>
              <w:rPr>
                <w:rFonts w:cstheme="minorHAnsi"/>
                <w:sz w:val="22"/>
                <w:szCs w:val="22"/>
              </w:rPr>
            </w:pPr>
            <w:r w:rsidRPr="00B15D62">
              <w:rPr>
                <w:rFonts w:cstheme="minorHAnsi"/>
                <w:b/>
                <w:bCs/>
                <w:sz w:val="22"/>
                <w:szCs w:val="22"/>
                <w:lang w:val="en-PH"/>
              </w:rPr>
              <w:lastRenderedPageBreak/>
              <w:t xml:space="preserve">3 IT platforms implemented </w:t>
            </w:r>
            <w:r w:rsidRPr="00B15D62">
              <w:rPr>
                <w:rFonts w:cstheme="minorHAnsi"/>
                <w:sz w:val="22"/>
                <w:szCs w:val="22"/>
                <w:lang w:val="en-PH"/>
              </w:rPr>
              <w:t>(</w:t>
            </w:r>
            <w:r w:rsidR="00680BA5" w:rsidRPr="00B15D62">
              <w:rPr>
                <w:rFonts w:cstheme="minorHAnsi"/>
                <w:sz w:val="22"/>
                <w:szCs w:val="22"/>
                <w:lang w:val="en-PH"/>
              </w:rPr>
              <w:t>e.g.,</w:t>
            </w:r>
            <w:r w:rsidRPr="00B15D62">
              <w:rPr>
                <w:rFonts w:cstheme="minorHAnsi"/>
                <w:sz w:val="22"/>
                <w:szCs w:val="22"/>
                <w:lang w:val="en-PH"/>
              </w:rPr>
              <w:t xml:space="preserve"> Knowledge Management Portal, Virtual Data Room, and other IT systems and technology upgrade)</w:t>
            </w:r>
          </w:p>
          <w:p w14:paraId="00501B76" w14:textId="5AD813CF" w:rsidR="00800AAD" w:rsidRPr="00682432" w:rsidRDefault="00800AAD" w:rsidP="00930518">
            <w:pPr>
              <w:numPr>
                <w:ilvl w:val="0"/>
                <w:numId w:val="35"/>
              </w:numPr>
              <w:tabs>
                <w:tab w:val="left" w:pos="355"/>
              </w:tabs>
              <w:contextualSpacing/>
              <w:rPr>
                <w:rFonts w:cstheme="minorHAnsi"/>
                <w:b/>
                <w:bCs/>
                <w:sz w:val="22"/>
                <w:szCs w:val="22"/>
              </w:rPr>
            </w:pPr>
            <w:r w:rsidRPr="00B15D62">
              <w:rPr>
                <w:rFonts w:cstheme="minorHAnsi"/>
                <w:b/>
                <w:bCs/>
                <w:sz w:val="22"/>
                <w:szCs w:val="22"/>
                <w:lang w:val="en-PH"/>
              </w:rPr>
              <w:t xml:space="preserve">10 Case studies </w:t>
            </w:r>
            <w:r w:rsidRPr="00B15D62">
              <w:rPr>
                <w:rFonts w:cstheme="minorHAnsi"/>
                <w:sz w:val="22"/>
                <w:szCs w:val="22"/>
                <w:lang w:val="en-PH"/>
              </w:rPr>
              <w:t>of PPP projects with considerable impact on learning</w:t>
            </w:r>
          </w:p>
        </w:tc>
      </w:tr>
    </w:tbl>
    <w:p w14:paraId="7C7C8EA3" w14:textId="77777777" w:rsidR="007C4536" w:rsidRDefault="007C4536" w:rsidP="00800AAD">
      <w:pPr>
        <w:spacing w:after="40" w:line="240" w:lineRule="auto"/>
        <w:ind w:right="380"/>
        <w:rPr>
          <w:b/>
          <w:bCs/>
          <w:color w:val="5B9BD5" w:themeColor="accent1"/>
        </w:rPr>
      </w:pPr>
    </w:p>
    <w:p w14:paraId="1E9E0CC5" w14:textId="5B04FE5D" w:rsidR="00800AAD" w:rsidRPr="00D25BF1" w:rsidRDefault="00800AAD" w:rsidP="00800AAD">
      <w:pPr>
        <w:spacing w:after="40" w:line="240" w:lineRule="auto"/>
        <w:ind w:right="380"/>
        <w:rPr>
          <w:b/>
          <w:bCs/>
          <w:color w:val="0070C0"/>
        </w:rPr>
      </w:pPr>
      <w:r w:rsidRPr="00D25BF1">
        <w:rPr>
          <w:b/>
          <w:bCs/>
          <w:color w:val="0070C0"/>
        </w:rPr>
        <w:t xml:space="preserve">Outcome 3: </w:t>
      </w:r>
      <w:r w:rsidR="00A42AF3">
        <w:rPr>
          <w:b/>
          <w:bCs/>
          <w:color w:val="0070C0"/>
        </w:rPr>
        <w:t>I</w:t>
      </w:r>
      <w:r w:rsidRPr="00D25BF1">
        <w:rPr>
          <w:b/>
          <w:bCs/>
          <w:color w:val="0070C0"/>
        </w:rPr>
        <w:t>nstitutionalised PPP best practices</w:t>
      </w:r>
    </w:p>
    <w:tbl>
      <w:tblPr>
        <w:tblStyle w:val="TableGrid11"/>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Caption w:val="Annex 2: Results Charts - Outcome 3: institutionalised PPP best practices"/>
        <w:tblDescription w:val="Highlights of key results/achievements for Outcome 3:  Institutionalised PPP best practices"/>
      </w:tblPr>
      <w:tblGrid>
        <w:gridCol w:w="3114"/>
        <w:gridCol w:w="5902"/>
      </w:tblGrid>
      <w:tr w:rsidR="00800AAD" w:rsidRPr="00DD4A90" w14:paraId="03101C93" w14:textId="77777777" w:rsidTr="00D9467C">
        <w:trPr>
          <w:tblHeader/>
        </w:trPr>
        <w:tc>
          <w:tcPr>
            <w:tcW w:w="3114" w:type="dxa"/>
            <w:shd w:val="clear" w:color="auto" w:fill="9CC2E5" w:themeFill="accent1" w:themeFillTint="99"/>
          </w:tcPr>
          <w:p w14:paraId="305C92F2" w14:textId="77777777" w:rsidR="00800AAD" w:rsidRPr="00D25BF1" w:rsidRDefault="00800AAD" w:rsidP="00930518">
            <w:pPr>
              <w:rPr>
                <w:b/>
                <w:sz w:val="22"/>
                <w:szCs w:val="22"/>
              </w:rPr>
            </w:pPr>
            <w:r w:rsidRPr="00D25BF1">
              <w:rPr>
                <w:b/>
                <w:sz w:val="22"/>
                <w:szCs w:val="22"/>
              </w:rPr>
              <w:t>Extent to which the outcome has been achieved</w:t>
            </w:r>
          </w:p>
        </w:tc>
        <w:tc>
          <w:tcPr>
            <w:tcW w:w="5902" w:type="dxa"/>
            <w:shd w:val="clear" w:color="auto" w:fill="9CC2E5" w:themeFill="accent1" w:themeFillTint="99"/>
          </w:tcPr>
          <w:p w14:paraId="6A7E1C49" w14:textId="4B35AC2C" w:rsidR="00800AAD" w:rsidRPr="00D25BF1" w:rsidRDefault="00F90848" w:rsidP="00930518">
            <w:pPr>
              <w:rPr>
                <w:b/>
                <w:sz w:val="22"/>
                <w:szCs w:val="22"/>
              </w:rPr>
            </w:pPr>
            <w:r w:rsidRPr="00D25BF1">
              <w:rPr>
                <w:b/>
                <w:sz w:val="22"/>
                <w:szCs w:val="22"/>
              </w:rPr>
              <w:t>Key results</w:t>
            </w:r>
            <w:r w:rsidR="00800AAD" w:rsidRPr="00D25BF1">
              <w:rPr>
                <w:b/>
                <w:sz w:val="22"/>
                <w:szCs w:val="22"/>
              </w:rPr>
              <w:t xml:space="preserve"> </w:t>
            </w:r>
          </w:p>
        </w:tc>
      </w:tr>
      <w:tr w:rsidR="00800AAD" w:rsidRPr="00DD4A90" w14:paraId="7073B043" w14:textId="77777777" w:rsidTr="007C4536">
        <w:trPr>
          <w:trHeight w:val="6249"/>
        </w:trPr>
        <w:tc>
          <w:tcPr>
            <w:tcW w:w="3114" w:type="dxa"/>
          </w:tcPr>
          <w:p w14:paraId="23D0AC7D" w14:textId="7341DFCD" w:rsidR="00077F72" w:rsidRDefault="00077F72" w:rsidP="00077F72">
            <w:pPr>
              <w:tabs>
                <w:tab w:val="left" w:pos="355"/>
              </w:tabs>
              <w:spacing w:before="100"/>
              <w:rPr>
                <w:rFonts w:cstheme="minorHAnsi"/>
                <w:sz w:val="22"/>
                <w:szCs w:val="22"/>
              </w:rPr>
            </w:pPr>
            <w:r>
              <w:rPr>
                <w:rFonts w:cstheme="minorHAnsi"/>
                <w:sz w:val="22"/>
                <w:szCs w:val="22"/>
              </w:rPr>
              <w:t xml:space="preserve">The PPP Program firmly embedded best practice approaches across PPP training modules and modalities, </w:t>
            </w:r>
            <w:r w:rsidR="00446884">
              <w:rPr>
                <w:rFonts w:cstheme="minorHAnsi"/>
                <w:sz w:val="22"/>
                <w:szCs w:val="22"/>
              </w:rPr>
              <w:t xml:space="preserve">capacity development approaches, policies </w:t>
            </w:r>
            <w:r>
              <w:rPr>
                <w:rFonts w:cstheme="minorHAnsi"/>
                <w:sz w:val="22"/>
                <w:szCs w:val="22"/>
              </w:rPr>
              <w:t>guidelines</w:t>
            </w:r>
            <w:r w:rsidR="00446884">
              <w:rPr>
                <w:rFonts w:cstheme="minorHAnsi"/>
                <w:sz w:val="22"/>
                <w:szCs w:val="22"/>
              </w:rPr>
              <w:t xml:space="preserve"> and other knowledge products which </w:t>
            </w:r>
            <w:r w:rsidR="00F124A1">
              <w:rPr>
                <w:rFonts w:cstheme="minorHAnsi"/>
                <w:sz w:val="22"/>
                <w:szCs w:val="22"/>
              </w:rPr>
              <w:t xml:space="preserve">were </w:t>
            </w:r>
            <w:r w:rsidR="00446884">
              <w:rPr>
                <w:rFonts w:cstheme="minorHAnsi"/>
                <w:sz w:val="22"/>
                <w:szCs w:val="22"/>
              </w:rPr>
              <w:t xml:space="preserve">being used by </w:t>
            </w:r>
            <w:r w:rsidR="00F124A1">
              <w:rPr>
                <w:rFonts w:cstheme="minorHAnsi"/>
                <w:sz w:val="22"/>
                <w:szCs w:val="22"/>
              </w:rPr>
              <w:t xml:space="preserve">Philippine </w:t>
            </w:r>
            <w:r w:rsidR="00446884">
              <w:rPr>
                <w:rFonts w:cstheme="minorHAnsi"/>
                <w:sz w:val="22"/>
                <w:szCs w:val="22"/>
              </w:rPr>
              <w:t xml:space="preserve">partners </w:t>
            </w:r>
            <w:r w:rsidR="00F124A1">
              <w:rPr>
                <w:rFonts w:cstheme="minorHAnsi"/>
                <w:sz w:val="22"/>
                <w:szCs w:val="22"/>
              </w:rPr>
              <w:t>throughout</w:t>
            </w:r>
            <w:r w:rsidR="00446884">
              <w:rPr>
                <w:rFonts w:cstheme="minorHAnsi"/>
                <w:sz w:val="22"/>
                <w:szCs w:val="22"/>
              </w:rPr>
              <w:t xml:space="preserve"> the PPP </w:t>
            </w:r>
            <w:r w:rsidR="002442C5">
              <w:rPr>
                <w:rFonts w:cstheme="minorHAnsi"/>
                <w:sz w:val="22"/>
                <w:szCs w:val="22"/>
              </w:rPr>
              <w:t xml:space="preserve">project </w:t>
            </w:r>
            <w:r w:rsidR="00446884">
              <w:rPr>
                <w:rFonts w:cstheme="minorHAnsi"/>
                <w:sz w:val="22"/>
                <w:szCs w:val="22"/>
              </w:rPr>
              <w:t>cycle</w:t>
            </w:r>
          </w:p>
          <w:p w14:paraId="70F0231D" w14:textId="32C9AB0B" w:rsidR="00A60F81" w:rsidRDefault="00A60F81" w:rsidP="00077F72">
            <w:pPr>
              <w:tabs>
                <w:tab w:val="left" w:pos="355"/>
              </w:tabs>
              <w:spacing w:before="100"/>
              <w:rPr>
                <w:rFonts w:cstheme="minorHAnsi"/>
                <w:sz w:val="22"/>
                <w:szCs w:val="22"/>
              </w:rPr>
            </w:pPr>
          </w:p>
          <w:p w14:paraId="16EE5727" w14:textId="246F5DBE" w:rsidR="00A60F81" w:rsidRDefault="00A60F81" w:rsidP="00077F72">
            <w:pPr>
              <w:tabs>
                <w:tab w:val="left" w:pos="355"/>
              </w:tabs>
              <w:spacing w:before="100"/>
              <w:rPr>
                <w:rFonts w:cstheme="minorHAnsi"/>
                <w:sz w:val="22"/>
                <w:szCs w:val="22"/>
              </w:rPr>
            </w:pPr>
            <w:r>
              <w:rPr>
                <w:rFonts w:cstheme="minorHAnsi"/>
                <w:sz w:val="22"/>
                <w:szCs w:val="22"/>
              </w:rPr>
              <w:t xml:space="preserve">The TA has ensured content reflects </w:t>
            </w:r>
            <w:r w:rsidR="00584A23">
              <w:rPr>
                <w:rFonts w:cstheme="minorHAnsi"/>
                <w:sz w:val="22"/>
                <w:szCs w:val="22"/>
              </w:rPr>
              <w:t>technical</w:t>
            </w:r>
            <w:r>
              <w:rPr>
                <w:rFonts w:cstheme="minorHAnsi"/>
                <w:sz w:val="22"/>
                <w:szCs w:val="22"/>
              </w:rPr>
              <w:t xml:space="preserve"> standards and</w:t>
            </w:r>
            <w:r w:rsidR="007C4536">
              <w:rPr>
                <w:rFonts w:cstheme="minorHAnsi"/>
                <w:sz w:val="22"/>
                <w:szCs w:val="22"/>
              </w:rPr>
              <w:t xml:space="preserve"> supports inclusion and safeguarding. </w:t>
            </w:r>
            <w:r>
              <w:rPr>
                <w:rFonts w:cstheme="minorHAnsi"/>
                <w:sz w:val="22"/>
                <w:szCs w:val="22"/>
              </w:rPr>
              <w:t>Australia has contributed substantially t</w:t>
            </w:r>
            <w:r w:rsidR="007C4536">
              <w:rPr>
                <w:rFonts w:cstheme="minorHAnsi"/>
                <w:sz w:val="22"/>
                <w:szCs w:val="22"/>
              </w:rPr>
              <w:t xml:space="preserve">hrough the sharing of lessons </w:t>
            </w:r>
            <w:r w:rsidR="00672D26">
              <w:rPr>
                <w:rFonts w:cstheme="minorHAnsi"/>
                <w:sz w:val="22"/>
                <w:szCs w:val="22"/>
              </w:rPr>
              <w:t xml:space="preserve">of </w:t>
            </w:r>
            <w:r w:rsidR="007C4536">
              <w:rPr>
                <w:rFonts w:cstheme="minorHAnsi"/>
                <w:sz w:val="22"/>
                <w:szCs w:val="22"/>
              </w:rPr>
              <w:t xml:space="preserve">its own PPP experience, and support for the </w:t>
            </w:r>
            <w:r>
              <w:rPr>
                <w:rFonts w:cstheme="minorHAnsi"/>
                <w:sz w:val="22"/>
                <w:szCs w:val="22"/>
              </w:rPr>
              <w:t>government’s IT</w:t>
            </w:r>
            <w:r w:rsidR="007C4536">
              <w:rPr>
                <w:rFonts w:cstheme="minorHAnsi"/>
                <w:sz w:val="22"/>
                <w:szCs w:val="22"/>
              </w:rPr>
              <w:t xml:space="preserve"> infrastructure</w:t>
            </w:r>
            <w:r>
              <w:rPr>
                <w:rFonts w:cstheme="minorHAnsi"/>
                <w:sz w:val="22"/>
                <w:szCs w:val="22"/>
              </w:rPr>
              <w:t xml:space="preserve"> </w:t>
            </w:r>
          </w:p>
          <w:p w14:paraId="6633D440" w14:textId="26B828BA" w:rsidR="00800AAD" w:rsidRPr="00012DBE" w:rsidRDefault="007C4536" w:rsidP="007C4536">
            <w:pPr>
              <w:tabs>
                <w:tab w:val="left" w:pos="355"/>
              </w:tabs>
              <w:contextualSpacing/>
              <w:rPr>
                <w:rFonts w:cs="Arial"/>
                <w:sz w:val="22"/>
                <w:szCs w:val="22"/>
              </w:rPr>
            </w:pPr>
            <w:r>
              <w:rPr>
                <w:rFonts w:cs="Arial"/>
                <w:sz w:val="22"/>
                <w:szCs w:val="22"/>
              </w:rPr>
              <w:t xml:space="preserve">which has enabled wide ranging dissemination </w:t>
            </w:r>
          </w:p>
        </w:tc>
        <w:tc>
          <w:tcPr>
            <w:tcW w:w="5902" w:type="dxa"/>
          </w:tcPr>
          <w:p w14:paraId="78A25D73" w14:textId="77777777" w:rsidR="00800AAD" w:rsidRPr="00DD4A90" w:rsidRDefault="00800AAD" w:rsidP="00930518">
            <w:pPr>
              <w:numPr>
                <w:ilvl w:val="0"/>
                <w:numId w:val="35"/>
              </w:numPr>
              <w:tabs>
                <w:tab w:val="left" w:pos="355"/>
              </w:tabs>
              <w:contextualSpacing/>
              <w:rPr>
                <w:rFonts w:cstheme="minorHAnsi"/>
                <w:sz w:val="22"/>
                <w:szCs w:val="22"/>
              </w:rPr>
            </w:pPr>
            <w:r w:rsidRPr="00DD4A90">
              <w:rPr>
                <w:rFonts w:cstheme="minorHAnsi"/>
                <w:b/>
                <w:bCs/>
                <w:sz w:val="22"/>
                <w:szCs w:val="22"/>
              </w:rPr>
              <w:t xml:space="preserve">179 PPP briefings </w:t>
            </w:r>
            <w:r w:rsidRPr="00DD4A90">
              <w:rPr>
                <w:rFonts w:cstheme="minorHAnsi"/>
                <w:sz w:val="22"/>
                <w:szCs w:val="22"/>
              </w:rPr>
              <w:t xml:space="preserve">with implementing agencies </w:t>
            </w:r>
            <w:r w:rsidRPr="00E476B5">
              <w:rPr>
                <w:rFonts w:cstheme="minorHAnsi"/>
                <w:sz w:val="22"/>
                <w:szCs w:val="22"/>
              </w:rPr>
              <w:t>and private sector</w:t>
            </w:r>
          </w:p>
          <w:p w14:paraId="07E8097B" w14:textId="77777777" w:rsidR="00800AAD" w:rsidRPr="00DD4A90" w:rsidRDefault="00800AAD" w:rsidP="00930518">
            <w:pPr>
              <w:numPr>
                <w:ilvl w:val="0"/>
                <w:numId w:val="35"/>
              </w:numPr>
              <w:tabs>
                <w:tab w:val="left" w:pos="355"/>
              </w:tabs>
              <w:contextualSpacing/>
              <w:rPr>
                <w:rFonts w:cstheme="minorHAnsi"/>
                <w:b/>
                <w:bCs/>
                <w:sz w:val="22"/>
                <w:szCs w:val="22"/>
              </w:rPr>
            </w:pPr>
            <w:r w:rsidRPr="00DD4A90">
              <w:rPr>
                <w:rFonts w:cstheme="minorHAnsi"/>
                <w:b/>
                <w:bCs/>
                <w:sz w:val="22"/>
                <w:szCs w:val="22"/>
              </w:rPr>
              <w:t xml:space="preserve">207 </w:t>
            </w:r>
            <w:r w:rsidRPr="00DD4A90">
              <w:rPr>
                <w:rFonts w:cstheme="minorHAnsi"/>
                <w:b/>
                <w:bCs/>
                <w:sz w:val="22"/>
                <w:szCs w:val="22"/>
                <w:lang w:val="en-PH"/>
              </w:rPr>
              <w:t xml:space="preserve">PPP workshops </w:t>
            </w:r>
            <w:r w:rsidRPr="00DD4A90">
              <w:rPr>
                <w:rFonts w:cstheme="minorHAnsi"/>
                <w:sz w:val="22"/>
                <w:szCs w:val="22"/>
                <w:lang w:val="en-PH"/>
              </w:rPr>
              <w:t>for local governments</w:t>
            </w:r>
          </w:p>
          <w:p w14:paraId="6BC05B2B" w14:textId="0C704C19" w:rsidR="00800AAD" w:rsidRPr="00DD4A90" w:rsidRDefault="00800AAD" w:rsidP="00930518">
            <w:pPr>
              <w:numPr>
                <w:ilvl w:val="0"/>
                <w:numId w:val="35"/>
              </w:numPr>
              <w:tabs>
                <w:tab w:val="left" w:pos="355"/>
              </w:tabs>
              <w:contextualSpacing/>
              <w:rPr>
                <w:rFonts w:cstheme="minorHAnsi"/>
                <w:b/>
                <w:bCs/>
                <w:sz w:val="22"/>
                <w:szCs w:val="22"/>
              </w:rPr>
            </w:pPr>
            <w:r w:rsidRPr="00DD4A90">
              <w:rPr>
                <w:rFonts w:cstheme="minorHAnsi"/>
                <w:sz w:val="22"/>
                <w:szCs w:val="22"/>
              </w:rPr>
              <w:t xml:space="preserve">60 </w:t>
            </w:r>
            <w:r w:rsidR="00F124A1">
              <w:rPr>
                <w:rFonts w:cstheme="minorHAnsi"/>
                <w:sz w:val="22"/>
                <w:szCs w:val="22"/>
              </w:rPr>
              <w:t>l</w:t>
            </w:r>
            <w:r w:rsidRPr="00DD4A90">
              <w:rPr>
                <w:rFonts w:cstheme="minorHAnsi"/>
                <w:sz w:val="22"/>
                <w:szCs w:val="22"/>
              </w:rPr>
              <w:t>ocal governments and water districts</w:t>
            </w:r>
            <w:r w:rsidRPr="00DD4A90">
              <w:rPr>
                <w:rFonts w:cstheme="minorHAnsi"/>
                <w:b/>
                <w:bCs/>
                <w:sz w:val="22"/>
                <w:szCs w:val="22"/>
              </w:rPr>
              <w:t xml:space="preserve"> benefitting from project assistance</w:t>
            </w:r>
          </w:p>
          <w:p w14:paraId="4D767642" w14:textId="4B241F31" w:rsidR="00800AAD" w:rsidRPr="00DD4A90" w:rsidRDefault="00800AAD" w:rsidP="00930518">
            <w:pPr>
              <w:numPr>
                <w:ilvl w:val="0"/>
                <w:numId w:val="35"/>
              </w:numPr>
              <w:tabs>
                <w:tab w:val="left" w:pos="355"/>
              </w:tabs>
              <w:contextualSpacing/>
              <w:rPr>
                <w:rFonts w:cstheme="minorHAnsi"/>
                <w:b/>
                <w:bCs/>
                <w:sz w:val="22"/>
                <w:szCs w:val="22"/>
              </w:rPr>
            </w:pPr>
            <w:r w:rsidRPr="00DD4A90">
              <w:rPr>
                <w:rFonts w:cstheme="minorHAnsi"/>
                <w:b/>
                <w:bCs/>
                <w:sz w:val="22"/>
                <w:szCs w:val="22"/>
              </w:rPr>
              <w:t xml:space="preserve">12 Memorandum of Agreements </w:t>
            </w:r>
            <w:r w:rsidRPr="00DD4A90">
              <w:rPr>
                <w:rFonts w:cstheme="minorHAnsi"/>
                <w:sz w:val="22"/>
                <w:szCs w:val="22"/>
              </w:rPr>
              <w:t>with implementing agencies for development of PPP projects</w:t>
            </w:r>
          </w:p>
          <w:p w14:paraId="54A3A2B5" w14:textId="43CD78E9" w:rsidR="00800AAD" w:rsidRPr="00DD4A90" w:rsidRDefault="00800AAD" w:rsidP="00930518">
            <w:pPr>
              <w:numPr>
                <w:ilvl w:val="0"/>
                <w:numId w:val="35"/>
              </w:numPr>
              <w:tabs>
                <w:tab w:val="left" w:pos="355"/>
              </w:tabs>
              <w:contextualSpacing/>
              <w:rPr>
                <w:rFonts w:cstheme="minorHAnsi"/>
                <w:b/>
                <w:bCs/>
                <w:sz w:val="22"/>
                <w:szCs w:val="22"/>
              </w:rPr>
            </w:pPr>
            <w:r w:rsidRPr="00DD4A90">
              <w:rPr>
                <w:rFonts w:cstheme="minorHAnsi"/>
                <w:b/>
                <w:bCs/>
                <w:sz w:val="22"/>
                <w:szCs w:val="22"/>
              </w:rPr>
              <w:t xml:space="preserve">54 Study visits </w:t>
            </w:r>
            <w:r w:rsidRPr="00DD4A90">
              <w:rPr>
                <w:rFonts w:cstheme="minorHAnsi"/>
                <w:sz w:val="22"/>
                <w:szCs w:val="22"/>
              </w:rPr>
              <w:t xml:space="preserve">to </w:t>
            </w:r>
            <w:r>
              <w:rPr>
                <w:rFonts w:cstheme="minorHAnsi"/>
                <w:sz w:val="22"/>
                <w:szCs w:val="22"/>
              </w:rPr>
              <w:t>PPP C</w:t>
            </w:r>
            <w:r w:rsidR="00F124A1">
              <w:rPr>
                <w:rFonts w:cstheme="minorHAnsi"/>
                <w:sz w:val="22"/>
                <w:szCs w:val="22"/>
              </w:rPr>
              <w:t>enter</w:t>
            </w:r>
            <w:r w:rsidRPr="00DD4A90">
              <w:rPr>
                <w:rFonts w:cstheme="minorHAnsi"/>
                <w:sz w:val="22"/>
                <w:szCs w:val="22"/>
              </w:rPr>
              <w:t xml:space="preserve"> / dialogues with </w:t>
            </w:r>
            <w:r w:rsidR="00F124A1">
              <w:rPr>
                <w:rFonts w:cstheme="minorHAnsi"/>
                <w:sz w:val="22"/>
                <w:szCs w:val="22"/>
              </w:rPr>
              <w:t>international</w:t>
            </w:r>
            <w:r w:rsidR="00F124A1" w:rsidRPr="00DD4A90">
              <w:rPr>
                <w:rFonts w:cstheme="minorHAnsi"/>
                <w:sz w:val="22"/>
                <w:szCs w:val="22"/>
              </w:rPr>
              <w:t xml:space="preserve"> </w:t>
            </w:r>
            <w:r w:rsidRPr="00DD4A90">
              <w:rPr>
                <w:rFonts w:cstheme="minorHAnsi"/>
                <w:sz w:val="22"/>
                <w:szCs w:val="22"/>
              </w:rPr>
              <w:t>PPP counterpart-institutions</w:t>
            </w:r>
          </w:p>
          <w:p w14:paraId="24A5E6B4" w14:textId="77777777" w:rsidR="00800AAD" w:rsidRPr="00DD4A90" w:rsidRDefault="00800AAD" w:rsidP="00930518">
            <w:pPr>
              <w:numPr>
                <w:ilvl w:val="0"/>
                <w:numId w:val="35"/>
              </w:numPr>
              <w:tabs>
                <w:tab w:val="left" w:pos="355"/>
              </w:tabs>
              <w:contextualSpacing/>
              <w:rPr>
                <w:rFonts w:cstheme="minorHAnsi"/>
                <w:b/>
                <w:bCs/>
                <w:sz w:val="22"/>
                <w:szCs w:val="22"/>
              </w:rPr>
            </w:pPr>
            <w:r w:rsidRPr="00DD4A90">
              <w:rPr>
                <w:rFonts w:cstheme="minorHAnsi"/>
                <w:b/>
                <w:bCs/>
                <w:sz w:val="22"/>
                <w:szCs w:val="22"/>
              </w:rPr>
              <w:t>4 International roadshows</w:t>
            </w:r>
          </w:p>
          <w:p w14:paraId="0B903EEB" w14:textId="77777777" w:rsidR="00800AAD" w:rsidRPr="00DD4A90" w:rsidRDefault="00800AAD" w:rsidP="00930518">
            <w:pPr>
              <w:numPr>
                <w:ilvl w:val="0"/>
                <w:numId w:val="35"/>
              </w:numPr>
              <w:tabs>
                <w:tab w:val="left" w:pos="355"/>
              </w:tabs>
              <w:contextualSpacing/>
              <w:rPr>
                <w:rFonts w:cstheme="minorHAnsi"/>
                <w:sz w:val="22"/>
                <w:szCs w:val="22"/>
              </w:rPr>
            </w:pPr>
            <w:r w:rsidRPr="00DD4A90">
              <w:rPr>
                <w:rFonts w:cstheme="minorHAnsi"/>
                <w:sz w:val="22"/>
                <w:szCs w:val="22"/>
              </w:rPr>
              <w:t xml:space="preserve">Mainstreaming and monitoring of </w:t>
            </w:r>
            <w:r w:rsidRPr="00DD4A90">
              <w:rPr>
                <w:rFonts w:cstheme="minorHAnsi"/>
                <w:b/>
                <w:bCs/>
                <w:sz w:val="22"/>
                <w:szCs w:val="22"/>
              </w:rPr>
              <w:t>Environmental and Social Safeguards</w:t>
            </w:r>
            <w:r w:rsidRPr="00DD4A90">
              <w:rPr>
                <w:rFonts w:cstheme="minorHAnsi"/>
                <w:sz w:val="22"/>
                <w:szCs w:val="22"/>
              </w:rPr>
              <w:t xml:space="preserve"> on all PPP projects and business cases</w:t>
            </w:r>
          </w:p>
          <w:p w14:paraId="37CA6156" w14:textId="3DFEDFDA" w:rsidR="00800AAD" w:rsidRPr="0017661A" w:rsidRDefault="00800AAD" w:rsidP="00930518">
            <w:pPr>
              <w:numPr>
                <w:ilvl w:val="0"/>
                <w:numId w:val="35"/>
              </w:numPr>
              <w:tabs>
                <w:tab w:val="left" w:pos="355"/>
              </w:tabs>
              <w:contextualSpacing/>
              <w:rPr>
                <w:rFonts w:cstheme="minorHAnsi"/>
                <w:sz w:val="22"/>
                <w:szCs w:val="22"/>
              </w:rPr>
            </w:pPr>
            <w:r w:rsidRPr="0017661A">
              <w:rPr>
                <w:rFonts w:cstheme="minorHAnsi"/>
                <w:b/>
                <w:bCs/>
                <w:sz w:val="22"/>
                <w:szCs w:val="22"/>
                <w:lang w:val="en-PH"/>
              </w:rPr>
              <w:t xml:space="preserve">PPP Book </w:t>
            </w:r>
            <w:r w:rsidRPr="0017661A">
              <w:rPr>
                <w:rFonts w:cstheme="minorHAnsi"/>
                <w:sz w:val="22"/>
                <w:szCs w:val="22"/>
                <w:lang w:val="en-PH"/>
              </w:rPr>
              <w:t xml:space="preserve">of </w:t>
            </w:r>
            <w:r w:rsidRPr="0017661A">
              <w:rPr>
                <w:rFonts w:cstheme="minorHAnsi"/>
                <w:sz w:val="22"/>
                <w:szCs w:val="22"/>
                <w:lang w:val="en-US"/>
              </w:rPr>
              <w:t>pre-configured contract template</w:t>
            </w:r>
            <w:r w:rsidR="00F124A1">
              <w:rPr>
                <w:rFonts w:cstheme="minorHAnsi"/>
                <w:sz w:val="22"/>
                <w:szCs w:val="22"/>
                <w:lang w:val="en-US"/>
              </w:rPr>
              <w:t>s</w:t>
            </w:r>
            <w:r w:rsidRPr="0017661A">
              <w:rPr>
                <w:rFonts w:cstheme="minorHAnsi"/>
                <w:b/>
                <w:bCs/>
                <w:sz w:val="22"/>
                <w:szCs w:val="22"/>
                <w:lang w:val="en-US"/>
              </w:rPr>
              <w:t xml:space="preserve"> </w:t>
            </w:r>
            <w:r w:rsidRPr="0017661A">
              <w:rPr>
                <w:rFonts w:cstheme="minorHAnsi"/>
                <w:sz w:val="22"/>
                <w:szCs w:val="22"/>
                <w:lang w:val="en-US"/>
              </w:rPr>
              <w:t>for implementing agencies</w:t>
            </w:r>
          </w:p>
          <w:p w14:paraId="6A050146" w14:textId="3CA461E1" w:rsidR="00800AAD" w:rsidRPr="00DD4A90" w:rsidRDefault="00800AAD" w:rsidP="00930518">
            <w:pPr>
              <w:numPr>
                <w:ilvl w:val="0"/>
                <w:numId w:val="35"/>
              </w:numPr>
              <w:tabs>
                <w:tab w:val="left" w:pos="355"/>
              </w:tabs>
              <w:contextualSpacing/>
              <w:rPr>
                <w:rFonts w:cstheme="minorHAnsi"/>
                <w:sz w:val="22"/>
                <w:szCs w:val="22"/>
              </w:rPr>
            </w:pPr>
            <w:r w:rsidRPr="00DD4A90">
              <w:rPr>
                <w:rFonts w:cstheme="minorHAnsi"/>
                <w:sz w:val="22"/>
                <w:szCs w:val="22"/>
              </w:rPr>
              <w:t xml:space="preserve">Developed </w:t>
            </w:r>
            <w:r w:rsidRPr="00DD4A90">
              <w:rPr>
                <w:rFonts w:cstheme="minorHAnsi"/>
                <w:b/>
                <w:bCs/>
                <w:sz w:val="22"/>
                <w:szCs w:val="22"/>
              </w:rPr>
              <w:t>PPP Curriculum</w:t>
            </w:r>
            <w:r w:rsidRPr="00DD4A90">
              <w:rPr>
                <w:rFonts w:cstheme="minorHAnsi"/>
                <w:sz w:val="22"/>
                <w:szCs w:val="22"/>
              </w:rPr>
              <w:t xml:space="preserve"> for executive courses of Development Academy of the Philippines</w:t>
            </w:r>
            <w:r w:rsidR="00672D26">
              <w:rPr>
                <w:rFonts w:cstheme="minorHAnsi"/>
                <w:sz w:val="22"/>
                <w:szCs w:val="22"/>
              </w:rPr>
              <w:t>,</w:t>
            </w:r>
            <w:r w:rsidRPr="00DD4A90">
              <w:rPr>
                <w:rFonts w:cstheme="minorHAnsi"/>
                <w:sz w:val="22"/>
                <w:szCs w:val="22"/>
              </w:rPr>
              <w:t xml:space="preserve"> and University of the Philippines</w:t>
            </w:r>
            <w:r w:rsidR="00672D26">
              <w:t xml:space="preserve"> </w:t>
            </w:r>
            <w:r w:rsidR="00672D26" w:rsidRPr="00672D26">
              <w:rPr>
                <w:rFonts w:cstheme="minorHAnsi"/>
                <w:sz w:val="22"/>
                <w:szCs w:val="22"/>
              </w:rPr>
              <w:t>National College of Public Administration and Governance</w:t>
            </w:r>
            <w:r w:rsidR="00672D26">
              <w:rPr>
                <w:rFonts w:cstheme="minorHAnsi"/>
                <w:sz w:val="22"/>
                <w:szCs w:val="22"/>
              </w:rPr>
              <w:t xml:space="preserve"> </w:t>
            </w:r>
          </w:p>
          <w:p w14:paraId="5D0EBCE2" w14:textId="77777777" w:rsidR="00800AAD" w:rsidRPr="00DD4A90" w:rsidRDefault="00800AAD" w:rsidP="00930518">
            <w:pPr>
              <w:numPr>
                <w:ilvl w:val="0"/>
                <w:numId w:val="35"/>
              </w:numPr>
              <w:tabs>
                <w:tab w:val="left" w:pos="355"/>
              </w:tabs>
              <w:contextualSpacing/>
              <w:rPr>
                <w:rFonts w:cstheme="minorHAnsi"/>
                <w:sz w:val="22"/>
                <w:szCs w:val="22"/>
              </w:rPr>
            </w:pPr>
            <w:r w:rsidRPr="00DD4A90">
              <w:rPr>
                <w:rFonts w:cstheme="minorHAnsi"/>
                <w:b/>
                <w:bCs/>
                <w:sz w:val="22"/>
                <w:szCs w:val="22"/>
              </w:rPr>
              <w:t>PPP Manuals and Knowledge Products</w:t>
            </w:r>
            <w:r w:rsidRPr="00DD4A90">
              <w:rPr>
                <w:rFonts w:cstheme="minorHAnsi"/>
                <w:sz w:val="22"/>
                <w:szCs w:val="22"/>
              </w:rPr>
              <w:t xml:space="preserve"> for implementing agencies</w:t>
            </w:r>
          </w:p>
          <w:p w14:paraId="2393997A" w14:textId="12732BA5" w:rsidR="00800AAD" w:rsidRPr="00BD369C" w:rsidRDefault="00800AAD" w:rsidP="00BD369C">
            <w:pPr>
              <w:numPr>
                <w:ilvl w:val="0"/>
                <w:numId w:val="35"/>
              </w:numPr>
              <w:tabs>
                <w:tab w:val="left" w:pos="355"/>
              </w:tabs>
              <w:contextualSpacing/>
              <w:rPr>
                <w:rFonts w:cstheme="minorHAnsi"/>
                <w:sz w:val="22"/>
                <w:szCs w:val="22"/>
              </w:rPr>
            </w:pPr>
            <w:r w:rsidRPr="00DD4A90">
              <w:rPr>
                <w:rFonts w:cstheme="minorHAnsi"/>
                <w:sz w:val="22"/>
                <w:szCs w:val="22"/>
              </w:rPr>
              <w:t>Under development</w:t>
            </w:r>
            <w:r w:rsidR="00F124A1">
              <w:rPr>
                <w:rFonts w:cstheme="minorHAnsi"/>
                <w:sz w:val="22"/>
                <w:szCs w:val="22"/>
              </w:rPr>
              <w:t xml:space="preserve"> at time of evaluation</w:t>
            </w:r>
            <w:r w:rsidRPr="00DD4A90">
              <w:rPr>
                <w:rFonts w:cstheme="minorHAnsi"/>
                <w:sz w:val="22"/>
                <w:szCs w:val="22"/>
              </w:rPr>
              <w:t xml:space="preserve">: </w:t>
            </w:r>
            <w:r w:rsidRPr="00DD4A90">
              <w:rPr>
                <w:rFonts w:cstheme="minorHAnsi"/>
                <w:b/>
                <w:bCs/>
                <w:sz w:val="22"/>
                <w:szCs w:val="22"/>
              </w:rPr>
              <w:t>Guidelines for solid waste management, water supply, and health PPP projects</w:t>
            </w:r>
            <w:r w:rsidR="00E150FE">
              <w:rPr>
                <w:rStyle w:val="FootnoteReference"/>
                <w:rFonts w:cstheme="minorHAnsi"/>
                <w:b/>
                <w:bCs/>
                <w:sz w:val="22"/>
                <w:szCs w:val="22"/>
              </w:rPr>
              <w:footnoteReference w:id="68"/>
            </w:r>
          </w:p>
        </w:tc>
      </w:tr>
    </w:tbl>
    <w:p w14:paraId="213DFD77" w14:textId="77777777" w:rsidR="00800AAD" w:rsidRDefault="00800AAD" w:rsidP="00800AAD">
      <w:pPr>
        <w:spacing w:after="40" w:line="240" w:lineRule="auto"/>
        <w:ind w:right="380"/>
        <w:rPr>
          <w:b/>
          <w:bCs/>
          <w:color w:val="5B9BD5" w:themeColor="accent1"/>
        </w:rPr>
      </w:pPr>
    </w:p>
    <w:p w14:paraId="62319346" w14:textId="15B1641A" w:rsidR="00800AAD" w:rsidRPr="00D25BF1" w:rsidRDefault="00800AAD" w:rsidP="00800AAD">
      <w:pPr>
        <w:spacing w:after="40" w:line="240" w:lineRule="auto"/>
        <w:ind w:right="380"/>
        <w:rPr>
          <w:b/>
          <w:bCs/>
          <w:color w:val="0070C0"/>
        </w:rPr>
      </w:pPr>
      <w:r w:rsidRPr="00D25BF1">
        <w:rPr>
          <w:b/>
          <w:bCs/>
          <w:color w:val="0070C0"/>
        </w:rPr>
        <w:t xml:space="preserve">Outcome 4: </w:t>
      </w:r>
      <w:r w:rsidR="00A42AF3">
        <w:rPr>
          <w:b/>
          <w:bCs/>
          <w:color w:val="0070C0"/>
        </w:rPr>
        <w:t>H</w:t>
      </w:r>
      <w:r w:rsidRPr="00D25BF1">
        <w:rPr>
          <w:b/>
          <w:bCs/>
          <w:color w:val="0070C0"/>
        </w:rPr>
        <w:t xml:space="preserve">elp establish infrastructure investment financing and risk guarantee mechanisms to facilitate </w:t>
      </w:r>
      <w:r w:rsidR="00A92122" w:rsidRPr="00D25BF1">
        <w:rPr>
          <w:b/>
          <w:bCs/>
          <w:color w:val="0070C0"/>
        </w:rPr>
        <w:t>private sector</w:t>
      </w:r>
      <w:r w:rsidRPr="00D25BF1">
        <w:rPr>
          <w:b/>
          <w:bCs/>
          <w:color w:val="0070C0"/>
        </w:rPr>
        <w:t xml:space="preserve"> interest</w:t>
      </w:r>
    </w:p>
    <w:tbl>
      <w:tblPr>
        <w:tblStyle w:val="TableGrid11"/>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Caption w:val="Annex 2: Results Charts - Outcome 4: help establish infrastructure investment financing and risk guarantee mechanisms to facilitate private sector interest"/>
        <w:tblDescription w:val="Highlights of key results for Outcome 4: help establish infrastructure investment financing and risk guarantee mechanisms to facilitate private sector interest."/>
      </w:tblPr>
      <w:tblGrid>
        <w:gridCol w:w="3114"/>
        <w:gridCol w:w="5902"/>
      </w:tblGrid>
      <w:tr w:rsidR="00800AAD" w:rsidRPr="00DD4A90" w14:paraId="5BB536F9" w14:textId="77777777" w:rsidTr="00EC013B">
        <w:trPr>
          <w:tblHeader/>
        </w:trPr>
        <w:tc>
          <w:tcPr>
            <w:tcW w:w="3114" w:type="dxa"/>
            <w:shd w:val="clear" w:color="auto" w:fill="9CC2E5" w:themeFill="accent1" w:themeFillTint="99"/>
          </w:tcPr>
          <w:p w14:paraId="22EBC47D" w14:textId="77777777" w:rsidR="00800AAD" w:rsidRPr="00D25BF1" w:rsidRDefault="00800AAD" w:rsidP="00930518">
            <w:pPr>
              <w:rPr>
                <w:b/>
                <w:sz w:val="22"/>
                <w:szCs w:val="22"/>
              </w:rPr>
            </w:pPr>
            <w:r w:rsidRPr="00D25BF1">
              <w:rPr>
                <w:b/>
                <w:sz w:val="22"/>
                <w:szCs w:val="22"/>
              </w:rPr>
              <w:t>Extent to which the outcome has been achieved</w:t>
            </w:r>
          </w:p>
        </w:tc>
        <w:tc>
          <w:tcPr>
            <w:tcW w:w="5902" w:type="dxa"/>
            <w:shd w:val="clear" w:color="auto" w:fill="9CC2E5" w:themeFill="accent1" w:themeFillTint="99"/>
          </w:tcPr>
          <w:p w14:paraId="49DDC401" w14:textId="7A2F8AB0" w:rsidR="00800AAD" w:rsidRPr="00D25BF1" w:rsidRDefault="00F90848" w:rsidP="00930518">
            <w:pPr>
              <w:rPr>
                <w:b/>
                <w:sz w:val="22"/>
                <w:szCs w:val="22"/>
              </w:rPr>
            </w:pPr>
            <w:r w:rsidRPr="00D25BF1">
              <w:rPr>
                <w:b/>
                <w:sz w:val="22"/>
                <w:szCs w:val="22"/>
              </w:rPr>
              <w:t>Key results</w:t>
            </w:r>
            <w:r w:rsidR="00800AAD" w:rsidRPr="00D25BF1">
              <w:rPr>
                <w:b/>
                <w:sz w:val="22"/>
                <w:szCs w:val="22"/>
              </w:rPr>
              <w:t xml:space="preserve"> </w:t>
            </w:r>
          </w:p>
        </w:tc>
      </w:tr>
      <w:tr w:rsidR="00800AAD" w:rsidRPr="00DD4A90" w14:paraId="0C229390" w14:textId="77777777" w:rsidTr="00BD369C">
        <w:tc>
          <w:tcPr>
            <w:tcW w:w="3114" w:type="dxa"/>
          </w:tcPr>
          <w:p w14:paraId="0FF8AFE8" w14:textId="3B7A7E5D" w:rsidR="000134C4" w:rsidRDefault="000134C4" w:rsidP="000134C4">
            <w:pPr>
              <w:tabs>
                <w:tab w:val="left" w:pos="355"/>
              </w:tabs>
              <w:spacing w:before="100"/>
              <w:rPr>
                <w:rFonts w:cstheme="minorHAnsi"/>
                <w:sz w:val="22"/>
                <w:szCs w:val="22"/>
              </w:rPr>
            </w:pPr>
            <w:r>
              <w:rPr>
                <w:rFonts w:cstheme="minorHAnsi"/>
                <w:sz w:val="22"/>
                <w:szCs w:val="22"/>
              </w:rPr>
              <w:t xml:space="preserve">While investment financing </w:t>
            </w:r>
            <w:r w:rsidR="00F124A1">
              <w:rPr>
                <w:rFonts w:cstheme="minorHAnsi"/>
                <w:sz w:val="22"/>
                <w:szCs w:val="22"/>
              </w:rPr>
              <w:t xml:space="preserve">of PPPs </w:t>
            </w:r>
            <w:r>
              <w:rPr>
                <w:rFonts w:cstheme="minorHAnsi"/>
                <w:sz w:val="22"/>
                <w:szCs w:val="22"/>
              </w:rPr>
              <w:t xml:space="preserve">increased, and important advances in this area </w:t>
            </w:r>
            <w:r w:rsidR="00F124A1">
              <w:rPr>
                <w:rFonts w:cstheme="minorHAnsi"/>
                <w:sz w:val="22"/>
                <w:szCs w:val="22"/>
              </w:rPr>
              <w:t>were</w:t>
            </w:r>
            <w:r>
              <w:rPr>
                <w:rFonts w:cstheme="minorHAnsi"/>
                <w:sz w:val="22"/>
                <w:szCs w:val="22"/>
              </w:rPr>
              <w:t xml:space="preserve"> made, key bottlenecks </w:t>
            </w:r>
            <w:r w:rsidR="00C10CE7">
              <w:rPr>
                <w:rFonts w:cstheme="minorHAnsi"/>
                <w:sz w:val="22"/>
                <w:szCs w:val="22"/>
              </w:rPr>
              <w:t>remain</w:t>
            </w:r>
            <w:r w:rsidR="00F124A1">
              <w:rPr>
                <w:rFonts w:cstheme="minorHAnsi"/>
                <w:sz w:val="22"/>
                <w:szCs w:val="22"/>
              </w:rPr>
              <w:t>ed,</w:t>
            </w:r>
            <w:r w:rsidR="00C10CE7">
              <w:rPr>
                <w:rFonts w:cstheme="minorHAnsi"/>
                <w:sz w:val="22"/>
                <w:szCs w:val="22"/>
              </w:rPr>
              <w:t xml:space="preserve"> </w:t>
            </w:r>
            <w:r>
              <w:rPr>
                <w:rFonts w:cstheme="minorHAnsi"/>
                <w:sz w:val="22"/>
                <w:szCs w:val="22"/>
              </w:rPr>
              <w:t xml:space="preserve">creating viability concerns within both government and </w:t>
            </w:r>
            <w:r w:rsidR="00A92122">
              <w:rPr>
                <w:rFonts w:cstheme="minorHAnsi"/>
                <w:sz w:val="22"/>
                <w:szCs w:val="22"/>
              </w:rPr>
              <w:t>private sector</w:t>
            </w:r>
            <w:r>
              <w:rPr>
                <w:rFonts w:cstheme="minorHAnsi"/>
                <w:sz w:val="22"/>
                <w:szCs w:val="22"/>
              </w:rPr>
              <w:t xml:space="preserve"> entities (such as contingent </w:t>
            </w:r>
            <w:r>
              <w:rPr>
                <w:rFonts w:cstheme="minorHAnsi"/>
                <w:sz w:val="22"/>
                <w:szCs w:val="22"/>
              </w:rPr>
              <w:lastRenderedPageBreak/>
              <w:t>liabilities)</w:t>
            </w:r>
            <w:r w:rsidR="00C10CE7">
              <w:rPr>
                <w:rFonts w:cstheme="minorHAnsi"/>
                <w:sz w:val="22"/>
                <w:szCs w:val="22"/>
              </w:rPr>
              <w:t xml:space="preserve">, </w:t>
            </w:r>
            <w:r>
              <w:rPr>
                <w:rFonts w:cstheme="minorHAnsi"/>
                <w:sz w:val="22"/>
                <w:szCs w:val="22"/>
              </w:rPr>
              <w:t>constraining investment</w:t>
            </w:r>
            <w:r w:rsidR="00C10CE7">
              <w:rPr>
                <w:rFonts w:cstheme="minorHAnsi"/>
                <w:sz w:val="22"/>
                <w:szCs w:val="22"/>
              </w:rPr>
              <w:t xml:space="preserve"> and preventing some </w:t>
            </w:r>
            <w:r w:rsidR="00A92122">
              <w:rPr>
                <w:rFonts w:cstheme="minorHAnsi"/>
                <w:sz w:val="22"/>
                <w:szCs w:val="22"/>
              </w:rPr>
              <w:t>private sector</w:t>
            </w:r>
            <w:r w:rsidR="00C10CE7">
              <w:rPr>
                <w:rFonts w:cstheme="minorHAnsi"/>
                <w:sz w:val="22"/>
                <w:szCs w:val="22"/>
              </w:rPr>
              <w:t xml:space="preserve"> from entering into contracts.</w:t>
            </w:r>
          </w:p>
          <w:p w14:paraId="3D275366" w14:textId="77777777" w:rsidR="000134C4" w:rsidRDefault="000134C4" w:rsidP="000134C4">
            <w:pPr>
              <w:tabs>
                <w:tab w:val="left" w:pos="355"/>
              </w:tabs>
              <w:spacing w:before="100"/>
              <w:rPr>
                <w:rFonts w:cstheme="minorHAnsi"/>
                <w:sz w:val="22"/>
                <w:szCs w:val="22"/>
              </w:rPr>
            </w:pPr>
          </w:p>
          <w:p w14:paraId="5D03F9CD" w14:textId="0E764681" w:rsidR="00800AAD" w:rsidRPr="00C10CE7" w:rsidRDefault="000134C4" w:rsidP="00C10CE7">
            <w:pPr>
              <w:tabs>
                <w:tab w:val="left" w:pos="355"/>
              </w:tabs>
              <w:spacing w:before="100"/>
              <w:rPr>
                <w:rFonts w:cstheme="minorHAnsi"/>
                <w:sz w:val="22"/>
                <w:szCs w:val="22"/>
              </w:rPr>
            </w:pPr>
            <w:r>
              <w:rPr>
                <w:rFonts w:cstheme="minorHAnsi"/>
                <w:sz w:val="22"/>
                <w:szCs w:val="22"/>
              </w:rPr>
              <w:t xml:space="preserve">The TA </w:t>
            </w:r>
            <w:r w:rsidR="00F124A1">
              <w:rPr>
                <w:rFonts w:cstheme="minorHAnsi"/>
                <w:sz w:val="22"/>
                <w:szCs w:val="22"/>
              </w:rPr>
              <w:t>was</w:t>
            </w:r>
            <w:r>
              <w:rPr>
                <w:rFonts w:cstheme="minorHAnsi"/>
                <w:sz w:val="22"/>
                <w:szCs w:val="22"/>
              </w:rPr>
              <w:t xml:space="preserve"> well directed</w:t>
            </w:r>
            <w:r w:rsidR="00C10CE7">
              <w:rPr>
                <w:rFonts w:cstheme="minorHAnsi"/>
                <w:sz w:val="22"/>
                <w:szCs w:val="22"/>
              </w:rPr>
              <w:t xml:space="preserve"> along the pathway </w:t>
            </w:r>
            <w:r w:rsidR="00680BA5">
              <w:rPr>
                <w:rFonts w:cstheme="minorHAnsi"/>
                <w:sz w:val="22"/>
                <w:szCs w:val="22"/>
              </w:rPr>
              <w:t>towards tackling</w:t>
            </w:r>
            <w:r>
              <w:rPr>
                <w:rFonts w:cstheme="minorHAnsi"/>
                <w:sz w:val="22"/>
                <w:szCs w:val="22"/>
              </w:rPr>
              <w:t xml:space="preserve"> important issues, </w:t>
            </w:r>
            <w:r w:rsidR="00680BA5">
              <w:rPr>
                <w:rFonts w:cstheme="minorHAnsi"/>
                <w:sz w:val="22"/>
                <w:szCs w:val="22"/>
              </w:rPr>
              <w:t>however,</w:t>
            </w:r>
            <w:r>
              <w:rPr>
                <w:rFonts w:cstheme="minorHAnsi"/>
                <w:sz w:val="22"/>
                <w:szCs w:val="22"/>
              </w:rPr>
              <w:t xml:space="preserve"> </w:t>
            </w:r>
            <w:r w:rsidR="00F124A1">
              <w:rPr>
                <w:rFonts w:cstheme="minorHAnsi"/>
                <w:sz w:val="22"/>
                <w:szCs w:val="22"/>
              </w:rPr>
              <w:t>was</w:t>
            </w:r>
            <w:r>
              <w:rPr>
                <w:rFonts w:cstheme="minorHAnsi"/>
                <w:sz w:val="22"/>
                <w:szCs w:val="22"/>
              </w:rPr>
              <w:t xml:space="preserve"> not given sufficient focus and investment </w:t>
            </w:r>
            <w:r w:rsidR="00C10CE7">
              <w:rPr>
                <w:rFonts w:cstheme="minorHAnsi"/>
                <w:sz w:val="22"/>
                <w:szCs w:val="22"/>
              </w:rPr>
              <w:t>to</w:t>
            </w:r>
            <w:r>
              <w:rPr>
                <w:rFonts w:cstheme="minorHAnsi"/>
                <w:sz w:val="22"/>
                <w:szCs w:val="22"/>
              </w:rPr>
              <w:t xml:space="preserve"> </w:t>
            </w:r>
            <w:r w:rsidR="00C10CE7">
              <w:rPr>
                <w:rFonts w:cstheme="minorHAnsi"/>
                <w:sz w:val="22"/>
                <w:szCs w:val="22"/>
              </w:rPr>
              <w:t>addressing key</w:t>
            </w:r>
            <w:r>
              <w:rPr>
                <w:rFonts w:cstheme="minorHAnsi"/>
                <w:sz w:val="22"/>
                <w:szCs w:val="22"/>
              </w:rPr>
              <w:t xml:space="preserve"> stumbling blocks. </w:t>
            </w:r>
          </w:p>
          <w:p w14:paraId="7C9324AE" w14:textId="77777777" w:rsidR="00800AAD" w:rsidRPr="00012DBE" w:rsidRDefault="00800AAD" w:rsidP="00930518">
            <w:pPr>
              <w:ind w:left="720"/>
              <w:contextualSpacing/>
              <w:rPr>
                <w:rFonts w:cs="Arial"/>
                <w:sz w:val="22"/>
                <w:szCs w:val="22"/>
              </w:rPr>
            </w:pPr>
          </w:p>
          <w:p w14:paraId="33F3270A" w14:textId="77777777" w:rsidR="00800AAD" w:rsidRPr="00012DBE" w:rsidRDefault="00800AAD" w:rsidP="00930518">
            <w:pPr>
              <w:tabs>
                <w:tab w:val="left" w:pos="355"/>
              </w:tabs>
              <w:ind w:left="273"/>
              <w:contextualSpacing/>
              <w:rPr>
                <w:rFonts w:cs="Arial"/>
                <w:sz w:val="22"/>
                <w:szCs w:val="22"/>
              </w:rPr>
            </w:pPr>
          </w:p>
        </w:tc>
        <w:tc>
          <w:tcPr>
            <w:tcW w:w="5902" w:type="dxa"/>
          </w:tcPr>
          <w:p w14:paraId="76936F63" w14:textId="695BFECB" w:rsidR="00800AAD" w:rsidRPr="002A2AF3" w:rsidRDefault="00800AAD" w:rsidP="00930518">
            <w:pPr>
              <w:numPr>
                <w:ilvl w:val="0"/>
                <w:numId w:val="35"/>
              </w:numPr>
              <w:tabs>
                <w:tab w:val="left" w:pos="355"/>
              </w:tabs>
              <w:contextualSpacing/>
              <w:rPr>
                <w:rFonts w:cstheme="minorHAnsi"/>
                <w:sz w:val="22"/>
                <w:szCs w:val="22"/>
              </w:rPr>
            </w:pPr>
            <w:r w:rsidRPr="002A2AF3">
              <w:rPr>
                <w:rFonts w:cstheme="minorHAnsi"/>
                <w:sz w:val="22"/>
                <w:szCs w:val="22"/>
                <w:lang w:val="en-PH"/>
              </w:rPr>
              <w:lastRenderedPageBreak/>
              <w:t xml:space="preserve">Establishment of the </w:t>
            </w:r>
            <w:r w:rsidRPr="002A2AF3">
              <w:rPr>
                <w:rFonts w:cstheme="minorHAnsi"/>
                <w:b/>
                <w:bCs/>
                <w:sz w:val="22"/>
                <w:szCs w:val="22"/>
                <w:lang w:val="en-PH"/>
              </w:rPr>
              <w:t xml:space="preserve">Risk Management Program </w:t>
            </w:r>
            <w:r w:rsidRPr="002A2AF3">
              <w:rPr>
                <w:rFonts w:cstheme="minorHAnsi"/>
                <w:sz w:val="22"/>
                <w:szCs w:val="22"/>
                <w:lang w:val="en-PH"/>
              </w:rPr>
              <w:t xml:space="preserve">under the unprogrammed funds of the General Appropriations Act, and creation in 2015 of the </w:t>
            </w:r>
            <w:r w:rsidRPr="002A2AF3">
              <w:rPr>
                <w:rFonts w:cstheme="minorHAnsi"/>
                <w:b/>
                <w:bCs/>
                <w:sz w:val="22"/>
                <w:szCs w:val="22"/>
                <w:lang w:val="en-PH"/>
              </w:rPr>
              <w:t>Technical Working Group on Contingent Liabilities (</w:t>
            </w:r>
            <w:r w:rsidRPr="002127DE">
              <w:rPr>
                <w:rFonts w:cstheme="minorHAnsi"/>
                <w:b/>
                <w:bCs/>
                <w:sz w:val="22"/>
                <w:szCs w:val="22"/>
                <w:lang w:val="en-PH"/>
              </w:rPr>
              <w:t xml:space="preserve">TWG-CL) </w:t>
            </w:r>
            <w:r w:rsidRPr="002127DE">
              <w:rPr>
                <w:rFonts w:cstheme="minorHAnsi"/>
                <w:sz w:val="22"/>
                <w:szCs w:val="22"/>
                <w:lang w:val="en-PH"/>
              </w:rPr>
              <w:t xml:space="preserve">focusing on the monitoring of contingent liabilities (CL) arising from contractual obligations of the national government and </w:t>
            </w:r>
            <w:r w:rsidR="00BC2033" w:rsidRPr="002127DE">
              <w:rPr>
                <w:rStyle w:val="acopre"/>
                <w:sz w:val="22"/>
                <w:szCs w:val="22"/>
              </w:rPr>
              <w:t>government-owned and controlled corporation</w:t>
            </w:r>
            <w:r w:rsidR="00B46677" w:rsidRPr="002127DE">
              <w:rPr>
                <w:rStyle w:val="acopre"/>
                <w:sz w:val="22"/>
                <w:szCs w:val="22"/>
              </w:rPr>
              <w:t>s</w:t>
            </w:r>
            <w:r w:rsidR="00BC2033" w:rsidRPr="002127DE">
              <w:rPr>
                <w:rFonts w:cstheme="minorHAnsi"/>
                <w:sz w:val="22"/>
                <w:szCs w:val="22"/>
                <w:lang w:val="en-PH"/>
              </w:rPr>
              <w:t xml:space="preserve"> (</w:t>
            </w:r>
            <w:r w:rsidRPr="002127DE">
              <w:rPr>
                <w:rFonts w:cstheme="minorHAnsi"/>
                <w:sz w:val="22"/>
                <w:szCs w:val="22"/>
                <w:lang w:val="en-PH"/>
              </w:rPr>
              <w:t>GOCCs</w:t>
            </w:r>
            <w:r w:rsidR="00BC2033" w:rsidRPr="002127DE">
              <w:rPr>
                <w:rFonts w:cstheme="minorHAnsi"/>
                <w:sz w:val="22"/>
                <w:szCs w:val="22"/>
                <w:lang w:val="en-PH"/>
              </w:rPr>
              <w:t>)</w:t>
            </w:r>
          </w:p>
          <w:p w14:paraId="11251371" w14:textId="3ED186EA" w:rsidR="00800AAD" w:rsidRPr="002A2AF3" w:rsidRDefault="00800AAD" w:rsidP="00930518">
            <w:pPr>
              <w:numPr>
                <w:ilvl w:val="0"/>
                <w:numId w:val="35"/>
              </w:numPr>
              <w:tabs>
                <w:tab w:val="left" w:pos="355"/>
              </w:tabs>
              <w:contextualSpacing/>
              <w:rPr>
                <w:rFonts w:cstheme="minorHAnsi"/>
                <w:sz w:val="22"/>
                <w:szCs w:val="22"/>
              </w:rPr>
            </w:pPr>
            <w:r w:rsidRPr="002A2AF3">
              <w:rPr>
                <w:rFonts w:cstheme="minorHAnsi"/>
                <w:sz w:val="22"/>
                <w:szCs w:val="22"/>
                <w:lang w:val="en-PH"/>
              </w:rPr>
              <w:lastRenderedPageBreak/>
              <w:t xml:space="preserve">Issuance of </w:t>
            </w:r>
            <w:r w:rsidR="004A088B" w:rsidRPr="004A088B">
              <w:rPr>
                <w:rFonts w:cstheme="minorHAnsi"/>
                <w:b/>
                <w:bCs/>
                <w:sz w:val="22"/>
                <w:szCs w:val="22"/>
                <w:lang w:val="en-PH"/>
              </w:rPr>
              <w:t>Department of Budget and Management (</w:t>
            </w:r>
            <w:r w:rsidRPr="004A088B">
              <w:rPr>
                <w:rFonts w:cstheme="minorHAnsi"/>
                <w:b/>
                <w:bCs/>
                <w:sz w:val="22"/>
                <w:szCs w:val="22"/>
                <w:lang w:val="en-PH"/>
              </w:rPr>
              <w:t>DBM</w:t>
            </w:r>
            <w:r w:rsidR="004A088B" w:rsidRPr="004A088B">
              <w:rPr>
                <w:rFonts w:cstheme="minorHAnsi"/>
                <w:b/>
                <w:bCs/>
                <w:sz w:val="22"/>
                <w:szCs w:val="22"/>
                <w:lang w:val="en-PH"/>
              </w:rPr>
              <w:t>)</w:t>
            </w:r>
            <w:r w:rsidRPr="007464F3">
              <w:rPr>
                <w:rFonts w:cstheme="minorHAnsi"/>
                <w:b/>
                <w:bCs/>
                <w:lang w:val="en-PH"/>
              </w:rPr>
              <w:t xml:space="preserve"> </w:t>
            </w:r>
            <w:r w:rsidR="004A088B" w:rsidRPr="007464F3">
              <w:rPr>
                <w:rFonts w:cstheme="minorHAnsi"/>
                <w:b/>
                <w:bCs/>
                <w:lang w:val="en-PH"/>
              </w:rPr>
              <w:t xml:space="preserve">National </w:t>
            </w:r>
            <w:r w:rsidR="000E6F49" w:rsidRPr="000E6F49">
              <w:rPr>
                <w:rFonts w:cstheme="minorHAnsi"/>
                <w:b/>
                <w:bCs/>
                <w:lang w:val="en-PH"/>
              </w:rPr>
              <w:t>Budget Circular</w:t>
            </w:r>
            <w:r w:rsidR="004A088B">
              <w:rPr>
                <w:rFonts w:cstheme="minorHAnsi"/>
                <w:sz w:val="22"/>
                <w:szCs w:val="22"/>
                <w:lang w:val="en-PH"/>
              </w:rPr>
              <w:t xml:space="preserve"> (</w:t>
            </w:r>
            <w:r w:rsidRPr="002A2AF3">
              <w:rPr>
                <w:rFonts w:cstheme="minorHAnsi"/>
                <w:b/>
                <w:bCs/>
                <w:sz w:val="22"/>
                <w:szCs w:val="22"/>
                <w:lang w:val="en-PH"/>
              </w:rPr>
              <w:t>NBC</w:t>
            </w:r>
            <w:r w:rsidR="004A088B">
              <w:rPr>
                <w:rFonts w:cstheme="minorHAnsi"/>
                <w:b/>
                <w:bCs/>
                <w:sz w:val="22"/>
                <w:szCs w:val="22"/>
                <w:lang w:val="en-PH"/>
              </w:rPr>
              <w:t>)</w:t>
            </w:r>
            <w:r w:rsidRPr="002A2AF3">
              <w:rPr>
                <w:rFonts w:cstheme="minorHAnsi"/>
                <w:sz w:val="22"/>
                <w:szCs w:val="22"/>
                <w:lang w:val="en-PH"/>
              </w:rPr>
              <w:t xml:space="preserve"> No. 538 providing guidelines on the submission of agency budgetary proposals, to be funded from the </w:t>
            </w:r>
            <w:r w:rsidRPr="002A2AF3">
              <w:rPr>
                <w:rFonts w:cstheme="minorHAnsi"/>
                <w:b/>
                <w:bCs/>
                <w:sz w:val="22"/>
                <w:szCs w:val="22"/>
                <w:lang w:val="en-PH"/>
              </w:rPr>
              <w:t>PPP Strategic Support Fund</w:t>
            </w:r>
          </w:p>
          <w:p w14:paraId="56678DDF" w14:textId="762B3F98" w:rsidR="00800AAD" w:rsidRPr="002A2AF3" w:rsidRDefault="004A088B" w:rsidP="00930518">
            <w:pPr>
              <w:numPr>
                <w:ilvl w:val="0"/>
                <w:numId w:val="35"/>
              </w:numPr>
              <w:tabs>
                <w:tab w:val="left" w:pos="355"/>
              </w:tabs>
              <w:contextualSpacing/>
              <w:rPr>
                <w:rFonts w:cstheme="minorHAnsi"/>
                <w:sz w:val="22"/>
                <w:szCs w:val="22"/>
              </w:rPr>
            </w:pPr>
            <w:r w:rsidRPr="007464F3">
              <w:rPr>
                <w:rFonts w:cstheme="minorHAnsi"/>
                <w:lang w:val="en-PH"/>
              </w:rPr>
              <w:t>Provision of</w:t>
            </w:r>
            <w:r>
              <w:rPr>
                <w:rFonts w:cstheme="minorHAnsi"/>
                <w:b/>
                <w:bCs/>
                <w:sz w:val="22"/>
                <w:szCs w:val="22"/>
                <w:lang w:val="en-PH"/>
              </w:rPr>
              <w:t xml:space="preserve"> </w:t>
            </w:r>
            <w:r w:rsidR="00800AAD" w:rsidRPr="007464F3">
              <w:rPr>
                <w:rFonts w:cstheme="minorHAnsi"/>
                <w:b/>
                <w:bCs/>
                <w:lang w:val="en-PH"/>
              </w:rPr>
              <w:t>advi</w:t>
            </w:r>
            <w:r w:rsidRPr="007464F3">
              <w:rPr>
                <w:rFonts w:cstheme="minorHAnsi"/>
                <w:b/>
                <w:bCs/>
                <w:lang w:val="en-PH"/>
              </w:rPr>
              <w:t>ce</w:t>
            </w:r>
            <w:r w:rsidR="00800AAD" w:rsidRPr="007464F3">
              <w:rPr>
                <w:rFonts w:cstheme="minorHAnsi"/>
                <w:b/>
                <w:bCs/>
                <w:lang w:val="en-PH"/>
              </w:rPr>
              <w:t xml:space="preserve"> on long-term financing and risk guarantee mechanisms as well as financial issues</w:t>
            </w:r>
            <w:r w:rsidR="00800AAD" w:rsidRPr="002A2AF3">
              <w:rPr>
                <w:rFonts w:cstheme="minorHAnsi"/>
                <w:sz w:val="22"/>
                <w:szCs w:val="22"/>
                <w:lang w:val="en-PH"/>
              </w:rPr>
              <w:t xml:space="preserve"> related to PPP projects and policy</w:t>
            </w:r>
            <w:r>
              <w:rPr>
                <w:rFonts w:cstheme="minorHAnsi"/>
                <w:sz w:val="22"/>
                <w:szCs w:val="22"/>
                <w:lang w:val="en-PH"/>
              </w:rPr>
              <w:t xml:space="preserve"> </w:t>
            </w:r>
            <w:r w:rsidR="00AA03F2">
              <w:rPr>
                <w:rFonts w:cstheme="minorHAnsi"/>
                <w:sz w:val="22"/>
                <w:szCs w:val="22"/>
                <w:lang w:val="en-PH"/>
              </w:rPr>
              <w:t xml:space="preserve">from </w:t>
            </w:r>
            <w:r>
              <w:rPr>
                <w:rFonts w:cstheme="minorHAnsi"/>
                <w:sz w:val="22"/>
                <w:szCs w:val="22"/>
                <w:lang w:val="en-PH"/>
              </w:rPr>
              <w:t>a d</w:t>
            </w:r>
            <w:r w:rsidRPr="002A2AF3">
              <w:rPr>
                <w:rFonts w:cstheme="minorHAnsi"/>
                <w:sz w:val="22"/>
                <w:szCs w:val="22"/>
                <w:lang w:val="en-PH"/>
              </w:rPr>
              <w:t xml:space="preserve">edicated </w:t>
            </w:r>
            <w:r w:rsidRPr="002A2AF3">
              <w:rPr>
                <w:rFonts w:cstheme="minorHAnsi"/>
                <w:b/>
                <w:bCs/>
                <w:sz w:val="22"/>
                <w:szCs w:val="22"/>
                <w:lang w:val="en-PH"/>
              </w:rPr>
              <w:t xml:space="preserve">Risk Management Consultant </w:t>
            </w:r>
          </w:p>
          <w:p w14:paraId="5DBA8A36" w14:textId="7E625434" w:rsidR="00800AAD" w:rsidRPr="002A2AF3" w:rsidRDefault="00800AAD" w:rsidP="00930518">
            <w:pPr>
              <w:numPr>
                <w:ilvl w:val="0"/>
                <w:numId w:val="35"/>
              </w:numPr>
              <w:tabs>
                <w:tab w:val="left" w:pos="355"/>
              </w:tabs>
              <w:contextualSpacing/>
              <w:rPr>
                <w:rFonts w:cstheme="minorHAnsi"/>
                <w:sz w:val="22"/>
                <w:szCs w:val="22"/>
              </w:rPr>
            </w:pPr>
            <w:r w:rsidRPr="002A2AF3">
              <w:rPr>
                <w:rFonts w:cstheme="minorHAnsi"/>
                <w:sz w:val="22"/>
                <w:szCs w:val="22"/>
                <w:lang w:val="en-PH"/>
              </w:rPr>
              <w:t xml:space="preserve">Publication of </w:t>
            </w:r>
            <w:r w:rsidRPr="002A2AF3">
              <w:rPr>
                <w:rFonts w:cstheme="minorHAnsi"/>
                <w:b/>
                <w:bCs/>
                <w:sz w:val="22"/>
                <w:szCs w:val="22"/>
                <w:lang w:val="en-PH"/>
              </w:rPr>
              <w:t>“Philippines: Management of Contingent Liabilities arising from Public-Private Partnerships Projects”</w:t>
            </w:r>
            <w:r w:rsidRPr="002A2AF3">
              <w:rPr>
                <w:rFonts w:cstheme="minorHAnsi"/>
                <w:sz w:val="22"/>
                <w:szCs w:val="22"/>
                <w:lang w:val="en-PH"/>
              </w:rPr>
              <w:t xml:space="preserve"> book</w:t>
            </w:r>
            <w:r w:rsidR="000B35DD">
              <w:rPr>
                <w:rFonts w:cstheme="minorHAnsi"/>
                <w:sz w:val="22"/>
                <w:szCs w:val="22"/>
                <w:lang w:val="en-PH"/>
              </w:rPr>
              <w:t xml:space="preserve">  </w:t>
            </w:r>
          </w:p>
          <w:p w14:paraId="7001B250" w14:textId="2807BA56" w:rsidR="00800AAD" w:rsidRPr="00BD369C" w:rsidRDefault="00800AAD" w:rsidP="00930518">
            <w:pPr>
              <w:numPr>
                <w:ilvl w:val="0"/>
                <w:numId w:val="35"/>
              </w:numPr>
              <w:tabs>
                <w:tab w:val="left" w:pos="355"/>
              </w:tabs>
              <w:contextualSpacing/>
              <w:rPr>
                <w:rFonts w:cstheme="minorHAnsi"/>
                <w:sz w:val="22"/>
                <w:szCs w:val="22"/>
              </w:rPr>
            </w:pPr>
            <w:r w:rsidRPr="002A2AF3">
              <w:rPr>
                <w:rFonts w:cstheme="minorHAnsi"/>
                <w:sz w:val="22"/>
                <w:szCs w:val="22"/>
                <w:lang w:val="en-PH"/>
              </w:rPr>
              <w:t xml:space="preserve">Developments in the </w:t>
            </w:r>
            <w:r w:rsidRPr="002A2AF3">
              <w:rPr>
                <w:rFonts w:cstheme="minorHAnsi"/>
                <w:b/>
                <w:bCs/>
                <w:sz w:val="22"/>
                <w:szCs w:val="22"/>
                <w:lang w:val="en-PH"/>
              </w:rPr>
              <w:t>financing of PPP projects</w:t>
            </w:r>
            <w:r w:rsidRPr="002A2AF3">
              <w:rPr>
                <w:rFonts w:cstheme="minorHAnsi"/>
                <w:sz w:val="22"/>
                <w:szCs w:val="22"/>
                <w:lang w:val="en-PH"/>
              </w:rPr>
              <w:t xml:space="preserve"> by the private sector through: Issuance by the Bangko Sentral ng Pilipinas (BSP) of </w:t>
            </w:r>
            <w:r w:rsidRPr="002A2AF3">
              <w:rPr>
                <w:rFonts w:cstheme="minorHAnsi"/>
                <w:b/>
                <w:bCs/>
                <w:sz w:val="22"/>
                <w:szCs w:val="22"/>
                <w:lang w:val="en-PH"/>
              </w:rPr>
              <w:t>special regulations on single borrower’s limits</w:t>
            </w:r>
            <w:r w:rsidRPr="002A2AF3">
              <w:rPr>
                <w:rFonts w:cstheme="minorHAnsi"/>
                <w:sz w:val="22"/>
                <w:szCs w:val="22"/>
                <w:lang w:val="en-PH"/>
              </w:rPr>
              <w:t xml:space="preserve"> related to PPP borrowings; and Issuance by the Philippine Stock Exchange (PSE) of </w:t>
            </w:r>
            <w:r w:rsidRPr="002A2AF3">
              <w:rPr>
                <w:rFonts w:cstheme="minorHAnsi"/>
                <w:b/>
                <w:bCs/>
                <w:sz w:val="22"/>
                <w:szCs w:val="22"/>
                <w:lang w:val="en-PH"/>
              </w:rPr>
              <w:t xml:space="preserve">Listing and Disclosure Rules </w:t>
            </w:r>
            <w:r w:rsidRPr="002A2AF3">
              <w:rPr>
                <w:rFonts w:cstheme="minorHAnsi"/>
                <w:sz w:val="22"/>
                <w:szCs w:val="22"/>
                <w:lang w:val="en-PH"/>
              </w:rPr>
              <w:t>for PPP companies.</w:t>
            </w:r>
          </w:p>
        </w:tc>
      </w:tr>
    </w:tbl>
    <w:p w14:paraId="2583AF64" w14:textId="77777777" w:rsidR="00800AAD" w:rsidRDefault="00800AAD" w:rsidP="00800AAD">
      <w:pPr>
        <w:spacing w:after="40" w:line="240" w:lineRule="auto"/>
        <w:ind w:right="380"/>
        <w:rPr>
          <w:b/>
          <w:bCs/>
          <w:color w:val="5B9BD5" w:themeColor="accent1"/>
        </w:rPr>
      </w:pPr>
    </w:p>
    <w:p w14:paraId="47EC4C05" w14:textId="0205123B" w:rsidR="00800AAD" w:rsidRPr="00D25BF1" w:rsidRDefault="00800AAD" w:rsidP="00800AAD">
      <w:pPr>
        <w:spacing w:after="40" w:line="240" w:lineRule="auto"/>
        <w:ind w:right="380"/>
        <w:rPr>
          <w:b/>
          <w:bCs/>
          <w:color w:val="0070C0"/>
        </w:rPr>
      </w:pPr>
      <w:r w:rsidRPr="00D25BF1">
        <w:rPr>
          <w:b/>
          <w:bCs/>
          <w:color w:val="0070C0"/>
        </w:rPr>
        <w:t xml:space="preserve">Outcome 5: </w:t>
      </w:r>
      <w:r w:rsidR="00A42AF3">
        <w:rPr>
          <w:b/>
          <w:bCs/>
          <w:color w:val="0070C0"/>
        </w:rPr>
        <w:t>H</w:t>
      </w:r>
      <w:r w:rsidRPr="00D25BF1">
        <w:rPr>
          <w:b/>
          <w:bCs/>
          <w:color w:val="0070C0"/>
        </w:rPr>
        <w:t>elp structure bankable PPP projects through sustainable project development financing</w:t>
      </w:r>
    </w:p>
    <w:tbl>
      <w:tblPr>
        <w:tblStyle w:val="TableGrid11"/>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Caption w:val="Annex 2: Results Charts - Outcome 5: help structure bankable PPP projects through sustainable project development financing"/>
        <w:tblDescription w:val="Highlights of key results for Outcome 5: help structure bankable PPP projects through sustainable project development financing"/>
      </w:tblPr>
      <w:tblGrid>
        <w:gridCol w:w="3114"/>
        <w:gridCol w:w="5902"/>
      </w:tblGrid>
      <w:tr w:rsidR="00800AAD" w:rsidRPr="00DD4A90" w14:paraId="1F700291" w14:textId="77777777" w:rsidTr="00323BBB">
        <w:trPr>
          <w:cantSplit/>
          <w:tblHeader/>
        </w:trPr>
        <w:tc>
          <w:tcPr>
            <w:tcW w:w="3114" w:type="dxa"/>
            <w:shd w:val="clear" w:color="auto" w:fill="9CC2E5" w:themeFill="accent1" w:themeFillTint="99"/>
          </w:tcPr>
          <w:p w14:paraId="4F2D3A9A" w14:textId="77777777" w:rsidR="00800AAD" w:rsidRPr="00D25BF1" w:rsidRDefault="00800AAD" w:rsidP="00930518">
            <w:pPr>
              <w:rPr>
                <w:b/>
                <w:sz w:val="22"/>
                <w:szCs w:val="22"/>
              </w:rPr>
            </w:pPr>
            <w:r w:rsidRPr="00D25BF1">
              <w:rPr>
                <w:b/>
                <w:sz w:val="22"/>
                <w:szCs w:val="22"/>
              </w:rPr>
              <w:t>Extent to which the outcome has been achieved</w:t>
            </w:r>
          </w:p>
        </w:tc>
        <w:tc>
          <w:tcPr>
            <w:tcW w:w="5902" w:type="dxa"/>
            <w:shd w:val="clear" w:color="auto" w:fill="9CC2E5" w:themeFill="accent1" w:themeFillTint="99"/>
          </w:tcPr>
          <w:p w14:paraId="152DF72C" w14:textId="42361E2C" w:rsidR="00800AAD" w:rsidRPr="00D25BF1" w:rsidRDefault="00DF11F7" w:rsidP="00930518">
            <w:pPr>
              <w:rPr>
                <w:b/>
                <w:sz w:val="22"/>
                <w:szCs w:val="22"/>
              </w:rPr>
            </w:pPr>
            <w:r w:rsidRPr="00D25BF1">
              <w:rPr>
                <w:b/>
                <w:sz w:val="22"/>
                <w:szCs w:val="22"/>
              </w:rPr>
              <w:t>Key results</w:t>
            </w:r>
            <w:r w:rsidR="00800AAD" w:rsidRPr="00D25BF1">
              <w:rPr>
                <w:b/>
                <w:sz w:val="22"/>
                <w:szCs w:val="22"/>
              </w:rPr>
              <w:t xml:space="preserve"> </w:t>
            </w:r>
          </w:p>
        </w:tc>
      </w:tr>
      <w:tr w:rsidR="00800AAD" w:rsidRPr="00DD4A90" w14:paraId="6B7B05BA" w14:textId="77777777" w:rsidTr="00DF11F7">
        <w:tc>
          <w:tcPr>
            <w:tcW w:w="3114" w:type="dxa"/>
          </w:tcPr>
          <w:p w14:paraId="5FBEC8DD" w14:textId="6A7B7510" w:rsidR="000134C4" w:rsidRDefault="00FF5A7B" w:rsidP="000134C4">
            <w:pPr>
              <w:tabs>
                <w:tab w:val="left" w:pos="355"/>
              </w:tabs>
              <w:spacing w:before="100"/>
              <w:rPr>
                <w:rFonts w:cstheme="minorHAnsi"/>
                <w:sz w:val="22"/>
                <w:szCs w:val="22"/>
              </w:rPr>
            </w:pPr>
            <w:r>
              <w:rPr>
                <w:rFonts w:cstheme="minorHAnsi"/>
                <w:sz w:val="22"/>
                <w:szCs w:val="22"/>
              </w:rPr>
              <w:t xml:space="preserve">The number of PPPs </w:t>
            </w:r>
            <w:r w:rsidR="00F124A1">
              <w:rPr>
                <w:rFonts w:cstheme="minorHAnsi"/>
                <w:sz w:val="22"/>
                <w:szCs w:val="22"/>
              </w:rPr>
              <w:t xml:space="preserve">was </w:t>
            </w:r>
            <w:r>
              <w:rPr>
                <w:rFonts w:cstheme="minorHAnsi"/>
                <w:sz w:val="22"/>
                <w:szCs w:val="22"/>
              </w:rPr>
              <w:t>increased, with</w:t>
            </w:r>
            <w:r w:rsidR="00C84C5A">
              <w:rPr>
                <w:rFonts w:cstheme="minorHAnsi"/>
                <w:sz w:val="22"/>
                <w:szCs w:val="22"/>
              </w:rPr>
              <w:t xml:space="preserve"> </w:t>
            </w:r>
            <w:r>
              <w:rPr>
                <w:rFonts w:cstheme="minorHAnsi"/>
                <w:sz w:val="22"/>
                <w:szCs w:val="22"/>
              </w:rPr>
              <w:t>a series of big-ticket</w:t>
            </w:r>
            <w:r w:rsidR="00C84C5A">
              <w:rPr>
                <w:rFonts w:cstheme="minorHAnsi"/>
                <w:sz w:val="22"/>
                <w:szCs w:val="22"/>
              </w:rPr>
              <w:t xml:space="preserve"> </w:t>
            </w:r>
            <w:r>
              <w:rPr>
                <w:rFonts w:cstheme="minorHAnsi"/>
                <w:sz w:val="22"/>
                <w:szCs w:val="22"/>
              </w:rPr>
              <w:t xml:space="preserve">national </w:t>
            </w:r>
            <w:r w:rsidR="00C84C5A">
              <w:rPr>
                <w:rFonts w:cstheme="minorHAnsi"/>
                <w:sz w:val="22"/>
                <w:szCs w:val="22"/>
              </w:rPr>
              <w:t xml:space="preserve">PPPs awarded and implemented, and </w:t>
            </w:r>
            <w:r>
              <w:rPr>
                <w:rFonts w:cstheme="minorHAnsi"/>
                <w:sz w:val="22"/>
                <w:szCs w:val="22"/>
              </w:rPr>
              <w:t>an expansion in</w:t>
            </w:r>
            <w:r w:rsidR="00C84C5A">
              <w:rPr>
                <w:rFonts w:cstheme="minorHAnsi"/>
                <w:sz w:val="22"/>
                <w:szCs w:val="22"/>
              </w:rPr>
              <w:t xml:space="preserve"> </w:t>
            </w:r>
            <w:r w:rsidR="00817D07">
              <w:rPr>
                <w:rFonts w:cstheme="minorHAnsi"/>
                <w:sz w:val="22"/>
                <w:szCs w:val="22"/>
              </w:rPr>
              <w:t xml:space="preserve">the </w:t>
            </w:r>
            <w:r w:rsidR="00C84C5A">
              <w:rPr>
                <w:rFonts w:cstheme="minorHAnsi"/>
                <w:sz w:val="22"/>
                <w:szCs w:val="22"/>
              </w:rPr>
              <w:t xml:space="preserve">number of smaller local PPPs </w:t>
            </w:r>
            <w:r w:rsidR="00817D07">
              <w:rPr>
                <w:rFonts w:cstheme="minorHAnsi"/>
                <w:sz w:val="22"/>
                <w:szCs w:val="22"/>
              </w:rPr>
              <w:t>developed</w:t>
            </w:r>
            <w:r w:rsidR="00F571EE">
              <w:rPr>
                <w:rFonts w:cstheme="minorHAnsi"/>
                <w:sz w:val="22"/>
                <w:szCs w:val="22"/>
              </w:rPr>
              <w:t xml:space="preserve"> or in the</w:t>
            </w:r>
            <w:r w:rsidR="00C84C5A">
              <w:rPr>
                <w:rFonts w:cstheme="minorHAnsi"/>
                <w:sz w:val="22"/>
                <w:szCs w:val="22"/>
              </w:rPr>
              <w:t xml:space="preserve"> pipeline in priority sectors</w:t>
            </w:r>
            <w:r w:rsidR="00F571EE">
              <w:rPr>
                <w:rFonts w:cstheme="minorHAnsi"/>
                <w:sz w:val="22"/>
                <w:szCs w:val="22"/>
              </w:rPr>
              <w:t>,</w:t>
            </w:r>
            <w:r w:rsidR="00C84C5A">
              <w:rPr>
                <w:rFonts w:cstheme="minorHAnsi"/>
                <w:sz w:val="22"/>
                <w:szCs w:val="22"/>
              </w:rPr>
              <w:t xml:space="preserve"> hold</w:t>
            </w:r>
            <w:r w:rsidR="00F571EE">
              <w:rPr>
                <w:rFonts w:cstheme="minorHAnsi"/>
                <w:sz w:val="22"/>
                <w:szCs w:val="22"/>
              </w:rPr>
              <w:t>ing</w:t>
            </w:r>
            <w:r w:rsidR="00C84C5A">
              <w:rPr>
                <w:rFonts w:cstheme="minorHAnsi"/>
                <w:sz w:val="22"/>
                <w:szCs w:val="22"/>
              </w:rPr>
              <w:t xml:space="preserve"> significant potential benefit to communities.</w:t>
            </w:r>
          </w:p>
          <w:p w14:paraId="0B227F08" w14:textId="456FFDEB" w:rsidR="00C84C5A" w:rsidRDefault="00C84C5A" w:rsidP="000134C4">
            <w:pPr>
              <w:tabs>
                <w:tab w:val="left" w:pos="355"/>
              </w:tabs>
              <w:spacing w:before="100"/>
              <w:rPr>
                <w:rFonts w:cstheme="minorHAnsi"/>
                <w:sz w:val="22"/>
                <w:szCs w:val="22"/>
              </w:rPr>
            </w:pPr>
          </w:p>
          <w:p w14:paraId="261A81BD" w14:textId="3E6593D9" w:rsidR="00800AAD" w:rsidRPr="00012DBE" w:rsidRDefault="00C84C5A" w:rsidP="00EC013B">
            <w:pPr>
              <w:tabs>
                <w:tab w:val="left" w:pos="355"/>
              </w:tabs>
              <w:spacing w:before="100"/>
              <w:rPr>
                <w:rFonts w:cs="Arial"/>
                <w:sz w:val="22"/>
                <w:szCs w:val="22"/>
              </w:rPr>
            </w:pPr>
            <w:r>
              <w:rPr>
                <w:rFonts w:cstheme="minorHAnsi"/>
                <w:sz w:val="22"/>
                <w:szCs w:val="22"/>
              </w:rPr>
              <w:t xml:space="preserve">The Capacity Building component supported the strengthening of </w:t>
            </w:r>
            <w:r w:rsidR="00554EE4">
              <w:rPr>
                <w:rFonts w:cstheme="minorHAnsi"/>
                <w:sz w:val="22"/>
                <w:szCs w:val="22"/>
              </w:rPr>
              <w:t>Implementing agencies</w:t>
            </w:r>
            <w:r w:rsidR="009246FF">
              <w:rPr>
                <w:rFonts w:cstheme="minorHAnsi"/>
                <w:sz w:val="22"/>
                <w:szCs w:val="22"/>
              </w:rPr>
              <w:t xml:space="preserve"> </w:t>
            </w:r>
            <w:r>
              <w:rPr>
                <w:rFonts w:cstheme="minorHAnsi"/>
                <w:sz w:val="22"/>
                <w:szCs w:val="22"/>
              </w:rPr>
              <w:t xml:space="preserve">and </w:t>
            </w:r>
            <w:r w:rsidR="00F124A1">
              <w:rPr>
                <w:rFonts w:cstheme="minorHAnsi"/>
                <w:sz w:val="22"/>
                <w:szCs w:val="22"/>
              </w:rPr>
              <w:t xml:space="preserve">local governments </w:t>
            </w:r>
            <w:r>
              <w:rPr>
                <w:rFonts w:cstheme="minorHAnsi"/>
                <w:sz w:val="22"/>
                <w:szCs w:val="22"/>
              </w:rPr>
              <w:t>to develop and administer</w:t>
            </w:r>
            <w:r w:rsidR="00672D26">
              <w:rPr>
                <w:rFonts w:cstheme="minorHAnsi"/>
                <w:sz w:val="22"/>
                <w:szCs w:val="22"/>
              </w:rPr>
              <w:t xml:space="preserve"> PPPs</w:t>
            </w:r>
            <w:r>
              <w:rPr>
                <w:rFonts w:cstheme="minorHAnsi"/>
                <w:sz w:val="22"/>
                <w:szCs w:val="22"/>
              </w:rPr>
              <w:t xml:space="preserve">. The support provided through the PDMF </w:t>
            </w:r>
            <w:r w:rsidR="00BD237D">
              <w:rPr>
                <w:rFonts w:cstheme="minorHAnsi"/>
                <w:sz w:val="22"/>
                <w:szCs w:val="22"/>
              </w:rPr>
              <w:t>provided technical analysis and rigour to the assessment and development</w:t>
            </w:r>
            <w:r w:rsidR="00D046F5">
              <w:rPr>
                <w:rFonts w:cstheme="minorHAnsi"/>
                <w:sz w:val="22"/>
                <w:szCs w:val="22"/>
              </w:rPr>
              <w:t xml:space="preserve"> </w:t>
            </w:r>
            <w:r w:rsidR="00BD237D">
              <w:rPr>
                <w:rFonts w:cstheme="minorHAnsi"/>
                <w:sz w:val="22"/>
                <w:szCs w:val="22"/>
              </w:rPr>
              <w:t xml:space="preserve">of </w:t>
            </w:r>
            <w:r w:rsidR="00BD237D">
              <w:rPr>
                <w:rFonts w:cstheme="minorHAnsi"/>
                <w:sz w:val="22"/>
                <w:szCs w:val="22"/>
              </w:rPr>
              <w:lastRenderedPageBreak/>
              <w:t xml:space="preserve">a range of sectoral and thematic projects. </w:t>
            </w:r>
          </w:p>
        </w:tc>
        <w:tc>
          <w:tcPr>
            <w:tcW w:w="5902" w:type="dxa"/>
          </w:tcPr>
          <w:p w14:paraId="5159DEEA" w14:textId="486AFC10" w:rsidR="00800AAD" w:rsidRPr="007F1CC8" w:rsidRDefault="00800AAD" w:rsidP="00930518">
            <w:pPr>
              <w:numPr>
                <w:ilvl w:val="0"/>
                <w:numId w:val="35"/>
              </w:numPr>
              <w:tabs>
                <w:tab w:val="left" w:pos="355"/>
              </w:tabs>
              <w:contextualSpacing/>
              <w:rPr>
                <w:rFonts w:cstheme="minorHAnsi"/>
                <w:sz w:val="22"/>
                <w:szCs w:val="22"/>
                <w:lang w:val="en-PH"/>
              </w:rPr>
            </w:pPr>
            <w:r w:rsidRPr="007F1CC8">
              <w:rPr>
                <w:rFonts w:cstheme="minorHAnsi"/>
                <w:b/>
                <w:bCs/>
                <w:sz w:val="22"/>
                <w:szCs w:val="22"/>
                <w:lang w:val="en-PH"/>
              </w:rPr>
              <w:lastRenderedPageBreak/>
              <w:t>2</w:t>
            </w:r>
            <w:r w:rsidR="007C445F">
              <w:rPr>
                <w:rFonts w:cstheme="minorHAnsi"/>
                <w:b/>
                <w:bCs/>
                <w:sz w:val="22"/>
                <w:szCs w:val="22"/>
                <w:lang w:val="en-PH"/>
              </w:rPr>
              <w:t>1</w:t>
            </w:r>
            <w:r w:rsidRPr="007F1CC8">
              <w:rPr>
                <w:rFonts w:cstheme="minorHAnsi"/>
                <w:b/>
                <w:bCs/>
                <w:sz w:val="22"/>
                <w:szCs w:val="22"/>
                <w:lang w:val="en-PH"/>
              </w:rPr>
              <w:t xml:space="preserve"> Awarded Projects</w:t>
            </w:r>
            <w:r w:rsidRPr="007F1CC8">
              <w:rPr>
                <w:rFonts w:cstheme="minorHAnsi"/>
                <w:sz w:val="22"/>
                <w:szCs w:val="22"/>
                <w:lang w:val="en-PH"/>
              </w:rPr>
              <w:t xml:space="preserve"> (</w:t>
            </w:r>
            <w:r w:rsidRPr="00F04B3D">
              <w:rPr>
                <w:rFonts w:cs="Arial"/>
                <w:sz w:val="22"/>
                <w:szCs w:val="22"/>
                <w:lang w:val="en-PH"/>
              </w:rPr>
              <w:t>since 2010</w:t>
            </w:r>
            <w:r w:rsidRPr="007F1CC8">
              <w:rPr>
                <w:rStyle w:val="FootnoteReference"/>
                <w:rFonts w:cs="Arial"/>
                <w:sz w:val="22"/>
                <w:szCs w:val="22"/>
                <w:lang w:val="en-PH"/>
              </w:rPr>
              <w:footnoteReference w:id="69"/>
            </w:r>
            <w:r w:rsidRPr="00F04B3D">
              <w:rPr>
                <w:rFonts w:cs="Arial"/>
                <w:sz w:val="22"/>
                <w:szCs w:val="22"/>
                <w:lang w:val="en-PH"/>
              </w:rPr>
              <w:t>)</w:t>
            </w:r>
            <w:r w:rsidRPr="007F1CC8">
              <w:rPr>
                <w:rFonts w:cs="Arial"/>
                <w:b/>
                <w:bCs/>
                <w:sz w:val="22"/>
                <w:szCs w:val="22"/>
                <w:lang w:val="en-PH"/>
              </w:rPr>
              <w:t xml:space="preserve"> </w:t>
            </w:r>
            <w:r w:rsidRPr="00F04B3D">
              <w:rPr>
                <w:rFonts w:cstheme="minorHAnsi"/>
                <w:sz w:val="22"/>
                <w:szCs w:val="22"/>
                <w:lang w:val="en-PH"/>
              </w:rPr>
              <w:t>PHP 1,064 Billion (USD 21.7 Billion)</w:t>
            </w:r>
            <w:r w:rsidRPr="007F1CC8">
              <w:rPr>
                <w:rFonts w:cstheme="minorHAnsi"/>
                <w:sz w:val="22"/>
                <w:szCs w:val="22"/>
                <w:lang w:val="en-PH"/>
              </w:rPr>
              <w:t>: 1</w:t>
            </w:r>
            <w:r w:rsidR="007C445F">
              <w:rPr>
                <w:rFonts w:cstheme="minorHAnsi"/>
                <w:sz w:val="22"/>
                <w:szCs w:val="22"/>
                <w:lang w:val="en-PH"/>
              </w:rPr>
              <w:t>9</w:t>
            </w:r>
            <w:r w:rsidRPr="007F1CC8">
              <w:rPr>
                <w:rFonts w:cstheme="minorHAnsi"/>
                <w:sz w:val="22"/>
                <w:szCs w:val="22"/>
                <w:lang w:val="en-PH"/>
              </w:rPr>
              <w:t xml:space="preserve"> National PPPs (PHP 1,064.33), 2 local PPPs (PHP 0.13)</w:t>
            </w:r>
          </w:p>
          <w:p w14:paraId="7FC99FE7" w14:textId="77777777" w:rsidR="00800AAD" w:rsidRDefault="00800AAD" w:rsidP="00930518">
            <w:pPr>
              <w:numPr>
                <w:ilvl w:val="0"/>
                <w:numId w:val="35"/>
              </w:numPr>
              <w:tabs>
                <w:tab w:val="left" w:pos="355"/>
              </w:tabs>
              <w:contextualSpacing/>
              <w:rPr>
                <w:rFonts w:cstheme="minorHAnsi"/>
                <w:sz w:val="22"/>
                <w:szCs w:val="22"/>
                <w:lang w:val="en-PH"/>
              </w:rPr>
            </w:pPr>
            <w:r w:rsidRPr="007F1CC8">
              <w:rPr>
                <w:rFonts w:cstheme="minorHAnsi"/>
                <w:b/>
                <w:bCs/>
                <w:sz w:val="22"/>
                <w:szCs w:val="22"/>
                <w:lang w:val="en-PH"/>
              </w:rPr>
              <w:t>57 Projects in the Pipeline</w:t>
            </w:r>
            <w:r w:rsidRPr="007F1CC8">
              <w:rPr>
                <w:rFonts w:cstheme="minorHAnsi"/>
                <w:sz w:val="22"/>
                <w:szCs w:val="22"/>
                <w:lang w:val="en-PH"/>
              </w:rPr>
              <w:t>, PHP 7,166 Billion</w:t>
            </w:r>
            <w:r w:rsidRPr="007F1CC8">
              <w:rPr>
                <w:rStyle w:val="FootnoteReference"/>
                <w:rFonts w:cstheme="minorHAnsi"/>
                <w:sz w:val="22"/>
                <w:szCs w:val="22"/>
                <w:lang w:val="en-PH"/>
              </w:rPr>
              <w:footnoteReference w:id="70"/>
            </w:r>
            <w:r w:rsidRPr="007F1CC8">
              <w:rPr>
                <w:rFonts w:cstheme="minorHAnsi"/>
                <w:sz w:val="22"/>
                <w:szCs w:val="22"/>
                <w:lang w:val="en-PH"/>
              </w:rPr>
              <w:t xml:space="preserve"> (USD 146 Billion): 39 National PPPs (PHP 7,111), 18 local PPPs (PHP 55)</w:t>
            </w:r>
          </w:p>
          <w:p w14:paraId="75086C82" w14:textId="77777777" w:rsidR="00800AAD" w:rsidRDefault="00800AAD" w:rsidP="00930518">
            <w:pPr>
              <w:numPr>
                <w:ilvl w:val="0"/>
                <w:numId w:val="35"/>
              </w:numPr>
              <w:tabs>
                <w:tab w:val="left" w:pos="355"/>
              </w:tabs>
              <w:contextualSpacing/>
              <w:rPr>
                <w:rFonts w:cstheme="minorHAnsi"/>
                <w:sz w:val="22"/>
                <w:szCs w:val="22"/>
                <w:lang w:val="en-PH"/>
              </w:rPr>
            </w:pPr>
            <w:r w:rsidRPr="00562DC0">
              <w:rPr>
                <w:rFonts w:cstheme="minorHAnsi"/>
                <w:b/>
                <w:bCs/>
                <w:sz w:val="22"/>
                <w:szCs w:val="22"/>
                <w:lang w:val="en-PH"/>
              </w:rPr>
              <w:t>12 awarded PPP projects</w:t>
            </w:r>
            <w:r w:rsidRPr="00562DC0">
              <w:rPr>
                <w:rFonts w:cstheme="minorHAnsi"/>
                <w:sz w:val="22"/>
                <w:szCs w:val="22"/>
                <w:lang w:val="en-PH"/>
              </w:rPr>
              <w:t xml:space="preserve"> supported by PDMF with total project cost of $2.9 billion</w:t>
            </w:r>
            <w:r>
              <w:rPr>
                <w:rFonts w:cstheme="minorHAnsi"/>
                <w:sz w:val="22"/>
                <w:szCs w:val="22"/>
                <w:lang w:val="en-PH"/>
              </w:rPr>
              <w:t xml:space="preserve"> </w:t>
            </w:r>
          </w:p>
          <w:p w14:paraId="5F37A059" w14:textId="77777777" w:rsidR="00800AAD" w:rsidRPr="00562DC0" w:rsidRDefault="00800AAD" w:rsidP="00930518">
            <w:pPr>
              <w:numPr>
                <w:ilvl w:val="0"/>
                <w:numId w:val="35"/>
              </w:numPr>
              <w:tabs>
                <w:tab w:val="left" w:pos="355"/>
                <w:tab w:val="num" w:pos="720"/>
              </w:tabs>
              <w:contextualSpacing/>
              <w:rPr>
                <w:rFonts w:cstheme="minorHAnsi"/>
                <w:b/>
                <w:bCs/>
                <w:sz w:val="22"/>
                <w:szCs w:val="22"/>
              </w:rPr>
            </w:pPr>
            <w:r w:rsidRPr="00562DC0">
              <w:rPr>
                <w:rFonts w:cstheme="minorHAnsi"/>
                <w:b/>
                <w:bCs/>
                <w:sz w:val="22"/>
                <w:szCs w:val="22"/>
                <w:lang w:val="en-US"/>
              </w:rPr>
              <w:t>41 signed PDMF contracts</w:t>
            </w:r>
          </w:p>
          <w:p w14:paraId="740F708A" w14:textId="048FE8CE" w:rsidR="00800AAD" w:rsidRPr="00562DC0" w:rsidRDefault="00800AAD" w:rsidP="00930518">
            <w:pPr>
              <w:numPr>
                <w:ilvl w:val="0"/>
                <w:numId w:val="35"/>
              </w:numPr>
              <w:tabs>
                <w:tab w:val="left" w:pos="355"/>
                <w:tab w:val="num" w:pos="720"/>
              </w:tabs>
              <w:contextualSpacing/>
              <w:rPr>
                <w:rFonts w:cstheme="minorHAnsi"/>
                <w:sz w:val="22"/>
                <w:szCs w:val="22"/>
              </w:rPr>
            </w:pPr>
            <w:r w:rsidRPr="00562DC0">
              <w:rPr>
                <w:rFonts w:cstheme="minorHAnsi"/>
                <w:b/>
                <w:bCs/>
                <w:sz w:val="22"/>
                <w:szCs w:val="22"/>
                <w:lang w:val="en-US"/>
              </w:rPr>
              <w:t>84</w:t>
            </w:r>
            <w:r w:rsidR="00F124A1">
              <w:rPr>
                <w:rFonts w:cstheme="minorHAnsi"/>
                <w:b/>
                <w:bCs/>
                <w:sz w:val="22"/>
                <w:szCs w:val="22"/>
                <w:lang w:val="en-US"/>
              </w:rPr>
              <w:t xml:space="preserve"> per cent</w:t>
            </w:r>
            <w:r w:rsidRPr="00562DC0">
              <w:rPr>
                <w:rFonts w:cstheme="minorHAnsi"/>
                <w:b/>
                <w:bCs/>
                <w:sz w:val="22"/>
                <w:szCs w:val="22"/>
                <w:lang w:val="en-US"/>
              </w:rPr>
              <w:t xml:space="preserve"> of PDMF P</w:t>
            </w:r>
            <w:r w:rsidR="006D58DE">
              <w:rPr>
                <w:rFonts w:cstheme="minorHAnsi"/>
                <w:b/>
                <w:bCs/>
                <w:sz w:val="22"/>
                <w:szCs w:val="22"/>
                <w:lang w:val="en-US"/>
              </w:rPr>
              <w:t xml:space="preserve">roject </w:t>
            </w:r>
            <w:r w:rsidRPr="00562DC0">
              <w:rPr>
                <w:rFonts w:cstheme="minorHAnsi"/>
                <w:b/>
                <w:bCs/>
                <w:sz w:val="22"/>
                <w:szCs w:val="22"/>
                <w:lang w:val="en-US"/>
              </w:rPr>
              <w:t>P</w:t>
            </w:r>
            <w:r w:rsidR="006D58DE">
              <w:rPr>
                <w:rFonts w:cstheme="minorHAnsi"/>
                <w:b/>
                <w:bCs/>
                <w:sz w:val="22"/>
                <w:szCs w:val="22"/>
                <w:lang w:val="en-US"/>
              </w:rPr>
              <w:t xml:space="preserve">reparation and </w:t>
            </w:r>
            <w:r w:rsidRPr="00562DC0">
              <w:rPr>
                <w:rFonts w:cstheme="minorHAnsi"/>
                <w:b/>
                <w:bCs/>
                <w:sz w:val="22"/>
                <w:szCs w:val="22"/>
                <w:lang w:val="en-US"/>
              </w:rPr>
              <w:t>T</w:t>
            </w:r>
            <w:r w:rsidR="006D58DE">
              <w:rPr>
                <w:rFonts w:cstheme="minorHAnsi"/>
                <w:b/>
                <w:bCs/>
                <w:sz w:val="22"/>
                <w:szCs w:val="22"/>
                <w:lang w:val="en-US"/>
              </w:rPr>
              <w:t xml:space="preserve">ransaction </w:t>
            </w:r>
            <w:r w:rsidRPr="00562DC0">
              <w:rPr>
                <w:rFonts w:cstheme="minorHAnsi"/>
                <w:b/>
                <w:bCs/>
                <w:sz w:val="22"/>
                <w:szCs w:val="22"/>
                <w:lang w:val="en-US"/>
              </w:rPr>
              <w:t>A</w:t>
            </w:r>
            <w:r w:rsidR="006D58DE">
              <w:rPr>
                <w:rFonts w:cstheme="minorHAnsi"/>
                <w:b/>
                <w:bCs/>
                <w:sz w:val="22"/>
                <w:szCs w:val="22"/>
                <w:lang w:val="en-US"/>
              </w:rPr>
              <w:t>dvisory (PPTA)</w:t>
            </w:r>
            <w:r w:rsidRPr="00562DC0">
              <w:rPr>
                <w:rFonts w:cstheme="minorHAnsi"/>
                <w:b/>
                <w:bCs/>
                <w:sz w:val="22"/>
                <w:szCs w:val="22"/>
                <w:lang w:val="en-US"/>
              </w:rPr>
              <w:t>-</w:t>
            </w:r>
            <w:r w:rsidRPr="00562DC0">
              <w:rPr>
                <w:rFonts w:cstheme="minorHAnsi"/>
                <w:sz w:val="22"/>
                <w:szCs w:val="22"/>
                <w:lang w:val="en-US"/>
              </w:rPr>
              <w:t xml:space="preserve"> supported projects submitted to approving body were approved</w:t>
            </w:r>
          </w:p>
          <w:p w14:paraId="0F5D41CA" w14:textId="7BB67338" w:rsidR="00800AAD" w:rsidRPr="00562DC0" w:rsidRDefault="00800AAD" w:rsidP="00930518">
            <w:pPr>
              <w:numPr>
                <w:ilvl w:val="0"/>
                <w:numId w:val="35"/>
              </w:numPr>
              <w:tabs>
                <w:tab w:val="left" w:pos="355"/>
                <w:tab w:val="num" w:pos="720"/>
              </w:tabs>
              <w:contextualSpacing/>
              <w:rPr>
                <w:rFonts w:cstheme="minorHAnsi"/>
                <w:b/>
                <w:bCs/>
                <w:sz w:val="22"/>
                <w:szCs w:val="22"/>
              </w:rPr>
            </w:pPr>
            <w:r w:rsidRPr="00562DC0">
              <w:rPr>
                <w:rFonts w:cstheme="minorHAnsi"/>
                <w:b/>
                <w:bCs/>
                <w:sz w:val="22"/>
                <w:szCs w:val="22"/>
                <w:lang w:val="en-US"/>
              </w:rPr>
              <w:t xml:space="preserve">9 </w:t>
            </w:r>
            <w:r w:rsidR="001810B9">
              <w:rPr>
                <w:rFonts w:cstheme="minorHAnsi"/>
                <w:b/>
                <w:bCs/>
                <w:sz w:val="22"/>
                <w:szCs w:val="22"/>
                <w:lang w:val="en-US"/>
              </w:rPr>
              <w:t>ongoing PDM</w:t>
            </w:r>
            <w:r w:rsidR="00132A29">
              <w:rPr>
                <w:rFonts w:cstheme="minorHAnsi"/>
                <w:b/>
                <w:bCs/>
                <w:sz w:val="22"/>
                <w:szCs w:val="22"/>
                <w:lang w:val="en-US"/>
              </w:rPr>
              <w:t>F</w:t>
            </w:r>
            <w:r w:rsidR="001810B9">
              <w:rPr>
                <w:rFonts w:cstheme="minorHAnsi"/>
                <w:b/>
                <w:bCs/>
                <w:sz w:val="22"/>
                <w:szCs w:val="22"/>
                <w:lang w:val="en-US"/>
              </w:rPr>
              <w:t xml:space="preserve">-supported </w:t>
            </w:r>
            <w:r w:rsidRPr="00562DC0">
              <w:rPr>
                <w:rFonts w:cstheme="minorHAnsi"/>
                <w:b/>
                <w:bCs/>
                <w:sz w:val="22"/>
                <w:szCs w:val="22"/>
                <w:lang w:val="en-US"/>
              </w:rPr>
              <w:t>contracts</w:t>
            </w:r>
            <w:r w:rsidR="001810B9">
              <w:rPr>
                <w:rFonts w:cstheme="minorHAnsi"/>
                <w:b/>
                <w:bCs/>
                <w:sz w:val="22"/>
                <w:szCs w:val="22"/>
                <w:lang w:val="en-US"/>
              </w:rPr>
              <w:t xml:space="preserve"> </w:t>
            </w:r>
            <w:r w:rsidR="001810B9" w:rsidRPr="00132A29">
              <w:rPr>
                <w:rFonts w:cstheme="minorHAnsi"/>
                <w:lang w:val="en-US"/>
              </w:rPr>
              <w:t>at the time of evaluation</w:t>
            </w:r>
          </w:p>
          <w:p w14:paraId="07B1AC57" w14:textId="420AA8A1" w:rsidR="00800AAD" w:rsidRPr="004979F8" w:rsidRDefault="00800AAD" w:rsidP="00930518">
            <w:pPr>
              <w:numPr>
                <w:ilvl w:val="0"/>
                <w:numId w:val="35"/>
              </w:numPr>
              <w:tabs>
                <w:tab w:val="left" w:pos="355"/>
                <w:tab w:val="num" w:pos="720"/>
              </w:tabs>
              <w:contextualSpacing/>
              <w:rPr>
                <w:rFonts w:cstheme="minorHAnsi"/>
                <w:sz w:val="22"/>
                <w:szCs w:val="22"/>
              </w:rPr>
            </w:pPr>
            <w:r>
              <w:rPr>
                <w:rFonts w:cstheme="minorHAnsi"/>
                <w:b/>
                <w:bCs/>
                <w:sz w:val="22"/>
                <w:szCs w:val="22"/>
                <w:lang w:val="en-US"/>
              </w:rPr>
              <w:t xml:space="preserve">PPP </w:t>
            </w:r>
            <w:r w:rsidR="00C84C5A">
              <w:rPr>
                <w:rFonts w:cstheme="minorHAnsi"/>
                <w:b/>
                <w:bCs/>
                <w:sz w:val="22"/>
                <w:szCs w:val="22"/>
                <w:lang w:val="en-US"/>
              </w:rPr>
              <w:t>Cente</w:t>
            </w:r>
            <w:r w:rsidR="00A92122">
              <w:rPr>
                <w:rFonts w:cstheme="minorHAnsi"/>
                <w:b/>
                <w:bCs/>
                <w:sz w:val="22"/>
                <w:szCs w:val="22"/>
                <w:lang w:val="en-US"/>
              </w:rPr>
              <w:t>r</w:t>
            </w:r>
            <w:r w:rsidR="00C84C5A">
              <w:rPr>
                <w:rFonts w:cstheme="minorHAnsi"/>
                <w:b/>
                <w:bCs/>
                <w:sz w:val="22"/>
                <w:szCs w:val="22"/>
                <w:lang w:val="en-US"/>
              </w:rPr>
              <w:t>’s</w:t>
            </w:r>
            <w:r w:rsidRPr="004979F8">
              <w:rPr>
                <w:rFonts w:cstheme="minorHAnsi"/>
                <w:b/>
                <w:bCs/>
                <w:sz w:val="22"/>
                <w:szCs w:val="22"/>
                <w:lang w:val="en-US"/>
              </w:rPr>
              <w:t xml:space="preserve"> </w:t>
            </w:r>
            <w:r w:rsidRPr="00562DC0">
              <w:rPr>
                <w:rFonts w:cstheme="minorHAnsi"/>
                <w:b/>
                <w:bCs/>
                <w:sz w:val="22"/>
                <w:szCs w:val="22"/>
                <w:lang w:val="en-US"/>
              </w:rPr>
              <w:t xml:space="preserve">Local PPP Strategy </w:t>
            </w:r>
            <w:r w:rsidR="00672D26">
              <w:rPr>
                <w:rFonts w:cstheme="minorHAnsi"/>
                <w:sz w:val="22"/>
                <w:szCs w:val="22"/>
                <w:lang w:val="en-US"/>
              </w:rPr>
              <w:t>launched</w:t>
            </w:r>
            <w:r w:rsidR="00672D26" w:rsidRPr="004979F8">
              <w:rPr>
                <w:rFonts w:cstheme="minorHAnsi"/>
                <w:sz w:val="22"/>
                <w:szCs w:val="22"/>
                <w:lang w:val="en-US"/>
              </w:rPr>
              <w:t xml:space="preserve"> </w:t>
            </w:r>
            <w:r w:rsidRPr="004979F8">
              <w:rPr>
                <w:rFonts w:cstheme="minorHAnsi"/>
                <w:sz w:val="22"/>
                <w:szCs w:val="22"/>
                <w:lang w:val="en-US"/>
              </w:rPr>
              <w:t xml:space="preserve">to develop </w:t>
            </w:r>
            <w:r w:rsidRPr="00562DC0">
              <w:rPr>
                <w:rFonts w:cstheme="minorHAnsi"/>
                <w:sz w:val="22"/>
                <w:szCs w:val="22"/>
                <w:lang w:val="en-US"/>
              </w:rPr>
              <w:t>projects for regional economic development</w:t>
            </w:r>
            <w:r w:rsidRPr="004979F8">
              <w:rPr>
                <w:rFonts w:cstheme="minorHAnsi"/>
                <w:sz w:val="22"/>
                <w:szCs w:val="22"/>
                <w:lang w:val="en-US"/>
              </w:rPr>
              <w:t xml:space="preserve"> and targets set: </w:t>
            </w:r>
            <w:r>
              <w:rPr>
                <w:rFonts w:cstheme="minorHAnsi"/>
                <w:sz w:val="22"/>
                <w:szCs w:val="22"/>
                <w:lang w:val="en-US"/>
              </w:rPr>
              <w:t>b</w:t>
            </w:r>
            <w:r w:rsidRPr="004979F8">
              <w:rPr>
                <w:rFonts w:cstheme="minorHAnsi"/>
                <w:sz w:val="22"/>
                <w:szCs w:val="22"/>
                <w:lang w:val="en-US"/>
              </w:rPr>
              <w:t>y 2020</w:t>
            </w:r>
            <w:r w:rsidRPr="004979F8">
              <w:rPr>
                <w:sz w:val="22"/>
                <w:szCs w:val="22"/>
              </w:rPr>
              <w:t xml:space="preserve"> </w:t>
            </w:r>
            <w:r w:rsidRPr="004979F8">
              <w:rPr>
                <w:rFonts w:cstheme="minorHAnsi"/>
                <w:sz w:val="22"/>
                <w:szCs w:val="22"/>
                <w:lang w:val="en-US"/>
              </w:rPr>
              <w:t>Robust pipeline of local PPP projects in expanded priority sectors</w:t>
            </w:r>
            <w:r>
              <w:rPr>
                <w:rFonts w:cstheme="minorHAnsi"/>
                <w:sz w:val="22"/>
                <w:szCs w:val="22"/>
                <w:lang w:val="en-US"/>
              </w:rPr>
              <w:t>; by 2022 s</w:t>
            </w:r>
            <w:r w:rsidRPr="004979F8">
              <w:rPr>
                <w:rFonts w:cstheme="minorHAnsi"/>
                <w:sz w:val="22"/>
                <w:szCs w:val="22"/>
                <w:lang w:val="en-US"/>
              </w:rPr>
              <w:t>uccessful showcase of at least 3 projects for replication</w:t>
            </w:r>
            <w:r>
              <w:rPr>
                <w:rFonts w:cstheme="minorHAnsi"/>
                <w:sz w:val="22"/>
                <w:szCs w:val="22"/>
                <w:lang w:val="en-US"/>
              </w:rPr>
              <w:t>; within 6-8 years a</w:t>
            </w:r>
            <w:r w:rsidRPr="004979F8">
              <w:rPr>
                <w:rFonts w:cstheme="minorHAnsi"/>
                <w:sz w:val="22"/>
                <w:szCs w:val="22"/>
                <w:lang w:val="en-US"/>
              </w:rPr>
              <w:t>cquire expertise for continuous project development</w:t>
            </w:r>
          </w:p>
          <w:p w14:paraId="462D43CC" w14:textId="684A9CA7" w:rsidR="00800AAD" w:rsidRPr="003F25D3" w:rsidRDefault="00800AAD" w:rsidP="00930518">
            <w:pPr>
              <w:numPr>
                <w:ilvl w:val="0"/>
                <w:numId w:val="35"/>
              </w:numPr>
              <w:tabs>
                <w:tab w:val="left" w:pos="355"/>
              </w:tabs>
              <w:contextualSpacing/>
              <w:rPr>
                <w:rFonts w:cstheme="minorHAnsi"/>
                <w:sz w:val="22"/>
                <w:szCs w:val="22"/>
                <w:lang w:val="en-PH"/>
              </w:rPr>
            </w:pPr>
            <w:r>
              <w:rPr>
                <w:rFonts w:cstheme="minorHAnsi"/>
                <w:b/>
                <w:bCs/>
                <w:sz w:val="22"/>
                <w:szCs w:val="22"/>
                <w:lang w:val="en-US"/>
              </w:rPr>
              <w:lastRenderedPageBreak/>
              <w:t xml:space="preserve">Pipeline of local projects: </w:t>
            </w:r>
            <w:r w:rsidRPr="0061776A">
              <w:rPr>
                <w:rFonts w:cstheme="minorHAnsi"/>
                <w:sz w:val="22"/>
                <w:szCs w:val="22"/>
                <w:lang w:val="en-US"/>
              </w:rPr>
              <w:t xml:space="preserve">4 </w:t>
            </w:r>
            <w:r w:rsidRPr="0061776A">
              <w:rPr>
                <w:rFonts w:cstheme="minorHAnsi"/>
                <w:sz w:val="22"/>
                <w:szCs w:val="22"/>
                <w:lang w:val="en-PH"/>
              </w:rPr>
              <w:t>Water supply &amp; sanitation</w:t>
            </w:r>
            <w:r>
              <w:rPr>
                <w:rFonts w:cstheme="minorHAnsi"/>
                <w:sz w:val="22"/>
                <w:szCs w:val="22"/>
                <w:lang w:val="en-PH"/>
              </w:rPr>
              <w:t>; 3</w:t>
            </w:r>
            <w:r w:rsidRPr="0061776A">
              <w:rPr>
                <w:sz w:val="22"/>
                <w:szCs w:val="22"/>
              </w:rPr>
              <w:t xml:space="preserve"> </w:t>
            </w:r>
            <w:r w:rsidRPr="0061776A">
              <w:rPr>
                <w:rFonts w:cstheme="minorHAnsi"/>
                <w:sz w:val="22"/>
                <w:szCs w:val="22"/>
                <w:lang w:val="en-PH"/>
              </w:rPr>
              <w:t>Solid waste management</w:t>
            </w:r>
            <w:r>
              <w:rPr>
                <w:rFonts w:cstheme="minorHAnsi"/>
                <w:sz w:val="22"/>
                <w:szCs w:val="22"/>
                <w:lang w:val="en-PH"/>
              </w:rPr>
              <w:t xml:space="preserve">; 4 </w:t>
            </w:r>
            <w:r w:rsidRPr="0061776A">
              <w:rPr>
                <w:rFonts w:cstheme="minorHAnsi"/>
                <w:sz w:val="22"/>
                <w:szCs w:val="22"/>
                <w:lang w:val="en-PH"/>
              </w:rPr>
              <w:t>Vertical infrastructure / government property development</w:t>
            </w:r>
            <w:r>
              <w:rPr>
                <w:rFonts w:cstheme="minorHAnsi"/>
                <w:sz w:val="22"/>
                <w:szCs w:val="22"/>
                <w:lang w:val="en-PH"/>
              </w:rPr>
              <w:t xml:space="preserve"> </w:t>
            </w:r>
            <w:r w:rsidRPr="0061776A">
              <w:rPr>
                <w:rFonts w:cstheme="minorHAnsi"/>
                <w:sz w:val="22"/>
                <w:szCs w:val="22"/>
                <w:lang w:val="en-PH"/>
              </w:rPr>
              <w:t>(</w:t>
            </w:r>
            <w:r w:rsidR="00680BA5" w:rsidRPr="0061776A">
              <w:rPr>
                <w:rFonts w:cstheme="minorHAnsi"/>
                <w:sz w:val="22"/>
                <w:szCs w:val="22"/>
                <w:lang w:val="en-PH"/>
              </w:rPr>
              <w:t>e.g.,</w:t>
            </w:r>
            <w:r w:rsidRPr="0061776A">
              <w:rPr>
                <w:rFonts w:cstheme="minorHAnsi"/>
                <w:sz w:val="22"/>
                <w:szCs w:val="22"/>
                <w:lang w:val="en-PH"/>
              </w:rPr>
              <w:t xml:space="preserve"> town center, public markets)</w:t>
            </w:r>
            <w:r>
              <w:rPr>
                <w:rFonts w:cstheme="minorHAnsi"/>
                <w:sz w:val="22"/>
                <w:szCs w:val="22"/>
                <w:lang w:val="en-PH"/>
              </w:rPr>
              <w:t xml:space="preserve">; 3 </w:t>
            </w:r>
            <w:r w:rsidRPr="0061776A">
              <w:rPr>
                <w:rFonts w:cstheme="minorHAnsi"/>
                <w:sz w:val="22"/>
                <w:szCs w:val="22"/>
                <w:lang w:val="en-PH"/>
              </w:rPr>
              <w:t>Tourism</w:t>
            </w:r>
            <w:r>
              <w:rPr>
                <w:rFonts w:cstheme="minorHAnsi"/>
                <w:sz w:val="22"/>
                <w:szCs w:val="22"/>
                <w:lang w:val="en-PH"/>
              </w:rPr>
              <w:t>; 4 o</w:t>
            </w:r>
            <w:r w:rsidRPr="0061776A">
              <w:rPr>
                <w:rFonts w:cstheme="minorHAnsi"/>
                <w:sz w:val="22"/>
                <w:szCs w:val="22"/>
                <w:lang w:val="en-PH"/>
              </w:rPr>
              <w:t>thers</w:t>
            </w:r>
            <w:r>
              <w:rPr>
                <w:rFonts w:cstheme="minorHAnsi"/>
                <w:sz w:val="22"/>
                <w:szCs w:val="22"/>
                <w:lang w:val="en-PH"/>
              </w:rPr>
              <w:t xml:space="preserve"> </w:t>
            </w:r>
            <w:r w:rsidRPr="0061776A">
              <w:rPr>
                <w:rFonts w:cstheme="minorHAnsi"/>
                <w:sz w:val="22"/>
                <w:szCs w:val="22"/>
                <w:lang w:val="en-PH"/>
              </w:rPr>
              <w:t>(</w:t>
            </w:r>
            <w:r w:rsidR="00680BA5" w:rsidRPr="0061776A">
              <w:rPr>
                <w:rFonts w:cstheme="minorHAnsi"/>
                <w:sz w:val="22"/>
                <w:szCs w:val="22"/>
                <w:lang w:val="en-PH"/>
              </w:rPr>
              <w:t>e.g.,</w:t>
            </w:r>
            <w:r w:rsidRPr="0061776A">
              <w:rPr>
                <w:rFonts w:cstheme="minorHAnsi"/>
                <w:sz w:val="22"/>
                <w:szCs w:val="22"/>
                <w:lang w:val="en-PH"/>
              </w:rPr>
              <w:t xml:space="preserve"> IT, transport)</w:t>
            </w:r>
          </w:p>
          <w:p w14:paraId="518EB9CE" w14:textId="77777777" w:rsidR="00800AAD" w:rsidRPr="00012DBE" w:rsidRDefault="00800AAD" w:rsidP="00930518">
            <w:pPr>
              <w:numPr>
                <w:ilvl w:val="0"/>
                <w:numId w:val="35"/>
              </w:numPr>
              <w:tabs>
                <w:tab w:val="left" w:pos="355"/>
              </w:tabs>
              <w:contextualSpacing/>
              <w:rPr>
                <w:rFonts w:cstheme="minorHAnsi"/>
                <w:sz w:val="22"/>
                <w:szCs w:val="22"/>
                <w:lang w:val="en-US"/>
              </w:rPr>
            </w:pPr>
            <w:r>
              <w:rPr>
                <w:rFonts w:cstheme="minorHAnsi"/>
                <w:b/>
                <w:bCs/>
                <w:sz w:val="22"/>
                <w:szCs w:val="22"/>
                <w:lang w:val="en-US"/>
              </w:rPr>
              <w:t xml:space="preserve">Pipeline of national projects: </w:t>
            </w:r>
            <w:r w:rsidRPr="003F25D3">
              <w:rPr>
                <w:rFonts w:cstheme="minorHAnsi"/>
                <w:sz w:val="22"/>
                <w:szCs w:val="22"/>
                <w:lang w:val="en-US"/>
              </w:rPr>
              <w:t>25 Transportation (airport, road, rail, port, and terminal)</w:t>
            </w:r>
            <w:r>
              <w:rPr>
                <w:rFonts w:cstheme="minorHAnsi"/>
                <w:sz w:val="22"/>
                <w:szCs w:val="22"/>
                <w:lang w:val="en-US"/>
              </w:rPr>
              <w:t xml:space="preserve">; 6 </w:t>
            </w:r>
            <w:r w:rsidRPr="00A67C6D">
              <w:rPr>
                <w:rFonts w:cstheme="minorHAnsi"/>
                <w:sz w:val="22"/>
                <w:szCs w:val="22"/>
                <w:lang w:val="en-US"/>
              </w:rPr>
              <w:t>Health (hospital facilities and services)</w:t>
            </w:r>
            <w:r>
              <w:rPr>
                <w:rFonts w:cstheme="minorHAnsi"/>
                <w:sz w:val="22"/>
                <w:szCs w:val="22"/>
                <w:lang w:val="en-US"/>
              </w:rPr>
              <w:t xml:space="preserve">; 4 </w:t>
            </w:r>
            <w:r w:rsidRPr="00A67C6D">
              <w:rPr>
                <w:rFonts w:cstheme="minorHAnsi"/>
                <w:sz w:val="22"/>
                <w:szCs w:val="22"/>
                <w:lang w:val="en-US"/>
              </w:rPr>
              <w:t>Vertical infrastructure / government property development</w:t>
            </w:r>
            <w:r>
              <w:rPr>
                <w:rFonts w:cstheme="minorHAnsi"/>
                <w:sz w:val="22"/>
                <w:szCs w:val="22"/>
                <w:lang w:val="en-US"/>
              </w:rPr>
              <w:t xml:space="preserve">; 4 </w:t>
            </w:r>
            <w:r w:rsidRPr="00A67C6D">
              <w:rPr>
                <w:rFonts w:cstheme="minorHAnsi"/>
                <w:sz w:val="22"/>
                <w:szCs w:val="22"/>
                <w:lang w:val="en-US"/>
              </w:rPr>
              <w:t>Other</w:t>
            </w:r>
            <w:r>
              <w:rPr>
                <w:rFonts w:cstheme="minorHAnsi"/>
                <w:sz w:val="22"/>
                <w:szCs w:val="22"/>
                <w:lang w:val="en-US"/>
              </w:rPr>
              <w:t xml:space="preserve">s </w:t>
            </w:r>
            <w:r w:rsidRPr="00A67C6D">
              <w:rPr>
                <w:rFonts w:cstheme="minorHAnsi"/>
                <w:sz w:val="22"/>
                <w:szCs w:val="22"/>
                <w:lang w:val="en-US"/>
              </w:rPr>
              <w:t>(IT system and reclamation)</w:t>
            </w:r>
          </w:p>
        </w:tc>
      </w:tr>
      <w:bookmarkEnd w:id="91"/>
    </w:tbl>
    <w:p w14:paraId="35589B0E" w14:textId="77777777" w:rsidR="00D1455A" w:rsidRDefault="00D1455A" w:rsidP="00021D43">
      <w:pPr>
        <w:pStyle w:val="SDANumberedheading2"/>
        <w:ind w:left="709" w:hanging="709"/>
        <w:rPr>
          <w:color w:val="auto"/>
        </w:rPr>
      </w:pPr>
    </w:p>
    <w:p w14:paraId="7ADF3F61" w14:textId="22EE91B5" w:rsidR="00CD58E1" w:rsidRDefault="004071A2" w:rsidP="00F2226C">
      <w:pPr>
        <w:pStyle w:val="Heading3"/>
      </w:pPr>
      <w:bookmarkStart w:id="92" w:name="_Toc96435340"/>
      <w:r>
        <w:t xml:space="preserve">Annex 3: </w:t>
      </w:r>
      <w:r w:rsidR="00BD00C6" w:rsidRPr="00B61B75">
        <w:t>Project Development and Monitoring Facility</w:t>
      </w:r>
      <w:r w:rsidR="00BD00C6" w:rsidRPr="00AC794F">
        <w:t xml:space="preserve"> </w:t>
      </w:r>
      <w:r w:rsidR="00BD00C6">
        <w:t>(</w:t>
      </w:r>
      <w:r>
        <w:t>PDMF</w:t>
      </w:r>
      <w:r w:rsidR="00BD00C6">
        <w:t>)</w:t>
      </w:r>
      <w:r>
        <w:t xml:space="preserve"> data</w:t>
      </w:r>
      <w:bookmarkEnd w:id="92"/>
    </w:p>
    <w:p w14:paraId="4E9BCDDE" w14:textId="76B3BF33" w:rsidR="001939D9" w:rsidRDefault="000842A7" w:rsidP="00021D43">
      <w:pPr>
        <w:spacing w:after="0" w:line="240" w:lineRule="auto"/>
        <w:rPr>
          <w:lang w:val="en-GB"/>
        </w:rPr>
      </w:pPr>
      <w:r>
        <w:rPr>
          <w:lang w:val="en-GB"/>
        </w:rPr>
        <w:t xml:space="preserve">This section contains summary data </w:t>
      </w:r>
      <w:bookmarkStart w:id="93" w:name="_Hlk67930458"/>
      <w:r w:rsidR="003D2BC5">
        <w:rPr>
          <w:lang w:val="en-GB"/>
        </w:rPr>
        <w:t xml:space="preserve">(as of February 2021) </w:t>
      </w:r>
      <w:bookmarkEnd w:id="93"/>
      <w:r>
        <w:rPr>
          <w:lang w:val="en-GB"/>
        </w:rPr>
        <w:t xml:space="preserve">on the PDMF supported projects and the inputs provided over the ten-year period. </w:t>
      </w:r>
      <w:r w:rsidR="0059121E" w:rsidRPr="0059121E">
        <w:rPr>
          <w:lang w:val="en-GB"/>
        </w:rPr>
        <w:t>Table 1</w:t>
      </w:r>
      <w:r>
        <w:rPr>
          <w:lang w:val="en-GB"/>
        </w:rPr>
        <w:t xml:space="preserve"> contains a summary of </w:t>
      </w:r>
      <w:r w:rsidR="0059121E" w:rsidRPr="0059121E">
        <w:rPr>
          <w:lang w:val="en-GB"/>
        </w:rPr>
        <w:t xml:space="preserve">PDMF </w:t>
      </w:r>
      <w:r>
        <w:rPr>
          <w:lang w:val="en-GB"/>
        </w:rPr>
        <w:t>m</w:t>
      </w:r>
      <w:r w:rsidR="0059121E" w:rsidRPr="0059121E">
        <w:rPr>
          <w:lang w:val="en-GB"/>
        </w:rPr>
        <w:t>etrics</w:t>
      </w:r>
      <w:r>
        <w:rPr>
          <w:lang w:val="en-GB"/>
        </w:rPr>
        <w:t>. Table 2</w:t>
      </w:r>
      <w:r w:rsidR="00F24F3B">
        <w:rPr>
          <w:lang w:val="en-GB"/>
        </w:rPr>
        <w:t>, Column A</w:t>
      </w:r>
      <w:r>
        <w:rPr>
          <w:lang w:val="en-GB"/>
        </w:rPr>
        <w:t xml:space="preserve"> provide</w:t>
      </w:r>
      <w:r w:rsidR="00F24F3B">
        <w:rPr>
          <w:lang w:val="en-GB"/>
        </w:rPr>
        <w:t>s</w:t>
      </w:r>
      <w:r>
        <w:rPr>
          <w:lang w:val="en-GB"/>
        </w:rPr>
        <w:t xml:space="preserve"> a summary of the number of PPP projects supported</w:t>
      </w:r>
      <w:r w:rsidR="00F24F3B" w:rsidRPr="00F24F3B">
        <w:rPr>
          <w:lang w:val="en-GB"/>
        </w:rPr>
        <w:t xml:space="preserve"> </w:t>
      </w:r>
      <w:r w:rsidR="00F24F3B">
        <w:rPr>
          <w:lang w:val="en-GB"/>
        </w:rPr>
        <w:t xml:space="preserve">in </w:t>
      </w:r>
      <w:r w:rsidR="00F24F3B" w:rsidRPr="000842A7">
        <w:rPr>
          <w:lang w:val="en-GB"/>
        </w:rPr>
        <w:t>project preparation phase, such as</w:t>
      </w:r>
      <w:r w:rsidR="00F24F3B">
        <w:rPr>
          <w:lang w:val="en-GB"/>
        </w:rPr>
        <w:t xml:space="preserve"> through</w:t>
      </w:r>
      <w:r w:rsidR="00F24F3B" w:rsidRPr="000842A7">
        <w:rPr>
          <w:lang w:val="en-GB"/>
        </w:rPr>
        <w:t xml:space="preserve"> Feasibility Studies</w:t>
      </w:r>
      <w:r w:rsidR="00F24F3B">
        <w:rPr>
          <w:lang w:val="en-GB"/>
        </w:rPr>
        <w:t xml:space="preserve"> (FS)</w:t>
      </w:r>
      <w:r w:rsidR="00F24F3B" w:rsidRPr="000842A7">
        <w:rPr>
          <w:lang w:val="en-GB"/>
        </w:rPr>
        <w:t xml:space="preserve"> </w:t>
      </w:r>
      <w:r w:rsidR="00F24F3B">
        <w:rPr>
          <w:lang w:val="en-GB"/>
        </w:rPr>
        <w:t>and Transaction Advisory (TA) services up to award,</w:t>
      </w:r>
      <w:r>
        <w:rPr>
          <w:lang w:val="en-GB"/>
        </w:rPr>
        <w:t xml:space="preserve"> and their status in the development / approval / contracting cycle. </w:t>
      </w:r>
      <w:r w:rsidR="00F24F3B">
        <w:rPr>
          <w:lang w:val="en-GB"/>
        </w:rPr>
        <w:t xml:space="preserve">Column E refers to supports provided under the PDMF for approved projects, or those accepted by the </w:t>
      </w:r>
      <w:r w:rsidR="004313BA">
        <w:rPr>
          <w:lang w:val="en-GB"/>
        </w:rPr>
        <w:t>implementing agency</w:t>
      </w:r>
      <w:r w:rsidR="00F24F3B">
        <w:rPr>
          <w:lang w:val="en-GB"/>
        </w:rPr>
        <w:t xml:space="preserve"> (including unsolicited). Supports provided under Column E may include the engagement of consultants to review and vet bids, assistance requested for competitive challenge, or the contracting of supervisors for construction. In some cases</w:t>
      </w:r>
      <w:r w:rsidR="00AF0DD8">
        <w:rPr>
          <w:lang w:val="en-GB"/>
        </w:rPr>
        <w:t>,</w:t>
      </w:r>
      <w:r w:rsidR="00F24F3B">
        <w:rPr>
          <w:lang w:val="en-GB"/>
        </w:rPr>
        <w:t xml:space="preserve"> supports provided in the later stages (under Column E), may be the same projects that were supported in the development phase (Column A), or they may be for different projects, as support has been provided for both solicited and unsolicited projects. </w:t>
      </w:r>
      <w:r w:rsidR="0059121E" w:rsidRPr="0059121E">
        <w:rPr>
          <w:lang w:val="en-GB"/>
        </w:rPr>
        <w:t xml:space="preserve">Table </w:t>
      </w:r>
      <w:r w:rsidR="00D87F87">
        <w:rPr>
          <w:lang w:val="en-GB"/>
        </w:rPr>
        <w:t xml:space="preserve">3 provides a list of supports provided through the PDMF (Column A </w:t>
      </w:r>
      <w:r w:rsidR="00272C4F">
        <w:rPr>
          <w:lang w:val="en-GB"/>
        </w:rPr>
        <w:t>and</w:t>
      </w:r>
      <w:r w:rsidR="00D87F87">
        <w:rPr>
          <w:lang w:val="en-GB"/>
        </w:rPr>
        <w:t xml:space="preserve"> E) for each </w:t>
      </w:r>
      <w:r w:rsidR="00E51EF4">
        <w:rPr>
          <w:lang w:val="en-GB"/>
        </w:rPr>
        <w:t>implementing agency</w:t>
      </w:r>
      <w:r w:rsidR="00D87F87">
        <w:rPr>
          <w:lang w:val="en-GB"/>
        </w:rPr>
        <w:t xml:space="preserve"> and </w:t>
      </w:r>
      <w:r w:rsidR="00E51EF4">
        <w:rPr>
          <w:lang w:val="en-GB"/>
        </w:rPr>
        <w:t>local government unit</w:t>
      </w:r>
      <w:r w:rsidR="00D87F87">
        <w:rPr>
          <w:lang w:val="en-GB"/>
        </w:rPr>
        <w:t xml:space="preserve">. </w:t>
      </w:r>
    </w:p>
    <w:p w14:paraId="5B880FB4" w14:textId="77777777" w:rsidR="000842A7" w:rsidRPr="0059121E" w:rsidRDefault="000842A7" w:rsidP="00021D43">
      <w:pPr>
        <w:spacing w:after="0" w:line="240" w:lineRule="auto"/>
        <w:rPr>
          <w:lang w:val="en-GB"/>
        </w:rPr>
      </w:pPr>
    </w:p>
    <w:p w14:paraId="32483A51" w14:textId="1392937E" w:rsidR="005D321C" w:rsidRPr="00D73783" w:rsidRDefault="005D321C" w:rsidP="00D73783">
      <w:pPr>
        <w:spacing w:after="40" w:line="240" w:lineRule="auto"/>
        <w:rPr>
          <w:b/>
          <w:bCs/>
          <w:lang w:val="en-GB"/>
        </w:rPr>
      </w:pPr>
      <w:r w:rsidRPr="00D73783">
        <w:rPr>
          <w:b/>
          <w:bCs/>
          <w:lang w:val="en-GB"/>
        </w:rPr>
        <w:t>Table 1</w:t>
      </w:r>
      <w:r w:rsidR="00EC66F3">
        <w:rPr>
          <w:b/>
          <w:bCs/>
          <w:lang w:val="en-GB"/>
        </w:rPr>
        <w:t>a</w:t>
      </w:r>
      <w:r w:rsidRPr="00D73783">
        <w:rPr>
          <w:b/>
          <w:bCs/>
          <w:lang w:val="en-GB"/>
        </w:rPr>
        <w:t>:</w:t>
      </w:r>
      <w:r w:rsidR="001939D9" w:rsidRPr="00D73783">
        <w:rPr>
          <w:b/>
          <w:bCs/>
          <w:lang w:val="en-GB"/>
        </w:rPr>
        <w:t xml:space="preserve"> PDMF Metrics</w:t>
      </w:r>
    </w:p>
    <w:tbl>
      <w:tblPr>
        <w:tblStyle w:val="GridTable4-Accent5"/>
        <w:tblW w:w="9214" w:type="dxa"/>
        <w:tblLook w:val="06A0" w:firstRow="1" w:lastRow="0" w:firstColumn="1" w:lastColumn="0" w:noHBand="1" w:noVBand="1"/>
        <w:tblCaption w:val="Table 1: PDMF Metrics"/>
        <w:tblDescription w:val="Annex 3: PDMF Data -  Table on total number of services provided by PDMF broken into: (1) no of projects supported for conduct of feasibility studies (FS) and Transaction advisory (TA) ; and (2) No of projects supported only for TA and/or independnet consultancy services"/>
      </w:tblPr>
      <w:tblGrid>
        <w:gridCol w:w="6379"/>
        <w:gridCol w:w="1413"/>
        <w:gridCol w:w="1422"/>
      </w:tblGrid>
      <w:tr w:rsidR="00FD330B" w:rsidRPr="00971AFD" w14:paraId="550F0D6F" w14:textId="77777777" w:rsidTr="00D60095">
        <w:trPr>
          <w:cnfStyle w:val="100000000000" w:firstRow="1" w:lastRow="0" w:firstColumn="0" w:lastColumn="0" w:oddVBand="0" w:evenVBand="0" w:oddHBand="0" w:evenHBand="0" w:firstRowFirstColumn="0" w:firstRowLastColumn="0" w:lastRowFirstColumn="0" w:lastRowLastColumn="0"/>
          <w:cantSplit/>
          <w:trHeight w:val="436"/>
          <w:tblHeader/>
        </w:trPr>
        <w:tc>
          <w:tcPr>
            <w:cnfStyle w:val="001000000000" w:firstRow="0" w:lastRow="0" w:firstColumn="1" w:lastColumn="0" w:oddVBand="0" w:evenVBand="0" w:oddHBand="0" w:evenHBand="0" w:firstRowFirstColumn="0" w:firstRowLastColumn="0" w:lastRowFirstColumn="0" w:lastRowLastColumn="0"/>
            <w:tcW w:w="6379" w:type="dxa"/>
            <w:shd w:val="clear" w:color="auto" w:fill="9CC2E5" w:themeFill="accent1" w:themeFillTint="99"/>
            <w:noWrap/>
            <w:hideMark/>
          </w:tcPr>
          <w:p w14:paraId="436BEF6B" w14:textId="51CC7534" w:rsidR="00FD330B" w:rsidRPr="00D60095" w:rsidRDefault="00FD330B" w:rsidP="00021D43">
            <w:pPr>
              <w:spacing w:before="60" w:after="60"/>
              <w:rPr>
                <w:rFonts w:ascii="Calibri" w:eastAsia="Times New Roman" w:hAnsi="Calibri" w:cs="Calibri"/>
                <w:color w:val="000000"/>
                <w:lang w:eastAsia="en-AU"/>
              </w:rPr>
            </w:pPr>
            <w:r w:rsidRPr="00D60095">
              <w:rPr>
                <w:rFonts w:ascii="Calibri" w:eastAsia="Times New Roman" w:hAnsi="Calibri" w:cs="Calibri"/>
                <w:color w:val="000000"/>
                <w:lang w:eastAsia="en-AU"/>
              </w:rPr>
              <w:t xml:space="preserve">Total number of </w:t>
            </w:r>
            <w:r w:rsidR="00203BF4" w:rsidRPr="00D60095">
              <w:rPr>
                <w:rFonts w:ascii="Calibri" w:eastAsia="Times New Roman" w:hAnsi="Calibri" w:cs="Calibri"/>
                <w:color w:val="000000"/>
                <w:lang w:eastAsia="en-AU"/>
              </w:rPr>
              <w:t xml:space="preserve">services provided by the </w:t>
            </w:r>
            <w:r w:rsidRPr="00D60095">
              <w:rPr>
                <w:rFonts w:ascii="Calibri" w:eastAsia="Times New Roman" w:hAnsi="Calibri" w:cs="Calibri"/>
                <w:color w:val="000000"/>
                <w:lang w:eastAsia="en-AU"/>
              </w:rPr>
              <w:t>PDMF</w:t>
            </w:r>
          </w:p>
        </w:tc>
        <w:tc>
          <w:tcPr>
            <w:tcW w:w="1413" w:type="dxa"/>
            <w:shd w:val="clear" w:color="auto" w:fill="9CC2E5" w:themeFill="accent1" w:themeFillTint="99"/>
            <w:noWrap/>
            <w:hideMark/>
          </w:tcPr>
          <w:p w14:paraId="1ECCBEDB" w14:textId="2390F60F" w:rsidR="00FD330B" w:rsidRPr="00D60095" w:rsidRDefault="006E7CA1" w:rsidP="00021D43">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Total</w:t>
            </w:r>
          </w:p>
        </w:tc>
        <w:tc>
          <w:tcPr>
            <w:tcW w:w="1422" w:type="dxa"/>
            <w:shd w:val="clear" w:color="auto" w:fill="9CC2E5" w:themeFill="accent1" w:themeFillTint="99"/>
            <w:noWrap/>
            <w:hideMark/>
          </w:tcPr>
          <w:p w14:paraId="2FC28903" w14:textId="79513066" w:rsidR="00FD330B" w:rsidRPr="00D60095" w:rsidRDefault="00EE0B28" w:rsidP="00021D43">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w:t>
            </w:r>
          </w:p>
        </w:tc>
      </w:tr>
      <w:tr w:rsidR="00FD330B" w:rsidRPr="00971AFD" w14:paraId="18E639DE" w14:textId="77777777" w:rsidTr="0066005E">
        <w:trPr>
          <w:trHeight w:val="698"/>
        </w:trPr>
        <w:tc>
          <w:tcPr>
            <w:cnfStyle w:val="001000000000" w:firstRow="0" w:lastRow="0" w:firstColumn="1" w:lastColumn="0" w:oddVBand="0" w:evenVBand="0" w:oddHBand="0" w:evenHBand="0" w:firstRowFirstColumn="0" w:firstRowLastColumn="0" w:lastRowFirstColumn="0" w:lastRowLastColumn="0"/>
            <w:tcW w:w="6379" w:type="dxa"/>
            <w:hideMark/>
          </w:tcPr>
          <w:p w14:paraId="289FFE4F" w14:textId="77777777" w:rsidR="00FD330B" w:rsidRPr="00D60095" w:rsidRDefault="00FD330B" w:rsidP="00021D43">
            <w:pPr>
              <w:spacing w:before="60" w:after="60"/>
              <w:rPr>
                <w:rFonts w:ascii="Calibri" w:eastAsia="Times New Roman" w:hAnsi="Calibri" w:cs="Calibri"/>
                <w:b w:val="0"/>
                <w:bCs w:val="0"/>
                <w:color w:val="000000"/>
                <w:lang w:eastAsia="en-AU"/>
              </w:rPr>
            </w:pPr>
            <w:r w:rsidRPr="00D60095">
              <w:rPr>
                <w:rFonts w:ascii="Calibri" w:eastAsia="Times New Roman" w:hAnsi="Calibri" w:cs="Calibri"/>
                <w:b w:val="0"/>
                <w:bCs w:val="0"/>
                <w:color w:val="000000"/>
                <w:lang w:eastAsia="en-AU"/>
              </w:rPr>
              <w:t>No. of projects supported for conduct of feasibility studies (FS) and transaction advisory (TA)</w:t>
            </w:r>
          </w:p>
          <w:p w14:paraId="3D8330E5" w14:textId="78993555" w:rsidR="00FD330B" w:rsidRPr="00D60095" w:rsidRDefault="00FD330B" w:rsidP="00021D43">
            <w:pPr>
              <w:rPr>
                <w:rFonts w:ascii="Calibri" w:eastAsia="Times New Roman" w:hAnsi="Calibri" w:cs="Calibri"/>
                <w:b w:val="0"/>
                <w:bCs w:val="0"/>
                <w:color w:val="000000"/>
                <w:lang w:eastAsia="en-AU"/>
              </w:rPr>
            </w:pPr>
          </w:p>
        </w:tc>
        <w:tc>
          <w:tcPr>
            <w:tcW w:w="1413" w:type="dxa"/>
            <w:noWrap/>
            <w:hideMark/>
          </w:tcPr>
          <w:p w14:paraId="6CF7854C" w14:textId="04021174" w:rsidR="00FD330B" w:rsidRPr="00971AFD" w:rsidRDefault="00FD330B" w:rsidP="00EC01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36</w:t>
            </w:r>
          </w:p>
        </w:tc>
        <w:tc>
          <w:tcPr>
            <w:tcW w:w="1422" w:type="dxa"/>
            <w:noWrap/>
            <w:hideMark/>
          </w:tcPr>
          <w:p w14:paraId="6EC1B914" w14:textId="0CAA47AA" w:rsidR="00FD330B" w:rsidRPr="00971AFD" w:rsidRDefault="00FD330B" w:rsidP="00EC01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78%</w:t>
            </w:r>
          </w:p>
        </w:tc>
      </w:tr>
      <w:tr w:rsidR="00FD330B" w:rsidRPr="00971AFD" w14:paraId="7EEA4F6F" w14:textId="77777777" w:rsidTr="0066005E">
        <w:trPr>
          <w:trHeight w:val="694"/>
        </w:trPr>
        <w:tc>
          <w:tcPr>
            <w:cnfStyle w:val="001000000000" w:firstRow="0" w:lastRow="0" w:firstColumn="1" w:lastColumn="0" w:oddVBand="0" w:evenVBand="0" w:oddHBand="0" w:evenHBand="0" w:firstRowFirstColumn="0" w:firstRowLastColumn="0" w:lastRowFirstColumn="0" w:lastRowLastColumn="0"/>
            <w:tcW w:w="6379" w:type="dxa"/>
            <w:hideMark/>
          </w:tcPr>
          <w:p w14:paraId="60D7AE92" w14:textId="77777777" w:rsidR="00FD330B" w:rsidRPr="00D60095" w:rsidRDefault="00FD330B" w:rsidP="00021D43">
            <w:pPr>
              <w:spacing w:before="60" w:after="60"/>
              <w:rPr>
                <w:rFonts w:ascii="Calibri" w:eastAsia="Times New Roman" w:hAnsi="Calibri" w:cs="Calibri"/>
                <w:b w:val="0"/>
                <w:bCs w:val="0"/>
                <w:color w:val="000000"/>
                <w:lang w:eastAsia="en-AU"/>
              </w:rPr>
            </w:pPr>
            <w:r w:rsidRPr="00D60095">
              <w:rPr>
                <w:rFonts w:ascii="Calibri" w:eastAsia="Times New Roman" w:hAnsi="Calibri" w:cs="Calibri"/>
                <w:b w:val="0"/>
                <w:bCs w:val="0"/>
                <w:color w:val="000000"/>
                <w:lang w:eastAsia="en-AU"/>
              </w:rPr>
              <w:t>No. of projects supported only for TA and/or independent consultancy services</w:t>
            </w:r>
          </w:p>
          <w:p w14:paraId="5346A807" w14:textId="65CC11E7" w:rsidR="00FD330B" w:rsidRPr="00D60095" w:rsidRDefault="00FD330B" w:rsidP="00021D43">
            <w:pPr>
              <w:rPr>
                <w:rFonts w:ascii="Calibri" w:eastAsia="Times New Roman" w:hAnsi="Calibri" w:cs="Calibri"/>
                <w:b w:val="0"/>
                <w:bCs w:val="0"/>
                <w:color w:val="000000"/>
                <w:lang w:eastAsia="en-AU"/>
              </w:rPr>
            </w:pPr>
          </w:p>
        </w:tc>
        <w:tc>
          <w:tcPr>
            <w:tcW w:w="1413" w:type="dxa"/>
            <w:noWrap/>
            <w:hideMark/>
          </w:tcPr>
          <w:p w14:paraId="58A8FF17" w14:textId="093BA045" w:rsidR="00FD330B" w:rsidRPr="00971AFD" w:rsidRDefault="00FD330B" w:rsidP="00EC01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10</w:t>
            </w:r>
          </w:p>
        </w:tc>
        <w:tc>
          <w:tcPr>
            <w:tcW w:w="1422" w:type="dxa"/>
            <w:noWrap/>
            <w:hideMark/>
          </w:tcPr>
          <w:p w14:paraId="664EFA6F" w14:textId="67380B22" w:rsidR="00FD330B" w:rsidRPr="00971AFD" w:rsidRDefault="00FD330B" w:rsidP="00EC01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22%</w:t>
            </w:r>
          </w:p>
        </w:tc>
      </w:tr>
    </w:tbl>
    <w:p w14:paraId="41CF4A6E" w14:textId="77777777" w:rsidR="00EC66F3" w:rsidRDefault="00EC66F3" w:rsidP="00EC66F3">
      <w:pPr>
        <w:spacing w:after="40" w:line="240" w:lineRule="auto"/>
        <w:rPr>
          <w:b/>
          <w:bCs/>
          <w:lang w:val="en-GB"/>
        </w:rPr>
      </w:pPr>
    </w:p>
    <w:p w14:paraId="17526F14" w14:textId="3B97FC5A" w:rsidR="00FD330B" w:rsidRPr="00EC66F3" w:rsidRDefault="00EC66F3" w:rsidP="00EC66F3">
      <w:pPr>
        <w:spacing w:after="40" w:line="240" w:lineRule="auto"/>
        <w:rPr>
          <w:b/>
          <w:bCs/>
          <w:lang w:val="en-GB"/>
        </w:rPr>
      </w:pPr>
      <w:r w:rsidRPr="00D73783">
        <w:rPr>
          <w:b/>
          <w:bCs/>
          <w:lang w:val="en-GB"/>
        </w:rPr>
        <w:t>Table 1</w:t>
      </w:r>
      <w:r>
        <w:rPr>
          <w:b/>
          <w:bCs/>
          <w:lang w:val="en-GB"/>
        </w:rPr>
        <w:t>b</w:t>
      </w:r>
      <w:r w:rsidRPr="00D73783">
        <w:rPr>
          <w:b/>
          <w:bCs/>
          <w:lang w:val="en-GB"/>
        </w:rPr>
        <w:t>: PDMF Metrics</w:t>
      </w:r>
    </w:p>
    <w:tbl>
      <w:tblPr>
        <w:tblStyle w:val="GridTable4-Accent5"/>
        <w:tblW w:w="9214" w:type="dxa"/>
        <w:tblLook w:val="04A0" w:firstRow="1" w:lastRow="0" w:firstColumn="1" w:lastColumn="0" w:noHBand="0" w:noVBand="1"/>
        <w:tblCaption w:val="Total Number of projects supproted by PDMF during FS preparation and submitted to NEDA-ICC for evaluation"/>
        <w:tblDescription w:val="Annex 3: PDMF Data - Table on total number pf projects supported by PDMF during FS prearpation and submitted to NEDA-ICC for evaluation broken into:  (1) No. of Project approved by NEDA-ICC; (2) No. of projects not approved by NEDA-ICC; (3) No. of projects that are undergoing evaluation by NEDA-ICC."/>
      </w:tblPr>
      <w:tblGrid>
        <w:gridCol w:w="6379"/>
        <w:gridCol w:w="1413"/>
        <w:gridCol w:w="1422"/>
      </w:tblGrid>
      <w:tr w:rsidR="00EE0B28" w:rsidRPr="00971AFD" w14:paraId="0B6E5103" w14:textId="77777777" w:rsidTr="00D60095">
        <w:trPr>
          <w:cnfStyle w:val="100000000000" w:firstRow="1" w:lastRow="0" w:firstColumn="0" w:lastColumn="0" w:oddVBand="0" w:evenVBand="0" w:oddHBand="0" w:evenHBand="0" w:firstRowFirstColumn="0" w:firstRowLastColumn="0" w:lastRowFirstColumn="0" w:lastRowLastColumn="0"/>
          <w:cantSplit/>
          <w:trHeight w:val="630"/>
          <w:tblHeader/>
        </w:trPr>
        <w:tc>
          <w:tcPr>
            <w:cnfStyle w:val="001000000000" w:firstRow="0" w:lastRow="0" w:firstColumn="1" w:lastColumn="0" w:oddVBand="0" w:evenVBand="0" w:oddHBand="0" w:evenHBand="0" w:firstRowFirstColumn="0" w:firstRowLastColumn="0" w:lastRowFirstColumn="0" w:lastRowLastColumn="0"/>
            <w:tcW w:w="6379" w:type="dxa"/>
            <w:shd w:val="clear" w:color="auto" w:fill="9CC2E5" w:themeFill="accent1" w:themeFillTint="99"/>
            <w:hideMark/>
          </w:tcPr>
          <w:p w14:paraId="6C782C0A" w14:textId="77777777" w:rsidR="00EE0B28" w:rsidRPr="00D60095" w:rsidRDefault="00EE0B28" w:rsidP="00021D43">
            <w:pPr>
              <w:spacing w:before="60" w:after="60"/>
              <w:rPr>
                <w:rFonts w:ascii="Calibri" w:eastAsia="Times New Roman" w:hAnsi="Calibri" w:cs="Calibri"/>
                <w:color w:val="000000"/>
                <w:lang w:eastAsia="en-AU"/>
              </w:rPr>
            </w:pPr>
            <w:r w:rsidRPr="00D60095">
              <w:rPr>
                <w:rFonts w:ascii="Calibri" w:eastAsia="Times New Roman" w:hAnsi="Calibri" w:cs="Calibri"/>
                <w:color w:val="000000"/>
                <w:lang w:eastAsia="en-AU"/>
              </w:rPr>
              <w:t>Total number of projects supported by PDMF during FS preparation and submitted to NEDA-ICC for evaluation</w:t>
            </w:r>
          </w:p>
        </w:tc>
        <w:tc>
          <w:tcPr>
            <w:tcW w:w="1413" w:type="dxa"/>
            <w:shd w:val="clear" w:color="auto" w:fill="9CC2E5" w:themeFill="accent1" w:themeFillTint="99"/>
            <w:noWrap/>
            <w:hideMark/>
          </w:tcPr>
          <w:p w14:paraId="4861A91E" w14:textId="48568DF4" w:rsidR="00EE0B28" w:rsidRPr="00D60095" w:rsidRDefault="006E7CA1" w:rsidP="00EC013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Total</w:t>
            </w:r>
          </w:p>
        </w:tc>
        <w:tc>
          <w:tcPr>
            <w:tcW w:w="1422" w:type="dxa"/>
            <w:shd w:val="clear" w:color="auto" w:fill="9CC2E5" w:themeFill="accent1" w:themeFillTint="99"/>
            <w:noWrap/>
            <w:hideMark/>
          </w:tcPr>
          <w:p w14:paraId="65A1CE25" w14:textId="5BC6050B" w:rsidR="00EE0B28" w:rsidRPr="00D60095" w:rsidRDefault="00EE0B28" w:rsidP="00EC013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w:t>
            </w:r>
          </w:p>
        </w:tc>
      </w:tr>
      <w:tr w:rsidR="00EE0B28" w:rsidRPr="00971AFD" w14:paraId="7CB98186" w14:textId="77777777" w:rsidTr="00D60095">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hideMark/>
          </w:tcPr>
          <w:p w14:paraId="2226A553" w14:textId="77777777" w:rsidR="00EE0B28" w:rsidRPr="00D60095" w:rsidRDefault="00EE0B28" w:rsidP="00021D43">
            <w:pPr>
              <w:spacing w:before="60" w:after="60"/>
              <w:rPr>
                <w:rFonts w:ascii="Calibri" w:eastAsia="Times New Roman" w:hAnsi="Calibri" w:cs="Calibri"/>
                <w:b w:val="0"/>
                <w:bCs w:val="0"/>
                <w:color w:val="000000"/>
                <w:lang w:eastAsia="en-AU"/>
              </w:rPr>
            </w:pPr>
            <w:r w:rsidRPr="00D60095">
              <w:rPr>
                <w:rFonts w:ascii="Calibri" w:eastAsia="Times New Roman" w:hAnsi="Calibri" w:cs="Calibri"/>
                <w:b w:val="0"/>
                <w:bCs w:val="0"/>
                <w:color w:val="000000"/>
                <w:lang w:eastAsia="en-AU"/>
              </w:rPr>
              <w:t>No. of projects approved by NEDA-ICC</w:t>
            </w:r>
          </w:p>
          <w:p w14:paraId="3FA134B3" w14:textId="77777777" w:rsidR="00EE0B28" w:rsidRPr="00D60095" w:rsidRDefault="00EE0B28" w:rsidP="00021D43">
            <w:pPr>
              <w:spacing w:before="60" w:after="60"/>
              <w:rPr>
                <w:rFonts w:ascii="Calibri" w:eastAsia="Times New Roman" w:hAnsi="Calibri" w:cs="Calibri"/>
                <w:b w:val="0"/>
                <w:bCs w:val="0"/>
                <w:color w:val="000000"/>
                <w:lang w:eastAsia="en-AU"/>
              </w:rPr>
            </w:pPr>
          </w:p>
        </w:tc>
        <w:tc>
          <w:tcPr>
            <w:tcW w:w="1413" w:type="dxa"/>
            <w:shd w:val="clear" w:color="auto" w:fill="auto"/>
            <w:noWrap/>
            <w:hideMark/>
          </w:tcPr>
          <w:p w14:paraId="266F7ECF" w14:textId="77777777" w:rsidR="00EE0B28" w:rsidRPr="00D60095" w:rsidRDefault="00EE0B28" w:rsidP="00021D4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21</w:t>
            </w:r>
          </w:p>
        </w:tc>
        <w:tc>
          <w:tcPr>
            <w:tcW w:w="1422" w:type="dxa"/>
            <w:shd w:val="clear" w:color="auto" w:fill="auto"/>
            <w:noWrap/>
            <w:hideMark/>
          </w:tcPr>
          <w:p w14:paraId="1E60A57D" w14:textId="77777777" w:rsidR="00EE0B28" w:rsidRPr="00D60095" w:rsidRDefault="00EE0B28" w:rsidP="00021D4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81%</w:t>
            </w:r>
          </w:p>
        </w:tc>
      </w:tr>
      <w:tr w:rsidR="00EE0B28" w:rsidRPr="00971AFD" w14:paraId="4D82F277" w14:textId="77777777" w:rsidTr="00D60095">
        <w:trPr>
          <w:trHeight w:val="580"/>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hideMark/>
          </w:tcPr>
          <w:p w14:paraId="73AAFF11" w14:textId="77777777" w:rsidR="00EE0B28" w:rsidRPr="00D60095" w:rsidRDefault="00EE0B28" w:rsidP="00021D43">
            <w:pPr>
              <w:spacing w:before="60" w:after="60"/>
              <w:rPr>
                <w:rFonts w:ascii="Calibri" w:eastAsia="Times New Roman" w:hAnsi="Calibri" w:cs="Calibri"/>
                <w:b w:val="0"/>
                <w:bCs w:val="0"/>
                <w:color w:val="000000"/>
                <w:lang w:eastAsia="en-AU"/>
              </w:rPr>
            </w:pPr>
            <w:r w:rsidRPr="00D60095">
              <w:rPr>
                <w:rFonts w:ascii="Calibri" w:eastAsia="Times New Roman" w:hAnsi="Calibri" w:cs="Calibri"/>
                <w:b w:val="0"/>
                <w:bCs w:val="0"/>
                <w:color w:val="000000"/>
                <w:lang w:eastAsia="en-AU"/>
              </w:rPr>
              <w:t>No. of projects not approved by NEDA-ICC</w:t>
            </w:r>
          </w:p>
        </w:tc>
        <w:tc>
          <w:tcPr>
            <w:tcW w:w="1413" w:type="dxa"/>
            <w:shd w:val="clear" w:color="auto" w:fill="auto"/>
            <w:noWrap/>
            <w:hideMark/>
          </w:tcPr>
          <w:p w14:paraId="02082617" w14:textId="77777777" w:rsidR="00EE0B28" w:rsidRPr="00D60095" w:rsidRDefault="00EE0B28" w:rsidP="00021D43">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3</w:t>
            </w:r>
          </w:p>
        </w:tc>
        <w:tc>
          <w:tcPr>
            <w:tcW w:w="1422" w:type="dxa"/>
            <w:shd w:val="clear" w:color="auto" w:fill="auto"/>
            <w:noWrap/>
            <w:hideMark/>
          </w:tcPr>
          <w:p w14:paraId="0DA9FE06" w14:textId="77777777" w:rsidR="00EE0B28" w:rsidRPr="00D60095" w:rsidRDefault="00EE0B28" w:rsidP="00021D43">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12%</w:t>
            </w:r>
          </w:p>
        </w:tc>
      </w:tr>
      <w:tr w:rsidR="00EE0B28" w:rsidRPr="00971AFD" w14:paraId="0D60D6BA" w14:textId="77777777" w:rsidTr="00D6009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hideMark/>
          </w:tcPr>
          <w:p w14:paraId="339C983F" w14:textId="77777777" w:rsidR="00EE0B28" w:rsidRPr="00D60095" w:rsidRDefault="00EE0B28" w:rsidP="00021D43">
            <w:pPr>
              <w:spacing w:before="60" w:after="60"/>
              <w:rPr>
                <w:rFonts w:ascii="Calibri" w:eastAsia="Times New Roman" w:hAnsi="Calibri" w:cs="Calibri"/>
                <w:b w:val="0"/>
                <w:bCs w:val="0"/>
                <w:color w:val="000000"/>
                <w:lang w:eastAsia="en-AU"/>
              </w:rPr>
            </w:pPr>
            <w:r w:rsidRPr="00D60095">
              <w:rPr>
                <w:rFonts w:ascii="Calibri" w:eastAsia="Times New Roman" w:hAnsi="Calibri" w:cs="Calibri"/>
                <w:b w:val="0"/>
                <w:bCs w:val="0"/>
                <w:color w:val="000000"/>
                <w:lang w:eastAsia="en-AU"/>
              </w:rPr>
              <w:t>No. of projects that are undergoing evaluation by NEDA-ICC</w:t>
            </w:r>
          </w:p>
        </w:tc>
        <w:tc>
          <w:tcPr>
            <w:tcW w:w="1413" w:type="dxa"/>
            <w:shd w:val="clear" w:color="auto" w:fill="auto"/>
            <w:noWrap/>
            <w:hideMark/>
          </w:tcPr>
          <w:p w14:paraId="19897AA3" w14:textId="77777777" w:rsidR="00EE0B28" w:rsidRPr="00D60095" w:rsidRDefault="00EE0B28" w:rsidP="00021D4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2</w:t>
            </w:r>
          </w:p>
        </w:tc>
        <w:tc>
          <w:tcPr>
            <w:tcW w:w="1422" w:type="dxa"/>
            <w:shd w:val="clear" w:color="auto" w:fill="auto"/>
            <w:noWrap/>
            <w:hideMark/>
          </w:tcPr>
          <w:p w14:paraId="4A327936" w14:textId="77777777" w:rsidR="00EE0B28" w:rsidRPr="00D60095" w:rsidRDefault="00EE0B28" w:rsidP="00021D4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8%</w:t>
            </w:r>
          </w:p>
        </w:tc>
      </w:tr>
    </w:tbl>
    <w:p w14:paraId="4931DEA9" w14:textId="5049F2FE" w:rsidR="00EE0B28" w:rsidRPr="00EC66F3" w:rsidRDefault="00EC66F3" w:rsidP="00EC66F3">
      <w:pPr>
        <w:spacing w:after="40" w:line="240" w:lineRule="auto"/>
        <w:rPr>
          <w:b/>
          <w:bCs/>
          <w:lang w:val="en-GB"/>
        </w:rPr>
      </w:pPr>
      <w:r w:rsidRPr="00D73783">
        <w:rPr>
          <w:b/>
          <w:bCs/>
          <w:lang w:val="en-GB"/>
        </w:rPr>
        <w:t>Table 1</w:t>
      </w:r>
      <w:r>
        <w:rPr>
          <w:b/>
          <w:bCs/>
          <w:lang w:val="en-GB"/>
        </w:rPr>
        <w:t>c</w:t>
      </w:r>
      <w:r w:rsidRPr="00D73783">
        <w:rPr>
          <w:b/>
          <w:bCs/>
          <w:lang w:val="en-GB"/>
        </w:rPr>
        <w:t>: PDMF Metrics</w:t>
      </w:r>
    </w:p>
    <w:tbl>
      <w:tblPr>
        <w:tblStyle w:val="GridTable4-Accent5"/>
        <w:tblW w:w="9214" w:type="dxa"/>
        <w:tblLook w:val="04A0" w:firstRow="1" w:lastRow="0" w:firstColumn="1" w:lastColumn="0" w:noHBand="0" w:noVBand="1"/>
        <w:tblCaption w:val="Total number of awarded PPP projects supported by PDMF"/>
        <w:tblDescription w:val="Annex 3:  PDMF Data - Table on the total number of awarded PPP Projects supported by PDMF broken into:  (1) No. of awarded projects supported by PDMF for FS and TA; (2) No. of awarded PPP projects supported by PDMF only for TA and/or independent consultancy services"/>
      </w:tblPr>
      <w:tblGrid>
        <w:gridCol w:w="6379"/>
        <w:gridCol w:w="1413"/>
        <w:gridCol w:w="1422"/>
      </w:tblGrid>
      <w:tr w:rsidR="00971AFD" w:rsidRPr="00971AFD" w14:paraId="1BFE7CCC" w14:textId="77777777" w:rsidTr="00D60095">
        <w:trPr>
          <w:cnfStyle w:val="100000000000" w:firstRow="1" w:lastRow="0" w:firstColumn="0" w:lastColumn="0" w:oddVBand="0" w:evenVBand="0" w:oddHBand="0" w:evenHBand="0" w:firstRowFirstColumn="0" w:firstRowLastColumn="0" w:lastRowFirstColumn="0" w:lastRowLastColumn="0"/>
          <w:cantSplit/>
          <w:trHeight w:val="483"/>
          <w:tblHeader/>
        </w:trPr>
        <w:tc>
          <w:tcPr>
            <w:cnfStyle w:val="001000000000" w:firstRow="0" w:lastRow="0" w:firstColumn="1" w:lastColumn="0" w:oddVBand="0" w:evenVBand="0" w:oddHBand="0" w:evenHBand="0" w:firstRowFirstColumn="0" w:firstRowLastColumn="0" w:lastRowFirstColumn="0" w:lastRowLastColumn="0"/>
            <w:tcW w:w="6379" w:type="dxa"/>
            <w:shd w:val="clear" w:color="auto" w:fill="9CC2E5" w:themeFill="accent1" w:themeFillTint="99"/>
            <w:hideMark/>
          </w:tcPr>
          <w:p w14:paraId="0219150A" w14:textId="75AFBDB9" w:rsidR="00971AFD" w:rsidRPr="00D60095" w:rsidRDefault="00971AFD" w:rsidP="00021D43">
            <w:pPr>
              <w:spacing w:before="60" w:after="60"/>
              <w:rPr>
                <w:rFonts w:ascii="Calibri" w:eastAsia="Times New Roman" w:hAnsi="Calibri" w:cs="Calibri"/>
                <w:color w:val="000000"/>
                <w:lang w:eastAsia="en-AU"/>
              </w:rPr>
            </w:pPr>
            <w:r w:rsidRPr="00D60095">
              <w:rPr>
                <w:rFonts w:ascii="Calibri" w:eastAsia="Times New Roman" w:hAnsi="Calibri" w:cs="Calibri"/>
                <w:color w:val="000000"/>
                <w:lang w:eastAsia="en-AU"/>
              </w:rPr>
              <w:lastRenderedPageBreak/>
              <w:t>Total number of awarded PPP projects supported by PDMF</w:t>
            </w:r>
            <w:r w:rsidR="00EE0B28" w:rsidRPr="00D60095">
              <w:rPr>
                <w:color w:val="auto"/>
                <w:vertAlign w:val="superscript"/>
              </w:rPr>
              <w:footnoteReference w:id="71"/>
            </w:r>
            <w:r w:rsidRPr="00D60095">
              <w:rPr>
                <w:rFonts w:ascii="Calibri" w:eastAsia="Times New Roman" w:hAnsi="Calibri" w:cs="Calibri"/>
                <w:color w:val="auto"/>
                <w:vertAlign w:val="superscript"/>
                <w:lang w:eastAsia="en-AU"/>
              </w:rPr>
              <w:t>*</w:t>
            </w:r>
          </w:p>
        </w:tc>
        <w:tc>
          <w:tcPr>
            <w:tcW w:w="1413" w:type="dxa"/>
            <w:shd w:val="clear" w:color="auto" w:fill="9CC2E5" w:themeFill="accent1" w:themeFillTint="99"/>
            <w:noWrap/>
            <w:hideMark/>
          </w:tcPr>
          <w:p w14:paraId="1748CC9E" w14:textId="148C3A8E" w:rsidR="00971AFD" w:rsidRPr="00D60095" w:rsidRDefault="006E7CA1" w:rsidP="00021D43">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Total</w:t>
            </w:r>
          </w:p>
        </w:tc>
        <w:tc>
          <w:tcPr>
            <w:tcW w:w="1422" w:type="dxa"/>
            <w:shd w:val="clear" w:color="auto" w:fill="9CC2E5" w:themeFill="accent1" w:themeFillTint="99"/>
            <w:noWrap/>
            <w:hideMark/>
          </w:tcPr>
          <w:p w14:paraId="5EDE94C7" w14:textId="55246497" w:rsidR="00971AFD" w:rsidRPr="00D60095" w:rsidRDefault="00971AFD" w:rsidP="00EC013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 </w:t>
            </w:r>
            <w:r w:rsidR="001939D9" w:rsidRPr="00D60095">
              <w:rPr>
                <w:rFonts w:ascii="Calibri" w:eastAsia="Times New Roman" w:hAnsi="Calibri" w:cs="Calibri"/>
                <w:color w:val="000000"/>
                <w:lang w:eastAsia="en-AU"/>
              </w:rPr>
              <w:t>%</w:t>
            </w:r>
          </w:p>
        </w:tc>
      </w:tr>
      <w:tr w:rsidR="00971AFD" w:rsidRPr="00971AFD" w14:paraId="7F99B5D0" w14:textId="77777777" w:rsidTr="00D6009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hideMark/>
          </w:tcPr>
          <w:p w14:paraId="0D06642C" w14:textId="77777777" w:rsidR="00971AFD" w:rsidRPr="00D60095" w:rsidRDefault="00971AFD" w:rsidP="00021D43">
            <w:pPr>
              <w:spacing w:before="60" w:after="60"/>
              <w:rPr>
                <w:rFonts w:ascii="Calibri" w:eastAsia="Times New Roman" w:hAnsi="Calibri" w:cs="Calibri"/>
                <w:b w:val="0"/>
                <w:bCs w:val="0"/>
                <w:color w:val="000000"/>
                <w:lang w:eastAsia="en-AU"/>
              </w:rPr>
            </w:pPr>
            <w:r w:rsidRPr="00D60095">
              <w:rPr>
                <w:rFonts w:ascii="Calibri" w:eastAsia="Times New Roman" w:hAnsi="Calibri" w:cs="Calibri"/>
                <w:b w:val="0"/>
                <w:bCs w:val="0"/>
                <w:color w:val="000000"/>
                <w:lang w:eastAsia="en-AU"/>
              </w:rPr>
              <w:t>No. of awarded PPP projects supported by PDMF for FS and TA</w:t>
            </w:r>
          </w:p>
        </w:tc>
        <w:tc>
          <w:tcPr>
            <w:tcW w:w="1413" w:type="dxa"/>
            <w:shd w:val="clear" w:color="auto" w:fill="auto"/>
            <w:noWrap/>
            <w:hideMark/>
          </w:tcPr>
          <w:p w14:paraId="493D9917" w14:textId="77777777" w:rsidR="00971AFD" w:rsidRPr="00D60095" w:rsidRDefault="00971AFD" w:rsidP="00021D4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6</w:t>
            </w:r>
          </w:p>
        </w:tc>
        <w:tc>
          <w:tcPr>
            <w:tcW w:w="1422" w:type="dxa"/>
            <w:shd w:val="clear" w:color="auto" w:fill="auto"/>
            <w:noWrap/>
            <w:hideMark/>
          </w:tcPr>
          <w:p w14:paraId="5B26EE88" w14:textId="77777777" w:rsidR="00971AFD" w:rsidRPr="00D60095" w:rsidRDefault="00971AFD" w:rsidP="00021D4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46%</w:t>
            </w:r>
          </w:p>
        </w:tc>
      </w:tr>
      <w:tr w:rsidR="00971AFD" w:rsidRPr="00971AFD" w14:paraId="55181788" w14:textId="77777777" w:rsidTr="00D60095">
        <w:trPr>
          <w:trHeight w:val="870"/>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hideMark/>
          </w:tcPr>
          <w:p w14:paraId="46E0E7AB" w14:textId="77777777" w:rsidR="00971AFD" w:rsidRPr="00D60095" w:rsidRDefault="00971AFD" w:rsidP="00021D43">
            <w:pPr>
              <w:spacing w:before="60" w:after="60"/>
              <w:rPr>
                <w:rFonts w:ascii="Calibri" w:eastAsia="Times New Roman" w:hAnsi="Calibri" w:cs="Calibri"/>
                <w:b w:val="0"/>
                <w:bCs w:val="0"/>
                <w:color w:val="000000"/>
                <w:lang w:eastAsia="en-AU"/>
              </w:rPr>
            </w:pPr>
            <w:r w:rsidRPr="00D60095">
              <w:rPr>
                <w:rFonts w:ascii="Calibri" w:eastAsia="Times New Roman" w:hAnsi="Calibri" w:cs="Calibri"/>
                <w:b w:val="0"/>
                <w:bCs w:val="0"/>
                <w:color w:val="000000"/>
                <w:lang w:eastAsia="en-AU"/>
              </w:rPr>
              <w:t>No. of awarded PPP projects supported by PDMF only for TA and/or independent consultancy services</w:t>
            </w:r>
          </w:p>
        </w:tc>
        <w:tc>
          <w:tcPr>
            <w:tcW w:w="1413" w:type="dxa"/>
            <w:shd w:val="clear" w:color="auto" w:fill="auto"/>
            <w:noWrap/>
            <w:hideMark/>
          </w:tcPr>
          <w:p w14:paraId="3D2475BF" w14:textId="77777777" w:rsidR="00971AFD" w:rsidRPr="00D60095" w:rsidRDefault="00971AFD" w:rsidP="00021D43">
            <w:pPr>
              <w:spacing w:before="60" w:after="20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7</w:t>
            </w:r>
          </w:p>
        </w:tc>
        <w:tc>
          <w:tcPr>
            <w:tcW w:w="1422" w:type="dxa"/>
            <w:shd w:val="clear" w:color="auto" w:fill="auto"/>
            <w:noWrap/>
            <w:hideMark/>
          </w:tcPr>
          <w:p w14:paraId="3AC5E612" w14:textId="77777777" w:rsidR="00971AFD" w:rsidRPr="00D60095" w:rsidRDefault="00971AFD" w:rsidP="00021D43">
            <w:pPr>
              <w:spacing w:before="60" w:after="20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54%</w:t>
            </w:r>
          </w:p>
        </w:tc>
      </w:tr>
    </w:tbl>
    <w:p w14:paraId="0E7EBAFF" w14:textId="5612FDE0" w:rsidR="00971AFD" w:rsidRPr="005D321C" w:rsidRDefault="00CD58E1" w:rsidP="00021D43">
      <w:pPr>
        <w:spacing w:line="240" w:lineRule="auto"/>
        <w:sectPr w:rsidR="00971AFD" w:rsidRPr="005D321C" w:rsidSect="008801FC">
          <w:pgSz w:w="11906" w:h="16838"/>
          <w:pgMar w:top="1440" w:right="1440" w:bottom="1440" w:left="1440" w:header="708" w:footer="708" w:gutter="0"/>
          <w:cols w:space="708"/>
          <w:docGrid w:linePitch="360"/>
        </w:sectPr>
      </w:pPr>
      <w:r>
        <w:br w:type="page"/>
      </w:r>
    </w:p>
    <w:p w14:paraId="3886EA29" w14:textId="68BAF332" w:rsidR="00971AFD" w:rsidRPr="00D73783" w:rsidRDefault="005D321C" w:rsidP="00D73783">
      <w:pPr>
        <w:spacing w:after="40" w:line="240" w:lineRule="auto"/>
        <w:ind w:left="-709"/>
        <w:rPr>
          <w:b/>
          <w:bCs/>
          <w:lang w:val="en-GB"/>
        </w:rPr>
      </w:pPr>
      <w:r w:rsidRPr="00D73783">
        <w:rPr>
          <w:b/>
          <w:bCs/>
          <w:lang w:val="en-GB"/>
        </w:rPr>
        <w:lastRenderedPageBreak/>
        <w:t>Table 2:</w:t>
      </w:r>
      <w:r w:rsidR="00FC7320" w:rsidRPr="00D73783">
        <w:rPr>
          <w:b/>
          <w:bCs/>
          <w:lang w:val="en-GB"/>
        </w:rPr>
        <w:t xml:space="preserve"> Status of </w:t>
      </w:r>
      <w:r w:rsidR="004313BA">
        <w:rPr>
          <w:b/>
          <w:bCs/>
          <w:lang w:val="en-GB"/>
        </w:rPr>
        <w:t>Implementing Agency (IA)</w:t>
      </w:r>
      <w:r w:rsidR="00093196" w:rsidRPr="00D73783">
        <w:rPr>
          <w:b/>
          <w:bCs/>
          <w:lang w:val="en-GB"/>
        </w:rPr>
        <w:t xml:space="preserve"> projects supported by the PDMF</w:t>
      </w:r>
      <w:r w:rsidR="0013085E">
        <w:rPr>
          <w:b/>
          <w:bCs/>
          <w:lang w:val="en-GB"/>
        </w:rPr>
        <w:t>:</w:t>
      </w:r>
      <w:r w:rsidR="0013085E" w:rsidRPr="0013085E">
        <w:rPr>
          <w:rFonts w:ascii="Calibri" w:eastAsia="Times New Roman" w:hAnsi="Calibri" w:cs="Calibri"/>
          <w:b/>
          <w:bCs/>
          <w:color w:val="000000"/>
          <w:lang w:eastAsia="en-AU"/>
        </w:rPr>
        <w:t xml:space="preserve"> </w:t>
      </w:r>
      <w:r w:rsidR="0013085E" w:rsidRPr="00971AFD">
        <w:rPr>
          <w:rFonts w:ascii="Calibri" w:eastAsia="Times New Roman" w:hAnsi="Calibri" w:cs="Calibri"/>
          <w:b/>
          <w:bCs/>
          <w:color w:val="000000"/>
          <w:lang w:eastAsia="en-AU"/>
        </w:rPr>
        <w:t>Projects supported by PDMF for the conduct of feasibility studies (FS) and transaction advisory (TA) services (bundled support)</w:t>
      </w:r>
      <w:r w:rsidR="00E150FE">
        <w:rPr>
          <w:rFonts w:ascii="Calibri" w:eastAsia="Times New Roman" w:hAnsi="Calibri" w:cs="Calibri"/>
          <w:b/>
          <w:bCs/>
          <w:color w:val="000000"/>
          <w:lang w:eastAsia="en-AU"/>
        </w:rPr>
        <w:t xml:space="preserve"> as of February 2021</w:t>
      </w:r>
    </w:p>
    <w:tbl>
      <w:tblPr>
        <w:tblStyle w:val="GridTable5Dark-Accent5"/>
        <w:tblW w:w="15594" w:type="dxa"/>
        <w:tblInd w:w="-714" w:type="dxa"/>
        <w:tblLayout w:type="fixed"/>
        <w:tblLook w:val="06A0" w:firstRow="1" w:lastRow="0" w:firstColumn="1" w:lastColumn="0" w:noHBand="1" w:noVBand="1"/>
        <w:tblCaption w:val="Table 2: Status of Implementing Agency (IA) projects supported by the PDMF: Projects supported by PDMF for the conduct of feasibility studies (FS) and transaction advisory (TA) services (bundled support) as of February 2021"/>
        <w:tblDescription w:val="Status of implemeting agency projects support by the PDMF categorised as: (1) ongoing conduct of FS; (2) FS completed but project discontinued by IA; (3) Submitted to NEDA-ICC for evaluation; (4) On-going evaluation by NEDA; (5) Not approved by NEDA-ICC; (6) Approved by NEDA ICC."/>
      </w:tblPr>
      <w:tblGrid>
        <w:gridCol w:w="2544"/>
        <w:gridCol w:w="1272"/>
        <w:gridCol w:w="1276"/>
        <w:gridCol w:w="1278"/>
        <w:gridCol w:w="1275"/>
        <w:gridCol w:w="1275"/>
        <w:gridCol w:w="1275"/>
        <w:gridCol w:w="1274"/>
        <w:gridCol w:w="1426"/>
        <w:gridCol w:w="1275"/>
        <w:gridCol w:w="1424"/>
      </w:tblGrid>
      <w:tr w:rsidR="0013085E" w:rsidRPr="00971AFD" w14:paraId="6E456018" w14:textId="77777777" w:rsidTr="00803E96">
        <w:trPr>
          <w:cnfStyle w:val="100000000000" w:firstRow="1" w:lastRow="0" w:firstColumn="0" w:lastColumn="0" w:oddVBand="0" w:evenVBand="0" w:oddHBand="0" w:evenHBand="0" w:firstRowFirstColumn="0" w:firstRowLastColumn="0" w:lastRowFirstColumn="0" w:lastRowLastColumn="0"/>
          <w:cantSplit/>
          <w:trHeight w:val="3670"/>
          <w:tblHeader/>
        </w:trPr>
        <w:tc>
          <w:tcPr>
            <w:cnfStyle w:val="001000000000" w:firstRow="0" w:lastRow="0" w:firstColumn="1" w:lastColumn="0" w:oddVBand="0" w:evenVBand="0" w:oddHBand="0" w:evenHBand="0" w:firstRowFirstColumn="0" w:firstRowLastColumn="0" w:lastRowFirstColumn="0" w:lastRowLastColumn="0"/>
            <w:tcW w:w="2544" w:type="dxa"/>
            <w:tcBorders>
              <w:bottom w:val="single" w:sz="4" w:space="0" w:color="2E74B5" w:themeColor="accent1" w:themeShade="BF"/>
            </w:tcBorders>
            <w:shd w:val="clear" w:color="auto" w:fill="9CC2E5" w:themeFill="accent1" w:themeFillTint="99"/>
            <w:hideMark/>
          </w:tcPr>
          <w:p w14:paraId="49D6BD53" w14:textId="77777777" w:rsidR="0013085E" w:rsidRPr="00971AFD" w:rsidRDefault="0013085E" w:rsidP="0013085E">
            <w:pPr>
              <w:jc w:val="center"/>
              <w:rPr>
                <w:rFonts w:ascii="Calibri" w:eastAsia="Times New Roman" w:hAnsi="Calibri" w:cs="Calibri"/>
                <w:b w:val="0"/>
                <w:bCs w:val="0"/>
                <w:color w:val="000000"/>
                <w:lang w:eastAsia="en-AU"/>
              </w:rPr>
            </w:pPr>
            <w:r w:rsidRPr="00971AFD">
              <w:rPr>
                <w:rFonts w:ascii="Calibri" w:eastAsia="Times New Roman" w:hAnsi="Calibri" w:cs="Calibri"/>
                <w:b w:val="0"/>
                <w:bCs w:val="0"/>
                <w:color w:val="000000"/>
                <w:lang w:eastAsia="en-AU"/>
              </w:rPr>
              <w:t xml:space="preserve">Implementing </w:t>
            </w:r>
            <w:r w:rsidRPr="00971AFD">
              <w:rPr>
                <w:rFonts w:ascii="Calibri" w:eastAsia="Times New Roman" w:hAnsi="Calibri" w:cs="Calibri"/>
                <w:b w:val="0"/>
                <w:bCs w:val="0"/>
                <w:color w:val="000000"/>
                <w:lang w:eastAsia="en-AU"/>
              </w:rPr>
              <w:br/>
              <w:t>agency (IA)</w:t>
            </w:r>
          </w:p>
        </w:tc>
        <w:tc>
          <w:tcPr>
            <w:tcW w:w="1272" w:type="dxa"/>
            <w:tcBorders>
              <w:bottom w:val="single" w:sz="4" w:space="0" w:color="2E74B5" w:themeColor="accent1" w:themeShade="BF"/>
            </w:tcBorders>
            <w:shd w:val="clear" w:color="auto" w:fill="9CC2E5" w:themeFill="accent1" w:themeFillTint="99"/>
            <w:hideMark/>
          </w:tcPr>
          <w:p w14:paraId="188C5861" w14:textId="670A74D5" w:rsidR="0013085E" w:rsidRPr="00971AFD"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AU"/>
              </w:rPr>
            </w:pPr>
            <w:r w:rsidRPr="00971AFD">
              <w:rPr>
                <w:rFonts w:ascii="Calibri" w:eastAsia="Times New Roman" w:hAnsi="Calibri" w:cs="Calibri"/>
                <w:b w:val="0"/>
                <w:bCs w:val="0"/>
                <w:color w:val="000000"/>
                <w:lang w:eastAsia="en-AU"/>
              </w:rPr>
              <w:t>No. of projects supported by PDMF for FS and TA</w:t>
            </w:r>
            <w:r w:rsidRPr="00971AFD">
              <w:rPr>
                <w:rFonts w:ascii="Calibri" w:eastAsia="Times New Roman" w:hAnsi="Calibri" w:cs="Calibri"/>
                <w:b w:val="0"/>
                <w:bCs w:val="0"/>
                <w:color w:val="000000"/>
                <w:lang w:eastAsia="en-AU"/>
              </w:rPr>
              <w:br/>
              <w:t>(</w:t>
            </w:r>
            <w:r w:rsidRPr="00971AFD">
              <w:rPr>
                <w:rFonts w:ascii="Calibri" w:eastAsia="Times New Roman" w:hAnsi="Calibri" w:cs="Calibri"/>
                <w:b w:val="0"/>
                <w:bCs w:val="0"/>
                <w:i/>
                <w:iCs/>
                <w:color w:val="000000"/>
                <w:lang w:eastAsia="en-AU"/>
              </w:rPr>
              <w:t>A)</w:t>
            </w:r>
            <w:r w:rsidRPr="00971AFD">
              <w:rPr>
                <w:rFonts w:ascii="Calibri" w:eastAsia="Times New Roman" w:hAnsi="Calibri" w:cs="Calibri"/>
                <w:b w:val="0"/>
                <w:bCs w:val="0"/>
                <w:color w:val="000000"/>
                <w:lang w:eastAsia="en-AU"/>
              </w:rPr>
              <w:t xml:space="preserve"> </w:t>
            </w:r>
            <w:r w:rsidRPr="00971AFD">
              <w:rPr>
                <w:rFonts w:ascii="Calibri" w:eastAsia="Times New Roman" w:hAnsi="Calibri" w:cs="Calibri"/>
                <w:b w:val="0"/>
                <w:bCs w:val="0"/>
                <w:color w:val="000000"/>
                <w:lang w:eastAsia="en-AU"/>
              </w:rPr>
              <w:br/>
              <w:t>(=</w:t>
            </w:r>
            <w:r w:rsidRPr="00971AFD">
              <w:rPr>
                <w:rFonts w:ascii="Calibri" w:eastAsia="Times New Roman" w:hAnsi="Calibri" w:cs="Calibri"/>
                <w:b w:val="0"/>
                <w:bCs w:val="0"/>
                <w:i/>
                <w:iCs/>
                <w:color w:val="000000"/>
                <w:lang w:eastAsia="en-AU"/>
              </w:rPr>
              <w:t>B+C+D</w:t>
            </w:r>
            <w:r w:rsidRPr="00971AFD">
              <w:rPr>
                <w:rFonts w:ascii="Calibri" w:eastAsia="Times New Roman" w:hAnsi="Calibri" w:cs="Calibri"/>
                <w:b w:val="0"/>
                <w:bCs w:val="0"/>
                <w:color w:val="000000"/>
                <w:lang w:eastAsia="en-AU"/>
              </w:rPr>
              <w:t>)</w:t>
            </w:r>
          </w:p>
        </w:tc>
        <w:tc>
          <w:tcPr>
            <w:tcW w:w="1276" w:type="dxa"/>
            <w:tcBorders>
              <w:bottom w:val="single" w:sz="4" w:space="0" w:color="2E74B5" w:themeColor="accent1" w:themeShade="BF"/>
            </w:tcBorders>
            <w:shd w:val="clear" w:color="auto" w:fill="9CC2E5" w:themeFill="accent1" w:themeFillTint="99"/>
          </w:tcPr>
          <w:p w14:paraId="5B274EDD" w14:textId="0451558B" w:rsidR="0013085E" w:rsidRPr="00D60095"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AU"/>
              </w:rPr>
            </w:pPr>
            <w:r w:rsidRPr="00D60095">
              <w:rPr>
                <w:rFonts w:ascii="Calibri" w:eastAsia="Times New Roman" w:hAnsi="Calibri" w:cs="Calibri"/>
                <w:b w:val="0"/>
                <w:bCs w:val="0"/>
                <w:i/>
                <w:iCs/>
                <w:color w:val="000000"/>
                <w:lang w:eastAsia="en-AU"/>
              </w:rPr>
              <w:t xml:space="preserve">Status Ongoing conduct of FS </w:t>
            </w:r>
            <w:r w:rsidRPr="00D60095">
              <w:rPr>
                <w:rFonts w:ascii="Calibri" w:eastAsia="Times New Roman" w:hAnsi="Calibri" w:cs="Calibri"/>
                <w:b w:val="0"/>
                <w:bCs w:val="0"/>
                <w:i/>
                <w:iCs/>
                <w:color w:val="000000"/>
                <w:lang w:eastAsia="en-AU"/>
              </w:rPr>
              <w:br/>
              <w:t>(B)</w:t>
            </w:r>
          </w:p>
        </w:tc>
        <w:tc>
          <w:tcPr>
            <w:tcW w:w="1278" w:type="dxa"/>
            <w:tcBorders>
              <w:bottom w:val="single" w:sz="4" w:space="0" w:color="2E74B5" w:themeColor="accent1" w:themeShade="BF"/>
            </w:tcBorders>
            <w:shd w:val="clear" w:color="auto" w:fill="9CC2E5" w:themeFill="accent1" w:themeFillTint="99"/>
          </w:tcPr>
          <w:p w14:paraId="3DBBCCCF" w14:textId="77777777" w:rsidR="0013085E" w:rsidRPr="00D60095"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color w:val="000000"/>
                <w:lang w:eastAsia="en-AU"/>
              </w:rPr>
            </w:pPr>
            <w:r w:rsidRPr="00D60095">
              <w:rPr>
                <w:rFonts w:ascii="Calibri" w:eastAsia="Times New Roman" w:hAnsi="Calibri" w:cs="Calibri"/>
                <w:b w:val="0"/>
                <w:bCs w:val="0"/>
                <w:i/>
                <w:iCs/>
                <w:color w:val="000000"/>
                <w:lang w:eastAsia="en-AU"/>
              </w:rPr>
              <w:t>Status</w:t>
            </w:r>
          </w:p>
          <w:p w14:paraId="0E095505" w14:textId="68AD06E0" w:rsidR="0013085E" w:rsidRPr="00D60095"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AU"/>
              </w:rPr>
            </w:pPr>
            <w:r w:rsidRPr="00D60095">
              <w:rPr>
                <w:rFonts w:ascii="Calibri" w:eastAsia="Times New Roman" w:hAnsi="Calibri" w:cs="Calibri"/>
                <w:b w:val="0"/>
                <w:bCs w:val="0"/>
                <w:i/>
                <w:iCs/>
                <w:color w:val="000000"/>
                <w:lang w:eastAsia="en-AU"/>
              </w:rPr>
              <w:t>FS completed but project discontinued by IA</w:t>
            </w:r>
            <w:r w:rsidRPr="00D60095">
              <w:rPr>
                <w:rFonts w:ascii="Calibri" w:eastAsia="Times New Roman" w:hAnsi="Calibri" w:cs="Calibri"/>
                <w:b w:val="0"/>
                <w:bCs w:val="0"/>
                <w:i/>
                <w:iCs/>
                <w:color w:val="000000"/>
                <w:lang w:eastAsia="en-AU"/>
              </w:rPr>
              <w:br/>
              <w:t>(C)</w:t>
            </w:r>
          </w:p>
        </w:tc>
        <w:tc>
          <w:tcPr>
            <w:tcW w:w="1275" w:type="dxa"/>
            <w:tcBorders>
              <w:bottom w:val="single" w:sz="4" w:space="0" w:color="2E74B5" w:themeColor="accent1" w:themeShade="BF"/>
            </w:tcBorders>
            <w:shd w:val="clear" w:color="auto" w:fill="9CC2E5" w:themeFill="accent1" w:themeFillTint="99"/>
          </w:tcPr>
          <w:p w14:paraId="619DF22B" w14:textId="77777777" w:rsidR="0013085E" w:rsidRPr="00D60095"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color w:val="000000"/>
                <w:lang w:eastAsia="en-AU"/>
              </w:rPr>
            </w:pPr>
            <w:r w:rsidRPr="00D60095">
              <w:rPr>
                <w:rFonts w:ascii="Calibri" w:eastAsia="Times New Roman" w:hAnsi="Calibri" w:cs="Calibri"/>
                <w:b w:val="0"/>
                <w:bCs w:val="0"/>
                <w:i/>
                <w:iCs/>
                <w:color w:val="000000"/>
                <w:lang w:eastAsia="en-AU"/>
              </w:rPr>
              <w:t>Status</w:t>
            </w:r>
          </w:p>
          <w:p w14:paraId="170F6767" w14:textId="03605934" w:rsidR="0013085E" w:rsidRPr="00D60095"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AU"/>
              </w:rPr>
            </w:pPr>
            <w:r w:rsidRPr="00D60095">
              <w:rPr>
                <w:rFonts w:ascii="Calibri" w:eastAsia="Times New Roman" w:hAnsi="Calibri" w:cs="Calibri"/>
                <w:b w:val="0"/>
                <w:bCs w:val="0"/>
                <w:i/>
                <w:iCs/>
                <w:color w:val="000000"/>
                <w:lang w:eastAsia="en-AU"/>
              </w:rPr>
              <w:t xml:space="preserve">Submitted to NEDA-ICC for evaluation </w:t>
            </w:r>
            <w:r w:rsidRPr="00D60095">
              <w:rPr>
                <w:rFonts w:ascii="Calibri" w:eastAsia="Times New Roman" w:hAnsi="Calibri" w:cs="Calibri"/>
                <w:b w:val="0"/>
                <w:bCs w:val="0"/>
                <w:i/>
                <w:iCs/>
                <w:color w:val="000000"/>
                <w:lang w:eastAsia="en-AU"/>
              </w:rPr>
              <w:br/>
              <w:t>(D)</w:t>
            </w:r>
          </w:p>
        </w:tc>
        <w:tc>
          <w:tcPr>
            <w:tcW w:w="1275" w:type="dxa"/>
            <w:tcBorders>
              <w:bottom w:val="single" w:sz="4" w:space="0" w:color="2E74B5" w:themeColor="accent1" w:themeShade="BF"/>
            </w:tcBorders>
            <w:shd w:val="clear" w:color="auto" w:fill="9CC2E5" w:themeFill="accent1" w:themeFillTint="99"/>
          </w:tcPr>
          <w:p w14:paraId="3C50A881" w14:textId="77777777" w:rsidR="0013085E" w:rsidRPr="00D60095"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color w:val="000000"/>
                <w:lang w:eastAsia="en-AU"/>
              </w:rPr>
            </w:pPr>
            <w:r w:rsidRPr="00D60095">
              <w:rPr>
                <w:rFonts w:ascii="Calibri" w:eastAsia="Times New Roman" w:hAnsi="Calibri" w:cs="Calibri"/>
                <w:b w:val="0"/>
                <w:bCs w:val="0"/>
                <w:i/>
                <w:iCs/>
                <w:color w:val="000000"/>
                <w:lang w:eastAsia="en-AU"/>
              </w:rPr>
              <w:t>Status at NEDA-ICC</w:t>
            </w:r>
          </w:p>
          <w:p w14:paraId="7D5D3F64" w14:textId="77777777" w:rsidR="0013085E" w:rsidRPr="00D60095"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color w:val="000000"/>
                <w:lang w:eastAsia="en-AU"/>
              </w:rPr>
            </w:pPr>
          </w:p>
          <w:p w14:paraId="44FE91F1" w14:textId="7D55DA0F" w:rsidR="0013085E" w:rsidRPr="00D60095"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AU"/>
              </w:rPr>
            </w:pPr>
            <w:r w:rsidRPr="00D60095">
              <w:rPr>
                <w:rFonts w:ascii="Calibri" w:eastAsia="Times New Roman" w:hAnsi="Calibri" w:cs="Calibri"/>
                <w:b w:val="0"/>
                <w:bCs w:val="0"/>
                <w:i/>
                <w:iCs/>
                <w:color w:val="000000"/>
                <w:lang w:eastAsia="en-AU"/>
              </w:rPr>
              <w:t>Ongoing evaluation (D-1)</w:t>
            </w:r>
          </w:p>
        </w:tc>
        <w:tc>
          <w:tcPr>
            <w:tcW w:w="1275" w:type="dxa"/>
            <w:tcBorders>
              <w:bottom w:val="single" w:sz="4" w:space="0" w:color="2E74B5" w:themeColor="accent1" w:themeShade="BF"/>
            </w:tcBorders>
            <w:shd w:val="clear" w:color="auto" w:fill="9CC2E5" w:themeFill="accent1" w:themeFillTint="99"/>
          </w:tcPr>
          <w:p w14:paraId="7A5BC69C" w14:textId="77777777" w:rsidR="0013085E" w:rsidRPr="00D60095"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color w:val="000000"/>
                <w:lang w:eastAsia="en-AU"/>
              </w:rPr>
            </w:pPr>
            <w:r w:rsidRPr="00D60095">
              <w:rPr>
                <w:rFonts w:ascii="Calibri" w:eastAsia="Times New Roman" w:hAnsi="Calibri" w:cs="Calibri"/>
                <w:b w:val="0"/>
                <w:bCs w:val="0"/>
                <w:i/>
                <w:iCs/>
                <w:color w:val="000000"/>
                <w:lang w:eastAsia="en-AU"/>
              </w:rPr>
              <w:t>Status at NEDA-ICC</w:t>
            </w:r>
          </w:p>
          <w:p w14:paraId="2DDF594A" w14:textId="77777777" w:rsidR="0013085E" w:rsidRPr="00D60095"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color w:val="000000"/>
                <w:lang w:eastAsia="en-AU"/>
              </w:rPr>
            </w:pPr>
          </w:p>
          <w:p w14:paraId="753194E0" w14:textId="6C714738" w:rsidR="0013085E" w:rsidRPr="00D60095"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AU"/>
              </w:rPr>
            </w:pPr>
            <w:r w:rsidRPr="00D60095">
              <w:rPr>
                <w:rFonts w:ascii="Calibri" w:eastAsia="Times New Roman" w:hAnsi="Calibri" w:cs="Calibri"/>
                <w:b w:val="0"/>
                <w:bCs w:val="0"/>
                <w:i/>
                <w:iCs/>
                <w:color w:val="000000"/>
                <w:lang w:eastAsia="en-AU"/>
              </w:rPr>
              <w:t>Not approved (D-2)</w:t>
            </w:r>
          </w:p>
        </w:tc>
        <w:tc>
          <w:tcPr>
            <w:tcW w:w="1274" w:type="dxa"/>
            <w:tcBorders>
              <w:bottom w:val="single" w:sz="4" w:space="0" w:color="2E74B5" w:themeColor="accent1" w:themeShade="BF"/>
            </w:tcBorders>
            <w:shd w:val="clear" w:color="auto" w:fill="9CC2E5" w:themeFill="accent1" w:themeFillTint="99"/>
          </w:tcPr>
          <w:p w14:paraId="41FEEDDD" w14:textId="77777777" w:rsidR="0013085E" w:rsidRPr="00D60095"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color w:val="000000"/>
                <w:lang w:eastAsia="en-AU"/>
              </w:rPr>
            </w:pPr>
            <w:r w:rsidRPr="00D60095">
              <w:rPr>
                <w:rFonts w:ascii="Calibri" w:eastAsia="Times New Roman" w:hAnsi="Calibri" w:cs="Calibri"/>
                <w:b w:val="0"/>
                <w:bCs w:val="0"/>
                <w:i/>
                <w:iCs/>
                <w:color w:val="000000"/>
                <w:lang w:eastAsia="en-AU"/>
              </w:rPr>
              <w:t>Status at NEDA-ICC</w:t>
            </w:r>
          </w:p>
          <w:p w14:paraId="6BF80309" w14:textId="77777777" w:rsidR="0013085E" w:rsidRPr="00D60095"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color w:val="000000"/>
                <w:lang w:eastAsia="en-AU"/>
              </w:rPr>
            </w:pPr>
          </w:p>
          <w:p w14:paraId="4E29F158" w14:textId="2499629D" w:rsidR="0013085E" w:rsidRPr="00D60095"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AU"/>
              </w:rPr>
            </w:pPr>
            <w:r w:rsidRPr="00D60095">
              <w:rPr>
                <w:rFonts w:ascii="Calibri" w:eastAsia="Times New Roman" w:hAnsi="Calibri" w:cs="Calibri"/>
                <w:b w:val="0"/>
                <w:bCs w:val="0"/>
                <w:i/>
                <w:iCs/>
                <w:color w:val="000000"/>
                <w:lang w:eastAsia="en-AU"/>
              </w:rPr>
              <w:t xml:space="preserve">Approved </w:t>
            </w:r>
            <w:r w:rsidRPr="00D60095">
              <w:rPr>
                <w:rFonts w:ascii="Calibri" w:eastAsia="Times New Roman" w:hAnsi="Calibri" w:cs="Calibri"/>
                <w:b w:val="0"/>
                <w:bCs w:val="0"/>
                <w:i/>
                <w:iCs/>
                <w:color w:val="000000"/>
                <w:lang w:eastAsia="en-AU"/>
              </w:rPr>
              <w:br/>
              <w:t>(D-3)</w:t>
            </w:r>
          </w:p>
        </w:tc>
        <w:tc>
          <w:tcPr>
            <w:tcW w:w="1426" w:type="dxa"/>
            <w:tcBorders>
              <w:bottom w:val="single" w:sz="4" w:space="0" w:color="2E74B5" w:themeColor="accent1" w:themeShade="BF"/>
            </w:tcBorders>
            <w:shd w:val="clear" w:color="auto" w:fill="9CC2E5" w:themeFill="accent1" w:themeFillTint="99"/>
            <w:hideMark/>
          </w:tcPr>
          <w:p w14:paraId="3A1C8ECB" w14:textId="3E1FD5E1" w:rsidR="0013085E" w:rsidRPr="00D60095"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No. of supports provided by PDMF only for TA and/or independent consultancy services</w:t>
            </w:r>
            <w:r w:rsidRPr="00D60095">
              <w:rPr>
                <w:rFonts w:ascii="Calibri" w:eastAsia="Times New Roman" w:hAnsi="Calibri" w:cs="Calibri"/>
                <w:color w:val="000000"/>
                <w:lang w:eastAsia="en-AU"/>
              </w:rPr>
              <w:br/>
            </w:r>
            <w:r w:rsidRPr="00D60095">
              <w:rPr>
                <w:rFonts w:ascii="Calibri" w:eastAsia="Times New Roman" w:hAnsi="Calibri" w:cs="Calibri"/>
                <w:i/>
                <w:iCs/>
                <w:color w:val="000000"/>
                <w:lang w:eastAsia="en-AU"/>
              </w:rPr>
              <w:t>(E)</w:t>
            </w:r>
          </w:p>
        </w:tc>
        <w:tc>
          <w:tcPr>
            <w:tcW w:w="1275" w:type="dxa"/>
            <w:tcBorders>
              <w:bottom w:val="single" w:sz="4" w:space="0" w:color="2E74B5" w:themeColor="accent1" w:themeShade="BF"/>
            </w:tcBorders>
            <w:shd w:val="clear" w:color="auto" w:fill="9CC2E5" w:themeFill="accent1" w:themeFillTint="99"/>
            <w:hideMark/>
          </w:tcPr>
          <w:p w14:paraId="749EC2B5" w14:textId="77777777" w:rsidR="0013085E" w:rsidRPr="00D60095"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 xml:space="preserve">Total no. of PDMF-supported projects </w:t>
            </w:r>
            <w:r w:rsidRPr="00D60095">
              <w:rPr>
                <w:rFonts w:ascii="Calibri" w:eastAsia="Times New Roman" w:hAnsi="Calibri" w:cs="Calibri"/>
                <w:color w:val="000000"/>
                <w:lang w:eastAsia="en-AU"/>
              </w:rPr>
              <w:br/>
            </w:r>
            <w:r w:rsidRPr="00D60095">
              <w:rPr>
                <w:rFonts w:ascii="Calibri" w:eastAsia="Times New Roman" w:hAnsi="Calibri" w:cs="Calibri"/>
                <w:i/>
                <w:iCs/>
                <w:color w:val="000000"/>
                <w:lang w:eastAsia="en-AU"/>
              </w:rPr>
              <w:t>(F)</w:t>
            </w:r>
            <w:r w:rsidRPr="00D60095">
              <w:rPr>
                <w:rFonts w:ascii="Calibri" w:eastAsia="Times New Roman" w:hAnsi="Calibri" w:cs="Calibri"/>
                <w:i/>
                <w:iCs/>
                <w:color w:val="000000"/>
                <w:lang w:eastAsia="en-AU"/>
              </w:rPr>
              <w:br/>
              <w:t>(=A+E)</w:t>
            </w:r>
          </w:p>
        </w:tc>
        <w:tc>
          <w:tcPr>
            <w:tcW w:w="1424" w:type="dxa"/>
            <w:tcBorders>
              <w:bottom w:val="single" w:sz="4" w:space="0" w:color="2E74B5" w:themeColor="accent1" w:themeShade="BF"/>
            </w:tcBorders>
            <w:shd w:val="clear" w:color="auto" w:fill="9CC2E5" w:themeFill="accent1" w:themeFillTint="99"/>
            <w:hideMark/>
          </w:tcPr>
          <w:p w14:paraId="09A0861B" w14:textId="55B165A2" w:rsidR="0013085E" w:rsidRPr="00D60095" w:rsidRDefault="0013085E" w:rsidP="001308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60095">
              <w:rPr>
                <w:rFonts w:ascii="Calibri" w:eastAsia="Times New Roman" w:hAnsi="Calibri" w:cs="Calibri"/>
                <w:color w:val="000000"/>
                <w:lang w:eastAsia="en-AU"/>
              </w:rPr>
              <w:t xml:space="preserve">No. of </w:t>
            </w:r>
            <w:bookmarkStart w:id="94" w:name="_Hlk66636212"/>
            <w:r w:rsidRPr="00D60095">
              <w:rPr>
                <w:rFonts w:ascii="Calibri" w:eastAsia="Times New Roman" w:hAnsi="Calibri" w:cs="Calibri"/>
                <w:color w:val="000000"/>
                <w:lang w:eastAsia="en-AU"/>
              </w:rPr>
              <w:t>awarded PPP projects supported by PDMF (</w:t>
            </w:r>
            <w:r w:rsidR="00680BA5" w:rsidRPr="00D60095">
              <w:rPr>
                <w:rFonts w:ascii="Calibri" w:eastAsia="Times New Roman" w:hAnsi="Calibri" w:cs="Calibri"/>
                <w:color w:val="000000"/>
                <w:lang w:eastAsia="en-AU"/>
              </w:rPr>
              <w:t>i.e.,</w:t>
            </w:r>
            <w:r w:rsidRPr="00D60095">
              <w:rPr>
                <w:rFonts w:ascii="Calibri" w:eastAsia="Times New Roman" w:hAnsi="Calibri" w:cs="Calibri"/>
                <w:color w:val="000000"/>
                <w:lang w:eastAsia="en-AU"/>
              </w:rPr>
              <w:t xml:space="preserve"> with signed contracts with private sector)</w:t>
            </w:r>
            <w:bookmarkEnd w:id="94"/>
            <w:r w:rsidRPr="00D60095">
              <w:rPr>
                <w:rFonts w:ascii="Calibri" w:eastAsia="Times New Roman" w:hAnsi="Calibri" w:cs="Calibri"/>
                <w:color w:val="000000"/>
                <w:lang w:eastAsia="en-AU"/>
              </w:rPr>
              <w:br/>
            </w:r>
            <w:r w:rsidRPr="00D60095">
              <w:rPr>
                <w:rFonts w:ascii="Calibri" w:eastAsia="Times New Roman" w:hAnsi="Calibri" w:cs="Calibri"/>
                <w:i/>
                <w:iCs/>
                <w:color w:val="000000"/>
                <w:lang w:eastAsia="en-AU"/>
              </w:rPr>
              <w:t>(G)</w:t>
            </w:r>
          </w:p>
        </w:tc>
      </w:tr>
      <w:tr w:rsidR="00A44EAE" w:rsidRPr="00971AFD" w14:paraId="251551A6" w14:textId="77777777" w:rsidTr="00803E96">
        <w:trPr>
          <w:trHeight w:val="528"/>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hideMark/>
          </w:tcPr>
          <w:p w14:paraId="343EB33A" w14:textId="4B1604E6" w:rsidR="00A44EAE" w:rsidRPr="00060786" w:rsidRDefault="00A44EAE" w:rsidP="00D60095">
            <w:pPr>
              <w:rPr>
                <w:rFonts w:ascii="Calibri" w:eastAsia="Times New Roman" w:hAnsi="Calibri" w:cs="Calibri"/>
                <w:color w:val="000000"/>
                <w:lang w:eastAsia="en-AU"/>
              </w:rPr>
            </w:pPr>
            <w:r w:rsidRPr="00060786">
              <w:rPr>
                <w:rFonts w:ascii="Calibri" w:eastAsia="Times New Roman" w:hAnsi="Calibri" w:cs="Calibri"/>
                <w:color w:val="000000"/>
                <w:lang w:eastAsia="en-AU"/>
              </w:rPr>
              <w:t>Department of Transportation - national</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646E8D90" w14:textId="172D9093" w:rsidR="00A44EAE" w:rsidRPr="00971AFD" w:rsidRDefault="00A44EAE" w:rsidP="00A44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20</w:t>
            </w:r>
          </w:p>
        </w:tc>
        <w:tc>
          <w:tcPr>
            <w:tcW w:w="127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0039B0D2" w14:textId="0A677F44" w:rsidR="00A44EAE" w:rsidRPr="00971AFD" w:rsidRDefault="00A44EAE" w:rsidP="00A44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40412428" w14:textId="3F89FAE4" w:rsidR="00A44EAE" w:rsidRPr="00971AFD" w:rsidRDefault="00A44EAE" w:rsidP="00A44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3</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1E14F165" w14:textId="2B6AD698" w:rsidR="00A44EAE" w:rsidRPr="00971AFD" w:rsidRDefault="00A44EAE" w:rsidP="00A44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17</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247D6FE8" w14:textId="3CB74FEC" w:rsidR="00A44EAE" w:rsidRPr="00971AFD" w:rsidRDefault="00A44EAE" w:rsidP="00A44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7B3AE44E" w14:textId="5F81EE3E" w:rsidR="00A44EAE" w:rsidRPr="00971AFD" w:rsidRDefault="00A44EAE" w:rsidP="00A44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1D557A0D" w14:textId="169DB4BD" w:rsidR="00A44EAE" w:rsidRPr="00971AFD" w:rsidRDefault="00A44EAE" w:rsidP="00A44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16</w:t>
            </w:r>
          </w:p>
        </w:tc>
        <w:tc>
          <w:tcPr>
            <w:tcW w:w="142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733805FB" w14:textId="2B2F86A9" w:rsidR="00A44EAE" w:rsidRPr="00971AFD" w:rsidRDefault="00A44EAE" w:rsidP="00A44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474A7667" w14:textId="1FFDD797" w:rsidR="00A44EAE" w:rsidRPr="00971AFD" w:rsidRDefault="00A44EAE" w:rsidP="00A44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20</w:t>
            </w:r>
          </w:p>
        </w:tc>
        <w:tc>
          <w:tcPr>
            <w:tcW w:w="142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0EAD2FF4" w14:textId="2C77C905" w:rsidR="00A44EAE" w:rsidRPr="00971AFD" w:rsidRDefault="00A44EAE" w:rsidP="00A44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4</w:t>
            </w:r>
          </w:p>
        </w:tc>
      </w:tr>
      <w:tr w:rsidR="0013085E" w:rsidRPr="00971AFD" w14:paraId="68B42866" w14:textId="77777777" w:rsidTr="00803E96">
        <w:trPr>
          <w:trHeight w:val="89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hideMark/>
          </w:tcPr>
          <w:p w14:paraId="2A969CEB" w14:textId="26C6D282" w:rsidR="0029472A" w:rsidRPr="00060786" w:rsidRDefault="0029472A" w:rsidP="00D60095">
            <w:pPr>
              <w:rPr>
                <w:rFonts w:ascii="Calibri" w:eastAsia="Times New Roman" w:hAnsi="Calibri" w:cs="Calibri"/>
                <w:color w:val="000000"/>
                <w:lang w:eastAsia="en-AU"/>
              </w:rPr>
            </w:pPr>
            <w:r w:rsidRPr="00060786">
              <w:rPr>
                <w:rFonts w:ascii="Calibri" w:eastAsia="Times New Roman" w:hAnsi="Calibri" w:cs="Calibri"/>
                <w:color w:val="000000"/>
                <w:lang w:eastAsia="en-AU"/>
              </w:rPr>
              <w:t>Department of Public Works and Highways - national</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6F0EA0CF" w14:textId="43561810"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3</w:t>
            </w:r>
          </w:p>
        </w:tc>
        <w:tc>
          <w:tcPr>
            <w:tcW w:w="127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1F3C234E" w14:textId="090A16F7"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1</w:t>
            </w:r>
          </w:p>
        </w:tc>
        <w:tc>
          <w:tcPr>
            <w:tcW w:w="12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612335C9" w14:textId="5271C42F" w:rsidR="0029472A" w:rsidRPr="0029472A"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1</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1ED340AE" w14:textId="5B738D3A" w:rsidR="0029472A" w:rsidRPr="0029472A"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1</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296512D4" w14:textId="00CEDBC6" w:rsidR="0029472A" w:rsidRPr="0029472A"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25900AA9" w14:textId="77093FEA" w:rsidR="0029472A" w:rsidRPr="0029472A"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1</w:t>
            </w:r>
          </w:p>
        </w:tc>
        <w:tc>
          <w:tcPr>
            <w:tcW w:w="12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21F5BF5A" w14:textId="0758D9CD" w:rsidR="0029472A" w:rsidRPr="0029472A"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0</w:t>
            </w:r>
          </w:p>
        </w:tc>
        <w:tc>
          <w:tcPr>
            <w:tcW w:w="142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6BBA9DE2" w14:textId="4C746C21"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3</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7147DE29" w14:textId="42DB3768" w:rsidR="0029472A" w:rsidRPr="00922BA2"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22BA2">
              <w:rPr>
                <w:rFonts w:ascii="Calibri" w:eastAsia="Times New Roman" w:hAnsi="Calibri" w:cs="Calibri"/>
                <w:color w:val="000000"/>
                <w:lang w:eastAsia="en-AU"/>
              </w:rPr>
              <w:t>6</w:t>
            </w:r>
          </w:p>
        </w:tc>
        <w:tc>
          <w:tcPr>
            <w:tcW w:w="142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6D22BCDC" w14:textId="090FA6E7" w:rsidR="0029472A" w:rsidRPr="00922BA2"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22BA2">
              <w:rPr>
                <w:rFonts w:ascii="Calibri" w:eastAsia="Times New Roman" w:hAnsi="Calibri" w:cs="Calibri"/>
                <w:color w:val="000000"/>
                <w:lang w:eastAsia="en-AU"/>
              </w:rPr>
              <w:t>2</w:t>
            </w:r>
          </w:p>
        </w:tc>
      </w:tr>
      <w:tr w:rsidR="0029472A" w:rsidRPr="00971AFD" w14:paraId="62ABA9B5" w14:textId="77777777" w:rsidTr="00803E96">
        <w:trPr>
          <w:trHeight w:val="29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0EFAA762" w14:textId="7D25DC8B" w:rsidR="0029472A" w:rsidRPr="00060786" w:rsidRDefault="0029472A" w:rsidP="00D60095">
            <w:pPr>
              <w:rPr>
                <w:rFonts w:ascii="Calibri" w:eastAsia="Times New Roman" w:hAnsi="Calibri" w:cs="Calibri"/>
                <w:color w:val="000000"/>
                <w:lang w:eastAsia="en-AU"/>
              </w:rPr>
            </w:pPr>
            <w:r w:rsidRPr="00060786">
              <w:rPr>
                <w:rFonts w:ascii="Calibri" w:eastAsia="Times New Roman" w:hAnsi="Calibri" w:cs="Calibri"/>
                <w:color w:val="000000"/>
                <w:lang w:eastAsia="en-AU"/>
              </w:rPr>
              <w:t>Metropolitan Waterworks and Sewerage System - national-GOCC</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40F42455" w14:textId="6E9A7B10"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3</w:t>
            </w:r>
          </w:p>
        </w:tc>
        <w:tc>
          <w:tcPr>
            <w:tcW w:w="127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7122A086" w14:textId="37700DBF"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875381A" w14:textId="60CC38D1"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23F62E5D" w14:textId="15ACA15D"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3</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365D755C" w14:textId="3197FACA" w:rsidR="0029472A" w:rsidRPr="0029472A"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3A6C2084" w14:textId="2E7CD520" w:rsidR="0029472A" w:rsidRPr="0029472A"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0</w:t>
            </w:r>
          </w:p>
        </w:tc>
        <w:tc>
          <w:tcPr>
            <w:tcW w:w="12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128367A" w14:textId="0608F9E1"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3</w:t>
            </w:r>
          </w:p>
        </w:tc>
        <w:tc>
          <w:tcPr>
            <w:tcW w:w="142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EBECDF2" w14:textId="18E1F5EA"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8EF9EC5" w14:textId="2FA3DDB0"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3</w:t>
            </w:r>
          </w:p>
        </w:tc>
        <w:tc>
          <w:tcPr>
            <w:tcW w:w="142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7BAACDF2" w14:textId="3C7C6DF2"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1</w:t>
            </w:r>
          </w:p>
        </w:tc>
      </w:tr>
      <w:tr w:rsidR="0029472A" w:rsidRPr="00971AFD" w14:paraId="582A5B43" w14:textId="77777777" w:rsidTr="00803E96">
        <w:trPr>
          <w:trHeight w:val="29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6C7117CD" w14:textId="7E043BA5" w:rsidR="0029472A" w:rsidRPr="00060786" w:rsidRDefault="0029472A" w:rsidP="00D60095">
            <w:pPr>
              <w:rPr>
                <w:rFonts w:ascii="Calibri" w:eastAsia="Times New Roman" w:hAnsi="Calibri" w:cs="Calibri"/>
                <w:color w:val="000000"/>
                <w:lang w:eastAsia="en-AU"/>
              </w:rPr>
            </w:pPr>
            <w:r w:rsidRPr="00060786">
              <w:rPr>
                <w:rFonts w:ascii="Calibri" w:eastAsia="Times New Roman" w:hAnsi="Calibri" w:cs="Calibri"/>
                <w:color w:val="000000"/>
                <w:lang w:eastAsia="en-AU"/>
              </w:rPr>
              <w:t>Bases Conversion and Development Authority - national-GOCC</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49AB0763" w14:textId="03712DB8"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41473ACE" w14:textId="27F39A3A"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4A7C282" w14:textId="47706741"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12DDCE9E" w14:textId="3E360DB1"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24C519F" w14:textId="3AB81A6A"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24E432E1" w14:textId="43DA298D"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180ADB7" w14:textId="2378E648"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42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2095265D" w14:textId="70272CBF"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2</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14ED924F" w14:textId="29EC9E5D"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3</w:t>
            </w:r>
          </w:p>
        </w:tc>
        <w:tc>
          <w:tcPr>
            <w:tcW w:w="142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79128FFA" w14:textId="75841CBD"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2</w:t>
            </w:r>
          </w:p>
        </w:tc>
      </w:tr>
      <w:tr w:rsidR="0029472A" w:rsidRPr="00971AFD" w14:paraId="523D0E62" w14:textId="77777777" w:rsidTr="00803E96">
        <w:trPr>
          <w:trHeight w:val="29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48AB2743" w14:textId="24864386" w:rsidR="0029472A" w:rsidRPr="00060786" w:rsidRDefault="0029472A" w:rsidP="00D60095">
            <w:pPr>
              <w:rPr>
                <w:rFonts w:ascii="Calibri" w:eastAsia="Times New Roman" w:hAnsi="Calibri" w:cs="Calibri"/>
                <w:color w:val="000000"/>
                <w:lang w:eastAsia="en-AU"/>
              </w:rPr>
            </w:pPr>
            <w:r w:rsidRPr="00060786">
              <w:rPr>
                <w:rFonts w:ascii="Calibri" w:eastAsia="Times New Roman" w:hAnsi="Calibri" w:cs="Calibri"/>
                <w:color w:val="000000"/>
                <w:lang w:eastAsia="en-AU"/>
              </w:rPr>
              <w:t>Department of Education - national</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90E092F" w14:textId="4DD9285F"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A8333BA" w14:textId="1EEEA34C"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766456BC" w14:textId="43FB6BD5"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02606748" w14:textId="1F64A053"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4766E7BC" w14:textId="726750BD"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1D4E214" w14:textId="00915288"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EF1EE62" w14:textId="65B1FB11"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42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2530CA1" w14:textId="77F9A618"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2</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7184D09" w14:textId="3F65EEA4"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2</w:t>
            </w:r>
          </w:p>
        </w:tc>
        <w:tc>
          <w:tcPr>
            <w:tcW w:w="142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A503639" w14:textId="4480D03C" w:rsidR="0029472A" w:rsidRPr="00971AFD"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2</w:t>
            </w:r>
          </w:p>
        </w:tc>
      </w:tr>
      <w:tr w:rsidR="0013085E" w:rsidRPr="00971AFD" w14:paraId="249C2AE5" w14:textId="77777777" w:rsidTr="00803E96">
        <w:trPr>
          <w:trHeight w:val="29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49A5C7FB" w14:textId="5389A092" w:rsidR="0029472A" w:rsidRPr="00060786" w:rsidRDefault="0029472A" w:rsidP="00D60095">
            <w:pPr>
              <w:rPr>
                <w:rFonts w:ascii="Calibri" w:eastAsia="Times New Roman" w:hAnsi="Calibri" w:cs="Calibri"/>
                <w:color w:val="000000"/>
                <w:lang w:eastAsia="en-AU"/>
              </w:rPr>
            </w:pPr>
            <w:r w:rsidRPr="00060786">
              <w:rPr>
                <w:rFonts w:ascii="Calibri" w:eastAsia="Times New Roman" w:hAnsi="Calibri" w:cs="Calibri"/>
                <w:color w:val="000000"/>
                <w:lang w:eastAsia="en-AU"/>
              </w:rPr>
              <w:t>Philippine Statistics Authority - national</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77F5B6EE" w14:textId="61E1F421" w:rsidR="0029472A"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2877C4FE" w14:textId="345F6FD4" w:rsidR="0029472A"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15CD19EB" w14:textId="4C51E9B0" w:rsidR="0029472A"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78681772" w14:textId="7D7EDE53" w:rsidR="0029472A"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4C5870C4" w14:textId="07240ABF" w:rsidR="0029472A"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77EAEEE2" w14:textId="0CBCE6C8" w:rsidR="0029472A"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0ADB5296" w14:textId="45EE2C45" w:rsidR="0029472A"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42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1AFBE8FC" w14:textId="5D2533F2" w:rsidR="0029472A"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4D25D0A1" w14:textId="7746C5CB" w:rsidR="0029472A"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42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3EC19C76" w14:textId="711EF8C0" w:rsidR="0029472A" w:rsidRDefault="0029472A" w:rsidP="002947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r>
      <w:tr w:rsidR="0013085E" w:rsidRPr="00971AFD" w14:paraId="1D05C272" w14:textId="77777777" w:rsidTr="00803E96">
        <w:trPr>
          <w:trHeight w:val="29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0886BFE2" w14:textId="5A3A30B0" w:rsidR="0013085E" w:rsidRPr="00803E96" w:rsidRDefault="0013085E" w:rsidP="00D60095">
            <w:pPr>
              <w:rPr>
                <w:rFonts w:ascii="Calibri" w:eastAsia="Times New Roman" w:hAnsi="Calibri" w:cs="Calibri"/>
                <w:color w:val="000000"/>
                <w:lang w:eastAsia="en-AU"/>
              </w:rPr>
            </w:pPr>
            <w:r w:rsidRPr="00803E96">
              <w:rPr>
                <w:rFonts w:ascii="Calibri" w:eastAsia="Times New Roman" w:hAnsi="Calibri" w:cs="Calibri"/>
                <w:color w:val="000000"/>
                <w:lang w:eastAsia="en-AU"/>
              </w:rPr>
              <w:lastRenderedPageBreak/>
              <w:t>Department of Health - national</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347C00F1" w14:textId="056AB223"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143CEE1A" w14:textId="69408A95"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0087190A" w14:textId="6C1153DD"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9D853F2" w14:textId="6FCB280A"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B195769" w14:textId="5FCBF10E"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763B3D0B" w14:textId="2DEB95CE"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9A1D065" w14:textId="41DED302"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42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2FC4A735" w14:textId="1C51BF08"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264F610A" w14:textId="071A5E71"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42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4E4A8CBB" w14:textId="19A5C1EF"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r>
      <w:tr w:rsidR="0013085E" w:rsidRPr="00971AFD" w14:paraId="1A8DEE3D" w14:textId="77777777" w:rsidTr="00803E96">
        <w:trPr>
          <w:trHeight w:val="29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04C4906B" w14:textId="67DBAD14" w:rsidR="0013085E" w:rsidRPr="00803E96" w:rsidRDefault="0013085E" w:rsidP="00D60095">
            <w:pPr>
              <w:rPr>
                <w:rFonts w:ascii="Calibri" w:eastAsia="Times New Roman" w:hAnsi="Calibri" w:cs="Calibri"/>
                <w:color w:val="000000"/>
                <w:lang w:eastAsia="en-AU"/>
              </w:rPr>
            </w:pPr>
            <w:r w:rsidRPr="00803E96">
              <w:rPr>
                <w:rFonts w:ascii="Calibri" w:eastAsia="Times New Roman" w:hAnsi="Calibri" w:cs="Calibri"/>
                <w:color w:val="000000"/>
                <w:lang w:eastAsia="en-AU"/>
              </w:rPr>
              <w:t>Department of Agriculture - national</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03E50BC0" w14:textId="718BC2A9"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0500850B" w14:textId="19B7CAE7"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7FFCA4A0" w14:textId="3AEFBCFC"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1A447FB8" w14:textId="1A31EAD0"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0E47768" w14:textId="0809EA2F"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7C5A825" w14:textId="7F69BE86"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24D08BB4" w14:textId="16BF1664"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42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F8C4052" w14:textId="3BCAA99C"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728C7203" w14:textId="68D990BF"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42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10FED068" w14:textId="7D92EFBC"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r>
      <w:tr w:rsidR="0013085E" w:rsidRPr="00971AFD" w14:paraId="4FABF1F1" w14:textId="77777777" w:rsidTr="00803E96">
        <w:trPr>
          <w:trHeight w:val="29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1F6BC1E1" w14:textId="13CF9EF4" w:rsidR="0013085E" w:rsidRPr="00803E96" w:rsidRDefault="0013085E" w:rsidP="00D60095">
            <w:pPr>
              <w:rPr>
                <w:rFonts w:ascii="Calibri" w:eastAsia="Times New Roman" w:hAnsi="Calibri" w:cs="Calibri"/>
                <w:color w:val="000000"/>
                <w:lang w:eastAsia="en-AU"/>
              </w:rPr>
            </w:pPr>
            <w:r w:rsidRPr="00803E96">
              <w:rPr>
                <w:rFonts w:ascii="Calibri" w:eastAsia="Times New Roman" w:hAnsi="Calibri" w:cs="Calibri"/>
                <w:color w:val="000000"/>
                <w:lang w:eastAsia="en-AU"/>
              </w:rPr>
              <w:t>Department of Justice - national</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03F9921C" w14:textId="1F11A16D"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1866E696" w14:textId="5E92A6AA"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3EA8B4A0" w14:textId="3B10C364"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9263770" w14:textId="0D24A1EE"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7A29B14E" w14:textId="5164EFB1"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2C83F393" w14:textId="284C370A"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D241A27" w14:textId="0EE83707"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42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4D0C3C82" w14:textId="7D93CA73" w:rsidR="0013085E" w:rsidRPr="00971AFD" w:rsidRDefault="0013085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97A281B" w14:textId="198B377C" w:rsidR="0013085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42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0E618EB2" w14:textId="0CDC4360" w:rsidR="0013085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r>
      <w:tr w:rsidR="00A85D2E" w:rsidRPr="00971AFD" w14:paraId="0E15E41C" w14:textId="77777777" w:rsidTr="00803E96">
        <w:trPr>
          <w:trHeight w:val="29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63F81B71" w14:textId="2638A09D" w:rsidR="00A85D2E" w:rsidRPr="00803E96" w:rsidRDefault="00A85D2E" w:rsidP="00D60095">
            <w:pPr>
              <w:rPr>
                <w:rFonts w:ascii="Calibri" w:eastAsia="Times New Roman" w:hAnsi="Calibri" w:cs="Calibri"/>
                <w:color w:val="000000"/>
                <w:lang w:eastAsia="en-AU"/>
              </w:rPr>
            </w:pPr>
            <w:r w:rsidRPr="00803E96">
              <w:rPr>
                <w:rFonts w:ascii="Calibri" w:eastAsia="Times New Roman" w:hAnsi="Calibri" w:cs="Calibri"/>
                <w:color w:val="000000"/>
                <w:lang w:eastAsia="en-AU"/>
              </w:rPr>
              <w:t>Philippine National Oil Company - national-GOCC</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4041B5B6" w14:textId="65767B1A"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33E4E408" w14:textId="0D5D8D02"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F0CC35F" w14:textId="58F7432B"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7B003C1" w14:textId="20D8A05D"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168CE0DA" w14:textId="318CDE29"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359AC797" w14:textId="0433A496"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0DE7AEC5" w14:textId="4C3DD23A"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42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0C2876EA" w14:textId="7AB6DCB3"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07669D18" w14:textId="543DB2DE"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42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06A54A09" w14:textId="5E03C198"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r>
      <w:tr w:rsidR="00A85D2E" w:rsidRPr="00971AFD" w14:paraId="0B89B99C" w14:textId="77777777" w:rsidTr="00803E96">
        <w:trPr>
          <w:trHeight w:val="29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4F13FF85" w14:textId="6780D685" w:rsidR="00A85D2E" w:rsidRPr="00803E96" w:rsidRDefault="00A85D2E" w:rsidP="00D60095">
            <w:pPr>
              <w:rPr>
                <w:rFonts w:ascii="Calibri" w:eastAsia="Times New Roman" w:hAnsi="Calibri" w:cs="Calibri"/>
                <w:color w:val="000000"/>
                <w:lang w:eastAsia="en-AU"/>
              </w:rPr>
            </w:pPr>
            <w:r w:rsidRPr="00803E96">
              <w:rPr>
                <w:rFonts w:ascii="Calibri" w:eastAsia="Times New Roman" w:hAnsi="Calibri" w:cs="Calibri"/>
                <w:color w:val="000000"/>
                <w:lang w:eastAsia="en-AU"/>
              </w:rPr>
              <w:t>Philippine Ports Authority - national-GOCC</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4D3E6F93" w14:textId="54B2906B"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F4B4792" w14:textId="615B4C7C"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36059ED5" w14:textId="0692154E"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10AB0F59" w14:textId="2D480629"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0D788521" w14:textId="3F212EE8"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397F484" w14:textId="77115637"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78C4843" w14:textId="6F25774F"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42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3BBD2A27" w14:textId="0B5F114E"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2</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306DEA7" w14:textId="59279DB3"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2</w:t>
            </w:r>
          </w:p>
        </w:tc>
        <w:tc>
          <w:tcPr>
            <w:tcW w:w="142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19988742" w14:textId="5FD9B6FD"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r>
      <w:tr w:rsidR="00A85D2E" w:rsidRPr="00971AFD" w14:paraId="2522EC9D" w14:textId="77777777" w:rsidTr="00803E96">
        <w:trPr>
          <w:trHeight w:val="29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5AEDB6FC" w14:textId="36CC2EF8" w:rsidR="00A85D2E" w:rsidRPr="00803E96" w:rsidRDefault="00A85D2E" w:rsidP="00D60095">
            <w:pPr>
              <w:rPr>
                <w:rFonts w:ascii="Calibri" w:eastAsia="Times New Roman" w:hAnsi="Calibri" w:cs="Calibri"/>
                <w:color w:val="000000"/>
                <w:lang w:eastAsia="en-AU"/>
              </w:rPr>
            </w:pPr>
            <w:r w:rsidRPr="00803E96">
              <w:rPr>
                <w:rFonts w:ascii="Calibri" w:eastAsia="Times New Roman" w:hAnsi="Calibri" w:cs="Calibri"/>
                <w:color w:val="000000"/>
                <w:lang w:eastAsia="en-AU"/>
              </w:rPr>
              <w:t xml:space="preserve">University of the Philippines (UP) </w:t>
            </w:r>
            <w:r w:rsidRPr="00803E96">
              <w:rPr>
                <w:rFonts w:ascii="Calibri" w:eastAsia="Times New Roman" w:hAnsi="Calibri" w:cs="Calibri"/>
                <w:color w:val="000000"/>
                <w:lang w:eastAsia="en-AU"/>
              </w:rPr>
              <w:br/>
              <w:t>- national-SUC</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C91CE91" w14:textId="5232A28E"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2</w:t>
            </w:r>
          </w:p>
        </w:tc>
        <w:tc>
          <w:tcPr>
            <w:tcW w:w="127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30AE7588" w14:textId="7B92FFD8"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2FDFA8C4" w14:textId="516DEEA3"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325A302F" w14:textId="0168D616"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48F751C4" w14:textId="2DE9A890"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308AC1C" w14:textId="77F47A58"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0EBF9B32" w14:textId="79068C19"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42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7B18BA7" w14:textId="0B398290"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2147723E" w14:textId="38527BF2"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2</w:t>
            </w:r>
          </w:p>
        </w:tc>
        <w:tc>
          <w:tcPr>
            <w:tcW w:w="142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4CF66F91" w14:textId="4F69BE24"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r>
      <w:tr w:rsidR="00A85D2E" w:rsidRPr="00971AFD" w14:paraId="209C475F" w14:textId="77777777" w:rsidTr="00803E96">
        <w:trPr>
          <w:trHeight w:val="29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67E041F6" w14:textId="11829D21" w:rsidR="00A85D2E" w:rsidRPr="00803E96" w:rsidRDefault="00A85D2E" w:rsidP="00D60095">
            <w:pPr>
              <w:rPr>
                <w:rFonts w:ascii="Calibri" w:eastAsia="Times New Roman" w:hAnsi="Calibri" w:cs="Calibri"/>
                <w:color w:val="000000"/>
                <w:lang w:eastAsia="en-AU"/>
              </w:rPr>
            </w:pPr>
            <w:r w:rsidRPr="00803E96">
              <w:rPr>
                <w:rFonts w:ascii="Calibri" w:eastAsia="Times New Roman" w:hAnsi="Calibri" w:cs="Calibri"/>
                <w:color w:val="000000"/>
                <w:lang w:eastAsia="en-AU"/>
              </w:rPr>
              <w:t>Zamboanga City Special Economic Zone Authority - local-GOCC</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214F5E66" w14:textId="06240444"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7CE53556" w14:textId="2EC45C3A"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003C0C9F" w14:textId="3E12E766"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1ABCE44A" w14:textId="76441515"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B8EAB06" w14:textId="2CE9CF73"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0B43D9A1" w14:textId="20C83C55"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45009DCD" w14:textId="3CBF3C48"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42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43B290AC" w14:textId="0F7860DD"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3464F01A" w14:textId="5539EB7F"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42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1F5BD237" w14:textId="2A0C4A91"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r>
      <w:tr w:rsidR="00A85D2E" w:rsidRPr="00971AFD" w14:paraId="77CC06DF" w14:textId="77777777" w:rsidTr="00803E96">
        <w:trPr>
          <w:trHeight w:val="29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004D33CA" w14:textId="6DD96715" w:rsidR="00A85D2E" w:rsidRPr="00803E96" w:rsidRDefault="00A85D2E" w:rsidP="00D60095">
            <w:pPr>
              <w:rPr>
                <w:rFonts w:ascii="Calibri" w:eastAsia="Times New Roman" w:hAnsi="Calibri" w:cs="Calibri"/>
                <w:color w:val="000000"/>
                <w:lang w:eastAsia="en-AU"/>
              </w:rPr>
            </w:pPr>
            <w:r w:rsidRPr="00803E96">
              <w:rPr>
                <w:rFonts w:ascii="Calibri" w:eastAsia="Times New Roman" w:hAnsi="Calibri" w:cs="Calibri"/>
                <w:color w:val="000000"/>
                <w:lang w:eastAsia="en-AU"/>
              </w:rPr>
              <w:lastRenderedPageBreak/>
              <w:t xml:space="preserve">Local Government of Ormoc City </w:t>
            </w:r>
            <w:r w:rsidRPr="00803E96">
              <w:rPr>
                <w:rFonts w:ascii="Calibri" w:eastAsia="Times New Roman" w:hAnsi="Calibri" w:cs="Calibri"/>
                <w:color w:val="000000"/>
                <w:lang w:eastAsia="en-AU"/>
              </w:rPr>
              <w:br/>
              <w:t>- local-LGU</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2CC8876E" w14:textId="63FC5A9F"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24003F89" w14:textId="2B3D5CBB"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389231F4" w14:textId="6C1B3C43"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B93268B" w14:textId="6BE3B75F"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373A9895" w14:textId="5C14F9B9"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DFC7028" w14:textId="2BBD23C5"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38679B2E" w14:textId="1212162F"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42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79B8F5B8" w14:textId="5AE9C5D7"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47B79505" w14:textId="5557AEDB"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42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8DCC059" w14:textId="1FDBFB06"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r>
      <w:tr w:rsidR="00A85D2E" w:rsidRPr="00971AFD" w14:paraId="1979CF81" w14:textId="77777777" w:rsidTr="00803E96">
        <w:trPr>
          <w:trHeight w:val="29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3F530E40" w14:textId="2D6B3D86" w:rsidR="00A85D2E" w:rsidRPr="00803E96" w:rsidRDefault="00A85D2E" w:rsidP="00D60095">
            <w:pPr>
              <w:rPr>
                <w:rFonts w:ascii="Calibri" w:eastAsia="Times New Roman" w:hAnsi="Calibri" w:cs="Calibri"/>
                <w:color w:val="000000"/>
                <w:lang w:eastAsia="en-AU"/>
              </w:rPr>
            </w:pPr>
            <w:r w:rsidRPr="00803E96">
              <w:rPr>
                <w:rFonts w:ascii="Calibri" w:eastAsia="Times New Roman" w:hAnsi="Calibri" w:cs="Calibri"/>
                <w:color w:val="000000"/>
                <w:lang w:eastAsia="en-AU"/>
              </w:rPr>
              <w:t>Bislig City Water District - local-WD</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7056854A" w14:textId="2763EA70"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42445222" w14:textId="3F25A008"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2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520FABB5" w14:textId="2179287A"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3E3B11ED" w14:textId="4012946E"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7B2B7C66" w14:textId="23D51E13"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4E5043F3" w14:textId="41EF77C6"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784B9485" w14:textId="1AD2BB9A"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42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068DAAF4" w14:textId="2173C02A"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03E41734" w14:textId="709FCE17"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42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tcPr>
          <w:p w14:paraId="605AE115" w14:textId="3DB24975" w:rsidR="00A85D2E" w:rsidRPr="00971AFD" w:rsidRDefault="00A85D2E"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r>
      <w:tr w:rsidR="0013085E" w:rsidRPr="00971AFD" w14:paraId="32BF554A" w14:textId="77777777" w:rsidTr="00803E96">
        <w:trPr>
          <w:trHeight w:val="29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5DCD45DA" w14:textId="77777777" w:rsidR="00971AFD" w:rsidRPr="00D60095" w:rsidRDefault="00971AFD" w:rsidP="00D60095">
            <w:pPr>
              <w:jc w:val="right"/>
              <w:rPr>
                <w:rFonts w:ascii="Calibri" w:eastAsia="Times New Roman" w:hAnsi="Calibri" w:cs="Calibri"/>
                <w:color w:val="000000"/>
                <w:lang w:eastAsia="en-AU"/>
              </w:rPr>
            </w:pPr>
            <w:r w:rsidRPr="00D60095">
              <w:rPr>
                <w:rFonts w:ascii="Calibri" w:eastAsia="Times New Roman" w:hAnsi="Calibri" w:cs="Calibri"/>
                <w:color w:val="000000"/>
                <w:lang w:eastAsia="en-AU"/>
              </w:rPr>
              <w:t>TOTAL</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26FDA03A" w14:textId="77777777" w:rsidR="00971AFD" w:rsidRPr="00971AFD" w:rsidRDefault="00971AFD"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sidRPr="00971AFD">
              <w:rPr>
                <w:rFonts w:ascii="Calibri" w:eastAsia="Times New Roman" w:hAnsi="Calibri" w:cs="Calibri"/>
                <w:b/>
                <w:bCs/>
                <w:color w:val="000000"/>
                <w:lang w:eastAsia="en-AU"/>
              </w:rPr>
              <w:t>36</w:t>
            </w:r>
          </w:p>
        </w:tc>
        <w:tc>
          <w:tcPr>
            <w:tcW w:w="127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6AF8975A" w14:textId="77777777" w:rsidR="00971AFD" w:rsidRPr="00971AFD" w:rsidRDefault="00971AFD"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sidRPr="00971AFD">
              <w:rPr>
                <w:rFonts w:ascii="Calibri" w:eastAsia="Times New Roman" w:hAnsi="Calibri" w:cs="Calibri"/>
                <w:b/>
                <w:bCs/>
                <w:color w:val="000000"/>
                <w:lang w:eastAsia="en-AU"/>
              </w:rPr>
              <w:t>4</w:t>
            </w:r>
          </w:p>
        </w:tc>
        <w:tc>
          <w:tcPr>
            <w:tcW w:w="12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5DD34012" w14:textId="77777777" w:rsidR="00971AFD" w:rsidRPr="00971AFD" w:rsidRDefault="00971AFD"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sidRPr="00971AFD">
              <w:rPr>
                <w:rFonts w:ascii="Calibri" w:eastAsia="Times New Roman" w:hAnsi="Calibri" w:cs="Calibri"/>
                <w:b/>
                <w:bCs/>
                <w:color w:val="000000"/>
                <w:lang w:eastAsia="en-AU"/>
              </w:rPr>
              <w:t>6</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0C4DCD6E" w14:textId="77777777" w:rsidR="00971AFD" w:rsidRPr="00971AFD" w:rsidRDefault="00971AFD"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sidRPr="00971AFD">
              <w:rPr>
                <w:rFonts w:ascii="Calibri" w:eastAsia="Times New Roman" w:hAnsi="Calibri" w:cs="Calibri"/>
                <w:b/>
                <w:bCs/>
                <w:color w:val="000000"/>
                <w:lang w:eastAsia="en-AU"/>
              </w:rPr>
              <w:t>26</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1FCEB51A" w14:textId="77777777" w:rsidR="00971AFD" w:rsidRPr="00971AFD" w:rsidRDefault="00971AFD"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sidRPr="00971AFD">
              <w:rPr>
                <w:rFonts w:ascii="Calibri" w:eastAsia="Times New Roman" w:hAnsi="Calibri" w:cs="Calibri"/>
                <w:b/>
                <w:bCs/>
                <w:color w:val="000000"/>
                <w:lang w:eastAsia="en-AU"/>
              </w:rPr>
              <w:t>2</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58066C81" w14:textId="77777777" w:rsidR="00971AFD" w:rsidRPr="00971AFD" w:rsidRDefault="00971AFD"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sidRPr="00971AFD">
              <w:rPr>
                <w:rFonts w:ascii="Calibri" w:eastAsia="Times New Roman" w:hAnsi="Calibri" w:cs="Calibri"/>
                <w:b/>
                <w:bCs/>
                <w:color w:val="000000"/>
                <w:lang w:eastAsia="en-AU"/>
              </w:rPr>
              <w:t>3</w:t>
            </w:r>
          </w:p>
        </w:tc>
        <w:tc>
          <w:tcPr>
            <w:tcW w:w="12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097D6456" w14:textId="77777777" w:rsidR="00971AFD" w:rsidRPr="00971AFD" w:rsidRDefault="00971AFD"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sidRPr="00971AFD">
              <w:rPr>
                <w:rFonts w:ascii="Calibri" w:eastAsia="Times New Roman" w:hAnsi="Calibri" w:cs="Calibri"/>
                <w:b/>
                <w:bCs/>
                <w:color w:val="000000"/>
                <w:lang w:eastAsia="en-AU"/>
              </w:rPr>
              <w:t>21</w:t>
            </w:r>
          </w:p>
        </w:tc>
        <w:tc>
          <w:tcPr>
            <w:tcW w:w="142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2A7EF80F" w14:textId="77777777" w:rsidR="00971AFD" w:rsidRPr="00971AFD" w:rsidRDefault="00971AFD"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sidRPr="00971AFD">
              <w:rPr>
                <w:rFonts w:ascii="Calibri" w:eastAsia="Times New Roman" w:hAnsi="Calibri" w:cs="Calibri"/>
                <w:b/>
                <w:bCs/>
                <w:color w:val="000000"/>
                <w:lang w:eastAsia="en-AU"/>
              </w:rPr>
              <w:t>10</w:t>
            </w:r>
          </w:p>
        </w:tc>
        <w:tc>
          <w:tcPr>
            <w:tcW w:w="127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63FF0F7E" w14:textId="77777777" w:rsidR="00971AFD" w:rsidRPr="00971AFD" w:rsidRDefault="00971AFD"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sidRPr="00971AFD">
              <w:rPr>
                <w:rFonts w:ascii="Calibri" w:eastAsia="Times New Roman" w:hAnsi="Calibri" w:cs="Calibri"/>
                <w:b/>
                <w:bCs/>
                <w:color w:val="000000"/>
                <w:lang w:eastAsia="en-AU"/>
              </w:rPr>
              <w:t>46</w:t>
            </w:r>
          </w:p>
        </w:tc>
        <w:tc>
          <w:tcPr>
            <w:tcW w:w="142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hideMark/>
          </w:tcPr>
          <w:p w14:paraId="4B024FE1" w14:textId="77777777" w:rsidR="00971AFD" w:rsidRPr="00971AFD" w:rsidRDefault="00971AFD" w:rsidP="00A85D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sidRPr="00971AFD">
              <w:rPr>
                <w:rFonts w:ascii="Calibri" w:eastAsia="Times New Roman" w:hAnsi="Calibri" w:cs="Calibri"/>
                <w:b/>
                <w:bCs/>
                <w:color w:val="000000"/>
                <w:lang w:eastAsia="en-AU"/>
              </w:rPr>
              <w:t>13</w:t>
            </w:r>
          </w:p>
        </w:tc>
      </w:tr>
    </w:tbl>
    <w:p w14:paraId="7DDB60E2" w14:textId="77777777" w:rsidR="00971AFD" w:rsidRDefault="00971AFD" w:rsidP="00021D43">
      <w:pPr>
        <w:spacing w:line="240" w:lineRule="auto"/>
        <w:rPr>
          <w:rFonts w:eastAsia="Calibri" w:cstheme="minorHAnsi"/>
          <w:b/>
          <w:noProof/>
          <w:sz w:val="30"/>
          <w:szCs w:val="30"/>
          <w:lang w:eastAsia="en-AU"/>
        </w:rPr>
      </w:pPr>
    </w:p>
    <w:p w14:paraId="32F40AC6" w14:textId="56B20268" w:rsidR="005B24AB" w:rsidRPr="005B24AB" w:rsidRDefault="00093196" w:rsidP="00021D43">
      <w:pPr>
        <w:spacing w:after="0" w:line="240" w:lineRule="auto"/>
        <w:ind w:left="-709"/>
        <w:rPr>
          <w:rFonts w:eastAsia="Calibri" w:cstheme="minorHAnsi"/>
          <w:b/>
          <w:noProof/>
          <w:lang w:eastAsia="en-AU"/>
        </w:rPr>
      </w:pPr>
      <w:r>
        <w:rPr>
          <w:rFonts w:eastAsia="Calibri" w:cstheme="minorHAnsi"/>
          <w:b/>
          <w:noProof/>
          <w:lang w:eastAsia="en-AU"/>
        </w:rPr>
        <w:t xml:space="preserve">Table 3: Summary of projects per </w:t>
      </w:r>
      <w:r w:rsidR="004313BA">
        <w:rPr>
          <w:rFonts w:eastAsia="Calibri" w:cstheme="minorHAnsi"/>
          <w:b/>
          <w:noProof/>
          <w:lang w:eastAsia="en-AU"/>
        </w:rPr>
        <w:t>Implementing Agency (</w:t>
      </w:r>
      <w:r>
        <w:rPr>
          <w:rFonts w:eastAsia="Calibri" w:cstheme="minorHAnsi"/>
          <w:b/>
          <w:noProof/>
          <w:lang w:eastAsia="en-AU"/>
        </w:rPr>
        <w:t>IA</w:t>
      </w:r>
      <w:r w:rsidR="004313BA">
        <w:rPr>
          <w:rFonts w:eastAsia="Calibri" w:cstheme="minorHAnsi"/>
          <w:b/>
          <w:noProof/>
          <w:lang w:eastAsia="en-AU"/>
        </w:rPr>
        <w:t>)</w:t>
      </w:r>
      <w:r>
        <w:rPr>
          <w:rFonts w:eastAsia="Calibri" w:cstheme="minorHAnsi"/>
          <w:b/>
          <w:noProof/>
          <w:lang w:eastAsia="en-AU"/>
        </w:rPr>
        <w:t xml:space="preserve"> and supports provided through the PDMF</w:t>
      </w:r>
    </w:p>
    <w:tbl>
      <w:tblPr>
        <w:tblStyle w:val="GridTable4-Accent5"/>
        <w:tblW w:w="15350" w:type="dxa"/>
        <w:tblInd w:w="-714" w:type="dxa"/>
        <w:tblLook w:val="04A0" w:firstRow="1" w:lastRow="0" w:firstColumn="1" w:lastColumn="0" w:noHBand="0" w:noVBand="1"/>
        <w:tblCaption w:val="Table 3: Summary of projects per Implemeting Agency (IA) and supports provided through the PDMF"/>
        <w:tblDescription w:val="Provides information on the projects by implemeting agency, the titel of the project, status, scope of PDMF support, and the PDMF consultants/ consulting firm that provided advice.  "/>
      </w:tblPr>
      <w:tblGrid>
        <w:gridCol w:w="1584"/>
        <w:gridCol w:w="2993"/>
        <w:gridCol w:w="1422"/>
        <w:gridCol w:w="1985"/>
        <w:gridCol w:w="7366"/>
      </w:tblGrid>
      <w:tr w:rsidR="005B24AB" w:rsidRPr="00971AFD" w14:paraId="7B6F7156" w14:textId="77777777" w:rsidTr="005E5409">
        <w:trPr>
          <w:cnfStyle w:val="100000000000" w:firstRow="1" w:lastRow="0" w:firstColumn="0" w:lastColumn="0" w:oddVBand="0" w:evenVBand="0" w:oddHBand="0" w:evenHBand="0" w:firstRowFirstColumn="0" w:firstRowLastColumn="0" w:lastRowFirstColumn="0" w:lastRowLastColumn="0"/>
          <w:cantSplit/>
          <w:trHeight w:val="580"/>
          <w:tblHeader/>
        </w:trPr>
        <w:tc>
          <w:tcPr>
            <w:cnfStyle w:val="001000000000" w:firstRow="0" w:lastRow="0" w:firstColumn="1" w:lastColumn="0" w:oddVBand="0" w:evenVBand="0" w:oddHBand="0" w:evenHBand="0" w:firstRowFirstColumn="0" w:firstRowLastColumn="0" w:lastRowFirstColumn="0" w:lastRowLastColumn="0"/>
            <w:tcW w:w="1584" w:type="dxa"/>
            <w:tcBorders>
              <w:bottom w:val="single" w:sz="4" w:space="0" w:color="0070C0"/>
            </w:tcBorders>
            <w:shd w:val="clear" w:color="auto" w:fill="9CC2E5" w:themeFill="accent1" w:themeFillTint="99"/>
            <w:hideMark/>
          </w:tcPr>
          <w:p w14:paraId="7D856629" w14:textId="77777777" w:rsidR="005B24AB" w:rsidRPr="00060786" w:rsidRDefault="005B24AB" w:rsidP="00021D43">
            <w:pPr>
              <w:jc w:val="center"/>
              <w:rPr>
                <w:rFonts w:ascii="Calibri" w:eastAsia="Times New Roman" w:hAnsi="Calibri" w:cs="Calibri"/>
                <w:color w:val="000000"/>
                <w:lang w:eastAsia="en-AU"/>
              </w:rPr>
            </w:pPr>
            <w:r w:rsidRPr="00060786">
              <w:rPr>
                <w:rFonts w:ascii="Calibri" w:eastAsia="Times New Roman" w:hAnsi="Calibri" w:cs="Calibri"/>
                <w:color w:val="000000"/>
                <w:lang w:eastAsia="en-AU"/>
              </w:rPr>
              <w:t>Implementing Agency</w:t>
            </w:r>
          </w:p>
        </w:tc>
        <w:tc>
          <w:tcPr>
            <w:tcW w:w="2993" w:type="dxa"/>
            <w:tcBorders>
              <w:bottom w:val="single" w:sz="4" w:space="0" w:color="0070C0"/>
            </w:tcBorders>
            <w:shd w:val="clear" w:color="auto" w:fill="9CC2E5" w:themeFill="accent1" w:themeFillTint="99"/>
            <w:noWrap/>
            <w:hideMark/>
          </w:tcPr>
          <w:p w14:paraId="01AD31AD" w14:textId="77777777" w:rsidR="005B24AB" w:rsidRPr="00060786" w:rsidRDefault="005B24AB" w:rsidP="00021D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60786">
              <w:rPr>
                <w:rFonts w:ascii="Calibri" w:eastAsia="Times New Roman" w:hAnsi="Calibri" w:cs="Calibri"/>
                <w:color w:val="000000"/>
                <w:lang w:eastAsia="en-AU"/>
              </w:rPr>
              <w:t>Project</w:t>
            </w:r>
          </w:p>
        </w:tc>
        <w:tc>
          <w:tcPr>
            <w:tcW w:w="1422" w:type="dxa"/>
            <w:tcBorders>
              <w:bottom w:val="single" w:sz="4" w:space="0" w:color="2E74B5" w:themeColor="accent1" w:themeShade="BF"/>
            </w:tcBorders>
            <w:shd w:val="clear" w:color="auto" w:fill="9CC2E5" w:themeFill="accent1" w:themeFillTint="99"/>
            <w:noWrap/>
            <w:hideMark/>
          </w:tcPr>
          <w:p w14:paraId="6C577A35" w14:textId="77777777" w:rsidR="005B24AB" w:rsidRPr="00060786" w:rsidRDefault="005B24AB" w:rsidP="00021D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60786">
              <w:rPr>
                <w:rFonts w:ascii="Calibri" w:eastAsia="Times New Roman" w:hAnsi="Calibri" w:cs="Calibri"/>
                <w:color w:val="000000"/>
                <w:lang w:eastAsia="en-AU"/>
              </w:rPr>
              <w:t>Status</w:t>
            </w:r>
          </w:p>
        </w:tc>
        <w:tc>
          <w:tcPr>
            <w:tcW w:w="1985" w:type="dxa"/>
            <w:tcBorders>
              <w:bottom w:val="single" w:sz="4" w:space="0" w:color="2E74B5" w:themeColor="accent1" w:themeShade="BF"/>
            </w:tcBorders>
            <w:shd w:val="clear" w:color="auto" w:fill="9CC2E5" w:themeFill="accent1" w:themeFillTint="99"/>
            <w:noWrap/>
            <w:hideMark/>
          </w:tcPr>
          <w:p w14:paraId="72F84494" w14:textId="77777777" w:rsidR="005B24AB" w:rsidRPr="00060786" w:rsidRDefault="005B24AB" w:rsidP="00021D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60786">
              <w:rPr>
                <w:rFonts w:ascii="Calibri" w:eastAsia="Times New Roman" w:hAnsi="Calibri" w:cs="Calibri"/>
                <w:color w:val="000000"/>
                <w:lang w:eastAsia="en-AU"/>
              </w:rPr>
              <w:t>Scope of PDMF support</w:t>
            </w:r>
          </w:p>
        </w:tc>
        <w:tc>
          <w:tcPr>
            <w:tcW w:w="7366" w:type="dxa"/>
            <w:tcBorders>
              <w:bottom w:val="single" w:sz="4" w:space="0" w:color="0070C0"/>
            </w:tcBorders>
            <w:shd w:val="clear" w:color="auto" w:fill="9CC2E5" w:themeFill="accent1" w:themeFillTint="99"/>
            <w:noWrap/>
            <w:hideMark/>
          </w:tcPr>
          <w:p w14:paraId="396BE651" w14:textId="77777777" w:rsidR="005B24AB" w:rsidRPr="00060786" w:rsidRDefault="005B24AB" w:rsidP="00021D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60786">
              <w:rPr>
                <w:rFonts w:ascii="Calibri" w:eastAsia="Times New Roman" w:hAnsi="Calibri" w:cs="Calibri"/>
                <w:color w:val="000000"/>
                <w:lang w:eastAsia="en-AU"/>
              </w:rPr>
              <w:t>PDMF consultants</w:t>
            </w:r>
          </w:p>
        </w:tc>
      </w:tr>
      <w:tr w:rsidR="00943AFA" w:rsidRPr="00971AFD" w14:paraId="0E737CA6" w14:textId="77777777" w:rsidTr="005E5409">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0070C0"/>
              <w:bottom w:val="nil"/>
              <w:right w:val="single" w:sz="4" w:space="0" w:color="0070C0"/>
            </w:tcBorders>
            <w:shd w:val="clear" w:color="auto" w:fill="auto"/>
            <w:hideMark/>
          </w:tcPr>
          <w:p w14:paraId="7D5BEE1E" w14:textId="77777777" w:rsidR="00943AFA" w:rsidRPr="00971AFD" w:rsidRDefault="00943AFA"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Department of Transportation </w:t>
            </w: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4ACAFB18" w14:textId="6835E078"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Mactan-Cebu International Airport Passenger Terminal Building</w:t>
            </w:r>
          </w:p>
        </w:tc>
        <w:tc>
          <w:tcPr>
            <w:tcW w:w="1422" w:type="dxa"/>
            <w:tcBorders>
              <w:top w:val="single" w:sz="4" w:space="0" w:color="2E74B5" w:themeColor="accent1" w:themeShade="BF"/>
              <w:left w:val="single" w:sz="4" w:space="0" w:color="0070C0"/>
              <w:bottom w:val="nil"/>
              <w:right w:val="single" w:sz="4" w:space="0" w:color="2E74B5" w:themeColor="accent1" w:themeShade="BF"/>
            </w:tcBorders>
            <w:shd w:val="clear" w:color="auto" w:fill="auto"/>
            <w:hideMark/>
          </w:tcPr>
          <w:p w14:paraId="680FADD8" w14:textId="77777777" w:rsidR="00943AFA" w:rsidRPr="00971AFD" w:rsidRDefault="00943AFA"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 Awarded</w:t>
            </w:r>
          </w:p>
        </w:tc>
        <w:tc>
          <w:tcPr>
            <w:tcW w:w="1985" w:type="dxa"/>
            <w:tcBorders>
              <w:top w:val="single" w:sz="4" w:space="0" w:color="2E74B5" w:themeColor="accent1" w:themeShade="BF"/>
              <w:left w:val="single" w:sz="4" w:space="0" w:color="2E74B5" w:themeColor="accent1" w:themeShade="BF"/>
              <w:bottom w:val="nil"/>
              <w:right w:val="single" w:sz="4" w:space="0" w:color="0070C0"/>
            </w:tcBorders>
            <w:shd w:val="clear" w:color="auto" w:fill="auto"/>
            <w:hideMark/>
          </w:tcPr>
          <w:p w14:paraId="3C8D276A" w14:textId="77777777" w:rsidR="00943AFA" w:rsidRPr="00971AFD" w:rsidRDefault="00943AFA"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Project preparation and transaction advisory</w:t>
            </w: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0E2DCF39"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 -</w:t>
            </w:r>
            <w:r w:rsidRPr="00971AFD">
              <w:rPr>
                <w:rFonts w:ascii="Calibri" w:eastAsia="Times New Roman" w:hAnsi="Calibri" w:cs="Calibri"/>
                <w:color w:val="000000"/>
                <w:lang w:eastAsia="en-AU"/>
              </w:rPr>
              <w:t xml:space="preserve"> Deloitte (India)</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Puyat Jacinto Santos (PJS) Law (Philippines) and Classis Law (India)</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Deloitte (India), Leading Edge Aviation Planning Professionals (Malaysia), and freelance experts</w:t>
            </w:r>
          </w:p>
        </w:tc>
      </w:tr>
      <w:tr w:rsidR="00943AFA" w:rsidRPr="00971AFD" w14:paraId="3879BDF3" w14:textId="77777777" w:rsidTr="005E5409">
        <w:trPr>
          <w:trHeight w:val="595"/>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0070C0"/>
              <w:bottom w:val="single" w:sz="4" w:space="0" w:color="0070C0"/>
              <w:right w:val="single" w:sz="4" w:space="0" w:color="0070C0"/>
            </w:tcBorders>
            <w:shd w:val="clear" w:color="auto" w:fill="auto"/>
            <w:hideMark/>
          </w:tcPr>
          <w:p w14:paraId="7F81B5F5" w14:textId="77777777" w:rsidR="00943AFA" w:rsidRPr="00971AFD" w:rsidRDefault="00943AFA"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2E2E670D" w14:textId="75F144A4" w:rsidR="00943AFA" w:rsidRPr="00971AFD"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Automatic Fare Collection System </w:t>
            </w:r>
          </w:p>
        </w:tc>
        <w:tc>
          <w:tcPr>
            <w:tcW w:w="1422" w:type="dxa"/>
            <w:tcBorders>
              <w:top w:val="nil"/>
              <w:left w:val="single" w:sz="4" w:space="0" w:color="0070C0"/>
              <w:bottom w:val="single" w:sz="4" w:space="0" w:color="0070C0"/>
              <w:right w:val="single" w:sz="4" w:space="0" w:color="2E74B5" w:themeColor="accent1" w:themeShade="BF"/>
            </w:tcBorders>
            <w:shd w:val="clear" w:color="auto" w:fill="auto"/>
            <w:hideMark/>
          </w:tcPr>
          <w:p w14:paraId="453418B1" w14:textId="77777777" w:rsidR="00943AFA" w:rsidRPr="00971AFD"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985" w:type="dxa"/>
            <w:tcBorders>
              <w:top w:val="nil"/>
              <w:left w:val="single" w:sz="4" w:space="0" w:color="2E74B5" w:themeColor="accent1" w:themeShade="BF"/>
              <w:bottom w:val="single" w:sz="4" w:space="0" w:color="0070C0"/>
              <w:right w:val="single" w:sz="4" w:space="0" w:color="2E74B5" w:themeColor="accent1" w:themeShade="BF"/>
            </w:tcBorders>
            <w:shd w:val="clear" w:color="auto" w:fill="auto"/>
            <w:hideMark/>
          </w:tcPr>
          <w:p w14:paraId="5F862E53" w14:textId="77777777" w:rsidR="00943AFA"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p w14:paraId="7AA41643" w14:textId="01456D7E" w:rsidR="00943AFA" w:rsidRPr="00F75FB7" w:rsidRDefault="00943AFA" w:rsidP="00F75FB7">
            <w:pPr>
              <w:ind w:firstLine="7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
        </w:tc>
        <w:tc>
          <w:tcPr>
            <w:tcW w:w="7366" w:type="dxa"/>
            <w:tcBorders>
              <w:top w:val="single" w:sz="4" w:space="0" w:color="0070C0"/>
              <w:left w:val="single" w:sz="4" w:space="0" w:color="2E74B5" w:themeColor="accent1" w:themeShade="BF"/>
              <w:bottom w:val="single" w:sz="4" w:space="0" w:color="2E74B5" w:themeColor="accent1" w:themeShade="BF"/>
            </w:tcBorders>
            <w:shd w:val="clear" w:color="auto" w:fill="auto"/>
            <w:hideMark/>
          </w:tcPr>
          <w:p w14:paraId="03F711FD" w14:textId="77777777" w:rsidR="00943AFA" w:rsidRPr="00971AFD"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RebelGroup (Netherlands)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Allen &amp; Overy (Hongkong) and PJS Law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Crisil Risk and Infrastructure Solutions (India) and Royal Haskoning (Netherlands)</w:t>
            </w:r>
          </w:p>
        </w:tc>
      </w:tr>
      <w:tr w:rsidR="00943AFA" w:rsidRPr="00971AFD" w14:paraId="5E22A246" w14:textId="77777777" w:rsidTr="005E5409">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2E74B5" w:themeColor="accent1" w:themeShade="BF"/>
              <w:bottom w:val="nil"/>
              <w:right w:val="single" w:sz="4" w:space="0" w:color="0070C0"/>
            </w:tcBorders>
            <w:shd w:val="clear" w:color="auto" w:fill="auto"/>
            <w:hideMark/>
          </w:tcPr>
          <w:p w14:paraId="3178DF1B" w14:textId="77777777" w:rsidR="00943AFA" w:rsidRPr="00971AFD" w:rsidRDefault="00943AFA"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0513E1C2" w14:textId="43E33ABE"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Parañaque Integrated Terminal Exchange (PITx) </w:t>
            </w:r>
            <w:r w:rsidRPr="00971AFD">
              <w:rPr>
                <w:rFonts w:ascii="Calibri" w:eastAsia="Times New Roman" w:hAnsi="Calibri" w:cs="Calibri"/>
                <w:color w:val="000000"/>
                <w:lang w:eastAsia="en-AU"/>
              </w:rPr>
              <w:br/>
              <w:t>(Integrated Transport System Southwest)</w:t>
            </w:r>
          </w:p>
        </w:tc>
        <w:tc>
          <w:tcPr>
            <w:tcW w:w="1422" w:type="dxa"/>
            <w:tcBorders>
              <w:top w:val="single" w:sz="4" w:space="0" w:color="0070C0"/>
              <w:left w:val="single" w:sz="4" w:space="0" w:color="0070C0"/>
              <w:bottom w:val="nil"/>
              <w:right w:val="single" w:sz="4" w:space="0" w:color="0070C0"/>
            </w:tcBorders>
            <w:shd w:val="clear" w:color="auto" w:fill="auto"/>
            <w:hideMark/>
          </w:tcPr>
          <w:p w14:paraId="66C885DF"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985" w:type="dxa"/>
            <w:tcBorders>
              <w:top w:val="single" w:sz="4" w:space="0" w:color="0070C0"/>
              <w:left w:val="single" w:sz="4" w:space="0" w:color="0070C0"/>
              <w:bottom w:val="nil"/>
              <w:right w:val="single" w:sz="4" w:space="0" w:color="0070C0"/>
            </w:tcBorders>
            <w:shd w:val="clear" w:color="auto" w:fill="auto"/>
            <w:hideMark/>
          </w:tcPr>
          <w:p w14:paraId="35C4B745"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single" w:sz="4" w:space="0" w:color="2E74B5" w:themeColor="accent1" w:themeShade="BF"/>
              <w:left w:val="single" w:sz="4" w:space="0" w:color="0070C0"/>
              <w:bottom w:val="nil"/>
              <w:right w:val="single" w:sz="4" w:space="0" w:color="2E74B5" w:themeColor="accent1" w:themeShade="BF"/>
            </w:tcBorders>
            <w:shd w:val="clear" w:color="auto" w:fill="auto"/>
            <w:hideMark/>
          </w:tcPr>
          <w:p w14:paraId="56B7A430"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Feedback Infra (India)</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GHK Consulting (UK)</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GHK Consulting (UK)</w:t>
            </w:r>
          </w:p>
        </w:tc>
      </w:tr>
      <w:tr w:rsidR="00943AFA" w:rsidRPr="00971AFD" w14:paraId="110B9C90" w14:textId="77777777" w:rsidTr="005E5409">
        <w:trPr>
          <w:trHeight w:val="870"/>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2E74B5" w:themeColor="accent1" w:themeShade="BF"/>
              <w:bottom w:val="nil"/>
              <w:right w:val="single" w:sz="4" w:space="0" w:color="0070C0"/>
            </w:tcBorders>
            <w:shd w:val="clear" w:color="auto" w:fill="auto"/>
            <w:hideMark/>
          </w:tcPr>
          <w:p w14:paraId="71B8334A" w14:textId="77777777" w:rsidR="00943AFA" w:rsidRPr="00971AFD" w:rsidRDefault="00943AFA"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000E5A88" w14:textId="7F516BE7" w:rsidR="00943AFA"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Taguig Integrated Terminal Exchange </w:t>
            </w:r>
          </w:p>
          <w:p w14:paraId="4294923F" w14:textId="71A577CC" w:rsidR="00943AFA" w:rsidRPr="00971AFD"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(Integrated Transport System South)</w:t>
            </w:r>
            <w:r w:rsidRPr="00971AFD">
              <w:rPr>
                <w:rFonts w:ascii="Calibri" w:eastAsia="Times New Roman" w:hAnsi="Calibri" w:cs="Calibri"/>
                <w:color w:val="000000"/>
                <w:lang w:eastAsia="en-AU"/>
              </w:rPr>
              <w:br/>
            </w:r>
          </w:p>
        </w:tc>
        <w:tc>
          <w:tcPr>
            <w:tcW w:w="1422" w:type="dxa"/>
            <w:tcBorders>
              <w:top w:val="nil"/>
              <w:left w:val="single" w:sz="4" w:space="0" w:color="0070C0"/>
              <w:bottom w:val="single" w:sz="4" w:space="0" w:color="0070C0"/>
              <w:right w:val="single" w:sz="4" w:space="0" w:color="0070C0"/>
            </w:tcBorders>
            <w:shd w:val="clear" w:color="auto" w:fill="auto"/>
            <w:hideMark/>
          </w:tcPr>
          <w:p w14:paraId="58BB582C" w14:textId="77777777" w:rsidR="00943AFA" w:rsidRPr="00971AFD"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985" w:type="dxa"/>
            <w:tcBorders>
              <w:top w:val="nil"/>
              <w:left w:val="single" w:sz="4" w:space="0" w:color="0070C0"/>
              <w:bottom w:val="single" w:sz="4" w:space="0" w:color="0070C0"/>
              <w:right w:val="single" w:sz="4" w:space="0" w:color="0070C0"/>
            </w:tcBorders>
            <w:shd w:val="clear" w:color="auto" w:fill="auto"/>
            <w:hideMark/>
          </w:tcPr>
          <w:p w14:paraId="26326F4C" w14:textId="77777777" w:rsidR="00943AFA" w:rsidRPr="00971AFD"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nil"/>
              <w:left w:val="single" w:sz="4" w:space="0" w:color="0070C0"/>
              <w:bottom w:val="single" w:sz="4" w:space="0" w:color="2E74B5" w:themeColor="accent1" w:themeShade="BF"/>
              <w:right w:val="single" w:sz="4" w:space="0" w:color="2E74B5" w:themeColor="accent1" w:themeShade="BF"/>
            </w:tcBorders>
            <w:shd w:val="clear" w:color="auto" w:fill="auto"/>
            <w:hideMark/>
          </w:tcPr>
          <w:p w14:paraId="77E46BE1" w14:textId="77777777" w:rsidR="00943AFA" w:rsidRPr="00971AFD"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943AFA" w:rsidRPr="00971AFD" w14:paraId="57AE672D" w14:textId="77777777" w:rsidTr="005E5409">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2E74B5" w:themeColor="accent1" w:themeShade="BF"/>
              <w:bottom w:val="nil"/>
              <w:right w:val="single" w:sz="4" w:space="0" w:color="0070C0"/>
            </w:tcBorders>
            <w:shd w:val="clear" w:color="auto" w:fill="auto"/>
            <w:hideMark/>
          </w:tcPr>
          <w:p w14:paraId="058203AD" w14:textId="77777777" w:rsidR="00943AFA" w:rsidRPr="00971AFD" w:rsidRDefault="00943AFA"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67D3C2A3"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Road Transport IT Infrastructure Project - Phase II</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41DEC94C" w14:textId="77777777" w:rsidR="00943AFA" w:rsidRPr="00971AFD" w:rsidRDefault="00943AFA"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Approved but not yet awarded; Ongoing</w:t>
            </w:r>
          </w:p>
        </w:tc>
        <w:tc>
          <w:tcPr>
            <w:tcW w:w="1985" w:type="dxa"/>
            <w:tcBorders>
              <w:top w:val="single" w:sz="4" w:space="0" w:color="0070C0"/>
              <w:left w:val="single" w:sz="4" w:space="0" w:color="0070C0"/>
              <w:bottom w:val="single" w:sz="4" w:space="0" w:color="0070C0"/>
              <w:right w:val="single" w:sz="4" w:space="0" w:color="0070C0"/>
            </w:tcBorders>
            <w:shd w:val="clear" w:color="auto" w:fill="auto"/>
            <w:hideMark/>
          </w:tcPr>
          <w:p w14:paraId="1ADD3989" w14:textId="77777777" w:rsidR="00943AFA" w:rsidRPr="00971AFD" w:rsidRDefault="00943AFA"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Project preparation and transaction advisory</w:t>
            </w:r>
          </w:p>
        </w:tc>
        <w:tc>
          <w:tcPr>
            <w:tcW w:w="7366" w:type="dxa"/>
            <w:tcBorders>
              <w:top w:val="single" w:sz="4" w:space="0" w:color="2E74B5" w:themeColor="accent1" w:themeShade="BF"/>
              <w:left w:val="single" w:sz="4" w:space="0" w:color="0070C0"/>
              <w:bottom w:val="single" w:sz="4" w:space="0" w:color="2E74B5" w:themeColor="accent1" w:themeShade="BF"/>
            </w:tcBorders>
            <w:shd w:val="clear" w:color="auto" w:fill="auto"/>
            <w:hideMark/>
          </w:tcPr>
          <w:p w14:paraId="33F4F6D7"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Deloitte (India) </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J. Sagar Associates (India), DLA Piper (Australia), and Baniqued &amp; Baniqued (Philippines) </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Deloitte (India) and freelance experts</w:t>
            </w:r>
          </w:p>
        </w:tc>
      </w:tr>
      <w:tr w:rsidR="00943AFA" w:rsidRPr="00971AFD" w14:paraId="3714848D" w14:textId="77777777" w:rsidTr="005E5409">
        <w:trPr>
          <w:trHeight w:val="580"/>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2E74B5" w:themeColor="accent1" w:themeShade="BF"/>
              <w:bottom w:val="nil"/>
              <w:right w:val="single" w:sz="4" w:space="0" w:color="0070C0"/>
            </w:tcBorders>
            <w:shd w:val="clear" w:color="auto" w:fill="auto"/>
            <w:hideMark/>
          </w:tcPr>
          <w:p w14:paraId="58B917B7" w14:textId="77777777" w:rsidR="00943AFA" w:rsidRPr="00971AFD" w:rsidRDefault="00943AFA"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4FCFB6AC" w14:textId="77777777" w:rsidR="00943AFA" w:rsidRPr="00971AFD"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Laguindingan Airport Development</w:t>
            </w:r>
          </w:p>
        </w:tc>
        <w:tc>
          <w:tcPr>
            <w:tcW w:w="1422" w:type="dxa"/>
            <w:tcBorders>
              <w:top w:val="single" w:sz="4" w:space="0" w:color="0070C0"/>
              <w:left w:val="single" w:sz="4" w:space="0" w:color="0070C0"/>
              <w:bottom w:val="nil"/>
              <w:right w:val="single" w:sz="4" w:space="0" w:color="0070C0"/>
            </w:tcBorders>
            <w:shd w:val="clear" w:color="auto" w:fill="auto"/>
            <w:hideMark/>
          </w:tcPr>
          <w:p w14:paraId="6E9FD39A" w14:textId="77777777" w:rsidR="00943AFA" w:rsidRPr="00971AFD" w:rsidRDefault="00943AFA"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Approved but not awarded</w:t>
            </w:r>
          </w:p>
        </w:tc>
        <w:tc>
          <w:tcPr>
            <w:tcW w:w="1985" w:type="dxa"/>
            <w:tcBorders>
              <w:top w:val="single" w:sz="4" w:space="0" w:color="0070C0"/>
              <w:left w:val="single" w:sz="4" w:space="0" w:color="0070C0"/>
              <w:bottom w:val="nil"/>
              <w:right w:val="single" w:sz="4" w:space="0" w:color="0070C0"/>
            </w:tcBorders>
            <w:shd w:val="clear" w:color="auto" w:fill="auto"/>
            <w:hideMark/>
          </w:tcPr>
          <w:p w14:paraId="0485A319" w14:textId="77777777" w:rsidR="00943AFA" w:rsidRPr="00971AFD" w:rsidRDefault="00943AFA"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Project preparation and transaction advisory</w:t>
            </w:r>
          </w:p>
        </w:tc>
        <w:tc>
          <w:tcPr>
            <w:tcW w:w="7366" w:type="dxa"/>
            <w:tcBorders>
              <w:top w:val="single" w:sz="4" w:space="0" w:color="2E74B5" w:themeColor="accent1" w:themeShade="BF"/>
              <w:left w:val="single" w:sz="4" w:space="0" w:color="0070C0"/>
              <w:bottom w:val="nil"/>
              <w:right w:val="single" w:sz="4" w:space="0" w:color="2E74B5" w:themeColor="accent1" w:themeShade="BF"/>
            </w:tcBorders>
            <w:shd w:val="clear" w:color="auto" w:fill="auto"/>
            <w:hideMark/>
          </w:tcPr>
          <w:p w14:paraId="15CEBC25" w14:textId="77777777" w:rsidR="00943AFA" w:rsidRPr="00971AFD"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Deloitte (India) </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PJS Law (Philippines), Classis Law (India) (1st Amendment), Romulo Mabanta Buenaventura Sayoc &amp; de los Angeles (Philippines), and DLA Piper (Australia) (3rd Amendment)</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Deloitte (India) and freelance experts</w:t>
            </w:r>
          </w:p>
        </w:tc>
      </w:tr>
      <w:tr w:rsidR="00943AFA" w:rsidRPr="00971AFD" w14:paraId="4FE6BC11" w14:textId="77777777" w:rsidTr="005E5409">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2E74B5" w:themeColor="accent1" w:themeShade="BF"/>
              <w:bottom w:val="nil"/>
              <w:right w:val="single" w:sz="4" w:space="0" w:color="0070C0"/>
            </w:tcBorders>
            <w:shd w:val="clear" w:color="auto" w:fill="auto"/>
            <w:hideMark/>
          </w:tcPr>
          <w:p w14:paraId="292DD60A" w14:textId="77777777" w:rsidR="00943AFA" w:rsidRPr="00971AFD" w:rsidRDefault="00943AFA"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5E78F5AD"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Iloilo Airport Development</w:t>
            </w:r>
          </w:p>
        </w:tc>
        <w:tc>
          <w:tcPr>
            <w:tcW w:w="1422" w:type="dxa"/>
            <w:tcBorders>
              <w:top w:val="nil"/>
              <w:left w:val="single" w:sz="4" w:space="0" w:color="0070C0"/>
              <w:bottom w:val="nil"/>
              <w:right w:val="single" w:sz="4" w:space="0" w:color="0070C0"/>
            </w:tcBorders>
            <w:shd w:val="clear" w:color="auto" w:fill="auto"/>
            <w:hideMark/>
          </w:tcPr>
          <w:p w14:paraId="6175E8F4"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985" w:type="dxa"/>
            <w:tcBorders>
              <w:top w:val="nil"/>
              <w:left w:val="single" w:sz="4" w:space="0" w:color="0070C0"/>
              <w:bottom w:val="nil"/>
              <w:right w:val="single" w:sz="4" w:space="0" w:color="0070C0"/>
            </w:tcBorders>
            <w:shd w:val="clear" w:color="auto" w:fill="auto"/>
            <w:hideMark/>
          </w:tcPr>
          <w:p w14:paraId="0376C331"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nil"/>
              <w:left w:val="single" w:sz="4" w:space="0" w:color="0070C0"/>
              <w:bottom w:val="nil"/>
              <w:right w:val="single" w:sz="4" w:space="0" w:color="2E74B5" w:themeColor="accent1" w:themeShade="BF"/>
            </w:tcBorders>
            <w:shd w:val="clear" w:color="auto" w:fill="auto"/>
            <w:hideMark/>
          </w:tcPr>
          <w:p w14:paraId="7E2AED83"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943AFA" w:rsidRPr="00971AFD" w14:paraId="6CF7F8B1" w14:textId="77777777" w:rsidTr="005E5409">
        <w:trPr>
          <w:trHeight w:val="414"/>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2E74B5" w:themeColor="accent1" w:themeShade="BF"/>
              <w:bottom w:val="nil"/>
              <w:right w:val="single" w:sz="4" w:space="0" w:color="0070C0"/>
            </w:tcBorders>
            <w:shd w:val="clear" w:color="auto" w:fill="auto"/>
            <w:hideMark/>
          </w:tcPr>
          <w:p w14:paraId="61C9AD38" w14:textId="77777777" w:rsidR="00943AFA" w:rsidRPr="00971AFD" w:rsidRDefault="00943AFA"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11071D68" w14:textId="77777777" w:rsidR="00943AFA" w:rsidRPr="00971AFD"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Davao Airport Development</w:t>
            </w:r>
          </w:p>
        </w:tc>
        <w:tc>
          <w:tcPr>
            <w:tcW w:w="1422" w:type="dxa"/>
            <w:tcBorders>
              <w:top w:val="nil"/>
              <w:left w:val="single" w:sz="4" w:space="0" w:color="0070C0"/>
              <w:bottom w:val="nil"/>
              <w:right w:val="single" w:sz="4" w:space="0" w:color="0070C0"/>
            </w:tcBorders>
            <w:shd w:val="clear" w:color="auto" w:fill="auto"/>
            <w:hideMark/>
          </w:tcPr>
          <w:p w14:paraId="58FFCD03" w14:textId="77777777" w:rsidR="00943AFA" w:rsidRPr="00971AFD"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985" w:type="dxa"/>
            <w:tcBorders>
              <w:top w:val="nil"/>
              <w:left w:val="single" w:sz="4" w:space="0" w:color="0070C0"/>
              <w:bottom w:val="nil"/>
              <w:right w:val="single" w:sz="4" w:space="0" w:color="0070C0"/>
            </w:tcBorders>
            <w:shd w:val="clear" w:color="auto" w:fill="auto"/>
            <w:hideMark/>
          </w:tcPr>
          <w:p w14:paraId="6868C8B3" w14:textId="77777777" w:rsidR="00943AFA" w:rsidRPr="00971AFD"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nil"/>
              <w:left w:val="single" w:sz="4" w:space="0" w:color="0070C0"/>
              <w:bottom w:val="nil"/>
              <w:right w:val="single" w:sz="4" w:space="0" w:color="2E74B5" w:themeColor="accent1" w:themeShade="BF"/>
            </w:tcBorders>
            <w:shd w:val="clear" w:color="auto" w:fill="auto"/>
            <w:hideMark/>
          </w:tcPr>
          <w:p w14:paraId="16E8685A" w14:textId="77777777" w:rsidR="00943AFA" w:rsidRPr="00971AFD"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943AFA" w:rsidRPr="00971AFD" w14:paraId="6F5838DF" w14:textId="77777777" w:rsidTr="005E5409">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2E74B5" w:themeColor="accent1" w:themeShade="BF"/>
              <w:bottom w:val="nil"/>
              <w:right w:val="single" w:sz="4" w:space="0" w:color="0070C0"/>
            </w:tcBorders>
            <w:shd w:val="clear" w:color="auto" w:fill="auto"/>
            <w:hideMark/>
          </w:tcPr>
          <w:p w14:paraId="000CA0C1" w14:textId="77777777" w:rsidR="00943AFA" w:rsidRPr="00971AFD" w:rsidRDefault="00943AFA"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7F7FC8BA"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Bacolod Airport Development</w:t>
            </w:r>
          </w:p>
        </w:tc>
        <w:tc>
          <w:tcPr>
            <w:tcW w:w="1422" w:type="dxa"/>
            <w:tcBorders>
              <w:top w:val="nil"/>
              <w:left w:val="single" w:sz="4" w:space="0" w:color="0070C0"/>
              <w:bottom w:val="nil"/>
              <w:right w:val="single" w:sz="4" w:space="0" w:color="0070C0"/>
            </w:tcBorders>
            <w:shd w:val="clear" w:color="auto" w:fill="auto"/>
            <w:hideMark/>
          </w:tcPr>
          <w:p w14:paraId="644485C0"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985" w:type="dxa"/>
            <w:tcBorders>
              <w:top w:val="nil"/>
              <w:left w:val="single" w:sz="4" w:space="0" w:color="0070C0"/>
              <w:bottom w:val="nil"/>
              <w:right w:val="single" w:sz="4" w:space="0" w:color="0070C0"/>
            </w:tcBorders>
            <w:shd w:val="clear" w:color="auto" w:fill="auto"/>
            <w:hideMark/>
          </w:tcPr>
          <w:p w14:paraId="33CBF9E2"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nil"/>
              <w:left w:val="single" w:sz="4" w:space="0" w:color="0070C0"/>
              <w:bottom w:val="single" w:sz="4" w:space="0" w:color="2E74B5" w:themeColor="accent1" w:themeShade="BF"/>
              <w:right w:val="single" w:sz="4" w:space="0" w:color="2E74B5" w:themeColor="accent1" w:themeShade="BF"/>
            </w:tcBorders>
            <w:shd w:val="clear" w:color="auto" w:fill="auto"/>
            <w:hideMark/>
          </w:tcPr>
          <w:p w14:paraId="333E127E"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943AFA" w:rsidRPr="00971AFD" w14:paraId="4ECACA52" w14:textId="77777777" w:rsidTr="005E5409">
        <w:trPr>
          <w:trHeight w:val="274"/>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2E74B5" w:themeColor="accent1" w:themeShade="BF"/>
              <w:bottom w:val="nil"/>
              <w:right w:val="single" w:sz="4" w:space="0" w:color="0070C0"/>
            </w:tcBorders>
            <w:shd w:val="clear" w:color="auto" w:fill="auto"/>
            <w:hideMark/>
          </w:tcPr>
          <w:p w14:paraId="268ABFB2" w14:textId="77777777" w:rsidR="00943AFA" w:rsidRPr="00971AFD" w:rsidRDefault="00943AFA"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33E8CCBB" w14:textId="77777777" w:rsidR="00943AFA" w:rsidRPr="00971AFD"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New Bohol (Panglao) Airport Development</w:t>
            </w:r>
          </w:p>
        </w:tc>
        <w:tc>
          <w:tcPr>
            <w:tcW w:w="1422" w:type="dxa"/>
            <w:tcBorders>
              <w:top w:val="nil"/>
              <w:left w:val="single" w:sz="4" w:space="0" w:color="0070C0"/>
              <w:bottom w:val="nil"/>
              <w:right w:val="single" w:sz="4" w:space="0" w:color="0070C0"/>
            </w:tcBorders>
            <w:shd w:val="clear" w:color="auto" w:fill="auto"/>
            <w:hideMark/>
          </w:tcPr>
          <w:p w14:paraId="0502FD33" w14:textId="77777777" w:rsidR="00943AFA" w:rsidRPr="00971AFD"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985" w:type="dxa"/>
            <w:tcBorders>
              <w:top w:val="nil"/>
              <w:left w:val="single" w:sz="4" w:space="0" w:color="0070C0"/>
              <w:bottom w:val="nil"/>
              <w:right w:val="single" w:sz="4" w:space="0" w:color="0070C0"/>
            </w:tcBorders>
            <w:shd w:val="clear" w:color="auto" w:fill="auto"/>
            <w:hideMark/>
          </w:tcPr>
          <w:p w14:paraId="5EB84A25" w14:textId="77777777" w:rsidR="00943AFA" w:rsidRPr="00971AFD"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single" w:sz="4" w:space="0" w:color="2E74B5" w:themeColor="accent1" w:themeShade="BF"/>
              <w:left w:val="single" w:sz="4" w:space="0" w:color="0070C0"/>
              <w:bottom w:val="nil"/>
              <w:right w:val="single" w:sz="4" w:space="0" w:color="2E74B5" w:themeColor="accent1" w:themeShade="BF"/>
            </w:tcBorders>
            <w:shd w:val="clear" w:color="auto" w:fill="auto"/>
            <w:hideMark/>
          </w:tcPr>
          <w:p w14:paraId="5F014541" w14:textId="77777777" w:rsidR="00943AFA" w:rsidRPr="00971AFD" w:rsidRDefault="00943AFA"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RebelGroup (Netherlands)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Allen &amp; Overy (Hongkong) and PJS Law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Crisil Risk and Infrastructure Solutions (India) and Royal Haskoning (Netherlands)</w:t>
            </w:r>
          </w:p>
        </w:tc>
      </w:tr>
      <w:tr w:rsidR="00943AFA" w:rsidRPr="00971AFD" w14:paraId="4B630163" w14:textId="77777777" w:rsidTr="005E5409">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2E74B5" w:themeColor="accent1" w:themeShade="BF"/>
              <w:bottom w:val="single" w:sz="4" w:space="0" w:color="0070C0"/>
              <w:right w:val="single" w:sz="4" w:space="0" w:color="0070C0"/>
            </w:tcBorders>
            <w:shd w:val="clear" w:color="auto" w:fill="auto"/>
            <w:hideMark/>
          </w:tcPr>
          <w:p w14:paraId="54C0815B" w14:textId="77777777" w:rsidR="00943AFA" w:rsidRPr="00971AFD" w:rsidRDefault="00943AFA"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782F6A87"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Puerto Princesa Airport Development </w:t>
            </w:r>
          </w:p>
        </w:tc>
        <w:tc>
          <w:tcPr>
            <w:tcW w:w="1422" w:type="dxa"/>
            <w:tcBorders>
              <w:top w:val="nil"/>
              <w:left w:val="single" w:sz="4" w:space="0" w:color="0070C0"/>
              <w:bottom w:val="single" w:sz="4" w:space="0" w:color="0070C0"/>
              <w:right w:val="single" w:sz="4" w:space="0" w:color="0070C0"/>
            </w:tcBorders>
            <w:shd w:val="clear" w:color="auto" w:fill="auto"/>
            <w:hideMark/>
          </w:tcPr>
          <w:p w14:paraId="4E16C184"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985" w:type="dxa"/>
            <w:tcBorders>
              <w:top w:val="nil"/>
              <w:left w:val="single" w:sz="4" w:space="0" w:color="0070C0"/>
              <w:bottom w:val="single" w:sz="4" w:space="0" w:color="0070C0"/>
              <w:right w:val="single" w:sz="4" w:space="0" w:color="0070C0"/>
            </w:tcBorders>
            <w:shd w:val="clear" w:color="auto" w:fill="auto"/>
            <w:hideMark/>
          </w:tcPr>
          <w:p w14:paraId="5A0AC430"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nil"/>
              <w:left w:val="single" w:sz="4" w:space="0" w:color="0070C0"/>
              <w:bottom w:val="single" w:sz="4" w:space="0" w:color="0070C0"/>
              <w:right w:val="single" w:sz="4" w:space="0" w:color="2E74B5" w:themeColor="accent1" w:themeShade="BF"/>
            </w:tcBorders>
            <w:shd w:val="clear" w:color="auto" w:fill="auto"/>
            <w:hideMark/>
          </w:tcPr>
          <w:p w14:paraId="6A153A1B" w14:textId="77777777" w:rsidR="00943AFA" w:rsidRPr="00971AFD" w:rsidRDefault="00943AFA"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8801FC" w:rsidRPr="00971AFD" w14:paraId="637BAB89" w14:textId="77777777" w:rsidTr="005E5409">
        <w:trPr>
          <w:trHeight w:val="3231"/>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0070C0"/>
              <w:bottom w:val="nil"/>
              <w:right w:val="single" w:sz="4" w:space="0" w:color="0070C0"/>
            </w:tcBorders>
            <w:shd w:val="clear" w:color="auto" w:fill="auto"/>
            <w:hideMark/>
          </w:tcPr>
          <w:p w14:paraId="30391C2A" w14:textId="77777777" w:rsidR="005B24AB" w:rsidRPr="00971AFD" w:rsidRDefault="005B24AB"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lastRenderedPageBreak/>
              <w:t xml:space="preserve">Department of Transportation </w:t>
            </w: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19FA5200" w14:textId="73F1C91D"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Light Rail Transit Line 6</w:t>
            </w:r>
          </w:p>
        </w:tc>
        <w:tc>
          <w:tcPr>
            <w:tcW w:w="1422" w:type="dxa"/>
            <w:tcBorders>
              <w:top w:val="single" w:sz="4" w:space="0" w:color="0070C0"/>
              <w:left w:val="single" w:sz="4" w:space="0" w:color="0070C0"/>
              <w:bottom w:val="nil"/>
              <w:right w:val="single" w:sz="4" w:space="0" w:color="0070C0"/>
            </w:tcBorders>
            <w:shd w:val="clear" w:color="auto" w:fill="auto"/>
            <w:hideMark/>
          </w:tcPr>
          <w:p w14:paraId="33287C34" w14:textId="77777777" w:rsidR="005B24AB" w:rsidRPr="00971AFD" w:rsidRDefault="005B24AB"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Approved but not awarded</w:t>
            </w:r>
          </w:p>
        </w:tc>
        <w:tc>
          <w:tcPr>
            <w:tcW w:w="1985" w:type="dxa"/>
            <w:tcBorders>
              <w:top w:val="single" w:sz="4" w:space="0" w:color="0070C0"/>
              <w:left w:val="single" w:sz="4" w:space="0" w:color="0070C0"/>
              <w:bottom w:val="nil"/>
              <w:right w:val="single" w:sz="4" w:space="0" w:color="0070C0"/>
            </w:tcBorders>
            <w:shd w:val="clear" w:color="auto" w:fill="auto"/>
            <w:hideMark/>
          </w:tcPr>
          <w:p w14:paraId="3331A531" w14:textId="77777777" w:rsidR="005B24AB" w:rsidRPr="00971AFD" w:rsidRDefault="005B24AB"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Project preparation and transaction advisory</w:t>
            </w: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129B1B86" w14:textId="77777777"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eastAsia="en-AU"/>
              </w:rPr>
            </w:pPr>
            <w:r w:rsidRPr="00971AFD">
              <w:rPr>
                <w:rFonts w:ascii="Calibri" w:eastAsia="Times New Roman" w:hAnsi="Calibri" w:cs="Calibri"/>
                <w:color w:val="000000"/>
                <w:u w:val="single"/>
                <w:lang w:eastAsia="en-AU"/>
              </w:rPr>
              <w:t>First PDMF contract (for project preparation and transaction advisory):</w:t>
            </w:r>
            <w:r w:rsidRPr="00971AFD">
              <w:rPr>
                <w:rFonts w:ascii="Calibri" w:eastAsia="Times New Roman" w:hAnsi="Calibri" w:cs="Calibri"/>
                <w:i/>
                <w:iCs/>
                <w:color w:val="000000"/>
                <w:lang w:eastAsia="en-AU"/>
              </w:rPr>
              <w:br/>
              <w:t>Project finance</w:t>
            </w:r>
            <w:r w:rsidRPr="00971AFD">
              <w:rPr>
                <w:rFonts w:ascii="Calibri" w:eastAsia="Times New Roman" w:hAnsi="Calibri" w:cs="Calibri"/>
                <w:color w:val="000000"/>
                <w:lang w:eastAsia="en-AU"/>
              </w:rPr>
              <w:t xml:space="preserve"> - CPCS Transcom (Canada), Development Equity Initiatives (USA), and Infrastructure Development Finance Company (India)</w:t>
            </w:r>
            <w:r w:rsidRPr="00971AFD">
              <w:rPr>
                <w:rFonts w:ascii="Calibri" w:eastAsia="Times New Roman" w:hAnsi="Calibri" w:cs="Calibri"/>
                <w:i/>
                <w:iCs/>
                <w:color w:val="000000"/>
                <w:lang w:eastAsia="en-AU"/>
              </w:rPr>
              <w:br/>
              <w:t xml:space="preserve">Legal - </w:t>
            </w:r>
            <w:r w:rsidRPr="00971AFD">
              <w:rPr>
                <w:rFonts w:ascii="Calibri" w:eastAsia="Times New Roman" w:hAnsi="Calibri" w:cs="Calibri"/>
                <w:color w:val="000000"/>
                <w:lang w:eastAsia="en-AU"/>
              </w:rPr>
              <w:t>Cruz Marcelo &amp; Tenefrancia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 xml:space="preserve">Technical - </w:t>
            </w:r>
            <w:r w:rsidRPr="00971AFD">
              <w:rPr>
                <w:rFonts w:ascii="Calibri" w:eastAsia="Times New Roman" w:hAnsi="Calibri" w:cs="Calibri"/>
                <w:color w:val="000000"/>
                <w:lang w:eastAsia="en-AU"/>
              </w:rPr>
              <w:t>CPCS Transcom (Canada), Lufthansa Consulting GmbH (Germany), CFP Strategic Advisors (Philippines), Orient Integrated Development Consultants (Philippines), and Philkoei International (Philippines)</w:t>
            </w:r>
            <w:r w:rsidRPr="00971AFD">
              <w:rPr>
                <w:rFonts w:ascii="Calibri" w:eastAsia="Times New Roman" w:hAnsi="Calibri" w:cs="Calibri"/>
                <w:i/>
                <w:iCs/>
                <w:color w:val="000000"/>
                <w:lang w:eastAsia="en-AU"/>
              </w:rPr>
              <w:br/>
            </w:r>
            <w:r w:rsidRPr="00971AFD">
              <w:rPr>
                <w:rFonts w:ascii="Calibri" w:eastAsia="Times New Roman" w:hAnsi="Calibri" w:cs="Calibri"/>
                <w:color w:val="000000"/>
                <w:u w:val="single"/>
                <w:lang w:eastAsia="en-AU"/>
              </w:rPr>
              <w:t>Second PDMF contract (for transaction advisory only):</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 xml:space="preserve">Project finance </w:t>
            </w:r>
            <w:r w:rsidRPr="00971AFD">
              <w:rPr>
                <w:rFonts w:ascii="Calibri" w:eastAsia="Times New Roman" w:hAnsi="Calibri" w:cs="Calibri"/>
                <w:color w:val="000000"/>
                <w:lang w:eastAsia="en-AU"/>
              </w:rPr>
              <w:t>- Ernst &amp; Young (EY) (Singapore)</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 xml:space="preserve">Legal </w:t>
            </w:r>
            <w:r w:rsidRPr="00971AFD">
              <w:rPr>
                <w:rFonts w:ascii="Calibri" w:eastAsia="Times New Roman" w:hAnsi="Calibri" w:cs="Calibri"/>
                <w:color w:val="000000"/>
                <w:lang w:eastAsia="en-AU"/>
              </w:rPr>
              <w:t>- Ashurst LLP (Singapore) and Gatmaytan Yap Patacsil Gutierrez &amp; Protacio (Philippines)</w:t>
            </w:r>
            <w:r w:rsidRPr="00971AFD">
              <w:rPr>
                <w:rFonts w:ascii="Calibri" w:eastAsia="Times New Roman" w:hAnsi="Calibri" w:cs="Calibri"/>
                <w:i/>
                <w:iCs/>
                <w:color w:val="000000"/>
                <w:lang w:eastAsia="en-AU"/>
              </w:rPr>
              <w:br/>
              <w:t>Technical</w:t>
            </w:r>
            <w:r w:rsidRPr="00971AFD">
              <w:rPr>
                <w:rFonts w:ascii="Calibri" w:eastAsia="Times New Roman" w:hAnsi="Calibri" w:cs="Calibri"/>
                <w:color w:val="000000"/>
                <w:lang w:eastAsia="en-AU"/>
              </w:rPr>
              <w:t xml:space="preserve"> - EY (Singapore)</w:t>
            </w:r>
          </w:p>
        </w:tc>
      </w:tr>
      <w:tr w:rsidR="008801FC" w:rsidRPr="00971AFD" w14:paraId="7B897529" w14:textId="77777777" w:rsidTr="005E5409">
        <w:trPr>
          <w:cnfStyle w:val="000000100000" w:firstRow="0" w:lastRow="0" w:firstColumn="0" w:lastColumn="0" w:oddVBand="0" w:evenVBand="0" w:oddHBand="1" w:evenHBand="0" w:firstRowFirstColumn="0" w:firstRowLastColumn="0" w:lastRowFirstColumn="0" w:lastRowLastColumn="0"/>
          <w:trHeight w:val="1450"/>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0070C0"/>
              <w:bottom w:val="nil"/>
              <w:right w:val="single" w:sz="4" w:space="0" w:color="0070C0"/>
            </w:tcBorders>
            <w:shd w:val="clear" w:color="auto" w:fill="auto"/>
            <w:hideMark/>
          </w:tcPr>
          <w:p w14:paraId="1A708807" w14:textId="77777777" w:rsidR="005B24AB" w:rsidRPr="00971AFD" w:rsidRDefault="005B24AB"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6A1F458A" w14:textId="1DBD4F0E"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North-South Railway Project </w:t>
            </w:r>
            <w:r w:rsidRPr="00971AFD">
              <w:rPr>
                <w:rFonts w:ascii="Calibri" w:eastAsia="Times New Roman" w:hAnsi="Calibri" w:cs="Calibri"/>
                <w:color w:val="000000"/>
                <w:lang w:eastAsia="en-AU"/>
              </w:rPr>
              <w:br/>
              <w:t>(Integrated Luzon Railway Project)</w:t>
            </w:r>
          </w:p>
        </w:tc>
        <w:tc>
          <w:tcPr>
            <w:tcW w:w="1422" w:type="dxa"/>
            <w:tcBorders>
              <w:top w:val="nil"/>
              <w:left w:val="single" w:sz="4" w:space="0" w:color="0070C0"/>
              <w:bottom w:val="nil"/>
              <w:right w:val="single" w:sz="4" w:space="0" w:color="0070C0"/>
            </w:tcBorders>
            <w:shd w:val="clear" w:color="auto" w:fill="auto"/>
            <w:hideMark/>
          </w:tcPr>
          <w:p w14:paraId="4CBBA689" w14:textId="77777777"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985" w:type="dxa"/>
            <w:tcBorders>
              <w:top w:val="nil"/>
              <w:left w:val="single" w:sz="4" w:space="0" w:color="0070C0"/>
              <w:bottom w:val="nil"/>
              <w:right w:val="single" w:sz="4" w:space="0" w:color="0070C0"/>
            </w:tcBorders>
            <w:shd w:val="clear" w:color="auto" w:fill="auto"/>
            <w:hideMark/>
          </w:tcPr>
          <w:p w14:paraId="55F0A2B8" w14:textId="77777777"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0B9F5B97" w14:textId="77777777"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CPCS Transcom (Canada), Infrastructure Development Finance Company (India), and freelance expert</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CPCS Transcom (Canada) </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CPCS Transcom (Canada), Lufthansa Consulting GmbH (Germany), and freelance experts</w:t>
            </w:r>
          </w:p>
        </w:tc>
      </w:tr>
      <w:tr w:rsidR="008801FC" w:rsidRPr="00971AFD" w14:paraId="21667BD9" w14:textId="77777777" w:rsidTr="005E5409">
        <w:trPr>
          <w:trHeight w:val="1071"/>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0070C0"/>
              <w:bottom w:val="nil"/>
              <w:right w:val="single" w:sz="4" w:space="0" w:color="0070C0"/>
            </w:tcBorders>
            <w:shd w:val="clear" w:color="auto" w:fill="auto"/>
            <w:hideMark/>
          </w:tcPr>
          <w:p w14:paraId="6360A6C5" w14:textId="77777777" w:rsidR="005B24AB" w:rsidRPr="00971AFD" w:rsidRDefault="005B24AB"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0DEABD98" w14:textId="028E86C2"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Ninoy Aquino International Airport Development</w:t>
            </w:r>
          </w:p>
        </w:tc>
        <w:tc>
          <w:tcPr>
            <w:tcW w:w="1422" w:type="dxa"/>
            <w:tcBorders>
              <w:top w:val="nil"/>
              <w:left w:val="single" w:sz="4" w:space="0" w:color="0070C0"/>
              <w:bottom w:val="nil"/>
              <w:right w:val="single" w:sz="4" w:space="0" w:color="0070C0"/>
            </w:tcBorders>
            <w:shd w:val="clear" w:color="auto" w:fill="auto"/>
            <w:hideMark/>
          </w:tcPr>
          <w:p w14:paraId="01782486" w14:textId="77777777"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985" w:type="dxa"/>
            <w:tcBorders>
              <w:top w:val="nil"/>
              <w:left w:val="single" w:sz="4" w:space="0" w:color="0070C0"/>
              <w:bottom w:val="nil"/>
              <w:right w:val="single" w:sz="4" w:space="0" w:color="0070C0"/>
            </w:tcBorders>
            <w:shd w:val="clear" w:color="auto" w:fill="auto"/>
            <w:hideMark/>
          </w:tcPr>
          <w:p w14:paraId="791DD3E9" w14:textId="77777777"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08578A6F" w14:textId="38AA4425"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EY (Singapore) and Mott MacDonald (UK and Singapore)</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Ashurst LLP (Singapore) and Gatmaytan Yap Patacsil Gutierrez &amp; Protacio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EY (Singapore) and PRIMEX (Philippines)</w:t>
            </w:r>
            <w:r w:rsidR="000B35DD">
              <w:rPr>
                <w:rFonts w:ascii="Calibri" w:eastAsia="Times New Roman" w:hAnsi="Calibri" w:cs="Calibri"/>
                <w:color w:val="000000"/>
                <w:lang w:eastAsia="en-AU"/>
              </w:rPr>
              <w:t xml:space="preserve"> </w:t>
            </w:r>
          </w:p>
        </w:tc>
      </w:tr>
      <w:tr w:rsidR="008801FC" w:rsidRPr="00971AFD" w14:paraId="435923CF" w14:textId="77777777" w:rsidTr="005E5409">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0070C0"/>
              <w:bottom w:val="single" w:sz="4" w:space="0" w:color="0070C0"/>
              <w:right w:val="single" w:sz="4" w:space="0" w:color="0070C0"/>
            </w:tcBorders>
            <w:shd w:val="clear" w:color="auto" w:fill="auto"/>
            <w:hideMark/>
          </w:tcPr>
          <w:p w14:paraId="73A9FE28" w14:textId="77777777" w:rsidR="005B24AB" w:rsidRPr="00971AFD" w:rsidRDefault="005B24AB"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5B884BED" w14:textId="30D47C92"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Mass Transport System Loop </w:t>
            </w:r>
          </w:p>
        </w:tc>
        <w:tc>
          <w:tcPr>
            <w:tcW w:w="1422" w:type="dxa"/>
            <w:tcBorders>
              <w:top w:val="nil"/>
              <w:left w:val="single" w:sz="4" w:space="0" w:color="0070C0"/>
              <w:bottom w:val="single" w:sz="4" w:space="0" w:color="0070C0"/>
              <w:right w:val="single" w:sz="4" w:space="0" w:color="0070C0"/>
            </w:tcBorders>
            <w:shd w:val="clear" w:color="auto" w:fill="auto"/>
            <w:hideMark/>
          </w:tcPr>
          <w:p w14:paraId="16D5A5A2" w14:textId="77777777"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985" w:type="dxa"/>
            <w:tcBorders>
              <w:top w:val="nil"/>
              <w:left w:val="single" w:sz="4" w:space="0" w:color="0070C0"/>
              <w:bottom w:val="single" w:sz="4" w:space="0" w:color="0070C0"/>
              <w:right w:val="single" w:sz="4" w:space="0" w:color="0070C0"/>
            </w:tcBorders>
            <w:shd w:val="clear" w:color="auto" w:fill="auto"/>
            <w:hideMark/>
          </w:tcPr>
          <w:p w14:paraId="1D3FE5DC" w14:textId="77777777"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3761F0A1" w14:textId="77777777"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RebelGroup (Netherlands)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Allen &amp; Overy (Hongkong) and PJS Law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Crisil Risk and Infrastructure Solutions (India) and Royal Haskoning (Netherlands)</w:t>
            </w:r>
          </w:p>
        </w:tc>
      </w:tr>
      <w:tr w:rsidR="005B24AB" w:rsidRPr="00971AFD" w14:paraId="4B831D03" w14:textId="77777777" w:rsidTr="005E5409">
        <w:trPr>
          <w:trHeight w:val="1550"/>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2E74B5" w:themeColor="accent1" w:themeShade="BF"/>
              <w:bottom w:val="single" w:sz="4" w:space="0" w:color="0070C0"/>
              <w:right w:val="single" w:sz="4" w:space="0" w:color="0070C0"/>
            </w:tcBorders>
            <w:shd w:val="clear" w:color="auto" w:fill="auto"/>
            <w:hideMark/>
          </w:tcPr>
          <w:p w14:paraId="4DBF9570" w14:textId="77777777" w:rsidR="005B24AB" w:rsidRPr="00971AFD" w:rsidRDefault="005B24AB"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49D4D057" w14:textId="77777777"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C-5 Modern Bus Service Transport System</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04496D9B" w14:textId="77777777"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985" w:type="dxa"/>
            <w:tcBorders>
              <w:top w:val="single" w:sz="4" w:space="0" w:color="0070C0"/>
              <w:left w:val="single" w:sz="4" w:space="0" w:color="0070C0"/>
              <w:bottom w:val="single" w:sz="4" w:space="0" w:color="0070C0"/>
              <w:right w:val="single" w:sz="4" w:space="0" w:color="0070C0"/>
            </w:tcBorders>
            <w:shd w:val="clear" w:color="auto" w:fill="auto"/>
            <w:hideMark/>
          </w:tcPr>
          <w:p w14:paraId="0FFE782D" w14:textId="77777777"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305517E9" w14:textId="77777777"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CPCS Transcom (Canada), Development Equity Initiatives (USA), and Infrastructure Development Finance Company (India)</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CPCS Transcom (Canada) and Orient Integrated Development Consultants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CPCS Transcom (Canada), Lufthansa Consulting GmbH (Germany), Orient Integrated Development Consultants (Philippines), and Philkoei International (Philippines)</w:t>
            </w:r>
          </w:p>
        </w:tc>
      </w:tr>
      <w:tr w:rsidR="00EC3F12" w:rsidRPr="00971AFD" w14:paraId="62F51655" w14:textId="77777777" w:rsidTr="005E5409">
        <w:trPr>
          <w:cnfStyle w:val="000000100000" w:firstRow="0" w:lastRow="0" w:firstColumn="0" w:lastColumn="0" w:oddVBand="0" w:evenVBand="0" w:oddHBand="1" w:evenHBand="0" w:firstRowFirstColumn="0" w:firstRowLastColumn="0" w:lastRowFirstColumn="0" w:lastRowLastColumn="0"/>
          <w:trHeight w:val="1646"/>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0070C0"/>
              <w:bottom w:val="nil"/>
              <w:right w:val="single" w:sz="4" w:space="0" w:color="0070C0"/>
            </w:tcBorders>
            <w:shd w:val="clear" w:color="auto" w:fill="auto"/>
            <w:hideMark/>
          </w:tcPr>
          <w:p w14:paraId="7FFCCDFC" w14:textId="77777777" w:rsidR="00EC3F12" w:rsidRPr="00971AFD" w:rsidRDefault="00EC3F12"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Department of Transportation </w:t>
            </w: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20772AD8" w14:textId="62BBBA71" w:rsidR="00EC3F12" w:rsidRPr="00971AFD" w:rsidRDefault="00EC3F12"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Motor Vehicle Inspection System </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16B36255" w14:textId="77777777" w:rsidR="00EC3F12" w:rsidRPr="00971AFD" w:rsidRDefault="00EC3F12"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Submitted but not approved</w:t>
            </w:r>
          </w:p>
        </w:tc>
        <w:tc>
          <w:tcPr>
            <w:tcW w:w="1985" w:type="dxa"/>
            <w:tcBorders>
              <w:top w:val="single" w:sz="4" w:space="0" w:color="0070C0"/>
              <w:left w:val="single" w:sz="4" w:space="0" w:color="0070C0"/>
              <w:bottom w:val="nil"/>
              <w:right w:val="single" w:sz="4" w:space="0" w:color="0070C0"/>
            </w:tcBorders>
            <w:shd w:val="clear" w:color="auto" w:fill="auto"/>
            <w:hideMark/>
          </w:tcPr>
          <w:p w14:paraId="7AD023C1" w14:textId="77777777" w:rsidR="00EC3F12" w:rsidRPr="00971AFD" w:rsidRDefault="00EC3F12"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Project preparation and transaction advisory</w:t>
            </w: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1DF88AE4" w14:textId="77777777" w:rsidR="00EC3F12" w:rsidRPr="00971AFD" w:rsidRDefault="00EC3F12"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CPCS Transcom (Canada), Development Equity Initiatives (USA), and Infrastructure Development Finance Company (India)</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Cruz Marcelo &amp; Tenefrancia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CPCS Transcom (Canada), Lufthansa Consulting GmbH (Germany), CFP Strategic Advisors (Philippines), Orient Integrated Development Consultants (Philippines), and Philkoei International (Philippines)</w:t>
            </w:r>
          </w:p>
        </w:tc>
      </w:tr>
      <w:tr w:rsidR="00EC3F12" w:rsidRPr="00971AFD" w14:paraId="13A66D7B" w14:textId="77777777" w:rsidTr="005E5409">
        <w:trPr>
          <w:trHeight w:val="870"/>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0070C0"/>
              <w:bottom w:val="nil"/>
              <w:right w:val="single" w:sz="4" w:space="0" w:color="0070C0"/>
            </w:tcBorders>
            <w:shd w:val="clear" w:color="auto" w:fill="auto"/>
            <w:hideMark/>
          </w:tcPr>
          <w:p w14:paraId="6F669BFC" w14:textId="77777777" w:rsidR="00EC3F12" w:rsidRPr="00971AFD" w:rsidRDefault="00EC3F12"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4E7AFBF8" w14:textId="56EC63E1" w:rsidR="00EC3F12" w:rsidRPr="00971AFD" w:rsidRDefault="00EC3F12"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Integrated Transport System -North</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5F2148CF" w14:textId="77777777" w:rsidR="00EC3F12" w:rsidRPr="00971AFD" w:rsidRDefault="00EC3F12"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FS completed</w:t>
            </w:r>
          </w:p>
        </w:tc>
        <w:tc>
          <w:tcPr>
            <w:tcW w:w="1985" w:type="dxa"/>
            <w:tcBorders>
              <w:top w:val="nil"/>
              <w:left w:val="single" w:sz="4" w:space="0" w:color="0070C0"/>
              <w:bottom w:val="nil"/>
              <w:right w:val="single" w:sz="4" w:space="0" w:color="0070C0"/>
            </w:tcBorders>
            <w:shd w:val="clear" w:color="auto" w:fill="auto"/>
            <w:hideMark/>
          </w:tcPr>
          <w:p w14:paraId="1AF326BC" w14:textId="77777777" w:rsidR="00EC3F12" w:rsidRPr="00971AFD" w:rsidRDefault="00EC3F12"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7D21C599" w14:textId="77777777" w:rsidR="00EC3F12" w:rsidRPr="00971AFD" w:rsidRDefault="00EC3F12"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Feedback Infra (India)</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GHK Consulting (UK)</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GHK Consulting (UK)</w:t>
            </w:r>
          </w:p>
        </w:tc>
      </w:tr>
      <w:tr w:rsidR="00EC3F12" w:rsidRPr="00971AFD" w14:paraId="5F64F699" w14:textId="77777777" w:rsidTr="005E5409">
        <w:trPr>
          <w:cnfStyle w:val="000000100000" w:firstRow="0" w:lastRow="0" w:firstColumn="0" w:lastColumn="0" w:oddVBand="0" w:evenVBand="0" w:oddHBand="1" w:evenHBand="0" w:firstRowFirstColumn="0" w:firstRowLastColumn="0" w:lastRowFirstColumn="0" w:lastRowLastColumn="0"/>
          <w:trHeight w:val="1938"/>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0070C0"/>
              <w:bottom w:val="nil"/>
              <w:right w:val="single" w:sz="4" w:space="0" w:color="0070C0"/>
            </w:tcBorders>
            <w:shd w:val="clear" w:color="auto" w:fill="auto"/>
            <w:hideMark/>
          </w:tcPr>
          <w:p w14:paraId="72C2B490" w14:textId="77777777" w:rsidR="00EC3F12" w:rsidRPr="00971AFD" w:rsidRDefault="00EC3F12"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3295F0F3" w14:textId="45C09EFB" w:rsidR="00EC3F12" w:rsidRPr="00971AFD" w:rsidRDefault="00EC3F12"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Manila Bay-Pasig/Marikina River-Laguna Lake Ferry System </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3D495ED6" w14:textId="77777777" w:rsidR="00EC3F12" w:rsidRPr="00971AFD" w:rsidRDefault="00EC3F12"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FS completed</w:t>
            </w:r>
          </w:p>
        </w:tc>
        <w:tc>
          <w:tcPr>
            <w:tcW w:w="1985" w:type="dxa"/>
            <w:tcBorders>
              <w:top w:val="nil"/>
              <w:left w:val="single" w:sz="4" w:space="0" w:color="0070C0"/>
              <w:bottom w:val="nil"/>
              <w:right w:val="single" w:sz="4" w:space="0" w:color="0070C0"/>
            </w:tcBorders>
            <w:shd w:val="clear" w:color="auto" w:fill="auto"/>
            <w:hideMark/>
          </w:tcPr>
          <w:p w14:paraId="42C8194D" w14:textId="77777777" w:rsidR="00EC3F12" w:rsidRPr="00971AFD" w:rsidRDefault="00EC3F12"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117F657C" w14:textId="77777777" w:rsidR="00EC3F12" w:rsidRPr="00971AFD" w:rsidRDefault="00EC3F12"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CPCS Transcom (Canada), Development Equity Initiatives (USA), and Infrastructure Development Finance Company (India)</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CPCS Transcom (Canada) and Orient Integrated Development Consultants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CPCS Transcom (Canada), Lufthansa Consulting GmbH (Germany), Orient Integrated Development Consultants (Philippines), and Philkoei International (Philippines)</w:t>
            </w:r>
          </w:p>
        </w:tc>
      </w:tr>
      <w:tr w:rsidR="005E5409" w:rsidRPr="00971AFD" w14:paraId="31E1004F" w14:textId="77777777" w:rsidTr="005E5409">
        <w:trPr>
          <w:trHeight w:val="1271"/>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0070C0"/>
              <w:bottom w:val="single" w:sz="4" w:space="0" w:color="0070C0"/>
              <w:right w:val="single" w:sz="4" w:space="0" w:color="0070C0"/>
            </w:tcBorders>
            <w:shd w:val="clear" w:color="auto" w:fill="auto"/>
            <w:hideMark/>
          </w:tcPr>
          <w:p w14:paraId="3F554065" w14:textId="77777777" w:rsidR="00EC3F12" w:rsidRPr="00971AFD" w:rsidRDefault="00EC3F12"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44944359" w14:textId="099FE0C6" w:rsidR="00EC3F12" w:rsidRPr="00971AFD" w:rsidRDefault="00EC3F12"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Clark International Airport </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06E89350" w14:textId="77777777" w:rsidR="00EC3F12" w:rsidRPr="00971AFD" w:rsidRDefault="00EC3F12"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FS completed</w:t>
            </w:r>
          </w:p>
        </w:tc>
        <w:tc>
          <w:tcPr>
            <w:tcW w:w="1985" w:type="dxa"/>
            <w:tcBorders>
              <w:top w:val="nil"/>
              <w:left w:val="single" w:sz="4" w:space="0" w:color="0070C0"/>
              <w:bottom w:val="single" w:sz="4" w:space="0" w:color="0070C0"/>
              <w:right w:val="single" w:sz="4" w:space="0" w:color="0070C0"/>
            </w:tcBorders>
            <w:shd w:val="clear" w:color="auto" w:fill="auto"/>
            <w:hideMark/>
          </w:tcPr>
          <w:p w14:paraId="23681FB5" w14:textId="77777777" w:rsidR="00EC3F12" w:rsidRPr="00971AFD" w:rsidRDefault="00EC3F12"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6C952CB5" w14:textId="77777777" w:rsidR="00EC3F12" w:rsidRPr="00971AFD" w:rsidRDefault="00EC3F12"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Deloitte (India) and SPACEM Design &amp; Associates (Philippines) </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DLA Piper (Australia) and Tantoco Villanueva De Guzman &amp; Llamas Law Offices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Deloitte (India), Landrum &amp; Brown Worldwide Services (Australia), SPACEM Design &amp; Associates (Philippines), and Binary Life (UK)</w:t>
            </w:r>
          </w:p>
        </w:tc>
      </w:tr>
      <w:tr w:rsidR="005E5409" w:rsidRPr="00971AFD" w14:paraId="5BB25FFD" w14:textId="77777777" w:rsidTr="005E540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2E74B5" w:themeColor="accent1" w:themeShade="BF"/>
              <w:bottom w:val="nil"/>
              <w:right w:val="single" w:sz="4" w:space="0" w:color="0070C0"/>
            </w:tcBorders>
            <w:shd w:val="clear" w:color="auto" w:fill="auto"/>
            <w:hideMark/>
          </w:tcPr>
          <w:p w14:paraId="1FD5A78D" w14:textId="77777777" w:rsidR="00EC3F12" w:rsidRPr="00971AFD" w:rsidRDefault="00EC3F12"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lastRenderedPageBreak/>
              <w:t xml:space="preserve">Department of Public Works and Highways </w:t>
            </w: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62897F52" w14:textId="557EBA62" w:rsidR="00EC3F12" w:rsidRPr="00971AFD" w:rsidRDefault="00EC3F12"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Cavite-Laguna Expressway </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4FE66858" w14:textId="77777777" w:rsidR="00EC3F12" w:rsidRPr="00971AFD" w:rsidRDefault="00EC3F12"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Awarded</w:t>
            </w:r>
          </w:p>
        </w:tc>
        <w:tc>
          <w:tcPr>
            <w:tcW w:w="1985" w:type="dxa"/>
            <w:tcBorders>
              <w:top w:val="single" w:sz="4" w:space="0" w:color="0070C0"/>
              <w:left w:val="single" w:sz="4" w:space="0" w:color="0070C0"/>
              <w:bottom w:val="nil"/>
              <w:right w:val="single" w:sz="4" w:space="0" w:color="0070C0"/>
            </w:tcBorders>
            <w:shd w:val="clear" w:color="auto" w:fill="auto"/>
            <w:hideMark/>
          </w:tcPr>
          <w:p w14:paraId="553DE5F6" w14:textId="77777777" w:rsidR="00EC3F12" w:rsidRPr="00971AFD" w:rsidRDefault="00EC3F12"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Transaction advisory</w:t>
            </w: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42AC0115" w14:textId="77777777" w:rsidR="00EC3F12" w:rsidRPr="00971AFD" w:rsidRDefault="00EC3F12"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KPMG-Manabat Sanagustin &amp; Co. (Philippines) and KPMG (Australia)</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Allens Arthur Robinson (Australia) and ACCRALAW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 xml:space="preserve">Technical </w:t>
            </w:r>
            <w:r w:rsidRPr="00971AFD">
              <w:rPr>
                <w:rFonts w:ascii="Calibri" w:eastAsia="Times New Roman" w:hAnsi="Calibri" w:cs="Calibri"/>
                <w:color w:val="000000"/>
                <w:lang w:eastAsia="en-AU"/>
              </w:rPr>
              <w:t>- KPMG-Manabat Sanagustin &amp; Co. (Philippines) and PRIMEX (Philippines)</w:t>
            </w:r>
          </w:p>
        </w:tc>
      </w:tr>
      <w:tr w:rsidR="005E5409" w:rsidRPr="00971AFD" w14:paraId="4E8C96F8" w14:textId="77777777" w:rsidTr="005E5409">
        <w:trPr>
          <w:trHeight w:val="1160"/>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2E74B5" w:themeColor="accent1" w:themeShade="BF"/>
              <w:bottom w:val="single" w:sz="4" w:space="0" w:color="0070C0"/>
              <w:right w:val="single" w:sz="4" w:space="0" w:color="0070C0"/>
            </w:tcBorders>
            <w:shd w:val="clear" w:color="auto" w:fill="auto"/>
            <w:hideMark/>
          </w:tcPr>
          <w:p w14:paraId="6519532F" w14:textId="77777777" w:rsidR="00EC3F12" w:rsidRPr="00971AFD" w:rsidRDefault="00EC3F12"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17992FF5" w14:textId="77777777" w:rsidR="00EC3F12" w:rsidRPr="00971AFD" w:rsidRDefault="00EC3F12"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NLEx-SLEx Connector Road</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6AD18379" w14:textId="77777777" w:rsidR="00EC3F12" w:rsidRPr="00971AFD" w:rsidRDefault="00EC3F12"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Awarded</w:t>
            </w:r>
          </w:p>
        </w:tc>
        <w:tc>
          <w:tcPr>
            <w:tcW w:w="1985" w:type="dxa"/>
            <w:tcBorders>
              <w:top w:val="nil"/>
              <w:left w:val="single" w:sz="4" w:space="0" w:color="0070C0"/>
              <w:bottom w:val="single" w:sz="4" w:space="0" w:color="0070C0"/>
              <w:right w:val="single" w:sz="4" w:space="0" w:color="0070C0"/>
            </w:tcBorders>
            <w:shd w:val="clear" w:color="auto" w:fill="auto"/>
            <w:hideMark/>
          </w:tcPr>
          <w:p w14:paraId="02AD9F03" w14:textId="77777777" w:rsidR="00EC3F12" w:rsidRPr="00971AFD" w:rsidRDefault="00EC3F12"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59B9F8DA" w14:textId="19DE4E60" w:rsidR="00EC3F12" w:rsidRPr="00971AFD" w:rsidRDefault="00EC3F12"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Castalia Strategic Advisors (Australia) and Mazars Advisory (Australia)</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Follosco Morallos &amp; Herce (Philippines)</w:t>
            </w:r>
            <w:r w:rsidRPr="00971AFD">
              <w:rPr>
                <w:rFonts w:ascii="Calibri" w:eastAsia="Times New Roman" w:hAnsi="Calibri" w:cs="Calibri"/>
                <w:i/>
                <w:iCs/>
                <w:color w:val="000000"/>
                <w:lang w:eastAsia="en-AU"/>
              </w:rPr>
              <w:br/>
              <w:t>Technical</w:t>
            </w:r>
            <w:r w:rsidRPr="00971AFD">
              <w:rPr>
                <w:rFonts w:ascii="Calibri" w:eastAsia="Times New Roman" w:hAnsi="Calibri" w:cs="Calibri"/>
                <w:color w:val="000000"/>
                <w:lang w:eastAsia="en-AU"/>
              </w:rPr>
              <w:t xml:space="preserve"> - Aurecon Australia (Australia)</w:t>
            </w:r>
            <w:r>
              <w:rPr>
                <w:rFonts w:ascii="Calibri" w:eastAsia="Times New Roman" w:hAnsi="Calibri" w:cs="Calibri"/>
                <w:color w:val="000000"/>
                <w:lang w:eastAsia="en-AU"/>
              </w:rPr>
              <w:t xml:space="preserve"> </w:t>
            </w:r>
          </w:p>
        </w:tc>
      </w:tr>
      <w:tr w:rsidR="005B24AB" w:rsidRPr="00971AFD" w14:paraId="78551A52" w14:textId="77777777" w:rsidTr="005E5409">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0070C0"/>
              <w:bottom w:val="nil"/>
              <w:right w:val="single" w:sz="4" w:space="0" w:color="0070C0"/>
            </w:tcBorders>
            <w:shd w:val="clear" w:color="auto" w:fill="auto"/>
            <w:hideMark/>
          </w:tcPr>
          <w:p w14:paraId="0288756C" w14:textId="77777777" w:rsidR="005B24AB" w:rsidRPr="00971AFD" w:rsidRDefault="005B24AB"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Department of Public Works and Highways </w:t>
            </w: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480D7518" w14:textId="77777777"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Laguna Lakeshore Expressway Dike</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4751F0CA" w14:textId="77777777" w:rsidR="005B24AB" w:rsidRPr="00971AFD" w:rsidRDefault="005B24AB"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Approved but not awarded</w:t>
            </w:r>
          </w:p>
        </w:tc>
        <w:tc>
          <w:tcPr>
            <w:tcW w:w="1985" w:type="dxa"/>
            <w:tcBorders>
              <w:top w:val="single" w:sz="4" w:space="0" w:color="0070C0"/>
              <w:left w:val="single" w:sz="4" w:space="0" w:color="0070C0"/>
              <w:bottom w:val="single" w:sz="4" w:space="0" w:color="0070C0"/>
              <w:right w:val="single" w:sz="4" w:space="0" w:color="0070C0"/>
            </w:tcBorders>
            <w:shd w:val="clear" w:color="auto" w:fill="auto"/>
            <w:hideMark/>
          </w:tcPr>
          <w:p w14:paraId="2D8F4269" w14:textId="77777777" w:rsidR="005B24AB" w:rsidRPr="00971AFD" w:rsidRDefault="005B24AB"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Transaction advisory</w:t>
            </w:r>
          </w:p>
        </w:tc>
        <w:tc>
          <w:tcPr>
            <w:tcW w:w="7366" w:type="dxa"/>
            <w:tcBorders>
              <w:top w:val="single" w:sz="4" w:space="0" w:color="0070C0"/>
              <w:left w:val="single" w:sz="4" w:space="0" w:color="0070C0"/>
              <w:bottom w:val="single" w:sz="4" w:space="0" w:color="0070C0"/>
            </w:tcBorders>
            <w:shd w:val="clear" w:color="auto" w:fill="auto"/>
            <w:hideMark/>
          </w:tcPr>
          <w:p w14:paraId="6BF3857E" w14:textId="77777777"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Jones Day (USA)</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Puno &amp; Puno Law Offices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Engineering and Development Corporation (Philippines) and Jacobs Engineering Group (USA)</w:t>
            </w:r>
          </w:p>
        </w:tc>
      </w:tr>
      <w:tr w:rsidR="004E37A1" w:rsidRPr="00971AFD" w14:paraId="4680DD3A" w14:textId="77777777" w:rsidTr="005E5409">
        <w:trPr>
          <w:trHeight w:val="1051"/>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0070C0"/>
              <w:bottom w:val="nil"/>
              <w:right w:val="single" w:sz="4" w:space="0" w:color="0070C0"/>
            </w:tcBorders>
            <w:shd w:val="clear" w:color="auto" w:fill="auto"/>
            <w:hideMark/>
          </w:tcPr>
          <w:p w14:paraId="73DFBD30" w14:textId="77777777" w:rsidR="004E37A1" w:rsidRPr="00971AFD" w:rsidRDefault="004E37A1"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6969CEF3" w14:textId="77777777" w:rsidR="004E37A1" w:rsidRPr="00971AFD" w:rsidRDefault="004E37A1"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Plaridel By-Pass Toll Road</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1B352B81" w14:textId="77777777" w:rsidR="004E37A1" w:rsidRPr="00971AFD" w:rsidRDefault="004E37A1"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Submitted but not approved</w:t>
            </w:r>
          </w:p>
        </w:tc>
        <w:tc>
          <w:tcPr>
            <w:tcW w:w="1985" w:type="dxa"/>
            <w:tcBorders>
              <w:top w:val="single" w:sz="4" w:space="0" w:color="0070C0"/>
              <w:left w:val="single" w:sz="4" w:space="0" w:color="0070C0"/>
              <w:bottom w:val="nil"/>
              <w:right w:val="single" w:sz="4" w:space="0" w:color="0070C0"/>
            </w:tcBorders>
            <w:shd w:val="clear" w:color="auto" w:fill="auto"/>
            <w:hideMark/>
          </w:tcPr>
          <w:p w14:paraId="61D2A491" w14:textId="77777777" w:rsidR="004E37A1" w:rsidRPr="00971AFD" w:rsidRDefault="004E37A1"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Project preparation and transaction advisory</w:t>
            </w: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69002B0F" w14:textId="15D2BE40" w:rsidR="004E37A1" w:rsidRPr="00971AFD" w:rsidRDefault="004E37A1"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ITAC (Spain)</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 xml:space="preserve">Legal - </w:t>
            </w:r>
            <w:r w:rsidRPr="00971AFD">
              <w:rPr>
                <w:rFonts w:ascii="Calibri" w:eastAsia="Times New Roman" w:hAnsi="Calibri" w:cs="Calibri"/>
                <w:color w:val="000000"/>
                <w:lang w:eastAsia="en-AU"/>
              </w:rPr>
              <w:t>Brandt Chan &amp; Partners with Dentons HK LLP (Hongkong) and Romulo Mabanta Buenaventura Sayoc &amp; de los Angeles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ITAC (Spain) and GHD (Philippines and Australia)</w:t>
            </w:r>
          </w:p>
        </w:tc>
      </w:tr>
      <w:tr w:rsidR="004E37A1" w:rsidRPr="00971AFD" w14:paraId="6189339E" w14:textId="77777777" w:rsidTr="005E5409">
        <w:trPr>
          <w:cnfStyle w:val="000000100000" w:firstRow="0" w:lastRow="0" w:firstColumn="0" w:lastColumn="0" w:oddVBand="0" w:evenVBand="0" w:oddHBand="1"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0070C0"/>
              <w:bottom w:val="nil"/>
              <w:right w:val="single" w:sz="4" w:space="0" w:color="0070C0"/>
            </w:tcBorders>
            <w:shd w:val="clear" w:color="auto" w:fill="auto"/>
            <w:hideMark/>
          </w:tcPr>
          <w:p w14:paraId="58B3E0CC" w14:textId="77777777" w:rsidR="004E37A1" w:rsidRPr="00971AFD" w:rsidRDefault="004E37A1"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07C3CD13" w14:textId="77777777" w:rsidR="004E37A1" w:rsidRPr="00971AFD" w:rsidRDefault="004E37A1"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Improvement/Rehabilitation of the Quirino Highway</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7D9F1902" w14:textId="77777777" w:rsidR="004E37A1" w:rsidRPr="00971AFD" w:rsidRDefault="004E37A1"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FS completed</w:t>
            </w:r>
          </w:p>
        </w:tc>
        <w:tc>
          <w:tcPr>
            <w:tcW w:w="1985" w:type="dxa"/>
            <w:tcBorders>
              <w:top w:val="nil"/>
              <w:left w:val="single" w:sz="4" w:space="0" w:color="0070C0"/>
              <w:bottom w:val="nil"/>
              <w:right w:val="single" w:sz="4" w:space="0" w:color="0070C0"/>
            </w:tcBorders>
            <w:shd w:val="clear" w:color="auto" w:fill="auto"/>
            <w:hideMark/>
          </w:tcPr>
          <w:p w14:paraId="5B8F4A06" w14:textId="77777777" w:rsidR="004E37A1" w:rsidRPr="00971AFD" w:rsidRDefault="004E37A1"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2317C264" w14:textId="77777777" w:rsidR="004E37A1" w:rsidRPr="00971AFD" w:rsidRDefault="004E37A1"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ICRA Management Consulting Services (India)</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Freelance expert</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International Technology Management Corporation (Philippines)</w:t>
            </w:r>
          </w:p>
        </w:tc>
      </w:tr>
      <w:tr w:rsidR="004E37A1" w:rsidRPr="00971AFD" w14:paraId="7FD3D198" w14:textId="77777777" w:rsidTr="005E5409">
        <w:trPr>
          <w:trHeight w:val="870"/>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0070C0"/>
              <w:bottom w:val="single" w:sz="4" w:space="0" w:color="0070C0"/>
              <w:right w:val="single" w:sz="4" w:space="0" w:color="0070C0"/>
            </w:tcBorders>
            <w:shd w:val="clear" w:color="auto" w:fill="auto"/>
            <w:hideMark/>
          </w:tcPr>
          <w:p w14:paraId="678E2490" w14:textId="77777777" w:rsidR="004E37A1" w:rsidRPr="00971AFD" w:rsidRDefault="004E37A1"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531DA54B" w14:textId="77777777" w:rsidR="004E37A1" w:rsidRPr="00971AFD" w:rsidRDefault="004E37A1"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Rehabilitation/Reconstruction/ Improvement, Operation and Maintenance of Kennon Road</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335B0730" w14:textId="77777777" w:rsidR="004E37A1" w:rsidRPr="00971AFD" w:rsidRDefault="004E37A1"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Ongoing</w:t>
            </w:r>
          </w:p>
        </w:tc>
        <w:tc>
          <w:tcPr>
            <w:tcW w:w="1985" w:type="dxa"/>
            <w:tcBorders>
              <w:top w:val="nil"/>
              <w:left w:val="single" w:sz="4" w:space="0" w:color="0070C0"/>
              <w:bottom w:val="single" w:sz="4" w:space="0" w:color="0070C0"/>
              <w:right w:val="single" w:sz="4" w:space="0" w:color="0070C0"/>
            </w:tcBorders>
            <w:shd w:val="clear" w:color="auto" w:fill="auto"/>
            <w:hideMark/>
          </w:tcPr>
          <w:p w14:paraId="462F8737" w14:textId="77777777" w:rsidR="004E37A1" w:rsidRPr="00971AFD" w:rsidRDefault="004E37A1"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28632D76" w14:textId="709FE573" w:rsidR="008801FC" w:rsidRPr="00971AFD" w:rsidRDefault="004E37A1" w:rsidP="008252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RebelGroup (Netherlands)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 xml:space="preserve">Legal </w:t>
            </w:r>
            <w:r w:rsidRPr="00971AFD">
              <w:rPr>
                <w:rFonts w:ascii="Calibri" w:eastAsia="Times New Roman" w:hAnsi="Calibri" w:cs="Calibri"/>
                <w:color w:val="000000"/>
                <w:lang w:eastAsia="en-AU"/>
              </w:rPr>
              <w:t>- PJS Law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 -</w:t>
            </w:r>
            <w:r w:rsidRPr="00971AFD">
              <w:rPr>
                <w:rFonts w:ascii="Calibri" w:eastAsia="Times New Roman" w:hAnsi="Calibri" w:cs="Calibri"/>
                <w:color w:val="000000"/>
                <w:lang w:eastAsia="en-AU"/>
              </w:rPr>
              <w:t xml:space="preserve"> Systra (Philippines)</w:t>
            </w:r>
          </w:p>
        </w:tc>
      </w:tr>
      <w:tr w:rsidR="005E5409" w:rsidRPr="00971AFD" w14:paraId="67B6532C" w14:textId="77777777" w:rsidTr="005E5409">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0070C0"/>
              <w:bottom w:val="nil"/>
              <w:right w:val="single" w:sz="4" w:space="0" w:color="0070C0"/>
            </w:tcBorders>
            <w:shd w:val="clear" w:color="auto" w:fill="auto"/>
            <w:hideMark/>
          </w:tcPr>
          <w:p w14:paraId="7C1CAA3A" w14:textId="77777777" w:rsidR="004E37A1" w:rsidRPr="00971AFD" w:rsidRDefault="004E37A1"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Metropolitan Waterworks and Sewerage System </w:t>
            </w: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72BB7691" w14:textId="79C1331D" w:rsidR="004E37A1" w:rsidRPr="00971AFD" w:rsidRDefault="004E37A1"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Bulacan Bulk Water Supply </w:t>
            </w:r>
          </w:p>
        </w:tc>
        <w:tc>
          <w:tcPr>
            <w:tcW w:w="1422" w:type="dxa"/>
            <w:tcBorders>
              <w:top w:val="single" w:sz="4" w:space="0" w:color="0070C0"/>
              <w:left w:val="single" w:sz="4" w:space="0" w:color="0070C0"/>
              <w:bottom w:val="single" w:sz="4" w:space="0" w:color="0070C0"/>
              <w:right w:val="single" w:sz="4" w:space="0" w:color="2E74B5" w:themeColor="accent1" w:themeShade="BF"/>
            </w:tcBorders>
            <w:shd w:val="clear" w:color="auto" w:fill="auto"/>
            <w:hideMark/>
          </w:tcPr>
          <w:p w14:paraId="1CC0907D" w14:textId="77777777" w:rsidR="004E37A1" w:rsidRPr="00971AFD" w:rsidRDefault="004E37A1"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Awarded</w:t>
            </w:r>
          </w:p>
        </w:tc>
        <w:tc>
          <w:tcPr>
            <w:tcW w:w="1985" w:type="dxa"/>
            <w:tcBorders>
              <w:top w:val="single" w:sz="4" w:space="0" w:color="0070C0"/>
              <w:left w:val="single" w:sz="4" w:space="0" w:color="2E74B5" w:themeColor="accent1" w:themeShade="BF"/>
              <w:bottom w:val="nil"/>
              <w:right w:val="single" w:sz="4" w:space="0" w:color="0070C0"/>
            </w:tcBorders>
            <w:shd w:val="clear" w:color="auto" w:fill="auto"/>
            <w:hideMark/>
          </w:tcPr>
          <w:p w14:paraId="2273CFF9" w14:textId="77777777" w:rsidR="004E37A1" w:rsidRPr="00971AFD" w:rsidRDefault="004E37A1"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Project preparation and transaction advisory</w:t>
            </w: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4FFE3EA6" w14:textId="77777777" w:rsidR="004E37A1" w:rsidRPr="00971AFD" w:rsidRDefault="004E37A1"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IMC Worldwide (UK)</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IMC Worldwide (UK) and freelance expert</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IMC Worldwide (UK), EMCCI (Philippines), and PRIMEX (Philippines)</w:t>
            </w:r>
          </w:p>
        </w:tc>
      </w:tr>
      <w:tr w:rsidR="005E5409" w:rsidRPr="00971AFD" w14:paraId="4E8D0317" w14:textId="77777777" w:rsidTr="005E5409">
        <w:trPr>
          <w:trHeight w:val="1160"/>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0070C0"/>
              <w:bottom w:val="nil"/>
              <w:right w:val="single" w:sz="4" w:space="0" w:color="0070C0"/>
            </w:tcBorders>
            <w:shd w:val="clear" w:color="auto" w:fill="auto"/>
            <w:hideMark/>
          </w:tcPr>
          <w:p w14:paraId="58A1BC43" w14:textId="77777777" w:rsidR="004E37A1" w:rsidRPr="00971AFD" w:rsidRDefault="004E37A1"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4FC04B27" w14:textId="03D2E6DC" w:rsidR="004E37A1" w:rsidRPr="00971AFD" w:rsidRDefault="004E37A1"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New Centennial Water Source </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1F0FF7D4" w14:textId="77777777" w:rsidR="004E37A1" w:rsidRPr="00971AFD" w:rsidRDefault="004E37A1"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Approved but not awarded</w:t>
            </w:r>
          </w:p>
        </w:tc>
        <w:tc>
          <w:tcPr>
            <w:tcW w:w="1985" w:type="dxa"/>
            <w:tcBorders>
              <w:top w:val="nil"/>
              <w:left w:val="single" w:sz="4" w:space="0" w:color="0070C0"/>
              <w:bottom w:val="single" w:sz="4" w:space="0" w:color="2E74B5" w:themeColor="accent1" w:themeShade="BF"/>
              <w:right w:val="single" w:sz="4" w:space="0" w:color="0070C0"/>
            </w:tcBorders>
            <w:shd w:val="clear" w:color="auto" w:fill="auto"/>
            <w:hideMark/>
          </w:tcPr>
          <w:p w14:paraId="42A33FA1" w14:textId="77777777" w:rsidR="004E37A1" w:rsidRPr="00971AFD" w:rsidRDefault="004E37A1"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0BCCE57F" w14:textId="77777777" w:rsidR="004E37A1" w:rsidRPr="00971AFD" w:rsidRDefault="004E37A1"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RebelGroup (Netherlands)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Clyde &amp; Co. (India) and PJS Law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Crisil Risk and Infrastructure Solutions (India) and Royal Haskoning (Netherlands)</w:t>
            </w:r>
          </w:p>
        </w:tc>
      </w:tr>
      <w:tr w:rsidR="005E5409" w:rsidRPr="00971AFD" w14:paraId="1DB7E1EB" w14:textId="77777777" w:rsidTr="005E5409">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0070C0"/>
              <w:bottom w:val="single" w:sz="4" w:space="0" w:color="0070C0"/>
              <w:right w:val="single" w:sz="4" w:space="0" w:color="0070C0"/>
            </w:tcBorders>
            <w:shd w:val="clear" w:color="auto" w:fill="auto"/>
            <w:hideMark/>
          </w:tcPr>
          <w:p w14:paraId="12BC6DEA" w14:textId="77777777" w:rsidR="004E37A1" w:rsidRPr="00971AFD" w:rsidRDefault="004E37A1"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61D15457" w14:textId="4CEF3B32" w:rsidR="004E37A1" w:rsidRPr="00971AFD" w:rsidRDefault="004E37A1"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Rehabilitation, Operation &amp; Maintenance of the Angat Hydro-Electric Power Plant Turbines 4&amp;5</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369D7F7F" w14:textId="77777777" w:rsidR="004E37A1" w:rsidRPr="00971AFD" w:rsidRDefault="004E37A1"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Approved but not awarded</w:t>
            </w:r>
          </w:p>
        </w:tc>
        <w:tc>
          <w:tcPr>
            <w:tcW w:w="1985" w:type="dxa"/>
            <w:tcBorders>
              <w:top w:val="single" w:sz="4" w:space="0" w:color="2E74B5" w:themeColor="accent1" w:themeShade="BF"/>
              <w:left w:val="single" w:sz="4" w:space="0" w:color="0070C0"/>
              <w:bottom w:val="single" w:sz="4" w:space="0" w:color="0070C0"/>
              <w:right w:val="single" w:sz="4" w:space="0" w:color="0070C0"/>
            </w:tcBorders>
            <w:shd w:val="clear" w:color="auto" w:fill="auto"/>
            <w:hideMark/>
          </w:tcPr>
          <w:p w14:paraId="53310892" w14:textId="77777777" w:rsidR="004E37A1" w:rsidRPr="00971AFD" w:rsidRDefault="004E37A1"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1B22B649" w14:textId="77777777" w:rsidR="004E37A1" w:rsidRPr="00971AFD" w:rsidRDefault="004E37A1"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RebelGroup (Netherlands)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Allen &amp; Overy (HK) and PJS Law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Crisil Risk and Infrastructure Solutions (India) and Royal Haskoning (Netherlands)</w:t>
            </w:r>
          </w:p>
        </w:tc>
      </w:tr>
      <w:tr w:rsidR="007841A3" w:rsidRPr="00971AFD" w14:paraId="2E66EBF3" w14:textId="77777777" w:rsidTr="005E5409">
        <w:trPr>
          <w:trHeight w:val="1160"/>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2E74B5" w:themeColor="accent1" w:themeShade="BF"/>
              <w:bottom w:val="nil"/>
              <w:right w:val="single" w:sz="4" w:space="0" w:color="0070C0"/>
            </w:tcBorders>
            <w:shd w:val="clear" w:color="auto" w:fill="auto"/>
            <w:hideMark/>
          </w:tcPr>
          <w:p w14:paraId="3262AE38" w14:textId="77777777" w:rsidR="007841A3" w:rsidRPr="00971AFD" w:rsidRDefault="007841A3"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Bases Conversion and Development Authority </w:t>
            </w: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0EC25684" w14:textId="02BCD957" w:rsidR="007841A3" w:rsidRPr="00971AFD" w:rsidRDefault="007841A3"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Clark International Airport Expansion - Engineering, Procurement and Construction </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507DB3F5" w14:textId="77777777" w:rsidR="007841A3" w:rsidRPr="00971AFD" w:rsidRDefault="007841A3"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Awarded</w:t>
            </w:r>
          </w:p>
        </w:tc>
        <w:tc>
          <w:tcPr>
            <w:tcW w:w="1985" w:type="dxa"/>
            <w:tcBorders>
              <w:top w:val="single" w:sz="4" w:space="0" w:color="0070C0"/>
              <w:left w:val="single" w:sz="4" w:space="0" w:color="0070C0"/>
              <w:bottom w:val="nil"/>
              <w:right w:val="single" w:sz="4" w:space="0" w:color="0070C0"/>
            </w:tcBorders>
            <w:shd w:val="clear" w:color="auto" w:fill="auto"/>
            <w:hideMark/>
          </w:tcPr>
          <w:p w14:paraId="016DAC14" w14:textId="77777777" w:rsidR="007841A3" w:rsidRPr="00971AFD" w:rsidRDefault="007841A3"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Independent consultancy</w:t>
            </w:r>
          </w:p>
        </w:tc>
        <w:tc>
          <w:tcPr>
            <w:tcW w:w="7366" w:type="dxa"/>
            <w:tcBorders>
              <w:top w:val="single" w:sz="4" w:space="0" w:color="0070C0"/>
              <w:left w:val="single" w:sz="4" w:space="0" w:color="0070C0"/>
              <w:bottom w:val="nil"/>
              <w:right w:val="single" w:sz="4" w:space="0" w:color="0070C0"/>
            </w:tcBorders>
            <w:shd w:val="clear" w:color="auto" w:fill="auto"/>
            <w:hideMark/>
          </w:tcPr>
          <w:p w14:paraId="676F2838" w14:textId="77777777" w:rsidR="007841A3" w:rsidRPr="00971AFD" w:rsidRDefault="007841A3"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DCCD Engineering Corporation (Philippines) and Egis Avia (France)</w:t>
            </w:r>
          </w:p>
        </w:tc>
      </w:tr>
      <w:tr w:rsidR="007841A3" w:rsidRPr="00971AFD" w14:paraId="3545DD5E" w14:textId="77777777" w:rsidTr="005E5409">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2E74B5" w:themeColor="accent1" w:themeShade="BF"/>
              <w:bottom w:val="nil"/>
              <w:right w:val="single" w:sz="4" w:space="0" w:color="0070C0"/>
            </w:tcBorders>
            <w:shd w:val="clear" w:color="auto" w:fill="auto"/>
            <w:hideMark/>
          </w:tcPr>
          <w:p w14:paraId="3D769508" w14:textId="77777777" w:rsidR="007841A3" w:rsidRPr="00971AFD" w:rsidRDefault="007841A3"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09401FE3" w14:textId="3E8E65D4" w:rsidR="007841A3" w:rsidRPr="00971AFD" w:rsidRDefault="007841A3"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Clark International Airport Expansion - Operations &amp; Maintenance </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7C1401FB" w14:textId="77777777" w:rsidR="007841A3" w:rsidRPr="00971AFD" w:rsidRDefault="007841A3"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Awarded</w:t>
            </w:r>
          </w:p>
        </w:tc>
        <w:tc>
          <w:tcPr>
            <w:tcW w:w="1985" w:type="dxa"/>
            <w:tcBorders>
              <w:top w:val="nil"/>
              <w:left w:val="single" w:sz="4" w:space="0" w:color="0070C0"/>
              <w:bottom w:val="single" w:sz="4" w:space="0" w:color="0070C0"/>
              <w:right w:val="single" w:sz="4" w:space="0" w:color="0070C0"/>
            </w:tcBorders>
            <w:shd w:val="clear" w:color="auto" w:fill="auto"/>
            <w:hideMark/>
          </w:tcPr>
          <w:p w14:paraId="269CF511" w14:textId="77777777" w:rsidR="007841A3" w:rsidRPr="00971AFD" w:rsidRDefault="007841A3"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nil"/>
              <w:left w:val="single" w:sz="4" w:space="0" w:color="0070C0"/>
              <w:bottom w:val="single" w:sz="4" w:space="0" w:color="0070C0"/>
              <w:right w:val="single" w:sz="4" w:space="0" w:color="0070C0"/>
            </w:tcBorders>
            <w:shd w:val="clear" w:color="auto" w:fill="auto"/>
            <w:hideMark/>
          </w:tcPr>
          <w:p w14:paraId="6E7262D1" w14:textId="77777777" w:rsidR="007841A3" w:rsidRPr="00971AFD" w:rsidRDefault="007841A3"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7841A3" w:rsidRPr="00971AFD" w14:paraId="027B8EDB" w14:textId="77777777" w:rsidTr="005E5409">
        <w:trPr>
          <w:trHeight w:val="1160"/>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2E74B5" w:themeColor="accent1" w:themeShade="BF"/>
              <w:bottom w:val="single" w:sz="4" w:space="0" w:color="2E74B5" w:themeColor="accent1" w:themeShade="BF"/>
              <w:right w:val="single" w:sz="4" w:space="0" w:color="0070C0"/>
            </w:tcBorders>
            <w:shd w:val="clear" w:color="auto" w:fill="auto"/>
            <w:hideMark/>
          </w:tcPr>
          <w:p w14:paraId="544A3949" w14:textId="77777777" w:rsidR="007841A3" w:rsidRPr="00971AFD" w:rsidRDefault="007841A3"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3E849311" w14:textId="77777777" w:rsidR="007841A3" w:rsidRPr="00971AFD" w:rsidRDefault="007841A3"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Upgrading of the San Fernando Airport</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7F0ABC14" w14:textId="77777777" w:rsidR="007841A3" w:rsidRPr="00971AFD" w:rsidRDefault="007841A3"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FS completed</w:t>
            </w:r>
          </w:p>
        </w:tc>
        <w:tc>
          <w:tcPr>
            <w:tcW w:w="1985" w:type="dxa"/>
            <w:tcBorders>
              <w:top w:val="single" w:sz="4" w:space="0" w:color="0070C0"/>
              <w:left w:val="single" w:sz="4" w:space="0" w:color="0070C0"/>
              <w:bottom w:val="single" w:sz="4" w:space="0" w:color="0070C0"/>
              <w:right w:val="single" w:sz="4" w:space="0" w:color="0070C0"/>
            </w:tcBorders>
            <w:shd w:val="clear" w:color="auto" w:fill="auto"/>
            <w:hideMark/>
          </w:tcPr>
          <w:p w14:paraId="59DE415A" w14:textId="77777777" w:rsidR="007841A3" w:rsidRPr="00971AFD" w:rsidRDefault="007841A3"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Project preparation and transaction advisory</w:t>
            </w: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3E7DFDBA" w14:textId="60196DBD" w:rsidR="008801FC" w:rsidRPr="00971AFD" w:rsidRDefault="007841A3" w:rsidP="008252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RebelGroup (Netherlands)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Allen &amp; Overy (HK) and PJS Law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Crisil Risk and Infrastructure Solutions (India) and Royal Haskoning (Netherlands)</w:t>
            </w:r>
          </w:p>
        </w:tc>
      </w:tr>
      <w:tr w:rsidR="007841A3" w:rsidRPr="00971AFD" w14:paraId="62C47A6F" w14:textId="77777777" w:rsidTr="005E5409">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2E74B5" w:themeColor="accent1" w:themeShade="BF"/>
              <w:left w:val="single" w:sz="4" w:space="0" w:color="2E74B5" w:themeColor="accent1" w:themeShade="BF"/>
              <w:bottom w:val="single" w:sz="4" w:space="0" w:color="0070C0"/>
              <w:right w:val="single" w:sz="4" w:space="0" w:color="0070C0"/>
            </w:tcBorders>
            <w:shd w:val="clear" w:color="auto" w:fill="auto"/>
            <w:hideMark/>
          </w:tcPr>
          <w:p w14:paraId="59242992" w14:textId="77777777" w:rsidR="007841A3" w:rsidRPr="00971AFD" w:rsidRDefault="007841A3"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Department of Education </w:t>
            </w: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5B5BA0DA" w14:textId="77E55D30" w:rsidR="007841A3" w:rsidRPr="00971AFD" w:rsidRDefault="007841A3"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PPP for School Infrastructure Project Phase 1</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6536C1BB" w14:textId="77777777" w:rsidR="007841A3" w:rsidRPr="00971AFD" w:rsidRDefault="007841A3"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Awarded</w:t>
            </w:r>
          </w:p>
        </w:tc>
        <w:tc>
          <w:tcPr>
            <w:tcW w:w="1985" w:type="dxa"/>
            <w:tcBorders>
              <w:top w:val="single" w:sz="4" w:space="0" w:color="0070C0"/>
              <w:left w:val="single" w:sz="4" w:space="0" w:color="0070C0"/>
              <w:bottom w:val="nil"/>
              <w:right w:val="single" w:sz="4" w:space="0" w:color="0070C0"/>
            </w:tcBorders>
            <w:shd w:val="clear" w:color="auto" w:fill="auto"/>
            <w:hideMark/>
          </w:tcPr>
          <w:p w14:paraId="00B30A6A" w14:textId="77777777" w:rsidR="007841A3" w:rsidRPr="00971AFD" w:rsidRDefault="007841A3"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Transaction advisory</w:t>
            </w: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6FA33210" w14:textId="77777777" w:rsidR="007841A3" w:rsidRPr="00971AFD" w:rsidRDefault="007841A3"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EY (Australia) and EY-SGV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Ashurst LLP (Singapore) and ACCRALAW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 xml:space="preserve">Technical </w:t>
            </w:r>
            <w:r w:rsidRPr="00971AFD">
              <w:rPr>
                <w:rFonts w:ascii="Calibri" w:eastAsia="Times New Roman" w:hAnsi="Calibri" w:cs="Calibri"/>
                <w:color w:val="000000"/>
                <w:lang w:eastAsia="en-AU"/>
              </w:rPr>
              <w:t>- EY-SGV (Philippines)</w:t>
            </w:r>
          </w:p>
        </w:tc>
      </w:tr>
      <w:tr w:rsidR="007841A3" w:rsidRPr="00971AFD" w14:paraId="54F5188A" w14:textId="77777777" w:rsidTr="005E5409">
        <w:trPr>
          <w:trHeight w:val="870"/>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0070C0"/>
              <w:bottom w:val="single" w:sz="4" w:space="0" w:color="2E74B5" w:themeColor="accent1" w:themeShade="BF"/>
              <w:right w:val="single" w:sz="4" w:space="0" w:color="0070C0"/>
            </w:tcBorders>
            <w:shd w:val="clear" w:color="auto" w:fill="auto"/>
            <w:hideMark/>
          </w:tcPr>
          <w:p w14:paraId="2699EBFD" w14:textId="77777777" w:rsidR="007841A3" w:rsidRPr="00971AFD" w:rsidRDefault="007841A3"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79FEFF74" w14:textId="3534FF36" w:rsidR="007841A3" w:rsidRPr="00971AFD" w:rsidRDefault="007841A3"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PPP for School Infrastructure Project Phase 2</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469B0E56" w14:textId="77777777" w:rsidR="007841A3" w:rsidRPr="00971AFD" w:rsidRDefault="007841A3"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Awarded</w:t>
            </w:r>
          </w:p>
        </w:tc>
        <w:tc>
          <w:tcPr>
            <w:tcW w:w="1985" w:type="dxa"/>
            <w:tcBorders>
              <w:top w:val="nil"/>
              <w:left w:val="single" w:sz="4" w:space="0" w:color="0070C0"/>
              <w:bottom w:val="single" w:sz="4" w:space="0" w:color="0070C0"/>
              <w:right w:val="single" w:sz="4" w:space="0" w:color="0070C0"/>
            </w:tcBorders>
            <w:shd w:val="clear" w:color="auto" w:fill="auto"/>
            <w:hideMark/>
          </w:tcPr>
          <w:p w14:paraId="4581C332" w14:textId="77777777" w:rsidR="007841A3" w:rsidRPr="00971AFD" w:rsidRDefault="007841A3"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1E2A39B8" w14:textId="77777777" w:rsidR="007841A3" w:rsidRPr="00971AFD" w:rsidRDefault="007841A3"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IMC Worldwide (UK)</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IMC Worldwide (UK) and freelance expert</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IMC Worldwide (UK) and PRIMEX (Philippines)</w:t>
            </w:r>
          </w:p>
        </w:tc>
      </w:tr>
      <w:tr w:rsidR="005B24AB" w:rsidRPr="00971AFD" w14:paraId="729B67C9" w14:textId="77777777" w:rsidTr="005E5409">
        <w:trPr>
          <w:cnfStyle w:val="000000100000" w:firstRow="0" w:lastRow="0" w:firstColumn="0" w:lastColumn="0" w:oddVBand="0" w:evenVBand="0" w:oddHBand="1" w:evenHBand="0" w:firstRowFirstColumn="0" w:firstRowLastColumn="0" w:lastRowFirstColumn="0" w:lastRowLastColumn="0"/>
          <w:trHeight w:val="2010"/>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2E74B5" w:themeColor="accent1" w:themeShade="BF"/>
              <w:left w:val="single" w:sz="4" w:space="0" w:color="0070C0"/>
              <w:bottom w:val="single" w:sz="4" w:space="0" w:color="0070C0"/>
              <w:right w:val="single" w:sz="4" w:space="0" w:color="0070C0"/>
            </w:tcBorders>
            <w:shd w:val="clear" w:color="auto" w:fill="auto"/>
            <w:hideMark/>
          </w:tcPr>
          <w:p w14:paraId="59BB5806" w14:textId="77777777" w:rsidR="005B24AB" w:rsidRPr="00971AFD" w:rsidRDefault="005B24AB"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lastRenderedPageBreak/>
              <w:t xml:space="preserve">Philippine Statistics Authority </w:t>
            </w: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032CBB9F" w14:textId="4D2F8F5C"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Civil Registry System Information Technology - Phase II</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66266347" w14:textId="77777777" w:rsidR="005B24AB" w:rsidRPr="00971AFD" w:rsidRDefault="005B24AB"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Awarded</w:t>
            </w:r>
          </w:p>
        </w:tc>
        <w:tc>
          <w:tcPr>
            <w:tcW w:w="1985" w:type="dxa"/>
            <w:tcBorders>
              <w:top w:val="single" w:sz="4" w:space="0" w:color="0070C0"/>
              <w:left w:val="single" w:sz="4" w:space="0" w:color="0070C0"/>
              <w:bottom w:val="single" w:sz="4" w:space="0" w:color="0070C0"/>
              <w:right w:val="single" w:sz="4" w:space="0" w:color="0070C0"/>
            </w:tcBorders>
            <w:shd w:val="clear" w:color="auto" w:fill="auto"/>
            <w:hideMark/>
          </w:tcPr>
          <w:p w14:paraId="69BB948D" w14:textId="77777777" w:rsidR="005B24AB" w:rsidRPr="00971AFD" w:rsidRDefault="005B24AB"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Transaction advisory and independent consultancy</w:t>
            </w:r>
          </w:p>
        </w:tc>
        <w:tc>
          <w:tcPr>
            <w:tcW w:w="7366" w:type="dxa"/>
            <w:tcBorders>
              <w:top w:val="single" w:sz="4" w:space="0" w:color="0070C0"/>
              <w:left w:val="single" w:sz="4" w:space="0" w:color="0070C0"/>
              <w:bottom w:val="single" w:sz="4" w:space="0" w:color="0070C0"/>
            </w:tcBorders>
            <w:shd w:val="clear" w:color="auto" w:fill="auto"/>
            <w:hideMark/>
          </w:tcPr>
          <w:p w14:paraId="5C3EDC6F" w14:textId="77777777"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u w:val="single"/>
                <w:lang w:eastAsia="en-AU"/>
              </w:rPr>
              <w:t>Transaction advisory:</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PriceWaterhouseCoopers (PWC) (Singapore) and PWC-Isla Lipana &amp; Co.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Gatmaytan Yap Patacsil Gutierrez &amp; Protacio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PWC (India) and PWC-Isla Lipana &amp; Co. (Philippines)</w:t>
            </w:r>
            <w:r w:rsidRPr="00971AFD">
              <w:rPr>
                <w:rFonts w:ascii="Calibri" w:eastAsia="Times New Roman" w:hAnsi="Calibri" w:cs="Calibri"/>
                <w:color w:val="000000"/>
                <w:lang w:eastAsia="en-AU"/>
              </w:rPr>
              <w:br/>
            </w:r>
            <w:r w:rsidRPr="00971AFD">
              <w:rPr>
                <w:rFonts w:ascii="Calibri" w:eastAsia="Times New Roman" w:hAnsi="Calibri" w:cs="Calibri"/>
                <w:color w:val="000000"/>
                <w:u w:val="single"/>
                <w:lang w:eastAsia="en-AU"/>
              </w:rPr>
              <w:t>Independent consultancy:</w:t>
            </w:r>
            <w:r w:rsidRPr="00971AFD">
              <w:rPr>
                <w:rFonts w:ascii="Calibri" w:eastAsia="Times New Roman" w:hAnsi="Calibri" w:cs="Calibri"/>
                <w:color w:val="000000"/>
                <w:u w:val="single"/>
                <w:lang w:eastAsia="en-AU"/>
              </w:rPr>
              <w:br/>
            </w:r>
            <w:r w:rsidRPr="00971AFD">
              <w:rPr>
                <w:rFonts w:ascii="Calibri" w:eastAsia="Times New Roman" w:hAnsi="Calibri" w:cs="Calibri"/>
                <w:color w:val="000000"/>
                <w:lang w:eastAsia="en-AU"/>
              </w:rPr>
              <w:t>Eptisa Servicios de Ingenieria (Spain) and Eptisa (Philippines)</w:t>
            </w:r>
          </w:p>
        </w:tc>
      </w:tr>
      <w:tr w:rsidR="005B24AB" w:rsidRPr="00971AFD" w14:paraId="56AD6AF1" w14:textId="77777777" w:rsidTr="005E5409">
        <w:trPr>
          <w:trHeight w:val="841"/>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0070C0"/>
              <w:bottom w:val="single" w:sz="4" w:space="0" w:color="0070C0"/>
              <w:right w:val="single" w:sz="4" w:space="0" w:color="0070C0"/>
            </w:tcBorders>
            <w:shd w:val="clear" w:color="auto" w:fill="auto"/>
            <w:hideMark/>
          </w:tcPr>
          <w:p w14:paraId="4EE98593" w14:textId="77777777" w:rsidR="005B24AB" w:rsidRPr="00971AFD" w:rsidRDefault="005B24AB"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t>Department of Health</w:t>
            </w: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6FB64678" w14:textId="349BA6F9"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Modernization of the Philippine Orthopedic Center </w:t>
            </w:r>
          </w:p>
        </w:tc>
        <w:tc>
          <w:tcPr>
            <w:tcW w:w="1422" w:type="dxa"/>
            <w:tcBorders>
              <w:top w:val="single" w:sz="4" w:space="0" w:color="0070C0"/>
              <w:left w:val="single" w:sz="4" w:space="0" w:color="0070C0"/>
              <w:bottom w:val="single" w:sz="4" w:space="0" w:color="0070C0"/>
              <w:right w:val="single" w:sz="4" w:space="0" w:color="0070C0"/>
            </w:tcBorders>
            <w:shd w:val="clear" w:color="auto" w:fill="auto"/>
            <w:noWrap/>
            <w:hideMark/>
          </w:tcPr>
          <w:p w14:paraId="3EBA6347" w14:textId="77777777" w:rsidR="005B24AB" w:rsidRPr="00971AFD" w:rsidRDefault="005B24AB"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Awarded</w:t>
            </w:r>
          </w:p>
        </w:tc>
        <w:tc>
          <w:tcPr>
            <w:tcW w:w="1985" w:type="dxa"/>
            <w:tcBorders>
              <w:top w:val="single" w:sz="4" w:space="0" w:color="0070C0"/>
              <w:left w:val="single" w:sz="4" w:space="0" w:color="0070C0"/>
              <w:bottom w:val="single" w:sz="4" w:space="0" w:color="0070C0"/>
              <w:right w:val="single" w:sz="4" w:space="0" w:color="0070C0"/>
            </w:tcBorders>
            <w:shd w:val="clear" w:color="auto" w:fill="auto"/>
            <w:hideMark/>
          </w:tcPr>
          <w:p w14:paraId="0F7F7409" w14:textId="77777777" w:rsidR="005B24AB" w:rsidRPr="00971AFD" w:rsidRDefault="005B24AB"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Project preparation and transaction advisory</w:t>
            </w: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27933D8F" w14:textId="77777777"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Deloitte (India)</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Classis Law (India) and PJS Law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Technecon Healthcare (India), Kapoor and Associates (India), DCCD Engineering Corporation (Philippines), and Techteam Solutions (Philippines)</w:t>
            </w:r>
          </w:p>
        </w:tc>
      </w:tr>
      <w:tr w:rsidR="005B24AB" w:rsidRPr="00971AFD" w14:paraId="7B965393" w14:textId="77777777" w:rsidTr="005E5409">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0070C0"/>
              <w:bottom w:val="single" w:sz="4" w:space="0" w:color="0070C0"/>
              <w:right w:val="single" w:sz="4" w:space="0" w:color="0070C0"/>
            </w:tcBorders>
            <w:shd w:val="clear" w:color="auto" w:fill="auto"/>
            <w:hideMark/>
          </w:tcPr>
          <w:p w14:paraId="55EC9124" w14:textId="77777777" w:rsidR="005B24AB" w:rsidRPr="00971AFD" w:rsidRDefault="005B24AB"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Department of Agriculture </w:t>
            </w: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6F88FA00" w14:textId="77777777"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Establishment of Cold Chain Facilities Covering Strategic Areas in the Philippines</w:t>
            </w:r>
          </w:p>
        </w:tc>
        <w:tc>
          <w:tcPr>
            <w:tcW w:w="1422" w:type="dxa"/>
            <w:tcBorders>
              <w:top w:val="single" w:sz="4" w:space="0" w:color="0070C0"/>
              <w:left w:val="single" w:sz="4" w:space="0" w:color="0070C0"/>
              <w:bottom w:val="single" w:sz="4" w:space="0" w:color="0070C0"/>
              <w:right w:val="single" w:sz="4" w:space="0" w:color="0070C0"/>
            </w:tcBorders>
            <w:shd w:val="clear" w:color="auto" w:fill="auto"/>
            <w:noWrap/>
            <w:hideMark/>
          </w:tcPr>
          <w:p w14:paraId="74EBCFBA" w14:textId="77777777" w:rsidR="005B24AB" w:rsidRPr="00971AFD" w:rsidRDefault="005B24AB"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FS completed</w:t>
            </w:r>
          </w:p>
        </w:tc>
        <w:tc>
          <w:tcPr>
            <w:tcW w:w="1985" w:type="dxa"/>
            <w:tcBorders>
              <w:top w:val="single" w:sz="4" w:space="0" w:color="0070C0"/>
              <w:left w:val="single" w:sz="4" w:space="0" w:color="0070C0"/>
              <w:bottom w:val="single" w:sz="4" w:space="0" w:color="0070C0"/>
              <w:right w:val="single" w:sz="4" w:space="0" w:color="0070C0"/>
            </w:tcBorders>
            <w:shd w:val="clear" w:color="auto" w:fill="auto"/>
            <w:hideMark/>
          </w:tcPr>
          <w:p w14:paraId="158D0AFC" w14:textId="77777777" w:rsidR="005B24AB" w:rsidRPr="00971AFD" w:rsidRDefault="005B24AB"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Project preparation and transaction advisory</w:t>
            </w:r>
          </w:p>
        </w:tc>
        <w:tc>
          <w:tcPr>
            <w:tcW w:w="7366" w:type="dxa"/>
            <w:tcBorders>
              <w:top w:val="single" w:sz="4" w:space="0" w:color="0070C0"/>
              <w:left w:val="single" w:sz="4" w:space="0" w:color="0070C0"/>
              <w:bottom w:val="single" w:sz="4" w:space="0" w:color="0070C0"/>
            </w:tcBorders>
            <w:shd w:val="clear" w:color="auto" w:fill="auto"/>
            <w:hideMark/>
          </w:tcPr>
          <w:p w14:paraId="5EEB1520" w14:textId="77777777"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PWC (Singapore and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Hogan Lovells (Singapore)</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PWC (Singapore and Philippines)</w:t>
            </w:r>
          </w:p>
        </w:tc>
      </w:tr>
      <w:tr w:rsidR="005B24AB" w:rsidRPr="00971AFD" w14:paraId="7063CC43" w14:textId="77777777" w:rsidTr="005E5409">
        <w:trPr>
          <w:trHeight w:val="868"/>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0070C0"/>
              <w:bottom w:val="single" w:sz="4" w:space="0" w:color="0070C0"/>
              <w:right w:val="single" w:sz="4" w:space="0" w:color="0070C0"/>
            </w:tcBorders>
            <w:shd w:val="clear" w:color="auto" w:fill="auto"/>
            <w:hideMark/>
          </w:tcPr>
          <w:p w14:paraId="51111E45" w14:textId="77777777" w:rsidR="005B24AB" w:rsidRPr="00971AFD" w:rsidRDefault="005B24AB"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Department of Justice </w:t>
            </w: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18C31E40" w14:textId="52615D2C"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Regional Prison Facilities</w:t>
            </w:r>
            <w:r w:rsidR="00BC2033">
              <w:rPr>
                <w:rFonts w:ascii="Calibri" w:eastAsia="Times New Roman" w:hAnsi="Calibri" w:cs="Calibri"/>
                <w:color w:val="000000"/>
                <w:lang w:eastAsia="en-AU"/>
              </w:rPr>
              <w:t xml:space="preserve"> </w:t>
            </w:r>
            <w:r w:rsidRPr="00971AFD">
              <w:rPr>
                <w:rFonts w:ascii="Calibri" w:eastAsia="Times New Roman" w:hAnsi="Calibri" w:cs="Calibri"/>
                <w:color w:val="000000"/>
                <w:lang w:eastAsia="en-AU"/>
              </w:rPr>
              <w:t>through PPP</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106C4748" w14:textId="77777777" w:rsidR="005B24AB" w:rsidRPr="00971AFD" w:rsidRDefault="005B24AB"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Approved but not awarded</w:t>
            </w:r>
          </w:p>
        </w:tc>
        <w:tc>
          <w:tcPr>
            <w:tcW w:w="1985" w:type="dxa"/>
            <w:tcBorders>
              <w:top w:val="single" w:sz="4" w:space="0" w:color="0070C0"/>
              <w:left w:val="single" w:sz="4" w:space="0" w:color="0070C0"/>
              <w:bottom w:val="single" w:sz="4" w:space="0" w:color="0070C0"/>
              <w:right w:val="single" w:sz="4" w:space="0" w:color="0070C0"/>
            </w:tcBorders>
            <w:shd w:val="clear" w:color="auto" w:fill="auto"/>
            <w:hideMark/>
          </w:tcPr>
          <w:p w14:paraId="24F75A51" w14:textId="77777777" w:rsidR="005B24AB" w:rsidRPr="00971AFD" w:rsidRDefault="005B24AB"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Project preparation and transaction advisory</w:t>
            </w: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4050A201" w14:textId="77777777"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RebelGroup (Netherlands)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Allen &amp; Overy (HK) and PJS Law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Crisil Risk and Infrastructure Solutions (India) and Royal Haskoning (Netherlands)</w:t>
            </w:r>
          </w:p>
        </w:tc>
      </w:tr>
      <w:tr w:rsidR="005B24AB" w:rsidRPr="00971AFD" w14:paraId="035DAE53" w14:textId="77777777" w:rsidTr="005E5409">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0070C0"/>
              <w:bottom w:val="single" w:sz="4" w:space="0" w:color="0070C0"/>
              <w:right w:val="single" w:sz="4" w:space="0" w:color="0070C0"/>
            </w:tcBorders>
            <w:shd w:val="clear" w:color="auto" w:fill="auto"/>
            <w:hideMark/>
          </w:tcPr>
          <w:p w14:paraId="3FA0269E" w14:textId="77777777" w:rsidR="005B24AB" w:rsidRPr="00971AFD" w:rsidRDefault="005B24AB"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Philippine National Oil Company </w:t>
            </w: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7DF65409" w14:textId="77777777"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Batangas-Manila Natural Gas Pipeline I (BatMan I)</w:t>
            </w:r>
          </w:p>
        </w:tc>
        <w:tc>
          <w:tcPr>
            <w:tcW w:w="1422" w:type="dxa"/>
            <w:tcBorders>
              <w:top w:val="single" w:sz="4" w:space="0" w:color="0070C0"/>
              <w:left w:val="single" w:sz="4" w:space="0" w:color="0070C0"/>
              <w:bottom w:val="single" w:sz="4" w:space="0" w:color="0070C0"/>
              <w:right w:val="single" w:sz="4" w:space="0" w:color="0070C0"/>
            </w:tcBorders>
            <w:shd w:val="clear" w:color="auto" w:fill="auto"/>
            <w:hideMark/>
          </w:tcPr>
          <w:p w14:paraId="6E02D8E6" w14:textId="77777777" w:rsidR="005B24AB" w:rsidRPr="00971AFD" w:rsidRDefault="005B24AB"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Submitted but not approved</w:t>
            </w:r>
          </w:p>
        </w:tc>
        <w:tc>
          <w:tcPr>
            <w:tcW w:w="1985" w:type="dxa"/>
            <w:tcBorders>
              <w:top w:val="single" w:sz="4" w:space="0" w:color="0070C0"/>
              <w:left w:val="single" w:sz="4" w:space="0" w:color="0070C0"/>
              <w:bottom w:val="single" w:sz="4" w:space="0" w:color="2E74B5" w:themeColor="accent1" w:themeShade="BF"/>
            </w:tcBorders>
            <w:shd w:val="clear" w:color="auto" w:fill="auto"/>
            <w:hideMark/>
          </w:tcPr>
          <w:p w14:paraId="7E47E4AA" w14:textId="77777777" w:rsidR="005B24AB" w:rsidRPr="00971AFD" w:rsidRDefault="005B24AB"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Project preparation and transaction advisory</w:t>
            </w:r>
          </w:p>
        </w:tc>
        <w:tc>
          <w:tcPr>
            <w:tcW w:w="7366" w:type="dxa"/>
            <w:tcBorders>
              <w:top w:val="single" w:sz="4" w:space="0" w:color="0070C0"/>
              <w:bottom w:val="single" w:sz="4" w:space="0" w:color="2E74B5" w:themeColor="accent1" w:themeShade="BF"/>
            </w:tcBorders>
            <w:shd w:val="clear" w:color="auto" w:fill="auto"/>
            <w:hideMark/>
          </w:tcPr>
          <w:p w14:paraId="271C4A5E" w14:textId="6710C61D"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w:t>
            </w:r>
            <w:r w:rsidR="0030039E">
              <w:rPr>
                <w:rFonts w:ascii="Calibri" w:eastAsia="Times New Roman" w:hAnsi="Calibri" w:cs="Calibri"/>
                <w:color w:val="000000"/>
                <w:lang w:eastAsia="en-AU"/>
              </w:rPr>
              <w:t>–</w:t>
            </w:r>
            <w:r w:rsidRPr="00971AFD">
              <w:rPr>
                <w:rFonts w:ascii="Calibri" w:eastAsia="Times New Roman" w:hAnsi="Calibri" w:cs="Calibri"/>
                <w:color w:val="000000"/>
                <w:lang w:eastAsia="en-AU"/>
              </w:rPr>
              <w:t xml:space="preserve"> Rebel</w:t>
            </w:r>
            <w:r w:rsidR="0030039E">
              <w:rPr>
                <w:rFonts w:ascii="Calibri" w:eastAsia="Times New Roman" w:hAnsi="Calibri" w:cs="Calibri"/>
                <w:color w:val="000000"/>
                <w:lang w:eastAsia="en-AU"/>
              </w:rPr>
              <w:t xml:space="preserve"> </w:t>
            </w:r>
            <w:r w:rsidRPr="00971AFD">
              <w:rPr>
                <w:rFonts w:ascii="Calibri" w:eastAsia="Times New Roman" w:hAnsi="Calibri" w:cs="Calibri"/>
                <w:color w:val="000000"/>
                <w:lang w:eastAsia="en-AU"/>
              </w:rPr>
              <w:t>Group (Netherlands)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Allen &amp; Overy (HK) and PJS Law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Crisil Risk and Infrastructure Solutions (India), Tractebel Engineering (Philippines), and Royal Haskoning (Netherlands)</w:t>
            </w:r>
          </w:p>
        </w:tc>
      </w:tr>
      <w:tr w:rsidR="00F75FB7" w:rsidRPr="00971AFD" w14:paraId="1475DBE6" w14:textId="77777777" w:rsidTr="005E5409">
        <w:trPr>
          <w:trHeight w:val="530"/>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2E74B5" w:themeColor="accent1" w:themeShade="BF"/>
              <w:bottom w:val="nil"/>
              <w:right w:val="single" w:sz="4" w:space="0" w:color="0070C0"/>
            </w:tcBorders>
            <w:shd w:val="clear" w:color="auto" w:fill="auto"/>
            <w:hideMark/>
          </w:tcPr>
          <w:p w14:paraId="3BF56624" w14:textId="77777777" w:rsidR="00F75FB7" w:rsidRPr="00971AFD" w:rsidRDefault="00F75FB7"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Philippine Ports Authority </w:t>
            </w:r>
          </w:p>
        </w:tc>
        <w:tc>
          <w:tcPr>
            <w:tcW w:w="2993" w:type="dxa"/>
            <w:tcBorders>
              <w:top w:val="single" w:sz="4" w:space="0" w:color="0070C0"/>
              <w:left w:val="single" w:sz="4" w:space="0" w:color="0070C0"/>
              <w:bottom w:val="single" w:sz="4" w:space="0" w:color="0070C0"/>
              <w:right w:val="single" w:sz="4" w:space="0" w:color="0070C0"/>
            </w:tcBorders>
            <w:shd w:val="clear" w:color="auto" w:fill="auto"/>
            <w:noWrap/>
            <w:hideMark/>
          </w:tcPr>
          <w:p w14:paraId="505C5190" w14:textId="77777777" w:rsidR="00F75FB7" w:rsidRPr="00971AFD" w:rsidRDefault="00F75FB7"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Davao Sasa Port Modernization </w:t>
            </w:r>
          </w:p>
        </w:tc>
        <w:tc>
          <w:tcPr>
            <w:tcW w:w="1422" w:type="dxa"/>
            <w:tcBorders>
              <w:top w:val="single" w:sz="4" w:space="0" w:color="0070C0"/>
              <w:left w:val="single" w:sz="4" w:space="0" w:color="0070C0"/>
              <w:bottom w:val="single" w:sz="4" w:space="0" w:color="0070C0"/>
              <w:right w:val="single" w:sz="4" w:space="0" w:color="2E74B5" w:themeColor="accent1" w:themeShade="BF"/>
            </w:tcBorders>
            <w:shd w:val="clear" w:color="auto" w:fill="auto"/>
            <w:noWrap/>
            <w:hideMark/>
          </w:tcPr>
          <w:p w14:paraId="00B1DD07" w14:textId="77777777" w:rsidR="00F75FB7" w:rsidRPr="00971AFD" w:rsidRDefault="00F75FB7"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Ongoing</w:t>
            </w:r>
          </w:p>
        </w:tc>
        <w:tc>
          <w:tcPr>
            <w:tcW w:w="1985" w:type="dxa"/>
            <w:tcBorders>
              <w:top w:val="single" w:sz="4" w:space="0" w:color="2E74B5" w:themeColor="accent1" w:themeShade="BF"/>
              <w:left w:val="single" w:sz="4" w:space="0" w:color="2E74B5" w:themeColor="accent1" w:themeShade="BF"/>
              <w:bottom w:val="nil"/>
              <w:right w:val="single" w:sz="4" w:space="0" w:color="2E74B5" w:themeColor="accent1" w:themeShade="BF"/>
            </w:tcBorders>
            <w:shd w:val="clear" w:color="auto" w:fill="auto"/>
            <w:noWrap/>
            <w:hideMark/>
          </w:tcPr>
          <w:p w14:paraId="4279159B" w14:textId="77777777" w:rsidR="00F75FB7" w:rsidRPr="00971AFD" w:rsidRDefault="00F75FB7"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Transaction advisory</w:t>
            </w:r>
          </w:p>
        </w:tc>
        <w:tc>
          <w:tcPr>
            <w:tcW w:w="7366" w:type="dxa"/>
            <w:tcBorders>
              <w:top w:val="single" w:sz="4" w:space="0" w:color="2E74B5" w:themeColor="accent1" w:themeShade="BF"/>
              <w:left w:val="single" w:sz="4" w:space="0" w:color="2E74B5" w:themeColor="accent1" w:themeShade="BF"/>
              <w:bottom w:val="nil"/>
              <w:right w:val="single" w:sz="4" w:space="0" w:color="2E74B5" w:themeColor="accent1" w:themeShade="BF"/>
            </w:tcBorders>
            <w:shd w:val="clear" w:color="auto" w:fill="auto"/>
            <w:hideMark/>
          </w:tcPr>
          <w:p w14:paraId="3A3EC0C3" w14:textId="1A0BCDBB" w:rsidR="00F75FB7" w:rsidRPr="00971AFD" w:rsidRDefault="00F75FB7"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1AFD">
              <w:rPr>
                <w:rFonts w:ascii="Calibri" w:eastAsia="Times New Roman" w:hAnsi="Calibri" w:cs="Calibri"/>
                <w:i/>
                <w:iCs/>
                <w:lang w:eastAsia="en-AU"/>
              </w:rPr>
              <w:t>Project finance</w:t>
            </w:r>
            <w:r w:rsidRPr="00971AFD">
              <w:rPr>
                <w:rFonts w:ascii="Calibri" w:eastAsia="Times New Roman" w:hAnsi="Calibri" w:cs="Calibri"/>
                <w:lang w:eastAsia="en-AU"/>
              </w:rPr>
              <w:t xml:space="preserve"> - RebelGroup (Netherlands)</w:t>
            </w:r>
            <w:r w:rsidRPr="00971AFD">
              <w:rPr>
                <w:rFonts w:ascii="Calibri" w:eastAsia="Times New Roman" w:hAnsi="Calibri" w:cs="Calibri"/>
                <w:lang w:eastAsia="en-AU"/>
              </w:rPr>
              <w:br/>
            </w:r>
            <w:r w:rsidRPr="00971AFD">
              <w:rPr>
                <w:rFonts w:ascii="Calibri" w:eastAsia="Times New Roman" w:hAnsi="Calibri" w:cs="Calibri"/>
                <w:i/>
                <w:iCs/>
                <w:lang w:eastAsia="en-AU"/>
              </w:rPr>
              <w:t xml:space="preserve">Legal - </w:t>
            </w:r>
            <w:r w:rsidRPr="00971AFD">
              <w:rPr>
                <w:rFonts w:ascii="Calibri" w:eastAsia="Times New Roman" w:hAnsi="Calibri" w:cs="Calibri"/>
                <w:lang w:eastAsia="en-AU"/>
              </w:rPr>
              <w:t>Puno &amp; Puno Law (Philippines)</w:t>
            </w:r>
            <w:r w:rsidRPr="00971AFD">
              <w:rPr>
                <w:rFonts w:ascii="Calibri" w:eastAsia="Times New Roman" w:hAnsi="Calibri" w:cs="Calibri"/>
                <w:lang w:eastAsia="en-AU"/>
              </w:rPr>
              <w:br/>
            </w:r>
            <w:r w:rsidRPr="00971AFD">
              <w:rPr>
                <w:rFonts w:ascii="Calibri" w:eastAsia="Times New Roman" w:hAnsi="Calibri" w:cs="Calibri"/>
                <w:i/>
                <w:iCs/>
                <w:lang w:eastAsia="en-AU"/>
              </w:rPr>
              <w:t>Technical</w:t>
            </w:r>
            <w:r w:rsidRPr="00971AFD">
              <w:rPr>
                <w:rFonts w:ascii="Calibri" w:eastAsia="Times New Roman" w:hAnsi="Calibri" w:cs="Calibri"/>
                <w:lang w:eastAsia="en-AU"/>
              </w:rPr>
              <w:t xml:space="preserve"> - DMI Management and Consulting Services (Philippines)</w:t>
            </w:r>
            <w:r>
              <w:rPr>
                <w:rFonts w:ascii="Calibri" w:eastAsia="Times New Roman" w:hAnsi="Calibri" w:cs="Calibri"/>
                <w:lang w:eastAsia="en-AU"/>
              </w:rPr>
              <w:t xml:space="preserve"> </w:t>
            </w:r>
          </w:p>
        </w:tc>
      </w:tr>
      <w:tr w:rsidR="00F75FB7" w:rsidRPr="00971AFD" w14:paraId="1426B821" w14:textId="77777777" w:rsidTr="005E5409">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2E74B5" w:themeColor="accent1" w:themeShade="BF"/>
              <w:bottom w:val="single" w:sz="4" w:space="0" w:color="2E74B5" w:themeColor="accent1" w:themeShade="BF"/>
              <w:right w:val="single" w:sz="4" w:space="0" w:color="0070C0"/>
            </w:tcBorders>
            <w:shd w:val="clear" w:color="auto" w:fill="auto"/>
            <w:hideMark/>
          </w:tcPr>
          <w:p w14:paraId="0881BEFB" w14:textId="77777777" w:rsidR="00F75FB7" w:rsidRPr="00971AFD" w:rsidRDefault="00F75FB7"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74884E0A" w14:textId="77777777" w:rsidR="00F75FB7" w:rsidRPr="00971AFD" w:rsidRDefault="00F75FB7"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Development, Operations and Maintenance of General Santos Port</w:t>
            </w:r>
          </w:p>
        </w:tc>
        <w:tc>
          <w:tcPr>
            <w:tcW w:w="1422" w:type="dxa"/>
            <w:tcBorders>
              <w:top w:val="single" w:sz="4" w:space="0" w:color="0070C0"/>
              <w:left w:val="single" w:sz="4" w:space="0" w:color="0070C0"/>
              <w:bottom w:val="single" w:sz="4" w:space="0" w:color="0070C0"/>
              <w:right w:val="single" w:sz="4" w:space="0" w:color="0070C0"/>
            </w:tcBorders>
            <w:shd w:val="clear" w:color="auto" w:fill="auto"/>
            <w:noWrap/>
            <w:hideMark/>
          </w:tcPr>
          <w:p w14:paraId="2C26D1F1" w14:textId="77777777" w:rsidR="00F75FB7" w:rsidRPr="00971AFD" w:rsidRDefault="00F75FB7"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Ongoing</w:t>
            </w:r>
          </w:p>
        </w:tc>
        <w:tc>
          <w:tcPr>
            <w:tcW w:w="1985" w:type="dxa"/>
            <w:tcBorders>
              <w:top w:val="nil"/>
              <w:left w:val="single" w:sz="4" w:space="0" w:color="0070C0"/>
              <w:bottom w:val="single" w:sz="4" w:space="0" w:color="0070C0"/>
              <w:right w:val="single" w:sz="4" w:space="0" w:color="2E74B5" w:themeColor="accent1" w:themeShade="BF"/>
            </w:tcBorders>
            <w:shd w:val="clear" w:color="auto" w:fill="auto"/>
            <w:hideMark/>
          </w:tcPr>
          <w:p w14:paraId="6850CB36" w14:textId="77777777" w:rsidR="00F75FB7" w:rsidRPr="00971AFD" w:rsidRDefault="00F75FB7"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nil"/>
              <w:left w:val="single" w:sz="4" w:space="0" w:color="2E74B5" w:themeColor="accent1" w:themeShade="BF"/>
              <w:bottom w:val="single" w:sz="4" w:space="0" w:color="0070C0"/>
              <w:right w:val="single" w:sz="4" w:space="0" w:color="2E74B5" w:themeColor="accent1" w:themeShade="BF"/>
            </w:tcBorders>
            <w:shd w:val="clear" w:color="auto" w:fill="auto"/>
            <w:hideMark/>
          </w:tcPr>
          <w:p w14:paraId="7E90CD73" w14:textId="77777777" w:rsidR="00F75FB7" w:rsidRPr="00971AFD" w:rsidRDefault="00F75FB7"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
        </w:tc>
      </w:tr>
      <w:tr w:rsidR="00B5062B" w:rsidRPr="00971AFD" w14:paraId="1ADB6E27" w14:textId="77777777" w:rsidTr="005E5409">
        <w:trPr>
          <w:trHeight w:val="1450"/>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2E74B5" w:themeColor="accent1" w:themeShade="BF"/>
              <w:left w:val="single" w:sz="4" w:space="0" w:color="2E74B5" w:themeColor="accent1" w:themeShade="BF"/>
              <w:bottom w:val="nil"/>
              <w:right w:val="single" w:sz="4" w:space="0" w:color="0070C0"/>
            </w:tcBorders>
            <w:shd w:val="clear" w:color="auto" w:fill="auto"/>
            <w:hideMark/>
          </w:tcPr>
          <w:p w14:paraId="2C728D80" w14:textId="77777777" w:rsidR="00B5062B" w:rsidRPr="00971AFD" w:rsidRDefault="00B5062B"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lastRenderedPageBreak/>
              <w:t xml:space="preserve">University of the Philippines </w:t>
            </w: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41AB343A" w14:textId="77777777" w:rsidR="00B5062B" w:rsidRPr="00971AFD" w:rsidRDefault="00B5062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UP Philippine General Hospital in Diliman</w:t>
            </w:r>
          </w:p>
        </w:tc>
        <w:tc>
          <w:tcPr>
            <w:tcW w:w="1422" w:type="dxa"/>
            <w:tcBorders>
              <w:top w:val="single" w:sz="4" w:space="0" w:color="0070C0"/>
              <w:left w:val="single" w:sz="4" w:space="0" w:color="0070C0"/>
              <w:bottom w:val="single" w:sz="4" w:space="0" w:color="0070C0"/>
              <w:right w:val="single" w:sz="4" w:space="0" w:color="0070C0"/>
            </w:tcBorders>
            <w:shd w:val="clear" w:color="auto" w:fill="auto"/>
            <w:noWrap/>
            <w:hideMark/>
          </w:tcPr>
          <w:p w14:paraId="5FFF6EE8" w14:textId="77777777" w:rsidR="00B5062B" w:rsidRPr="00971AFD" w:rsidRDefault="00B5062B"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Ongoing</w:t>
            </w:r>
          </w:p>
        </w:tc>
        <w:tc>
          <w:tcPr>
            <w:tcW w:w="1985" w:type="dxa"/>
            <w:tcBorders>
              <w:top w:val="single" w:sz="4" w:space="0" w:color="0070C0"/>
              <w:left w:val="single" w:sz="4" w:space="0" w:color="0070C0"/>
              <w:bottom w:val="nil"/>
              <w:right w:val="single" w:sz="4" w:space="0" w:color="0070C0"/>
            </w:tcBorders>
            <w:shd w:val="clear" w:color="auto" w:fill="auto"/>
            <w:hideMark/>
          </w:tcPr>
          <w:p w14:paraId="654EB250" w14:textId="77777777" w:rsidR="00B5062B" w:rsidRPr="00971AFD" w:rsidRDefault="00B5062B"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Project preparation and transaction advisory</w:t>
            </w: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171BA6D1" w14:textId="77777777" w:rsidR="00B5062B" w:rsidRPr="00971AFD" w:rsidRDefault="00B5062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1AFD">
              <w:rPr>
                <w:rFonts w:ascii="Calibri" w:eastAsia="Times New Roman" w:hAnsi="Calibri" w:cs="Calibri"/>
                <w:i/>
                <w:iCs/>
                <w:lang w:eastAsia="en-AU"/>
              </w:rPr>
              <w:t>Project finance</w:t>
            </w:r>
            <w:r w:rsidRPr="00971AFD">
              <w:rPr>
                <w:rFonts w:ascii="Calibri" w:eastAsia="Times New Roman" w:hAnsi="Calibri" w:cs="Calibri"/>
                <w:lang w:eastAsia="en-AU"/>
              </w:rPr>
              <w:t xml:space="preserve"> - PWC-Isla Lipana &amp; Co. (Philippines) and PWC (Singapore and India)</w:t>
            </w:r>
            <w:r w:rsidRPr="00971AFD">
              <w:rPr>
                <w:rFonts w:ascii="Calibri" w:eastAsia="Times New Roman" w:hAnsi="Calibri" w:cs="Calibri"/>
                <w:lang w:eastAsia="en-AU"/>
              </w:rPr>
              <w:br/>
            </w:r>
            <w:r w:rsidRPr="00971AFD">
              <w:rPr>
                <w:rFonts w:ascii="Calibri" w:eastAsia="Times New Roman" w:hAnsi="Calibri" w:cs="Calibri"/>
                <w:i/>
                <w:iCs/>
                <w:lang w:eastAsia="en-AU"/>
              </w:rPr>
              <w:t>Legal</w:t>
            </w:r>
            <w:r w:rsidRPr="00971AFD">
              <w:rPr>
                <w:rFonts w:ascii="Calibri" w:eastAsia="Times New Roman" w:hAnsi="Calibri" w:cs="Calibri"/>
                <w:lang w:eastAsia="en-AU"/>
              </w:rPr>
              <w:t xml:space="preserve"> - PJS Law (Philippines)</w:t>
            </w:r>
            <w:r w:rsidRPr="00971AFD">
              <w:rPr>
                <w:rFonts w:ascii="Calibri" w:eastAsia="Times New Roman" w:hAnsi="Calibri" w:cs="Calibri"/>
                <w:lang w:eastAsia="en-AU"/>
              </w:rPr>
              <w:br/>
            </w:r>
            <w:r w:rsidRPr="00971AFD">
              <w:rPr>
                <w:rFonts w:ascii="Calibri" w:eastAsia="Times New Roman" w:hAnsi="Calibri" w:cs="Calibri"/>
                <w:i/>
                <w:iCs/>
                <w:lang w:eastAsia="en-AU"/>
              </w:rPr>
              <w:t>Technical</w:t>
            </w:r>
            <w:r w:rsidRPr="00971AFD">
              <w:rPr>
                <w:rFonts w:ascii="Calibri" w:eastAsia="Times New Roman" w:hAnsi="Calibri" w:cs="Calibri"/>
                <w:lang w:eastAsia="en-AU"/>
              </w:rPr>
              <w:t xml:space="preserve"> - Villarosa Architects and Engineers (Philippines) and Tractebel (Philippines)</w:t>
            </w:r>
          </w:p>
        </w:tc>
      </w:tr>
      <w:tr w:rsidR="00B5062B" w:rsidRPr="00971AFD" w14:paraId="120D74DB" w14:textId="77777777" w:rsidTr="005E5409">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584" w:type="dxa"/>
            <w:tcBorders>
              <w:top w:val="nil"/>
              <w:left w:val="single" w:sz="4" w:space="0" w:color="2E74B5" w:themeColor="accent1" w:themeShade="BF"/>
              <w:bottom w:val="single" w:sz="4" w:space="0" w:color="0070C0"/>
              <w:right w:val="single" w:sz="4" w:space="0" w:color="0070C0"/>
            </w:tcBorders>
            <w:shd w:val="clear" w:color="auto" w:fill="auto"/>
            <w:hideMark/>
          </w:tcPr>
          <w:p w14:paraId="6F1D99EB" w14:textId="77777777" w:rsidR="00B5062B" w:rsidRPr="00971AFD" w:rsidRDefault="00B5062B" w:rsidP="00021D43">
            <w:pPr>
              <w:rPr>
                <w:rFonts w:ascii="Calibri" w:eastAsia="Times New Roman" w:hAnsi="Calibri" w:cs="Calibri"/>
                <w:color w:val="000000"/>
                <w:lang w:eastAsia="en-AU"/>
              </w:rPr>
            </w:pP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5DA6BEB6" w14:textId="7C403C18" w:rsidR="00B5062B" w:rsidRPr="00971AFD" w:rsidRDefault="00B5062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UP Los Baños Agro-Industrial and Information Technology Parks</w:t>
            </w:r>
          </w:p>
        </w:tc>
        <w:tc>
          <w:tcPr>
            <w:tcW w:w="1422" w:type="dxa"/>
            <w:tcBorders>
              <w:top w:val="single" w:sz="4" w:space="0" w:color="0070C0"/>
              <w:left w:val="single" w:sz="4" w:space="0" w:color="0070C0"/>
              <w:bottom w:val="single" w:sz="4" w:space="0" w:color="0070C0"/>
              <w:right w:val="single" w:sz="4" w:space="0" w:color="0070C0"/>
            </w:tcBorders>
            <w:shd w:val="clear" w:color="auto" w:fill="auto"/>
            <w:noWrap/>
            <w:hideMark/>
          </w:tcPr>
          <w:p w14:paraId="60EF2D26" w14:textId="77777777" w:rsidR="00B5062B" w:rsidRPr="00971AFD" w:rsidRDefault="00B5062B"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Ongoing</w:t>
            </w:r>
          </w:p>
        </w:tc>
        <w:tc>
          <w:tcPr>
            <w:tcW w:w="1985" w:type="dxa"/>
            <w:tcBorders>
              <w:top w:val="nil"/>
              <w:left w:val="single" w:sz="4" w:space="0" w:color="0070C0"/>
              <w:bottom w:val="single" w:sz="4" w:space="0" w:color="0070C0"/>
              <w:right w:val="single" w:sz="4" w:space="0" w:color="0070C0"/>
            </w:tcBorders>
            <w:shd w:val="clear" w:color="auto" w:fill="auto"/>
            <w:hideMark/>
          </w:tcPr>
          <w:p w14:paraId="52A3ED42" w14:textId="77777777" w:rsidR="00B5062B" w:rsidRPr="00971AFD" w:rsidRDefault="00B5062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7366" w:type="dxa"/>
            <w:tcBorders>
              <w:top w:val="single" w:sz="4" w:space="0" w:color="0070C0"/>
              <w:left w:val="single" w:sz="4" w:space="0" w:color="0070C0"/>
              <w:bottom w:val="single" w:sz="4" w:space="0" w:color="0070C0"/>
            </w:tcBorders>
            <w:shd w:val="clear" w:color="auto" w:fill="auto"/>
            <w:hideMark/>
          </w:tcPr>
          <w:p w14:paraId="75D1F0BD" w14:textId="474E6020" w:rsidR="00B5062B" w:rsidRPr="00971AFD" w:rsidRDefault="00B5062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 xml:space="preserve">Project finance </w:t>
            </w:r>
            <w:r w:rsidRPr="00971AFD">
              <w:rPr>
                <w:rFonts w:ascii="Calibri" w:eastAsia="Times New Roman" w:hAnsi="Calibri" w:cs="Calibri"/>
                <w:color w:val="000000"/>
                <w:lang w:eastAsia="en-AU"/>
              </w:rPr>
              <w:t>- EY-SGV &amp; Co. (Philippines) and EY (Singapore, Australia, and India)</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Gatmaytan Yap Patacsil Gutierrez &amp; Protacio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EY-SGV &amp; Co. (Philippines), EY (Singapore, Australia, and India), and Consultants for Comprehensive Environmental Planning (Philippines)</w:t>
            </w:r>
          </w:p>
        </w:tc>
      </w:tr>
      <w:tr w:rsidR="005B24AB" w:rsidRPr="00971AFD" w14:paraId="1A210306" w14:textId="77777777" w:rsidTr="005E5409">
        <w:trPr>
          <w:trHeight w:val="841"/>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0070C0"/>
              <w:bottom w:val="single" w:sz="4" w:space="0" w:color="0070C0"/>
              <w:right w:val="single" w:sz="4" w:space="0" w:color="0070C0"/>
            </w:tcBorders>
            <w:shd w:val="clear" w:color="auto" w:fill="auto"/>
            <w:hideMark/>
          </w:tcPr>
          <w:p w14:paraId="2948A225" w14:textId="77777777" w:rsidR="005B24AB" w:rsidRPr="00971AFD" w:rsidRDefault="005B24AB"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t xml:space="preserve">Zamboanga City Special Economic Zone Authority </w:t>
            </w: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62811BD6" w14:textId="77777777"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San Ramon Newport</w:t>
            </w:r>
          </w:p>
        </w:tc>
        <w:tc>
          <w:tcPr>
            <w:tcW w:w="1422" w:type="dxa"/>
            <w:tcBorders>
              <w:top w:val="single" w:sz="4" w:space="0" w:color="0070C0"/>
              <w:left w:val="single" w:sz="4" w:space="0" w:color="0070C0"/>
              <w:bottom w:val="single" w:sz="4" w:space="0" w:color="0070C0"/>
              <w:right w:val="single" w:sz="4" w:space="0" w:color="0070C0"/>
            </w:tcBorders>
            <w:shd w:val="clear" w:color="auto" w:fill="auto"/>
            <w:noWrap/>
            <w:hideMark/>
          </w:tcPr>
          <w:p w14:paraId="0E15DC01" w14:textId="77777777" w:rsidR="005B24AB" w:rsidRPr="00971AFD" w:rsidRDefault="005B24AB"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Ongoing</w:t>
            </w:r>
          </w:p>
        </w:tc>
        <w:tc>
          <w:tcPr>
            <w:tcW w:w="1985" w:type="dxa"/>
            <w:tcBorders>
              <w:top w:val="single" w:sz="4" w:space="0" w:color="0070C0"/>
              <w:left w:val="single" w:sz="4" w:space="0" w:color="0070C0"/>
              <w:bottom w:val="single" w:sz="4" w:space="0" w:color="0070C0"/>
              <w:right w:val="single" w:sz="4" w:space="0" w:color="0070C0"/>
            </w:tcBorders>
            <w:shd w:val="clear" w:color="auto" w:fill="auto"/>
            <w:hideMark/>
          </w:tcPr>
          <w:p w14:paraId="77A5BE1E" w14:textId="77777777" w:rsidR="005B24AB" w:rsidRPr="00971AFD" w:rsidRDefault="005B24AB"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Project preparation and transaction advisory</w:t>
            </w:r>
          </w:p>
        </w:tc>
        <w:tc>
          <w:tcPr>
            <w:tcW w:w="7366" w:type="dxa"/>
            <w:tcBorders>
              <w:top w:val="single" w:sz="4" w:space="0" w:color="0070C0"/>
              <w:left w:val="single" w:sz="4" w:space="0" w:color="0070C0"/>
              <w:bottom w:val="single" w:sz="4" w:space="0" w:color="0070C0"/>
              <w:right w:val="single" w:sz="4" w:space="0" w:color="0070C0"/>
            </w:tcBorders>
            <w:shd w:val="clear" w:color="auto" w:fill="auto"/>
            <w:hideMark/>
          </w:tcPr>
          <w:p w14:paraId="2C7B8819" w14:textId="55EF9F0A"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BDO (UK) and IMC Worldwide (UK)</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w:t>
            </w:r>
            <w:r w:rsidRPr="00971AFD">
              <w:rPr>
                <w:rFonts w:ascii="Calibri" w:eastAsia="Times New Roman" w:hAnsi="Calibri" w:cs="Calibri"/>
                <w:color w:val="000000"/>
                <w:lang w:eastAsia="en-AU"/>
              </w:rPr>
              <w:t xml:space="preserve"> - Clyde &amp; Co. LLP (UK) and Puno &amp; Puno Law</w:t>
            </w:r>
            <w:r w:rsidR="000B35DD">
              <w:rPr>
                <w:rFonts w:ascii="Calibri" w:eastAsia="Times New Roman" w:hAnsi="Calibri" w:cs="Calibri"/>
                <w:color w:val="000000"/>
                <w:lang w:eastAsia="en-AU"/>
              </w:rPr>
              <w:t xml:space="preserve"> </w:t>
            </w:r>
            <w:r w:rsidRPr="00971AFD">
              <w:rPr>
                <w:rFonts w:ascii="Calibri" w:eastAsia="Times New Roman" w:hAnsi="Calibri" w:cs="Calibri"/>
                <w:color w:val="000000"/>
                <w:lang w:eastAsia="en-AU"/>
              </w:rPr>
              <w:t>(Philippines)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w:t>
            </w:r>
            <w:r w:rsidR="000B35DD">
              <w:rPr>
                <w:rFonts w:ascii="Calibri" w:eastAsia="Times New Roman" w:hAnsi="Calibri" w:cs="Calibri"/>
                <w:color w:val="000000"/>
                <w:lang w:eastAsia="en-AU"/>
              </w:rPr>
              <w:t xml:space="preserve"> </w:t>
            </w:r>
            <w:r w:rsidRPr="00971AFD">
              <w:rPr>
                <w:rFonts w:ascii="Calibri" w:eastAsia="Times New Roman" w:hAnsi="Calibri" w:cs="Calibri"/>
                <w:color w:val="000000"/>
                <w:lang w:eastAsia="en-AU"/>
              </w:rPr>
              <w:t>IMC Worldwide (UK), Port Mintes Pty Ltd. (Australia), and PRIMEX (Philippines)</w:t>
            </w:r>
          </w:p>
        </w:tc>
      </w:tr>
      <w:tr w:rsidR="005B24AB" w:rsidRPr="00971AFD" w14:paraId="0DF933D3" w14:textId="77777777" w:rsidTr="005E5409">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0070C0"/>
              <w:bottom w:val="single" w:sz="4" w:space="0" w:color="0070C0"/>
              <w:right w:val="single" w:sz="4" w:space="0" w:color="0070C0"/>
            </w:tcBorders>
            <w:shd w:val="clear" w:color="auto" w:fill="auto"/>
            <w:hideMark/>
          </w:tcPr>
          <w:p w14:paraId="7F7DABC8" w14:textId="77777777" w:rsidR="005B24AB" w:rsidRPr="00971AFD" w:rsidRDefault="005B24AB"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t>Local Government of Ormoc City</w:t>
            </w: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1334171D" w14:textId="77777777"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Ormoc Water Supply System</w:t>
            </w:r>
          </w:p>
        </w:tc>
        <w:tc>
          <w:tcPr>
            <w:tcW w:w="1422" w:type="dxa"/>
            <w:tcBorders>
              <w:top w:val="single" w:sz="4" w:space="0" w:color="0070C0"/>
              <w:left w:val="single" w:sz="4" w:space="0" w:color="0070C0"/>
              <w:bottom w:val="single" w:sz="4" w:space="0" w:color="0070C0"/>
              <w:right w:val="single" w:sz="4" w:space="0" w:color="0070C0"/>
            </w:tcBorders>
            <w:shd w:val="clear" w:color="auto" w:fill="auto"/>
            <w:noWrap/>
            <w:hideMark/>
          </w:tcPr>
          <w:p w14:paraId="506765F6" w14:textId="77777777" w:rsidR="005B24AB" w:rsidRPr="00971AFD" w:rsidRDefault="005B24AB"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Ongoing</w:t>
            </w:r>
          </w:p>
        </w:tc>
        <w:tc>
          <w:tcPr>
            <w:tcW w:w="1985" w:type="dxa"/>
            <w:tcBorders>
              <w:top w:val="single" w:sz="4" w:space="0" w:color="0070C0"/>
              <w:left w:val="single" w:sz="4" w:space="0" w:color="0070C0"/>
              <w:bottom w:val="single" w:sz="4" w:space="0" w:color="0070C0"/>
              <w:right w:val="single" w:sz="4" w:space="0" w:color="0070C0"/>
            </w:tcBorders>
            <w:shd w:val="clear" w:color="auto" w:fill="auto"/>
            <w:hideMark/>
          </w:tcPr>
          <w:p w14:paraId="29BF7193" w14:textId="77777777" w:rsidR="005B24AB" w:rsidRPr="00971AFD" w:rsidRDefault="005B24AB" w:rsidP="00021D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Project preparation and transaction advisory</w:t>
            </w:r>
          </w:p>
        </w:tc>
        <w:tc>
          <w:tcPr>
            <w:tcW w:w="7366" w:type="dxa"/>
            <w:tcBorders>
              <w:top w:val="single" w:sz="4" w:space="0" w:color="0070C0"/>
              <w:left w:val="single" w:sz="4" w:space="0" w:color="0070C0"/>
            </w:tcBorders>
            <w:shd w:val="clear" w:color="auto" w:fill="auto"/>
            <w:hideMark/>
          </w:tcPr>
          <w:p w14:paraId="3074DAC3" w14:textId="77777777" w:rsidR="005B24AB" w:rsidRPr="00971AFD" w:rsidRDefault="005B24AB" w:rsidP="00021D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Orient Integrated Development Consultants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 xml:space="preserve">Legal - </w:t>
            </w:r>
            <w:r w:rsidRPr="00971AFD">
              <w:rPr>
                <w:rFonts w:ascii="Calibri" w:eastAsia="Times New Roman" w:hAnsi="Calibri" w:cs="Calibri"/>
                <w:color w:val="000000"/>
                <w:lang w:eastAsia="en-AU"/>
              </w:rPr>
              <w:t>Orient Integrated Development Consultants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w:t>
            </w:r>
            <w:r w:rsidRPr="00971AFD">
              <w:rPr>
                <w:rFonts w:ascii="Calibri" w:eastAsia="Times New Roman" w:hAnsi="Calibri" w:cs="Calibri"/>
                <w:color w:val="000000"/>
                <w:lang w:eastAsia="en-AU"/>
              </w:rPr>
              <w:t xml:space="preserve"> - Engineering and Development Corporation (Philippines) and UPLB Foundation (Philippines)</w:t>
            </w:r>
          </w:p>
        </w:tc>
      </w:tr>
      <w:tr w:rsidR="005B24AB" w:rsidRPr="00971AFD" w14:paraId="3A213A7C" w14:textId="77777777" w:rsidTr="005E5409">
        <w:trPr>
          <w:trHeight w:val="870"/>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0070C0"/>
              <w:left w:val="single" w:sz="4" w:space="0" w:color="0070C0"/>
              <w:bottom w:val="single" w:sz="4" w:space="0" w:color="0070C0"/>
              <w:right w:val="single" w:sz="4" w:space="0" w:color="0070C0"/>
            </w:tcBorders>
            <w:shd w:val="clear" w:color="auto" w:fill="auto"/>
            <w:hideMark/>
          </w:tcPr>
          <w:p w14:paraId="2C45D5FC" w14:textId="77777777" w:rsidR="005B24AB" w:rsidRPr="00971AFD" w:rsidRDefault="005B24AB" w:rsidP="00021D43">
            <w:pPr>
              <w:jc w:val="center"/>
              <w:rPr>
                <w:rFonts w:ascii="Calibri" w:eastAsia="Times New Roman" w:hAnsi="Calibri" w:cs="Calibri"/>
                <w:color w:val="000000"/>
                <w:lang w:eastAsia="en-AU"/>
              </w:rPr>
            </w:pPr>
            <w:r w:rsidRPr="00971AFD">
              <w:rPr>
                <w:rFonts w:ascii="Calibri" w:eastAsia="Times New Roman" w:hAnsi="Calibri" w:cs="Calibri"/>
                <w:color w:val="000000"/>
                <w:lang w:eastAsia="en-AU"/>
              </w:rPr>
              <w:t>Bislig City Water District</w:t>
            </w:r>
          </w:p>
        </w:tc>
        <w:tc>
          <w:tcPr>
            <w:tcW w:w="2993" w:type="dxa"/>
            <w:tcBorders>
              <w:top w:val="single" w:sz="4" w:space="0" w:color="0070C0"/>
              <w:left w:val="single" w:sz="4" w:space="0" w:color="0070C0"/>
              <w:bottom w:val="single" w:sz="4" w:space="0" w:color="0070C0"/>
              <w:right w:val="single" w:sz="4" w:space="0" w:color="0070C0"/>
            </w:tcBorders>
            <w:shd w:val="clear" w:color="auto" w:fill="auto"/>
            <w:hideMark/>
          </w:tcPr>
          <w:p w14:paraId="0E2EDE18" w14:textId="77777777"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Bislig City Bulk Water Supply and Septage</w:t>
            </w:r>
          </w:p>
        </w:tc>
        <w:tc>
          <w:tcPr>
            <w:tcW w:w="1422" w:type="dxa"/>
            <w:tcBorders>
              <w:top w:val="single" w:sz="4" w:space="0" w:color="0070C0"/>
              <w:left w:val="single" w:sz="4" w:space="0" w:color="0070C0"/>
              <w:bottom w:val="single" w:sz="4" w:space="0" w:color="0070C0"/>
              <w:right w:val="single" w:sz="4" w:space="0" w:color="0070C0"/>
            </w:tcBorders>
            <w:shd w:val="clear" w:color="auto" w:fill="auto"/>
            <w:noWrap/>
            <w:hideMark/>
          </w:tcPr>
          <w:p w14:paraId="370B0561" w14:textId="77777777" w:rsidR="005B24AB" w:rsidRPr="00971AFD" w:rsidRDefault="005B24AB"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Ongoing</w:t>
            </w:r>
          </w:p>
        </w:tc>
        <w:tc>
          <w:tcPr>
            <w:tcW w:w="1985" w:type="dxa"/>
            <w:tcBorders>
              <w:top w:val="single" w:sz="4" w:space="0" w:color="0070C0"/>
              <w:left w:val="single" w:sz="4" w:space="0" w:color="0070C0"/>
              <w:bottom w:val="single" w:sz="4" w:space="0" w:color="0070C0"/>
              <w:right w:val="single" w:sz="4" w:space="0" w:color="0070C0"/>
            </w:tcBorders>
            <w:shd w:val="clear" w:color="auto" w:fill="auto"/>
            <w:hideMark/>
          </w:tcPr>
          <w:p w14:paraId="3CDA18BB" w14:textId="77777777" w:rsidR="005B24AB" w:rsidRPr="00971AFD" w:rsidRDefault="005B24AB" w:rsidP="00021D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color w:val="000000"/>
                <w:lang w:eastAsia="en-AU"/>
              </w:rPr>
              <w:t>Project preparation and transaction advisory</w:t>
            </w:r>
          </w:p>
        </w:tc>
        <w:tc>
          <w:tcPr>
            <w:tcW w:w="7366" w:type="dxa"/>
            <w:tcBorders>
              <w:left w:val="single" w:sz="4" w:space="0" w:color="0070C0"/>
            </w:tcBorders>
            <w:shd w:val="clear" w:color="auto" w:fill="auto"/>
            <w:hideMark/>
          </w:tcPr>
          <w:p w14:paraId="15F38425" w14:textId="77777777" w:rsidR="005B24AB" w:rsidRPr="00971AFD" w:rsidRDefault="005B24AB" w:rsidP="00021D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1AFD">
              <w:rPr>
                <w:rFonts w:ascii="Calibri" w:eastAsia="Times New Roman" w:hAnsi="Calibri" w:cs="Calibri"/>
                <w:i/>
                <w:iCs/>
                <w:color w:val="000000"/>
                <w:lang w:eastAsia="en-AU"/>
              </w:rPr>
              <w:t>Project finance</w:t>
            </w:r>
            <w:r w:rsidRPr="00971AFD">
              <w:rPr>
                <w:rFonts w:ascii="Calibri" w:eastAsia="Times New Roman" w:hAnsi="Calibri" w:cs="Calibri"/>
                <w:color w:val="000000"/>
                <w:lang w:eastAsia="en-AU"/>
              </w:rPr>
              <w:t xml:space="preserve"> - Eptisa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Legal -</w:t>
            </w:r>
            <w:r w:rsidRPr="00971AFD">
              <w:rPr>
                <w:rFonts w:ascii="Calibri" w:eastAsia="Times New Roman" w:hAnsi="Calibri" w:cs="Calibri"/>
                <w:color w:val="000000"/>
                <w:lang w:eastAsia="en-AU"/>
              </w:rPr>
              <w:t xml:space="preserve"> Eptisa (Philippines)</w:t>
            </w:r>
            <w:r w:rsidRPr="00971AFD">
              <w:rPr>
                <w:rFonts w:ascii="Calibri" w:eastAsia="Times New Roman" w:hAnsi="Calibri" w:cs="Calibri"/>
                <w:color w:val="000000"/>
                <w:lang w:eastAsia="en-AU"/>
              </w:rPr>
              <w:br/>
            </w:r>
            <w:r w:rsidRPr="00971AFD">
              <w:rPr>
                <w:rFonts w:ascii="Calibri" w:eastAsia="Times New Roman" w:hAnsi="Calibri" w:cs="Calibri"/>
                <w:i/>
                <w:iCs/>
                <w:color w:val="000000"/>
                <w:lang w:eastAsia="en-AU"/>
              </w:rPr>
              <w:t>Technical -</w:t>
            </w:r>
            <w:r w:rsidRPr="00971AFD">
              <w:rPr>
                <w:rFonts w:ascii="Calibri" w:eastAsia="Times New Roman" w:hAnsi="Calibri" w:cs="Calibri"/>
                <w:color w:val="000000"/>
                <w:lang w:eastAsia="en-AU"/>
              </w:rPr>
              <w:t xml:space="preserve"> Eptisa (Philippines)</w:t>
            </w:r>
          </w:p>
        </w:tc>
      </w:tr>
    </w:tbl>
    <w:p w14:paraId="45545138" w14:textId="778B3819" w:rsidR="00971AFD" w:rsidRDefault="00971AFD" w:rsidP="00021D43">
      <w:pPr>
        <w:spacing w:line="240" w:lineRule="auto"/>
        <w:rPr>
          <w:rFonts w:eastAsia="Calibri" w:cstheme="minorHAnsi"/>
          <w:b/>
          <w:noProof/>
          <w:sz w:val="30"/>
          <w:szCs w:val="30"/>
          <w:lang w:eastAsia="en-AU"/>
        </w:rPr>
      </w:pPr>
      <w:r>
        <w:rPr>
          <w:rFonts w:eastAsia="Calibri" w:cstheme="minorHAnsi"/>
          <w:b/>
          <w:noProof/>
          <w:sz w:val="30"/>
          <w:szCs w:val="30"/>
          <w:lang w:eastAsia="en-AU"/>
        </w:rPr>
        <w:br w:type="page"/>
      </w:r>
    </w:p>
    <w:p w14:paraId="554BBE03" w14:textId="77777777" w:rsidR="00971AFD" w:rsidRDefault="00971AFD" w:rsidP="00021D43">
      <w:pPr>
        <w:spacing w:line="240" w:lineRule="auto"/>
        <w:rPr>
          <w:rFonts w:eastAsia="Calibri" w:cstheme="minorHAnsi"/>
          <w:b/>
          <w:noProof/>
          <w:sz w:val="30"/>
          <w:szCs w:val="30"/>
          <w:lang w:eastAsia="en-AU"/>
        </w:rPr>
        <w:sectPr w:rsidR="00971AFD" w:rsidSect="008801FC">
          <w:pgSz w:w="16838" w:h="11906" w:orient="landscape"/>
          <w:pgMar w:top="1440" w:right="1440" w:bottom="1440" w:left="1440" w:header="709" w:footer="709" w:gutter="0"/>
          <w:cols w:space="708"/>
          <w:docGrid w:linePitch="360"/>
        </w:sectPr>
      </w:pPr>
    </w:p>
    <w:p w14:paraId="749D282F" w14:textId="2D158936" w:rsidR="004071A2" w:rsidRDefault="004071A2" w:rsidP="00F2226C">
      <w:pPr>
        <w:pStyle w:val="Heading3"/>
      </w:pPr>
      <w:bookmarkStart w:id="95" w:name="_Toc96435341"/>
      <w:r>
        <w:lastRenderedPageBreak/>
        <w:t>Annex 4: Methodology</w:t>
      </w:r>
      <w:bookmarkEnd w:id="95"/>
    </w:p>
    <w:p w14:paraId="59A785AC" w14:textId="77777777" w:rsidR="00CD58E1" w:rsidRPr="00CD58E1" w:rsidRDefault="00CD58E1" w:rsidP="00021D43">
      <w:pPr>
        <w:tabs>
          <w:tab w:val="left" w:pos="851"/>
        </w:tabs>
        <w:spacing w:after="0" w:line="240" w:lineRule="auto"/>
        <w:ind w:right="-46"/>
        <w:jc w:val="both"/>
        <w:rPr>
          <w:rFonts w:ascii="Calibri" w:eastAsia="Calibri" w:hAnsi="Calibri" w:cs="Times New Roman"/>
        </w:rPr>
      </w:pPr>
    </w:p>
    <w:p w14:paraId="0AC00868" w14:textId="458D7D25" w:rsidR="00CD58E1" w:rsidRPr="00CD58E1" w:rsidRDefault="00CD58E1" w:rsidP="00021D43">
      <w:pPr>
        <w:spacing w:after="0" w:line="240" w:lineRule="auto"/>
        <w:rPr>
          <w:rFonts w:cstheme="minorHAnsi"/>
          <w:b/>
          <w:bCs/>
        </w:rPr>
      </w:pPr>
      <w:r w:rsidRPr="00CD58E1">
        <w:rPr>
          <w:rFonts w:cstheme="minorHAnsi"/>
          <w:b/>
          <w:bCs/>
        </w:rPr>
        <w:t xml:space="preserve">Key evaluation questions </w:t>
      </w:r>
    </w:p>
    <w:p w14:paraId="16218938" w14:textId="109C915E" w:rsidR="005A0D4C" w:rsidRDefault="00CD58E1" w:rsidP="00021D43">
      <w:pPr>
        <w:spacing w:after="120" w:line="240" w:lineRule="auto"/>
        <w:ind w:right="-23"/>
      </w:pPr>
      <w:r w:rsidRPr="00CD58E1">
        <w:t xml:space="preserve">The </w:t>
      </w:r>
      <w:r>
        <w:t xml:space="preserve">DFAT TOR for the </w:t>
      </w:r>
      <w:r w:rsidRPr="00CD58E1">
        <w:t xml:space="preserve">evaluation provided a set of </w:t>
      </w:r>
      <w:r>
        <w:t xml:space="preserve">preliminary </w:t>
      </w:r>
      <w:r w:rsidRPr="00CD58E1">
        <w:t xml:space="preserve">evaluation </w:t>
      </w:r>
      <w:r>
        <w:t xml:space="preserve">questions against the DAC Criteria. </w:t>
      </w:r>
      <w:r w:rsidR="005A0D4C" w:rsidRPr="005A0D4C">
        <w:t xml:space="preserve">These were subsequently reviewed and refined by the evaluator in evaluation </w:t>
      </w:r>
      <w:r w:rsidR="0030039E" w:rsidRPr="005A0D4C">
        <w:t>planning and</w:t>
      </w:r>
      <w:r w:rsidR="005A0D4C" w:rsidRPr="005A0D4C">
        <w:t xml:space="preserve"> re-framed as </w:t>
      </w:r>
      <w:r w:rsidR="005A0D4C">
        <w:t>six</w:t>
      </w:r>
      <w:r w:rsidR="005A0D4C" w:rsidRPr="005A0D4C">
        <w:t xml:space="preserve"> </w:t>
      </w:r>
      <w:r w:rsidR="005A0D4C">
        <w:t>KEQs</w:t>
      </w:r>
      <w:r w:rsidR="005A0D4C" w:rsidRPr="005A0D4C">
        <w:t xml:space="preserve"> with guiding questions for investigation</w:t>
      </w:r>
      <w:r w:rsidR="005A0D4C">
        <w:t>.</w:t>
      </w:r>
    </w:p>
    <w:p w14:paraId="14E0DDF5" w14:textId="77777777" w:rsidR="00E61212" w:rsidRPr="00ED6ECF" w:rsidRDefault="00E61212" w:rsidP="00021D43">
      <w:pPr>
        <w:spacing w:after="0" w:line="240" w:lineRule="auto"/>
        <w:ind w:right="-23"/>
      </w:pPr>
    </w:p>
    <w:p w14:paraId="2B6CB394" w14:textId="2EDA2D22" w:rsidR="00CD58E1" w:rsidRPr="00930082" w:rsidRDefault="00BC390A" w:rsidP="00021D43">
      <w:pPr>
        <w:spacing w:after="40" w:line="240" w:lineRule="auto"/>
        <w:rPr>
          <w:b/>
        </w:rPr>
      </w:pPr>
      <w:r>
        <w:rPr>
          <w:b/>
        </w:rPr>
        <w:t>KEQ</w:t>
      </w:r>
      <w:r w:rsidR="00CD58E1">
        <w:rPr>
          <w:b/>
        </w:rPr>
        <w:t xml:space="preserve"> 1: </w:t>
      </w:r>
      <w:r w:rsidR="00CD58E1" w:rsidRPr="00930082">
        <w:rPr>
          <w:b/>
        </w:rPr>
        <w:t xml:space="preserve">To what extent has the Program generated outcomes that are significant, </w:t>
      </w:r>
      <w:r w:rsidR="0030039E" w:rsidRPr="00930082">
        <w:rPr>
          <w:b/>
        </w:rPr>
        <w:t>enduring,</w:t>
      </w:r>
      <w:r w:rsidR="00CD58E1" w:rsidRPr="00930082">
        <w:rPr>
          <w:b/>
        </w:rPr>
        <w:t xml:space="preserve"> and relevant to the Philippine context? </w:t>
      </w:r>
    </w:p>
    <w:p w14:paraId="0C8A39F7" w14:textId="77777777" w:rsidR="00CD58E1" w:rsidRPr="0018216F" w:rsidRDefault="00CD58E1" w:rsidP="00021D43">
      <w:pPr>
        <w:pStyle w:val="ListParagraph"/>
        <w:numPr>
          <w:ilvl w:val="1"/>
          <w:numId w:val="31"/>
        </w:numPr>
        <w:spacing w:after="40" w:line="240" w:lineRule="auto"/>
        <w:ind w:left="357" w:hanging="357"/>
        <w:contextualSpacing w:val="0"/>
      </w:pPr>
      <w:bookmarkStart w:id="96" w:name="_Hlk534303524"/>
      <w:r>
        <w:t xml:space="preserve">What changes in </w:t>
      </w:r>
      <w:r w:rsidRPr="00E53C0F">
        <w:t xml:space="preserve">infrastructure development and </w:t>
      </w:r>
      <w:r>
        <w:t xml:space="preserve">the </w:t>
      </w:r>
      <w:r w:rsidRPr="00E53C0F">
        <w:t>PPP</w:t>
      </w:r>
      <w:r>
        <w:t xml:space="preserve"> policy and operating environment has the Program </w:t>
      </w:r>
      <w:r w:rsidRPr="0018216F">
        <w:t>contributed to, including at national and local levels (intended and unintended outcomes, both positive and negative and notable achievements)?</w:t>
      </w:r>
    </w:p>
    <w:p w14:paraId="2DDE71C1" w14:textId="77777777" w:rsidR="00CD58E1" w:rsidRPr="0018216F" w:rsidRDefault="00CD58E1" w:rsidP="00021D43">
      <w:pPr>
        <w:pStyle w:val="ListParagraph"/>
        <w:numPr>
          <w:ilvl w:val="1"/>
          <w:numId w:val="31"/>
        </w:numPr>
        <w:spacing w:after="40" w:line="240" w:lineRule="auto"/>
        <w:ind w:left="357" w:hanging="357"/>
        <w:contextualSpacing w:val="0"/>
      </w:pPr>
      <w:r w:rsidRPr="0018216F">
        <w:t>Are PPP project receiving sustainable development financing and is it likely that improvements in capacities of participating Government agencies will continue after the TA ends?</w:t>
      </w:r>
    </w:p>
    <w:p w14:paraId="49BEB55B" w14:textId="77777777" w:rsidR="00CD58E1" w:rsidRPr="0018216F" w:rsidRDefault="00CD58E1" w:rsidP="00021D43">
      <w:pPr>
        <w:pStyle w:val="ListParagraph"/>
        <w:numPr>
          <w:ilvl w:val="1"/>
          <w:numId w:val="31"/>
        </w:numPr>
        <w:spacing w:after="40" w:line="240" w:lineRule="auto"/>
        <w:ind w:left="357" w:hanging="357"/>
        <w:contextualSpacing w:val="0"/>
      </w:pPr>
      <w:r w:rsidRPr="0018216F">
        <w:t>What is the level of satisfaction of partners and stakeholders with the outputs and outcomes, and level of progress achieved by the TA?</w:t>
      </w:r>
    </w:p>
    <w:p w14:paraId="34403F66" w14:textId="77777777" w:rsidR="00CD58E1" w:rsidRPr="0018216F" w:rsidRDefault="00CD58E1" w:rsidP="00021D43">
      <w:pPr>
        <w:pStyle w:val="ListParagraph"/>
        <w:spacing w:after="40" w:line="240" w:lineRule="auto"/>
        <w:ind w:left="360"/>
        <w:contextualSpacing w:val="0"/>
      </w:pPr>
    </w:p>
    <w:p w14:paraId="1FCCEFA4" w14:textId="7966DD2B" w:rsidR="00CD58E1" w:rsidRPr="0018216F" w:rsidRDefault="00BC390A" w:rsidP="00021D43">
      <w:pPr>
        <w:spacing w:after="40" w:line="240" w:lineRule="auto"/>
        <w:rPr>
          <w:b/>
        </w:rPr>
      </w:pPr>
      <w:r>
        <w:rPr>
          <w:b/>
        </w:rPr>
        <w:t>KEQ</w:t>
      </w:r>
      <w:r w:rsidR="00CD58E1" w:rsidRPr="0018216F">
        <w:rPr>
          <w:b/>
        </w:rPr>
        <w:t xml:space="preserve"> 2: What do stakeholders perceive to be Australia’s contribution and value-add, in terms of funding and beyond? </w:t>
      </w:r>
    </w:p>
    <w:p w14:paraId="1A526526" w14:textId="543A833B" w:rsidR="00CD58E1" w:rsidRPr="0018216F" w:rsidRDefault="00CD58E1" w:rsidP="00021D43">
      <w:pPr>
        <w:pStyle w:val="ListParagraph"/>
        <w:numPr>
          <w:ilvl w:val="1"/>
          <w:numId w:val="32"/>
        </w:numPr>
        <w:spacing w:after="40" w:line="240" w:lineRule="auto"/>
        <w:ind w:left="357" w:hanging="357"/>
        <w:contextualSpacing w:val="0"/>
      </w:pPr>
      <w:r w:rsidRPr="0018216F">
        <w:t>What is the visibility of DFAT’s funding contribution and how far does it extend down the line to partners? What has worked to enhance and limit DFAT’s visibility in the context of working through a mult</w:t>
      </w:r>
      <w:r w:rsidR="00E90246">
        <w:t>i</w:t>
      </w:r>
      <w:r w:rsidRPr="0018216F">
        <w:t xml:space="preserve">lateral agency? </w:t>
      </w:r>
    </w:p>
    <w:p w14:paraId="65FF34D9" w14:textId="77777777" w:rsidR="00CD58E1" w:rsidRPr="0018216F" w:rsidRDefault="00CD58E1" w:rsidP="00021D43">
      <w:pPr>
        <w:pStyle w:val="ListParagraph"/>
        <w:numPr>
          <w:ilvl w:val="1"/>
          <w:numId w:val="32"/>
        </w:numPr>
        <w:spacing w:after="40" w:line="240" w:lineRule="auto"/>
        <w:ind w:left="357" w:hanging="357"/>
        <w:contextualSpacing w:val="0"/>
      </w:pPr>
      <w:r w:rsidRPr="0018216F">
        <w:t>How has DFAT positively affected the Program such as through direction setting and sector engagement on DFAT priority areas? What are the notable achievements?</w:t>
      </w:r>
    </w:p>
    <w:bookmarkEnd w:id="96"/>
    <w:p w14:paraId="0A9B6511" w14:textId="77777777" w:rsidR="00CD58E1" w:rsidRPr="0018216F" w:rsidRDefault="00CD58E1" w:rsidP="00021D43">
      <w:pPr>
        <w:pStyle w:val="ListParagraph"/>
        <w:numPr>
          <w:ilvl w:val="1"/>
          <w:numId w:val="32"/>
        </w:numPr>
        <w:spacing w:after="40" w:line="240" w:lineRule="auto"/>
        <w:ind w:left="357" w:hanging="357"/>
        <w:contextualSpacing w:val="0"/>
      </w:pPr>
      <w:r w:rsidRPr="0018216F">
        <w:t xml:space="preserve">To what extent has DFAT and other participating Australian institutions (such as those involved in twinning arrangements and the provision of TA) added value? </w:t>
      </w:r>
    </w:p>
    <w:p w14:paraId="0680F6CD" w14:textId="77777777" w:rsidR="00CD58E1" w:rsidRPr="00181404" w:rsidRDefault="00CD58E1" w:rsidP="00021D43">
      <w:pPr>
        <w:spacing w:after="40" w:line="240" w:lineRule="auto"/>
        <w:rPr>
          <w:b/>
        </w:rPr>
      </w:pPr>
    </w:p>
    <w:p w14:paraId="1C88BDBD" w14:textId="0FF79B8D" w:rsidR="00CD58E1" w:rsidRPr="00930082" w:rsidRDefault="00BC390A" w:rsidP="00021D43">
      <w:pPr>
        <w:spacing w:after="40" w:line="240" w:lineRule="auto"/>
        <w:rPr>
          <w:b/>
        </w:rPr>
      </w:pPr>
      <w:r>
        <w:rPr>
          <w:b/>
        </w:rPr>
        <w:t>KEQ</w:t>
      </w:r>
      <w:r w:rsidR="00CD58E1">
        <w:rPr>
          <w:b/>
        </w:rPr>
        <w:t xml:space="preserve"> 3: </w:t>
      </w:r>
      <w:r w:rsidR="00CD58E1" w:rsidRPr="00930082">
        <w:rPr>
          <w:b/>
        </w:rPr>
        <w:t>How relevant is the Program to previous, current and future Australian and Philippine policy settings and directions?</w:t>
      </w:r>
    </w:p>
    <w:p w14:paraId="6ECB177C" w14:textId="77777777" w:rsidR="00CD58E1" w:rsidRDefault="00CD58E1" w:rsidP="00021D43">
      <w:pPr>
        <w:spacing w:after="40" w:line="240" w:lineRule="auto"/>
        <w:ind w:left="426" w:hanging="426"/>
      </w:pPr>
      <w:bookmarkStart w:id="97" w:name="_Hlk534303366"/>
      <w:r>
        <w:t xml:space="preserve">3.1 </w:t>
      </w:r>
      <w:r w:rsidRPr="006F4158">
        <w:t>To what extent were the TA outputs and outcomes consistent with the Philippine Government’s development strategies, priorities, and objectives, and Australia and ADB’s country strategies and objectives over the implementation period to date?</w:t>
      </w:r>
    </w:p>
    <w:p w14:paraId="0050F44D" w14:textId="77777777" w:rsidR="00CD58E1" w:rsidRPr="006F4158" w:rsidRDefault="00CD58E1" w:rsidP="00021D43">
      <w:pPr>
        <w:spacing w:after="40" w:line="240" w:lineRule="auto"/>
        <w:ind w:left="426" w:hanging="426"/>
      </w:pPr>
      <w:r>
        <w:t xml:space="preserve">3.2 </w:t>
      </w:r>
      <w:r w:rsidRPr="006F4158">
        <w:t>To what extent did the TA appropriately respond to the changes in the operating environment?</w:t>
      </w:r>
    </w:p>
    <w:p w14:paraId="3CB8D204" w14:textId="77777777" w:rsidR="00CD58E1" w:rsidRPr="006F4158" w:rsidRDefault="00CD58E1" w:rsidP="00021D43">
      <w:pPr>
        <w:spacing w:after="40" w:line="240" w:lineRule="auto"/>
        <w:ind w:left="426" w:hanging="426"/>
      </w:pPr>
      <w:bookmarkStart w:id="98" w:name="_Hlk62133432"/>
      <w:r>
        <w:t xml:space="preserve">3.3 </w:t>
      </w:r>
      <w:r w:rsidRPr="006F4158">
        <w:t xml:space="preserve">What current and future policy settings and directions from the Philippines and Australian governments are foreshadowed and what implications do these have on the Program’s relevance for the remaining period (December 2022), and a future phase of support? </w:t>
      </w:r>
      <w:bookmarkEnd w:id="97"/>
    </w:p>
    <w:bookmarkEnd w:id="98"/>
    <w:p w14:paraId="195DA518" w14:textId="77777777" w:rsidR="00CD58E1" w:rsidRDefault="00CD58E1" w:rsidP="00021D43">
      <w:pPr>
        <w:spacing w:after="40" w:line="240" w:lineRule="auto"/>
      </w:pPr>
    </w:p>
    <w:p w14:paraId="38935014" w14:textId="475157BD" w:rsidR="00CD58E1" w:rsidRPr="00181404" w:rsidRDefault="00BC390A" w:rsidP="00021D43">
      <w:pPr>
        <w:spacing w:after="40" w:line="240" w:lineRule="auto"/>
        <w:rPr>
          <w:b/>
        </w:rPr>
      </w:pPr>
      <w:r>
        <w:rPr>
          <w:b/>
        </w:rPr>
        <w:t xml:space="preserve">KEQ </w:t>
      </w:r>
      <w:r w:rsidR="00CD58E1">
        <w:rPr>
          <w:b/>
        </w:rPr>
        <w:t>4: To what extent has the Program built capacity to bring about inclusive infrastructure and PPP projects, including for women, men and people with disability?</w:t>
      </w:r>
    </w:p>
    <w:p w14:paraId="253BBF95" w14:textId="5A7D7663" w:rsidR="00CD58E1" w:rsidRPr="006F4158" w:rsidRDefault="00CD58E1" w:rsidP="00021D43">
      <w:pPr>
        <w:numPr>
          <w:ilvl w:val="1"/>
          <w:numId w:val="9"/>
        </w:numPr>
        <w:tabs>
          <w:tab w:val="left" w:pos="567"/>
        </w:tabs>
        <w:suppressAutoHyphens/>
        <w:spacing w:after="0" w:line="240" w:lineRule="auto"/>
        <w:contextualSpacing/>
        <w:rPr>
          <w:bCs/>
          <w:lang w:val="en-GB"/>
        </w:rPr>
      </w:pPr>
      <w:r w:rsidRPr="006F4158">
        <w:rPr>
          <w:bCs/>
          <w:lang w:val="en-GB"/>
        </w:rPr>
        <w:t>To what extent has the Gender, Disability and Social Inclusion (GESDI) mainstreaming activities and target setting (</w:t>
      </w:r>
      <w:r w:rsidR="00680BA5" w:rsidRPr="006F4158">
        <w:rPr>
          <w:bCs/>
          <w:lang w:val="en-GB"/>
        </w:rPr>
        <w:t>i.e.,</w:t>
      </w:r>
      <w:r w:rsidRPr="006F4158">
        <w:rPr>
          <w:bCs/>
          <w:lang w:val="en-GB"/>
        </w:rPr>
        <w:t xml:space="preserve"> toolkits, guidelines, appraisal processes) resulted in inclusive PPP projects and facilities?</w:t>
      </w:r>
    </w:p>
    <w:p w14:paraId="003170AE" w14:textId="77777777" w:rsidR="00CD58E1" w:rsidRPr="006F4158" w:rsidRDefault="00CD58E1" w:rsidP="00021D43">
      <w:pPr>
        <w:numPr>
          <w:ilvl w:val="1"/>
          <w:numId w:val="9"/>
        </w:numPr>
        <w:tabs>
          <w:tab w:val="left" w:pos="567"/>
        </w:tabs>
        <w:suppressAutoHyphens/>
        <w:spacing w:after="0" w:line="240" w:lineRule="auto"/>
        <w:contextualSpacing/>
        <w:rPr>
          <w:bCs/>
          <w:lang w:val="en-GB"/>
        </w:rPr>
      </w:pPr>
      <w:r w:rsidRPr="006F4158">
        <w:rPr>
          <w:bCs/>
          <w:lang w:val="en-GB"/>
        </w:rPr>
        <w:t>To what extent did the TA appropriately integrate gender equality and disability inclusion considerations across TA components to ensure the need of women, men and people with disability are factored into PPP projects?</w:t>
      </w:r>
    </w:p>
    <w:p w14:paraId="6D4230B7" w14:textId="35F98956" w:rsidR="00CD58E1" w:rsidRDefault="00CD58E1" w:rsidP="00021D43">
      <w:pPr>
        <w:numPr>
          <w:ilvl w:val="1"/>
          <w:numId w:val="9"/>
        </w:numPr>
        <w:tabs>
          <w:tab w:val="left" w:pos="567"/>
        </w:tabs>
        <w:suppressAutoHyphens/>
        <w:spacing w:after="0" w:line="240" w:lineRule="auto"/>
        <w:contextualSpacing/>
        <w:rPr>
          <w:bCs/>
          <w:lang w:val="en-GB"/>
        </w:rPr>
      </w:pPr>
      <w:r w:rsidRPr="006F4158">
        <w:rPr>
          <w:bCs/>
          <w:lang w:val="en-GB"/>
        </w:rPr>
        <w:t>What are the major barriers and enablers to inclusion within implementing agencies, including capacity (knowledge, skills, expertise), networks, resources, will and M&amp;E?</w:t>
      </w:r>
    </w:p>
    <w:p w14:paraId="41167977" w14:textId="77777777" w:rsidR="00E61212" w:rsidRPr="00E61212" w:rsidRDefault="00E61212" w:rsidP="00021D43">
      <w:pPr>
        <w:tabs>
          <w:tab w:val="left" w:pos="567"/>
        </w:tabs>
        <w:suppressAutoHyphens/>
        <w:spacing w:after="0" w:line="240" w:lineRule="auto"/>
        <w:ind w:left="360"/>
        <w:contextualSpacing/>
        <w:rPr>
          <w:bCs/>
          <w:lang w:val="en-GB"/>
        </w:rPr>
      </w:pPr>
    </w:p>
    <w:p w14:paraId="1F53D76D" w14:textId="5FCF86DC" w:rsidR="00CD58E1" w:rsidRPr="0018216F" w:rsidRDefault="00BC390A" w:rsidP="00021D43">
      <w:pPr>
        <w:spacing w:after="40" w:line="240" w:lineRule="auto"/>
        <w:rPr>
          <w:b/>
        </w:rPr>
      </w:pPr>
      <w:r>
        <w:rPr>
          <w:b/>
        </w:rPr>
        <w:lastRenderedPageBreak/>
        <w:t>KEQ</w:t>
      </w:r>
      <w:r w:rsidR="00CD58E1" w:rsidRPr="0018216F">
        <w:rPr>
          <w:b/>
        </w:rPr>
        <w:t xml:space="preserve"> 5: Were the TA modality, governance, management and M&amp;E arrangements efficient and effective mechanisms for implementing the TA - what has and has not worked well and what lessons can be learned?</w:t>
      </w:r>
    </w:p>
    <w:p w14:paraId="2E3E1F05" w14:textId="194A58D3" w:rsidR="00CD58E1" w:rsidRPr="0018216F" w:rsidRDefault="00CD58E1" w:rsidP="00021D43">
      <w:pPr>
        <w:spacing w:after="40" w:line="240" w:lineRule="auto"/>
        <w:ind w:left="426" w:hanging="426"/>
      </w:pPr>
      <w:r w:rsidRPr="0018216F">
        <w:t>5.1</w:t>
      </w:r>
      <w:r w:rsidRPr="0018216F">
        <w:tab/>
        <w:t>How effectively did the modality (</w:t>
      </w:r>
      <w:r w:rsidR="00680BA5" w:rsidRPr="0018216F">
        <w:t>i.e.,</w:t>
      </w:r>
      <w:r w:rsidRPr="0018216F">
        <w:t xml:space="preserve"> multilateral, partner-led, partner systems, multi-donor funded) enable DFAT to: i) leverage ADB </w:t>
      </w:r>
      <w:r w:rsidR="00680BA5" w:rsidRPr="0018216F">
        <w:t>expertise</w:t>
      </w:r>
      <w:r w:rsidRPr="0018216F">
        <w:t xml:space="preserve"> and other donor funding; ii) engage and influence; and iii) bring about strong bilateral relationship - what were the benefits and limitations?</w:t>
      </w:r>
    </w:p>
    <w:p w14:paraId="2038D444" w14:textId="77777777" w:rsidR="00CD58E1" w:rsidRPr="0018216F" w:rsidRDefault="00CD58E1" w:rsidP="00021D43">
      <w:pPr>
        <w:spacing w:after="40" w:line="240" w:lineRule="auto"/>
        <w:ind w:left="426" w:hanging="426"/>
      </w:pPr>
      <w:r w:rsidRPr="0018216F">
        <w:t xml:space="preserve">5.2 </w:t>
      </w:r>
      <w:r w:rsidRPr="0018216F">
        <w:tab/>
        <w:t>How efficient and effective was the modality in providing quality, targeted and timely TA, bringing about outcomes, and managing sustainability risks and Australia Government funds?</w:t>
      </w:r>
    </w:p>
    <w:p w14:paraId="47EB8107" w14:textId="461B771B" w:rsidR="00CD58E1" w:rsidRDefault="00CD58E1" w:rsidP="00021D43">
      <w:pPr>
        <w:spacing w:after="40" w:line="240" w:lineRule="auto"/>
        <w:ind w:left="426" w:hanging="426"/>
      </w:pPr>
      <w:r w:rsidRPr="0018216F">
        <w:t xml:space="preserve">5.3 </w:t>
      </w:r>
      <w:r w:rsidRPr="0018216F">
        <w:tab/>
        <w:t>Was the M&amp;E framework and system fit-for-purpose and did it generate sufficient and timely information to guide decision making by project implementers and donors and implementation for results across all TA components.</w:t>
      </w:r>
    </w:p>
    <w:p w14:paraId="26B52D03" w14:textId="77777777" w:rsidR="00E61212" w:rsidRPr="00BE3CEB" w:rsidRDefault="00E61212" w:rsidP="00021D43">
      <w:pPr>
        <w:spacing w:after="40" w:line="240" w:lineRule="auto"/>
      </w:pPr>
    </w:p>
    <w:p w14:paraId="30C1B42C" w14:textId="5A4F8CC9" w:rsidR="00CD58E1" w:rsidRPr="00CC7A9A" w:rsidRDefault="00BC390A" w:rsidP="00021D43">
      <w:pPr>
        <w:spacing w:after="40" w:line="240" w:lineRule="auto"/>
        <w:rPr>
          <w:b/>
        </w:rPr>
      </w:pPr>
      <w:r>
        <w:rPr>
          <w:b/>
        </w:rPr>
        <w:t>KEQ</w:t>
      </w:r>
      <w:r w:rsidR="00CD58E1" w:rsidRPr="00CC7A9A">
        <w:rPr>
          <w:b/>
        </w:rPr>
        <w:t xml:space="preserve"> </w:t>
      </w:r>
      <w:r w:rsidR="00CD58E1">
        <w:rPr>
          <w:b/>
        </w:rPr>
        <w:t>6</w:t>
      </w:r>
      <w:r w:rsidR="00CD58E1" w:rsidRPr="00CC7A9A">
        <w:rPr>
          <w:b/>
        </w:rPr>
        <w:t>: What</w:t>
      </w:r>
      <w:r w:rsidR="00CD58E1">
        <w:rPr>
          <w:b/>
        </w:rPr>
        <w:t xml:space="preserve"> learnings, </w:t>
      </w:r>
      <w:r w:rsidR="00CD58E1" w:rsidRPr="00CC7A9A">
        <w:rPr>
          <w:b/>
        </w:rPr>
        <w:t xml:space="preserve">recommendations and opportunities are there for Australia to effectively and efficiently contribute to the </w:t>
      </w:r>
      <w:r w:rsidR="00CD58E1">
        <w:rPr>
          <w:b/>
        </w:rPr>
        <w:t>Philippine</w:t>
      </w:r>
      <w:r w:rsidR="00CD58E1" w:rsidRPr="00CC7A9A">
        <w:rPr>
          <w:b/>
        </w:rPr>
        <w:t xml:space="preserve"> </w:t>
      </w:r>
      <w:r w:rsidR="00CD58E1">
        <w:rPr>
          <w:b/>
        </w:rPr>
        <w:t>infrastructure and PPP</w:t>
      </w:r>
      <w:r w:rsidR="00CD58E1" w:rsidRPr="00CC7A9A">
        <w:rPr>
          <w:b/>
        </w:rPr>
        <w:t xml:space="preserve"> sector going forward? </w:t>
      </w:r>
    </w:p>
    <w:p w14:paraId="1229D288" w14:textId="77777777" w:rsidR="00CD58E1" w:rsidRPr="002B1A7B" w:rsidRDefault="00CD58E1" w:rsidP="00021D43">
      <w:pPr>
        <w:spacing w:after="40" w:line="240" w:lineRule="auto"/>
        <w:ind w:left="426" w:hanging="426"/>
      </w:pPr>
      <w:r w:rsidRPr="002B1A7B">
        <w:t>6.1</w:t>
      </w:r>
      <w:r w:rsidRPr="002B1A7B">
        <w:tab/>
        <w:t xml:space="preserve">For the remaining </w:t>
      </w:r>
      <w:r w:rsidRPr="00133DC2">
        <w:t>months of implementation (</w:t>
      </w:r>
      <w:r>
        <w:t>to</w:t>
      </w:r>
      <w:r w:rsidRPr="00133DC2">
        <w:t xml:space="preserve"> December 2022)</w:t>
      </w:r>
      <w:r w:rsidRPr="002B1A7B">
        <w:t xml:space="preserve"> to improve overall TA implementation and strengthen outcomes within the framework of achievements to date</w:t>
      </w:r>
    </w:p>
    <w:p w14:paraId="697E5703" w14:textId="77777777" w:rsidR="00CD58E1" w:rsidRPr="002B1A7B" w:rsidRDefault="00CD58E1" w:rsidP="00021D43">
      <w:pPr>
        <w:spacing w:after="40" w:line="240" w:lineRule="auto"/>
        <w:ind w:left="426" w:hanging="426"/>
      </w:pPr>
      <w:r w:rsidRPr="002B1A7B">
        <w:t>6.2</w:t>
      </w:r>
      <w:r w:rsidRPr="002B1A7B">
        <w:tab/>
        <w:t>For Future support:</w:t>
      </w:r>
    </w:p>
    <w:p w14:paraId="2EDD035B" w14:textId="77777777" w:rsidR="00CD58E1" w:rsidRPr="006B467B" w:rsidRDefault="00CD58E1" w:rsidP="00021D43">
      <w:pPr>
        <w:numPr>
          <w:ilvl w:val="1"/>
          <w:numId w:val="33"/>
        </w:numPr>
        <w:suppressAutoHyphens/>
        <w:spacing w:after="0" w:line="240" w:lineRule="auto"/>
        <w:contextualSpacing/>
        <w:rPr>
          <w:bCs/>
          <w:i/>
          <w:lang w:val="en-GB"/>
        </w:rPr>
      </w:pPr>
      <w:r>
        <w:rPr>
          <w:bCs/>
          <w:i/>
          <w:lang w:val="en-GB"/>
        </w:rPr>
        <w:t>T</w:t>
      </w:r>
      <w:r w:rsidRPr="006B467B">
        <w:rPr>
          <w:bCs/>
          <w:i/>
          <w:lang w:val="en-GB"/>
        </w:rPr>
        <w:t>o PPPs and infrastructure development in the Philippines that can be considered by the Australian Embassy</w:t>
      </w:r>
    </w:p>
    <w:p w14:paraId="6FD677CC" w14:textId="77777777" w:rsidR="00CD58E1" w:rsidRDefault="00CD58E1" w:rsidP="00021D43">
      <w:pPr>
        <w:numPr>
          <w:ilvl w:val="1"/>
          <w:numId w:val="33"/>
        </w:numPr>
        <w:suppressAutoHyphens/>
        <w:spacing w:after="0" w:line="240" w:lineRule="auto"/>
        <w:contextualSpacing/>
        <w:rPr>
          <w:bCs/>
          <w:i/>
          <w:lang w:val="en-GB"/>
        </w:rPr>
      </w:pPr>
      <w:r w:rsidRPr="006B467B">
        <w:rPr>
          <w:bCs/>
          <w:i/>
          <w:lang w:val="en-GB"/>
        </w:rPr>
        <w:t>Potential improvements to implementation of similar TA projects in the future</w:t>
      </w:r>
      <w:r w:rsidRPr="002B1A7B">
        <w:t xml:space="preserve"> </w:t>
      </w:r>
      <w:r w:rsidRPr="002B1A7B">
        <w:rPr>
          <w:bCs/>
          <w:i/>
          <w:lang w:val="en-GB"/>
        </w:rPr>
        <w:t xml:space="preserve">[including working with ADB specifically or </w:t>
      </w:r>
      <w:r>
        <w:rPr>
          <w:bCs/>
          <w:i/>
          <w:lang w:val="en-GB"/>
        </w:rPr>
        <w:t>Multilateral Development Banks</w:t>
      </w:r>
      <w:r w:rsidRPr="002B1A7B">
        <w:rPr>
          <w:bCs/>
          <w:i/>
          <w:lang w:val="en-GB"/>
        </w:rPr>
        <w:t xml:space="preserve"> more generally; partner-led vs. DFAT-led program</w:t>
      </w:r>
      <w:r>
        <w:rPr>
          <w:bCs/>
          <w:i/>
          <w:lang w:val="en-GB"/>
        </w:rPr>
        <w:t xml:space="preserve">). Consider governance, broader visibility, communications, outcomes and effectiveness, leveraging and pooled funding dynamics. </w:t>
      </w:r>
    </w:p>
    <w:p w14:paraId="5515E2A4" w14:textId="5D564828" w:rsidR="00E61212" w:rsidRDefault="00E61212" w:rsidP="00021D43">
      <w:pPr>
        <w:spacing w:line="240" w:lineRule="auto"/>
        <w:rPr>
          <w:rFonts w:cstheme="minorHAnsi"/>
          <w:b/>
          <w:bCs/>
        </w:rPr>
      </w:pPr>
    </w:p>
    <w:p w14:paraId="19F3D889" w14:textId="77777777" w:rsidR="00181404" w:rsidRDefault="00E61212" w:rsidP="00021D43">
      <w:pPr>
        <w:spacing w:after="0" w:line="240" w:lineRule="auto"/>
        <w:rPr>
          <w:rFonts w:cstheme="minorHAnsi"/>
          <w:b/>
          <w:bCs/>
        </w:rPr>
      </w:pPr>
      <w:r w:rsidRPr="00CD58E1">
        <w:rPr>
          <w:rFonts w:cstheme="minorHAnsi"/>
          <w:b/>
          <w:bCs/>
        </w:rPr>
        <w:t>Presentation and analysis of findings</w:t>
      </w:r>
    </w:p>
    <w:p w14:paraId="716EF652" w14:textId="11060F8F" w:rsidR="005A0D4C" w:rsidRPr="00181404" w:rsidRDefault="005A0D4C" w:rsidP="00021D43">
      <w:pPr>
        <w:spacing w:line="240" w:lineRule="auto"/>
        <w:rPr>
          <w:rFonts w:cstheme="minorHAnsi"/>
          <w:b/>
          <w:bCs/>
        </w:rPr>
      </w:pPr>
      <w:r>
        <w:t xml:space="preserve">The evaluation formulated seven overarching findings which are presented in the Executive Summary. These </w:t>
      </w:r>
      <w:r w:rsidR="00E4013F">
        <w:t>seek</w:t>
      </w:r>
      <w:r>
        <w:t xml:space="preserve"> to distil key messages and judgements, and tell the performance story. For internal DFAT reporting purposes, the evaluati</w:t>
      </w:r>
      <w:r w:rsidR="00181404">
        <w:t xml:space="preserve">on findings are structured against the DAC criteria, rather than the KEQs. However, </w:t>
      </w:r>
      <w:r w:rsidR="00181404" w:rsidRPr="005A0D4C">
        <w:t xml:space="preserve">each </w:t>
      </w:r>
      <w:r w:rsidR="00181404">
        <w:t>KEQ</w:t>
      </w:r>
      <w:r w:rsidR="00181404" w:rsidRPr="005A0D4C">
        <w:t xml:space="preserve"> has been comprehensively addressed</w:t>
      </w:r>
      <w:r w:rsidR="00181404">
        <w:t xml:space="preserve"> in the report</w:t>
      </w:r>
      <w:r w:rsidR="00181404" w:rsidRPr="005A0D4C">
        <w:t>.</w:t>
      </w:r>
    </w:p>
    <w:p w14:paraId="16013A5A" w14:textId="17D26419" w:rsidR="00E61212" w:rsidRPr="00181404" w:rsidRDefault="00181404" w:rsidP="00021D43">
      <w:pPr>
        <w:spacing w:after="120" w:line="240" w:lineRule="auto"/>
        <w:ind w:right="-23"/>
      </w:pPr>
      <w:r>
        <w:t>L</w:t>
      </w:r>
      <w:r w:rsidR="00E61212" w:rsidRPr="00181404">
        <w:t>inks between the findings of the evaluation report</w:t>
      </w:r>
      <w:r w:rsidRPr="00181404">
        <w:t xml:space="preserve">, the Executive </w:t>
      </w:r>
      <w:r>
        <w:t>S</w:t>
      </w:r>
      <w:r w:rsidRPr="00181404">
        <w:t>ummary</w:t>
      </w:r>
      <w:r w:rsidR="00E61212" w:rsidRPr="00181404">
        <w:t xml:space="preserve"> </w:t>
      </w:r>
      <w:r>
        <w:t xml:space="preserve">findings, </w:t>
      </w:r>
      <w:r w:rsidR="00E61212" w:rsidRPr="00181404">
        <w:t>and KEQs</w:t>
      </w:r>
      <w:r>
        <w:t>:</w:t>
      </w:r>
    </w:p>
    <w:tbl>
      <w:tblPr>
        <w:tblStyle w:val="TableGrid2"/>
        <w:tblW w:w="0" w:type="auto"/>
        <w:tblInd w:w="-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268"/>
        <w:gridCol w:w="3119"/>
        <w:gridCol w:w="3402"/>
      </w:tblGrid>
      <w:tr w:rsidR="00926456" w:rsidRPr="00CD58E1" w14:paraId="55A897C4" w14:textId="77777777" w:rsidTr="000863DA">
        <w:trPr>
          <w:tblHeader/>
        </w:trPr>
        <w:tc>
          <w:tcPr>
            <w:tcW w:w="2268" w:type="dxa"/>
            <w:shd w:val="clear" w:color="auto" w:fill="9CC2E5" w:themeFill="accent1" w:themeFillTint="99"/>
          </w:tcPr>
          <w:p w14:paraId="4828526E" w14:textId="2D228020" w:rsidR="00926456" w:rsidRPr="00341E5C" w:rsidRDefault="00926456" w:rsidP="00021D43">
            <w:pPr>
              <w:spacing w:after="60"/>
              <w:rPr>
                <w:b/>
                <w:bCs/>
              </w:rPr>
            </w:pPr>
            <w:r w:rsidRPr="00341E5C">
              <w:rPr>
                <w:b/>
                <w:bCs/>
              </w:rPr>
              <w:t>Findings in the main body of the report</w:t>
            </w:r>
          </w:p>
        </w:tc>
        <w:tc>
          <w:tcPr>
            <w:tcW w:w="3119" w:type="dxa"/>
            <w:shd w:val="clear" w:color="auto" w:fill="9CC2E5" w:themeFill="accent1" w:themeFillTint="99"/>
          </w:tcPr>
          <w:p w14:paraId="4DEF2798" w14:textId="77777777" w:rsidR="00926456" w:rsidRPr="00341E5C" w:rsidRDefault="00926456" w:rsidP="00021D43">
            <w:pPr>
              <w:spacing w:after="60"/>
              <w:rPr>
                <w:b/>
                <w:bCs/>
              </w:rPr>
            </w:pPr>
            <w:r w:rsidRPr="00341E5C">
              <w:rPr>
                <w:b/>
                <w:bCs/>
              </w:rPr>
              <w:t>Findings in the Executive Summary report</w:t>
            </w:r>
          </w:p>
        </w:tc>
        <w:tc>
          <w:tcPr>
            <w:tcW w:w="3402" w:type="dxa"/>
            <w:shd w:val="clear" w:color="auto" w:fill="9CC2E5" w:themeFill="accent1" w:themeFillTint="99"/>
          </w:tcPr>
          <w:p w14:paraId="6ACEBFB1" w14:textId="77777777" w:rsidR="00926456" w:rsidRPr="00341E5C" w:rsidRDefault="00926456" w:rsidP="00021D43">
            <w:pPr>
              <w:spacing w:after="60"/>
              <w:rPr>
                <w:b/>
                <w:bCs/>
              </w:rPr>
            </w:pPr>
            <w:r w:rsidRPr="00341E5C">
              <w:rPr>
                <w:b/>
                <w:bCs/>
              </w:rPr>
              <w:t xml:space="preserve">Respond to KEQs in the Evaluation Plan </w:t>
            </w:r>
          </w:p>
        </w:tc>
      </w:tr>
      <w:tr w:rsidR="00926456" w:rsidRPr="00CD58E1" w14:paraId="1FB4453E" w14:textId="77777777" w:rsidTr="00926456">
        <w:tc>
          <w:tcPr>
            <w:tcW w:w="2268" w:type="dxa"/>
          </w:tcPr>
          <w:p w14:paraId="3FD31E4F" w14:textId="371D2F1F" w:rsidR="00926456" w:rsidRPr="00CD58E1" w:rsidRDefault="00926456" w:rsidP="00021D43">
            <w:pPr>
              <w:spacing w:after="60"/>
            </w:pPr>
            <w:r>
              <w:t>Effectiveness</w:t>
            </w:r>
          </w:p>
        </w:tc>
        <w:tc>
          <w:tcPr>
            <w:tcW w:w="3119" w:type="dxa"/>
          </w:tcPr>
          <w:p w14:paraId="213E89F4" w14:textId="1E2F85B4" w:rsidR="00926456" w:rsidRPr="00CD58E1" w:rsidRDefault="00926456" w:rsidP="00021D43">
            <w:pPr>
              <w:spacing w:after="60"/>
            </w:pPr>
            <w:r w:rsidRPr="00CD58E1">
              <w:t xml:space="preserve">Finding 1: </w:t>
            </w:r>
            <w:r>
              <w:t xml:space="preserve">Effectiveness and outcomes </w:t>
            </w:r>
          </w:p>
        </w:tc>
        <w:tc>
          <w:tcPr>
            <w:tcW w:w="3402" w:type="dxa"/>
          </w:tcPr>
          <w:p w14:paraId="773F1387" w14:textId="64138B9B" w:rsidR="00926456" w:rsidRPr="00CD58E1" w:rsidRDefault="00926456" w:rsidP="00021D43">
            <w:pPr>
              <w:spacing w:after="60"/>
            </w:pPr>
            <w:r w:rsidRPr="00CD58E1">
              <w:t>KEQ 1</w:t>
            </w:r>
            <w:r>
              <w:t>:</w:t>
            </w:r>
            <w:r w:rsidRPr="00CD58E1">
              <w:t xml:space="preserve"> re </w:t>
            </w:r>
            <w:r>
              <w:t>significant outcomes</w:t>
            </w:r>
          </w:p>
        </w:tc>
      </w:tr>
      <w:tr w:rsidR="00926456" w:rsidRPr="00CD58E1" w14:paraId="58369BAA" w14:textId="77777777" w:rsidTr="00926456">
        <w:tc>
          <w:tcPr>
            <w:tcW w:w="2268" w:type="dxa"/>
          </w:tcPr>
          <w:p w14:paraId="61D12C5F" w14:textId="2676AB6F" w:rsidR="00926456" w:rsidRPr="00CD58E1" w:rsidRDefault="00926456" w:rsidP="00021D43">
            <w:pPr>
              <w:spacing w:after="60"/>
            </w:pPr>
            <w:r>
              <w:t>DFAT contribution</w:t>
            </w:r>
          </w:p>
        </w:tc>
        <w:tc>
          <w:tcPr>
            <w:tcW w:w="3119" w:type="dxa"/>
          </w:tcPr>
          <w:p w14:paraId="06C2D78F" w14:textId="77777777" w:rsidR="00926456" w:rsidRDefault="00926456" w:rsidP="00021D43">
            <w:pPr>
              <w:spacing w:after="60"/>
            </w:pPr>
            <w:r w:rsidRPr="00CD58E1">
              <w:t xml:space="preserve">Finding 2: </w:t>
            </w:r>
            <w:r>
              <w:t>DFAT contribution and engagement</w:t>
            </w:r>
          </w:p>
          <w:p w14:paraId="30A011FA" w14:textId="11D3C346" w:rsidR="00926456" w:rsidRPr="00CD58E1" w:rsidRDefault="00926456" w:rsidP="00021D43">
            <w:pPr>
              <w:spacing w:after="60"/>
            </w:pPr>
            <w:r>
              <w:t xml:space="preserve">Finding 5: </w:t>
            </w:r>
            <w:r w:rsidR="00A71EAA" w:rsidRPr="00AC794F">
              <w:t xml:space="preserve">Project Development and </w:t>
            </w:r>
            <w:r w:rsidR="00A71EAA">
              <w:t xml:space="preserve">Monitoring </w:t>
            </w:r>
            <w:r w:rsidR="00A71EAA" w:rsidRPr="00AC794F">
              <w:t xml:space="preserve">Facility </w:t>
            </w:r>
            <w:r w:rsidR="00A71EAA">
              <w:t>(</w:t>
            </w:r>
            <w:r>
              <w:t>PDMF</w:t>
            </w:r>
            <w:r w:rsidR="00A71EAA">
              <w:t>)</w:t>
            </w:r>
            <w:r>
              <w:t xml:space="preserve"> effectiveness</w:t>
            </w:r>
          </w:p>
        </w:tc>
        <w:tc>
          <w:tcPr>
            <w:tcW w:w="3402" w:type="dxa"/>
          </w:tcPr>
          <w:p w14:paraId="07DE7904" w14:textId="79CC2EDD" w:rsidR="00926456" w:rsidRPr="00CD58E1" w:rsidRDefault="00926456" w:rsidP="00021D43">
            <w:pPr>
              <w:spacing w:after="60"/>
            </w:pPr>
            <w:r w:rsidRPr="00CD58E1">
              <w:t>KEQ 2</w:t>
            </w:r>
            <w:r>
              <w:t>: re</w:t>
            </w:r>
            <w:r w:rsidRPr="00CD58E1">
              <w:t xml:space="preserve"> </w:t>
            </w:r>
            <w:r>
              <w:t xml:space="preserve">perception of </w:t>
            </w:r>
            <w:r w:rsidRPr="00F551BA">
              <w:t>Australia’s contribution and value-add</w:t>
            </w:r>
          </w:p>
          <w:p w14:paraId="7CD55615" w14:textId="77777777" w:rsidR="00926456" w:rsidRPr="00CD58E1" w:rsidRDefault="00926456" w:rsidP="00021D43">
            <w:pPr>
              <w:spacing w:after="60"/>
            </w:pPr>
          </w:p>
        </w:tc>
      </w:tr>
      <w:tr w:rsidR="00926456" w:rsidRPr="00CD58E1" w14:paraId="76451626" w14:textId="77777777" w:rsidTr="00926456">
        <w:tc>
          <w:tcPr>
            <w:tcW w:w="2268" w:type="dxa"/>
          </w:tcPr>
          <w:p w14:paraId="41FE9C28" w14:textId="02B924DD" w:rsidR="00926456" w:rsidRPr="00CD58E1" w:rsidRDefault="00926456" w:rsidP="00021D43">
            <w:pPr>
              <w:spacing w:after="60"/>
            </w:pPr>
            <w:r>
              <w:t>Efficiency</w:t>
            </w:r>
          </w:p>
        </w:tc>
        <w:tc>
          <w:tcPr>
            <w:tcW w:w="3119" w:type="dxa"/>
          </w:tcPr>
          <w:p w14:paraId="5FB96FD7" w14:textId="48658B61" w:rsidR="00926456" w:rsidRPr="00CD58E1" w:rsidRDefault="00926456" w:rsidP="00021D43">
            <w:pPr>
              <w:spacing w:after="60"/>
            </w:pPr>
            <w:r w:rsidRPr="00CD58E1">
              <w:t xml:space="preserve">Finding </w:t>
            </w:r>
            <w:r>
              <w:t>6</w:t>
            </w:r>
            <w:r w:rsidRPr="00CD58E1">
              <w:t xml:space="preserve">: </w:t>
            </w:r>
            <w:r>
              <w:t>Appropriateness of PPP modality and ADB-DFAT engagement</w:t>
            </w:r>
          </w:p>
        </w:tc>
        <w:tc>
          <w:tcPr>
            <w:tcW w:w="3402" w:type="dxa"/>
          </w:tcPr>
          <w:p w14:paraId="01151E7C" w14:textId="05C5B90F" w:rsidR="00926456" w:rsidRDefault="00926456" w:rsidP="00021D43">
            <w:pPr>
              <w:spacing w:after="60"/>
            </w:pPr>
            <w:r>
              <w:t>KEQ5: re level of satisfaction with outputs</w:t>
            </w:r>
          </w:p>
          <w:p w14:paraId="6804659E" w14:textId="05797289" w:rsidR="00926456" w:rsidRPr="00CD58E1" w:rsidRDefault="00926456" w:rsidP="00021D43">
            <w:pPr>
              <w:spacing w:after="60"/>
            </w:pPr>
            <w:r>
              <w:t xml:space="preserve">KEQ 4: efficiency and effectiveness of </w:t>
            </w:r>
            <w:r w:rsidRPr="001A651A">
              <w:t>modality</w:t>
            </w:r>
            <w:r>
              <w:t xml:space="preserve"> &amp; mgt</w:t>
            </w:r>
            <w:r w:rsidRPr="001A651A">
              <w:t xml:space="preserve"> arrangements </w:t>
            </w:r>
          </w:p>
        </w:tc>
      </w:tr>
      <w:tr w:rsidR="00926456" w:rsidRPr="00CD58E1" w14:paraId="216052E7" w14:textId="77777777" w:rsidTr="00926456">
        <w:tc>
          <w:tcPr>
            <w:tcW w:w="2268" w:type="dxa"/>
          </w:tcPr>
          <w:p w14:paraId="536FA897" w14:textId="23FB766B" w:rsidR="00926456" w:rsidRPr="00CD58E1" w:rsidRDefault="00926456" w:rsidP="00021D43">
            <w:pPr>
              <w:spacing w:after="60"/>
            </w:pPr>
            <w:r>
              <w:t>Inclusion and safeguarding</w:t>
            </w:r>
          </w:p>
        </w:tc>
        <w:tc>
          <w:tcPr>
            <w:tcW w:w="3119" w:type="dxa"/>
          </w:tcPr>
          <w:p w14:paraId="7DA37B33" w14:textId="460D8205" w:rsidR="00926456" w:rsidRPr="00CD58E1" w:rsidRDefault="00926456" w:rsidP="00021D43">
            <w:pPr>
              <w:spacing w:after="60"/>
            </w:pPr>
            <w:r w:rsidRPr="00CD58E1">
              <w:t xml:space="preserve">Finding </w:t>
            </w:r>
            <w:r>
              <w:t>7</w:t>
            </w:r>
            <w:r w:rsidRPr="00CD58E1">
              <w:t xml:space="preserve">: </w:t>
            </w:r>
            <w:r>
              <w:t>progress in GEDSI and social and environmental safeguarding</w:t>
            </w:r>
          </w:p>
        </w:tc>
        <w:tc>
          <w:tcPr>
            <w:tcW w:w="3402" w:type="dxa"/>
          </w:tcPr>
          <w:p w14:paraId="03BA4546" w14:textId="590BA6D6" w:rsidR="00926456" w:rsidRPr="00CD58E1" w:rsidRDefault="00926456" w:rsidP="00021D43">
            <w:pPr>
              <w:spacing w:after="60"/>
            </w:pPr>
            <w:r w:rsidRPr="00CD58E1">
              <w:t xml:space="preserve">KEQ </w:t>
            </w:r>
            <w:r>
              <w:t>4</w:t>
            </w:r>
            <w:r w:rsidRPr="00CD58E1">
              <w:t>:</w:t>
            </w:r>
            <w:r>
              <w:t xml:space="preserve"> re </w:t>
            </w:r>
            <w:r w:rsidRPr="00F551BA">
              <w:t>capacity to bring about inclusive infrastructure and PPP projects</w:t>
            </w:r>
          </w:p>
        </w:tc>
      </w:tr>
      <w:tr w:rsidR="00926456" w:rsidRPr="00CD58E1" w14:paraId="55905B1F" w14:textId="77777777" w:rsidTr="00926456">
        <w:tc>
          <w:tcPr>
            <w:tcW w:w="2268" w:type="dxa"/>
          </w:tcPr>
          <w:p w14:paraId="0759298F" w14:textId="440F9C53" w:rsidR="00926456" w:rsidRPr="00CD58E1" w:rsidRDefault="00926456" w:rsidP="00021D43">
            <w:pPr>
              <w:spacing w:after="60"/>
            </w:pPr>
            <w:r>
              <w:lastRenderedPageBreak/>
              <w:t xml:space="preserve">Relevance </w:t>
            </w:r>
          </w:p>
        </w:tc>
        <w:tc>
          <w:tcPr>
            <w:tcW w:w="3119" w:type="dxa"/>
          </w:tcPr>
          <w:p w14:paraId="3DB903C3" w14:textId="416C72F9" w:rsidR="00926456" w:rsidRDefault="00926456" w:rsidP="00021D43">
            <w:pPr>
              <w:spacing w:after="60"/>
            </w:pPr>
            <w:r w:rsidRPr="00CD58E1">
              <w:t xml:space="preserve">Finding </w:t>
            </w:r>
            <w:r>
              <w:t>3: adapting to the changing political economy context</w:t>
            </w:r>
          </w:p>
          <w:p w14:paraId="029C0AED" w14:textId="635E1E23" w:rsidR="00926456" w:rsidRPr="00CD58E1" w:rsidRDefault="00926456" w:rsidP="00021D43">
            <w:pPr>
              <w:spacing w:after="60"/>
            </w:pPr>
            <w:r>
              <w:t xml:space="preserve">Finding 4: Positioning for roll out to local government </w:t>
            </w:r>
          </w:p>
        </w:tc>
        <w:tc>
          <w:tcPr>
            <w:tcW w:w="3402" w:type="dxa"/>
          </w:tcPr>
          <w:p w14:paraId="375BCD83" w14:textId="007918FA" w:rsidR="00926456" w:rsidRPr="00CD58E1" w:rsidRDefault="00926456" w:rsidP="00021D43">
            <w:pPr>
              <w:spacing w:after="60"/>
            </w:pPr>
            <w:r w:rsidRPr="00CD58E1">
              <w:t xml:space="preserve">KEQ </w:t>
            </w:r>
            <w:r>
              <w:t>3</w:t>
            </w:r>
            <w:r w:rsidRPr="00CD58E1">
              <w:t xml:space="preserve">: </w:t>
            </w:r>
            <w:r>
              <w:t xml:space="preserve">relevance to </w:t>
            </w:r>
            <w:r w:rsidRPr="00F551BA">
              <w:t>previous, current and future policy settings and directions</w:t>
            </w:r>
          </w:p>
        </w:tc>
      </w:tr>
      <w:tr w:rsidR="00926456" w:rsidRPr="00CD58E1" w14:paraId="0915261F" w14:textId="77777777" w:rsidTr="00926456">
        <w:tc>
          <w:tcPr>
            <w:tcW w:w="2268" w:type="dxa"/>
          </w:tcPr>
          <w:p w14:paraId="1E049EE3" w14:textId="1F1E2BEB" w:rsidR="00926456" w:rsidRPr="00CD58E1" w:rsidRDefault="00926456" w:rsidP="00021D43">
            <w:pPr>
              <w:spacing w:after="60"/>
            </w:pPr>
            <w:r>
              <w:t>Monitoring and evaluation</w:t>
            </w:r>
          </w:p>
        </w:tc>
        <w:tc>
          <w:tcPr>
            <w:tcW w:w="3119" w:type="dxa"/>
          </w:tcPr>
          <w:p w14:paraId="32503026" w14:textId="716E7437" w:rsidR="00926456" w:rsidRPr="00CD58E1" w:rsidRDefault="00926456" w:rsidP="00021D43">
            <w:pPr>
              <w:spacing w:after="60"/>
            </w:pPr>
            <w:r w:rsidRPr="00CD58E1">
              <w:t xml:space="preserve">Finding </w:t>
            </w:r>
            <w:r>
              <w:t>7</w:t>
            </w:r>
            <w:r w:rsidRPr="00CD58E1">
              <w:t xml:space="preserve">: </w:t>
            </w:r>
            <w:r>
              <w:t>Appropriateness of M&amp;E arrangements</w:t>
            </w:r>
          </w:p>
        </w:tc>
        <w:tc>
          <w:tcPr>
            <w:tcW w:w="3402" w:type="dxa"/>
          </w:tcPr>
          <w:p w14:paraId="4953F8CC" w14:textId="51D610A4" w:rsidR="00926456" w:rsidRPr="00CD58E1" w:rsidRDefault="00926456" w:rsidP="00021D43">
            <w:pPr>
              <w:spacing w:after="60"/>
            </w:pPr>
            <w:r w:rsidRPr="00CD58E1">
              <w:t xml:space="preserve">KEQ </w:t>
            </w:r>
            <w:r>
              <w:t>5</w:t>
            </w:r>
            <w:r w:rsidRPr="00CD58E1">
              <w:t xml:space="preserve">: Appropriateness of </w:t>
            </w:r>
            <w:r>
              <w:t>M&amp;E arrangements</w:t>
            </w:r>
          </w:p>
        </w:tc>
      </w:tr>
      <w:tr w:rsidR="00926456" w:rsidRPr="00CD58E1" w14:paraId="4FC0D22D" w14:textId="77777777" w:rsidTr="00926456">
        <w:tc>
          <w:tcPr>
            <w:tcW w:w="2268" w:type="dxa"/>
          </w:tcPr>
          <w:p w14:paraId="0B642B63" w14:textId="63FF3E27" w:rsidR="00926456" w:rsidRPr="00CD58E1" w:rsidRDefault="00926456" w:rsidP="00021D43">
            <w:pPr>
              <w:spacing w:after="60"/>
            </w:pPr>
            <w:r>
              <w:t>Sustainability</w:t>
            </w:r>
          </w:p>
        </w:tc>
        <w:tc>
          <w:tcPr>
            <w:tcW w:w="3119" w:type="dxa"/>
          </w:tcPr>
          <w:p w14:paraId="1CE12A51" w14:textId="04064E33" w:rsidR="00926456" w:rsidRPr="00CD58E1" w:rsidRDefault="00926456" w:rsidP="00021D43">
            <w:pPr>
              <w:spacing w:after="60"/>
            </w:pPr>
            <w:r w:rsidRPr="00CD58E1">
              <w:t xml:space="preserve">Finding </w:t>
            </w:r>
            <w:r>
              <w:t>5</w:t>
            </w:r>
            <w:r w:rsidRPr="00CD58E1">
              <w:t xml:space="preserve">: </w:t>
            </w:r>
            <w:r>
              <w:t>Sustainability of PDMF</w:t>
            </w:r>
          </w:p>
        </w:tc>
        <w:tc>
          <w:tcPr>
            <w:tcW w:w="3402" w:type="dxa"/>
          </w:tcPr>
          <w:p w14:paraId="0521257E" w14:textId="28B30092" w:rsidR="00926456" w:rsidRPr="00CD58E1" w:rsidRDefault="00926456" w:rsidP="00021D43">
            <w:pPr>
              <w:spacing w:after="60"/>
            </w:pPr>
            <w:r w:rsidRPr="00CD58E1">
              <w:t xml:space="preserve">KEQ </w:t>
            </w:r>
            <w:r>
              <w:t>1</w:t>
            </w:r>
            <w:r w:rsidRPr="00CD58E1">
              <w:t xml:space="preserve">: </w:t>
            </w:r>
            <w:r>
              <w:t xml:space="preserve">re enduring nature of outcomes </w:t>
            </w:r>
          </w:p>
        </w:tc>
      </w:tr>
    </w:tbl>
    <w:p w14:paraId="72CE9455" w14:textId="77777777" w:rsidR="00E61212" w:rsidRDefault="00E61212" w:rsidP="00021D43">
      <w:pPr>
        <w:spacing w:after="0" w:line="240" w:lineRule="auto"/>
        <w:ind w:right="-23"/>
        <w:rPr>
          <w:rFonts w:cstheme="minorHAnsi"/>
          <w:bCs/>
        </w:rPr>
      </w:pPr>
      <w:bookmarkStart w:id="99" w:name="_Hlk495332489"/>
    </w:p>
    <w:p w14:paraId="6A18EC7C" w14:textId="7B832FD2" w:rsidR="00CD58E1" w:rsidRPr="00CD58E1" w:rsidRDefault="00CD58E1" w:rsidP="00021D43">
      <w:pPr>
        <w:spacing w:after="0" w:line="240" w:lineRule="auto"/>
        <w:ind w:right="-23"/>
        <w:rPr>
          <w:b/>
        </w:rPr>
      </w:pPr>
      <w:r w:rsidRPr="00CD58E1">
        <w:rPr>
          <w:b/>
        </w:rPr>
        <w:t xml:space="preserve">Evaluation methods </w:t>
      </w:r>
    </w:p>
    <w:bookmarkEnd w:id="99"/>
    <w:p w14:paraId="7B3083EF" w14:textId="51FFE63B" w:rsidR="000D22BC" w:rsidRDefault="00CD58E1" w:rsidP="00021D43">
      <w:pPr>
        <w:spacing w:line="240" w:lineRule="auto"/>
        <w:ind w:right="-22"/>
      </w:pPr>
      <w:r w:rsidRPr="00CD58E1">
        <w:t>The evaluation adopted a mixed methods and participatory methodology</w:t>
      </w:r>
      <w:r w:rsidR="00E4013F">
        <w:t xml:space="preserve">. </w:t>
      </w:r>
      <w:r w:rsidR="000D22BC">
        <w:t>To answer</w:t>
      </w:r>
      <w:r w:rsidR="000D22BC" w:rsidRPr="00D632CE">
        <w:t xml:space="preserve"> </w:t>
      </w:r>
      <w:r w:rsidR="000D22BC">
        <w:t>KEQs</w:t>
      </w:r>
      <w:r w:rsidR="000D22BC" w:rsidRPr="00D632CE">
        <w:t xml:space="preserve">, various lines of evidence were gathered from a range of sources. Data collection consisted of: a desk review of a wide range of program documentation; </w:t>
      </w:r>
      <w:r w:rsidR="000D22BC">
        <w:t xml:space="preserve">remote individual and group </w:t>
      </w:r>
      <w:r w:rsidR="00181404">
        <w:t xml:space="preserve">semi-structured and open-ended </w:t>
      </w:r>
      <w:r w:rsidR="000D22BC">
        <w:t xml:space="preserve">interviews through phone and video conferencing with a range of stakeholders based in Australian and the Philippines from </w:t>
      </w:r>
      <w:r w:rsidR="000D22BC" w:rsidRPr="007D6A1F">
        <w:t>28 January – 11 February 2021</w:t>
      </w:r>
      <w:r w:rsidR="000D22BC">
        <w:t xml:space="preserve">; presentation of the Aide Memoir and </w:t>
      </w:r>
      <w:r w:rsidR="000D22BC" w:rsidRPr="00D632CE">
        <w:t xml:space="preserve">feedback and verification meeting with DFAT </w:t>
      </w:r>
      <w:r w:rsidR="000D22BC">
        <w:t>post, ADB and Government of Philippines partners.</w:t>
      </w:r>
    </w:p>
    <w:p w14:paraId="2DB1F238" w14:textId="3018106C" w:rsidR="000D22BC" w:rsidRDefault="000D22BC" w:rsidP="00021D43">
      <w:pPr>
        <w:spacing w:line="240" w:lineRule="auto"/>
      </w:pPr>
      <w:r w:rsidRPr="005A0193">
        <w:t>In total, 31 interviews were conducted with different stakeholder groups including: Philippine partners (19</w:t>
      </w:r>
      <w:r w:rsidR="00181404">
        <w:t>:7,8,4</w:t>
      </w:r>
      <w:r w:rsidRPr="005A0193">
        <w:t xml:space="preserve">); ADB (1); DFAT representatives (5); </w:t>
      </w:r>
      <w:r w:rsidRPr="0089519C">
        <w:t>other Australian partners</w:t>
      </w:r>
      <w:r>
        <w:t xml:space="preserve"> (2); </w:t>
      </w:r>
      <w:r w:rsidRPr="005A0193">
        <w:t xml:space="preserve">Philippine </w:t>
      </w:r>
      <w:r w:rsidR="00A92122">
        <w:t>private sector</w:t>
      </w:r>
      <w:r w:rsidRPr="005A0193">
        <w:t xml:space="preserve"> entities (2); and Australian </w:t>
      </w:r>
      <w:r w:rsidR="00A92122">
        <w:t>private sector</w:t>
      </w:r>
      <w:r w:rsidRPr="005A0193">
        <w:t xml:space="preserve"> entities (2).</w:t>
      </w:r>
      <w:r>
        <w:t xml:space="preserve"> </w:t>
      </w:r>
    </w:p>
    <w:p w14:paraId="6B6E8F8D" w14:textId="4F8E5EC1" w:rsidR="003A3AE6" w:rsidRPr="00C4352F" w:rsidRDefault="00CD58E1" w:rsidP="00C4352F">
      <w:pPr>
        <w:spacing w:after="40" w:line="240" w:lineRule="auto"/>
        <w:rPr>
          <w:b/>
          <w:bCs/>
          <w:lang w:val="en-GB"/>
        </w:rPr>
      </w:pPr>
      <w:r w:rsidRPr="00C4352F">
        <w:rPr>
          <w:b/>
          <w:bCs/>
          <w:lang w:val="en-GB"/>
        </w:rPr>
        <w:t xml:space="preserve">Table </w:t>
      </w:r>
      <w:r w:rsidR="00C4352F">
        <w:rPr>
          <w:b/>
          <w:bCs/>
          <w:lang w:val="en-GB"/>
        </w:rPr>
        <w:t>3</w:t>
      </w:r>
      <w:r w:rsidRPr="00C4352F">
        <w:rPr>
          <w:b/>
          <w:bCs/>
          <w:lang w:val="en-GB"/>
        </w:rPr>
        <w:t>: Breakdown of respondents per respondent groups</w:t>
      </w:r>
    </w:p>
    <w:tbl>
      <w:tblPr>
        <w:tblStyle w:val="TableGrid1"/>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547"/>
        <w:gridCol w:w="6469"/>
      </w:tblGrid>
      <w:tr w:rsidR="003A3AE6" w:rsidRPr="005A0193" w14:paraId="046B47C5" w14:textId="77777777" w:rsidTr="000863DA">
        <w:trPr>
          <w:tblHeader/>
        </w:trPr>
        <w:tc>
          <w:tcPr>
            <w:tcW w:w="2547" w:type="dxa"/>
            <w:shd w:val="clear" w:color="auto" w:fill="9CC2E5" w:themeFill="accent1" w:themeFillTint="99"/>
          </w:tcPr>
          <w:p w14:paraId="0B861421" w14:textId="77777777" w:rsidR="003A3AE6" w:rsidRPr="00341E5C" w:rsidRDefault="003A3AE6" w:rsidP="00021D43">
            <w:pPr>
              <w:spacing w:before="60" w:after="60"/>
              <w:rPr>
                <w:rFonts w:ascii="Calibri" w:hAnsi="Calibri" w:cs="Times New Roman"/>
                <w:b/>
                <w:bCs/>
              </w:rPr>
            </w:pPr>
            <w:r w:rsidRPr="00341E5C">
              <w:rPr>
                <w:rFonts w:ascii="Calibri" w:hAnsi="Calibri" w:cs="Times New Roman"/>
                <w:b/>
                <w:bCs/>
              </w:rPr>
              <w:t>Interviews conducted</w:t>
            </w:r>
          </w:p>
        </w:tc>
        <w:tc>
          <w:tcPr>
            <w:tcW w:w="6469" w:type="dxa"/>
            <w:shd w:val="clear" w:color="auto" w:fill="9CC2E5" w:themeFill="accent1" w:themeFillTint="99"/>
          </w:tcPr>
          <w:p w14:paraId="31BEEBDD" w14:textId="77777777" w:rsidR="003A3AE6" w:rsidRPr="00341E5C" w:rsidRDefault="003A3AE6" w:rsidP="00021D43">
            <w:pPr>
              <w:spacing w:before="60" w:after="60"/>
              <w:ind w:right="125"/>
              <w:jc w:val="both"/>
              <w:rPr>
                <w:rFonts w:ascii="Calibri" w:hAnsi="Calibri" w:cs="Times New Roman"/>
                <w:b/>
                <w:bCs/>
              </w:rPr>
            </w:pPr>
            <w:r w:rsidRPr="00341E5C">
              <w:rPr>
                <w:rFonts w:ascii="Calibri" w:hAnsi="Calibri" w:cs="Times New Roman"/>
                <w:b/>
                <w:bCs/>
              </w:rPr>
              <w:t>Stakeholders engaged</w:t>
            </w:r>
          </w:p>
        </w:tc>
      </w:tr>
      <w:tr w:rsidR="003A3AE6" w:rsidRPr="005A0193" w14:paraId="47A08D93" w14:textId="77777777" w:rsidTr="00BC390A">
        <w:tc>
          <w:tcPr>
            <w:tcW w:w="2547" w:type="dxa"/>
          </w:tcPr>
          <w:p w14:paraId="22ACF2D0" w14:textId="77777777" w:rsidR="003A3AE6" w:rsidRPr="005A0193" w:rsidRDefault="003A3AE6" w:rsidP="00021D43">
            <w:pPr>
              <w:rPr>
                <w:rFonts w:ascii="Calibri" w:hAnsi="Calibri" w:cs="Times New Roman"/>
              </w:rPr>
            </w:pPr>
            <w:r w:rsidRPr="005A0193">
              <w:rPr>
                <w:rFonts w:ascii="Calibri" w:hAnsi="Calibri" w:cs="Times New Roman"/>
                <w:b/>
                <w:bCs/>
              </w:rPr>
              <w:t xml:space="preserve">7 </w:t>
            </w:r>
            <w:r w:rsidRPr="005A0193">
              <w:rPr>
                <w:rFonts w:ascii="Calibri" w:hAnsi="Calibri" w:cs="Times New Roman"/>
              </w:rPr>
              <w:t>interviews representatives of Government of Philippine departments</w:t>
            </w:r>
          </w:p>
        </w:tc>
        <w:tc>
          <w:tcPr>
            <w:tcW w:w="6469" w:type="dxa"/>
          </w:tcPr>
          <w:p w14:paraId="5FEBC969" w14:textId="77777777" w:rsidR="003A3AE6" w:rsidRPr="005A0193" w:rsidRDefault="003A3AE6" w:rsidP="00021D43">
            <w:pPr>
              <w:numPr>
                <w:ilvl w:val="0"/>
                <w:numId w:val="7"/>
              </w:numPr>
              <w:ind w:right="125"/>
              <w:contextualSpacing/>
              <w:jc w:val="both"/>
              <w:rPr>
                <w:rFonts w:ascii="Calibri" w:hAnsi="Calibri" w:cs="Calibri"/>
                <w:lang w:eastAsia="en-AU"/>
              </w:rPr>
            </w:pPr>
            <w:r w:rsidRPr="005A0193">
              <w:rPr>
                <w:rFonts w:ascii="Calibri" w:hAnsi="Calibri" w:cs="Calibri"/>
                <w:lang w:eastAsia="en-AU"/>
              </w:rPr>
              <w:t>Bureau of Treasury</w:t>
            </w:r>
          </w:p>
          <w:p w14:paraId="739AB5A8" w14:textId="1451435D" w:rsidR="003A3AE6" w:rsidRPr="005A0193" w:rsidRDefault="003A3AE6" w:rsidP="00021D43">
            <w:pPr>
              <w:numPr>
                <w:ilvl w:val="0"/>
                <w:numId w:val="7"/>
              </w:numPr>
              <w:ind w:right="125"/>
              <w:contextualSpacing/>
              <w:jc w:val="both"/>
              <w:rPr>
                <w:rFonts w:ascii="Calibri" w:hAnsi="Calibri" w:cs="Calibri"/>
                <w:lang w:eastAsia="en-AU"/>
              </w:rPr>
            </w:pPr>
            <w:r w:rsidRPr="005A0193">
              <w:rPr>
                <w:rFonts w:ascii="Calibri" w:hAnsi="Calibri" w:cs="Calibri"/>
                <w:lang w:eastAsia="en-AU"/>
              </w:rPr>
              <w:t xml:space="preserve">Department of </w:t>
            </w:r>
            <w:r w:rsidR="00900FEA">
              <w:rPr>
                <w:rFonts w:ascii="Calibri" w:hAnsi="Calibri" w:cs="Calibri"/>
                <w:lang w:eastAsia="en-AU"/>
              </w:rPr>
              <w:t>F</w:t>
            </w:r>
            <w:r w:rsidRPr="005A0193">
              <w:rPr>
                <w:rFonts w:ascii="Calibri" w:hAnsi="Calibri" w:cs="Calibri"/>
                <w:lang w:eastAsia="en-AU"/>
              </w:rPr>
              <w:t xml:space="preserve">inance </w:t>
            </w:r>
            <w:r w:rsidR="00900FEA">
              <w:rPr>
                <w:rFonts w:ascii="Calibri" w:hAnsi="Calibri" w:cs="Calibri"/>
                <w:lang w:eastAsia="en-AU"/>
              </w:rPr>
              <w:t>-</w:t>
            </w:r>
            <w:r w:rsidR="00900FEA" w:rsidRPr="005A0193">
              <w:rPr>
                <w:rFonts w:ascii="Calibri" w:hAnsi="Calibri" w:cs="Times New Roman"/>
              </w:rPr>
              <w:t xml:space="preserve"> </w:t>
            </w:r>
            <w:r w:rsidR="00900FEA" w:rsidRPr="00900FEA">
              <w:rPr>
                <w:rFonts w:ascii="Calibri" w:hAnsi="Calibri" w:cs="Times New Roman"/>
              </w:rPr>
              <w:t>International Finance Group and Corporate Affairs Group</w:t>
            </w:r>
            <w:r w:rsidR="00900FEA" w:rsidRPr="00900FEA" w:rsidDel="00900FEA">
              <w:rPr>
                <w:rFonts w:ascii="Calibri" w:hAnsi="Calibri" w:cs="Times New Roman"/>
              </w:rPr>
              <w:t xml:space="preserve"> </w:t>
            </w:r>
          </w:p>
          <w:p w14:paraId="1137D92F" w14:textId="77777777" w:rsidR="003A3AE6" w:rsidRPr="005A0193" w:rsidRDefault="003A3AE6" w:rsidP="00021D43">
            <w:pPr>
              <w:numPr>
                <w:ilvl w:val="0"/>
                <w:numId w:val="7"/>
              </w:numPr>
              <w:ind w:right="125"/>
              <w:contextualSpacing/>
              <w:jc w:val="both"/>
              <w:rPr>
                <w:rFonts w:ascii="Calibri" w:hAnsi="Calibri" w:cs="Calibri"/>
                <w:lang w:eastAsia="en-AU"/>
              </w:rPr>
            </w:pPr>
            <w:r w:rsidRPr="005A0193">
              <w:rPr>
                <w:rFonts w:ascii="Calibri" w:hAnsi="Calibri" w:cs="Calibri"/>
                <w:lang w:eastAsia="en-AU"/>
              </w:rPr>
              <w:t>Department of Interior and local government</w:t>
            </w:r>
          </w:p>
          <w:p w14:paraId="05206A74" w14:textId="50ECEA3A" w:rsidR="003A3AE6" w:rsidRPr="00E12ADB" w:rsidRDefault="003A3AE6" w:rsidP="00E12ADB">
            <w:pPr>
              <w:numPr>
                <w:ilvl w:val="0"/>
                <w:numId w:val="7"/>
              </w:numPr>
              <w:ind w:right="125"/>
              <w:contextualSpacing/>
              <w:jc w:val="both"/>
              <w:rPr>
                <w:rFonts w:ascii="Calibri" w:hAnsi="Calibri" w:cs="Calibri"/>
                <w:lang w:eastAsia="en-AU"/>
              </w:rPr>
            </w:pPr>
            <w:r w:rsidRPr="005A0193">
              <w:rPr>
                <w:rFonts w:ascii="Calibri" w:hAnsi="Calibri" w:cs="Calibri"/>
                <w:lang w:eastAsia="en-AU"/>
              </w:rPr>
              <w:t>NEDA officials and Neda regional offices</w:t>
            </w:r>
          </w:p>
        </w:tc>
      </w:tr>
      <w:tr w:rsidR="003A3AE6" w:rsidRPr="005A0193" w14:paraId="2252B30B" w14:textId="77777777" w:rsidTr="00BC390A">
        <w:tc>
          <w:tcPr>
            <w:tcW w:w="2547" w:type="dxa"/>
          </w:tcPr>
          <w:p w14:paraId="75642B66" w14:textId="2984BCFF" w:rsidR="003A3AE6" w:rsidRPr="005A0193" w:rsidRDefault="003A3AE6" w:rsidP="00021D43">
            <w:pPr>
              <w:rPr>
                <w:rFonts w:ascii="Calibri" w:hAnsi="Calibri" w:cs="Times New Roman"/>
                <w:b/>
                <w:bCs/>
              </w:rPr>
            </w:pPr>
            <w:r w:rsidRPr="005A0193">
              <w:rPr>
                <w:rFonts w:ascii="Calibri" w:hAnsi="Calibri" w:cs="Times New Roman"/>
                <w:b/>
                <w:bCs/>
              </w:rPr>
              <w:t xml:space="preserve">8 </w:t>
            </w:r>
            <w:r w:rsidRPr="005A0193">
              <w:rPr>
                <w:rFonts w:ascii="Calibri" w:hAnsi="Calibri" w:cs="Times New Roman"/>
              </w:rPr>
              <w:t xml:space="preserve">interviews with representatives of the </w:t>
            </w:r>
            <w:r w:rsidR="007C4A62">
              <w:rPr>
                <w:rFonts w:ascii="Calibri" w:hAnsi="Calibri" w:cs="Times New Roman"/>
              </w:rPr>
              <w:t>PPP CENTER</w:t>
            </w:r>
            <w:r w:rsidRPr="005A0193">
              <w:rPr>
                <w:rFonts w:ascii="Calibri" w:hAnsi="Calibri" w:cs="Times New Roman"/>
                <w:b/>
                <w:bCs/>
              </w:rPr>
              <w:t xml:space="preserve"> </w:t>
            </w:r>
          </w:p>
        </w:tc>
        <w:tc>
          <w:tcPr>
            <w:tcW w:w="6469" w:type="dxa"/>
          </w:tcPr>
          <w:p w14:paraId="1EE1D095" w14:textId="37A8009A" w:rsidR="003A3AE6" w:rsidRPr="002127DE" w:rsidRDefault="003A3AE6" w:rsidP="00021D43">
            <w:pPr>
              <w:numPr>
                <w:ilvl w:val="0"/>
                <w:numId w:val="7"/>
              </w:numPr>
              <w:ind w:right="125"/>
              <w:contextualSpacing/>
              <w:jc w:val="both"/>
              <w:rPr>
                <w:rFonts w:ascii="Calibri" w:hAnsi="Calibri" w:cs="Calibri"/>
                <w:lang w:eastAsia="en-AU"/>
              </w:rPr>
            </w:pPr>
            <w:r w:rsidRPr="002127DE">
              <w:rPr>
                <w:rFonts w:ascii="Calibri" w:hAnsi="Calibri" w:cs="Calibri"/>
                <w:lang w:eastAsia="en-AU"/>
              </w:rPr>
              <w:t xml:space="preserve">Current and former center executives and members of the </w:t>
            </w:r>
            <w:r w:rsidR="00900FEA" w:rsidRPr="002127DE">
              <w:rPr>
                <w:rFonts w:ascii="Calibri" w:hAnsi="Calibri" w:cs="Calibri"/>
                <w:lang w:eastAsia="en-AU"/>
              </w:rPr>
              <w:t>PPP G</w:t>
            </w:r>
            <w:r w:rsidRPr="002127DE">
              <w:rPr>
                <w:rFonts w:ascii="Calibri" w:hAnsi="Calibri" w:cs="Calibri"/>
                <w:lang w:eastAsia="en-AU"/>
              </w:rPr>
              <w:t xml:space="preserve">overning </w:t>
            </w:r>
            <w:r w:rsidR="00900FEA" w:rsidRPr="002127DE">
              <w:rPr>
                <w:rFonts w:ascii="Calibri" w:hAnsi="Calibri" w:cs="Calibri"/>
                <w:lang w:eastAsia="en-AU"/>
              </w:rPr>
              <w:t>Board</w:t>
            </w:r>
          </w:p>
          <w:p w14:paraId="580BA697" w14:textId="00FB094A" w:rsidR="003A3AE6" w:rsidRPr="002127DE" w:rsidRDefault="003A3AE6" w:rsidP="00021D43">
            <w:pPr>
              <w:numPr>
                <w:ilvl w:val="0"/>
                <w:numId w:val="7"/>
              </w:numPr>
              <w:ind w:right="125"/>
              <w:contextualSpacing/>
              <w:jc w:val="both"/>
              <w:rPr>
                <w:rFonts w:ascii="Calibri" w:hAnsi="Calibri" w:cs="Calibri"/>
                <w:lang w:eastAsia="en-AU"/>
              </w:rPr>
            </w:pPr>
            <w:r w:rsidRPr="002127DE">
              <w:rPr>
                <w:rFonts w:ascii="Calibri" w:hAnsi="Calibri" w:cs="Calibri"/>
                <w:lang w:eastAsia="en-AU"/>
              </w:rPr>
              <w:t>Capacity Building and Knowledge Management Service</w:t>
            </w:r>
          </w:p>
          <w:p w14:paraId="399FFA3B" w14:textId="3B2EEA92" w:rsidR="00900FEA" w:rsidRPr="002127DE" w:rsidRDefault="00900FEA" w:rsidP="00021D43">
            <w:pPr>
              <w:numPr>
                <w:ilvl w:val="0"/>
                <w:numId w:val="7"/>
              </w:numPr>
              <w:ind w:right="125"/>
              <w:contextualSpacing/>
              <w:jc w:val="both"/>
              <w:rPr>
                <w:rFonts w:ascii="Calibri" w:hAnsi="Calibri" w:cs="Calibri"/>
                <w:lang w:eastAsia="en-AU"/>
              </w:rPr>
            </w:pPr>
            <w:r w:rsidRPr="002127DE">
              <w:rPr>
                <w:rFonts w:ascii="Calibri" w:hAnsi="Calibri" w:cs="Calibri"/>
                <w:lang w:eastAsia="en-AU"/>
              </w:rPr>
              <w:t>Project Development and Monitoring Facility service</w:t>
            </w:r>
          </w:p>
          <w:p w14:paraId="5202CD1D" w14:textId="77777777" w:rsidR="003A3AE6" w:rsidRPr="002127DE" w:rsidRDefault="003A3AE6" w:rsidP="00021D43">
            <w:pPr>
              <w:numPr>
                <w:ilvl w:val="0"/>
                <w:numId w:val="7"/>
              </w:numPr>
              <w:ind w:right="125"/>
              <w:contextualSpacing/>
              <w:jc w:val="both"/>
              <w:rPr>
                <w:rFonts w:ascii="Calibri" w:hAnsi="Calibri" w:cs="Calibri"/>
                <w:lang w:eastAsia="en-AU"/>
              </w:rPr>
            </w:pPr>
            <w:r w:rsidRPr="002127DE">
              <w:rPr>
                <w:rFonts w:ascii="Calibri" w:hAnsi="Calibri" w:cs="Calibri"/>
                <w:lang w:eastAsia="en-AU"/>
              </w:rPr>
              <w:t>Policy Formulation, Project Evaluation and Monitoring Service</w:t>
            </w:r>
          </w:p>
          <w:p w14:paraId="5083BEB4" w14:textId="432BD37C" w:rsidR="003A3AE6" w:rsidRPr="002127DE" w:rsidRDefault="003A3AE6" w:rsidP="00021D43">
            <w:pPr>
              <w:numPr>
                <w:ilvl w:val="0"/>
                <w:numId w:val="7"/>
              </w:numPr>
              <w:ind w:right="125"/>
              <w:contextualSpacing/>
              <w:jc w:val="both"/>
              <w:rPr>
                <w:rFonts w:ascii="Calibri" w:hAnsi="Calibri" w:cs="Calibri"/>
                <w:lang w:eastAsia="en-AU"/>
              </w:rPr>
            </w:pPr>
            <w:r w:rsidRPr="002127DE">
              <w:rPr>
                <w:rFonts w:ascii="Calibri" w:hAnsi="Calibri" w:cs="Calibri"/>
                <w:lang w:eastAsia="en-AU"/>
              </w:rPr>
              <w:t>Project Development Service</w:t>
            </w:r>
          </w:p>
          <w:p w14:paraId="2C13E042" w14:textId="77777777" w:rsidR="003A3AE6" w:rsidRDefault="003A3AE6" w:rsidP="00021D43">
            <w:pPr>
              <w:numPr>
                <w:ilvl w:val="0"/>
                <w:numId w:val="7"/>
              </w:numPr>
              <w:ind w:right="125"/>
              <w:contextualSpacing/>
              <w:jc w:val="both"/>
              <w:rPr>
                <w:rFonts w:ascii="Calibri" w:hAnsi="Calibri" w:cs="Calibri"/>
                <w:lang w:eastAsia="en-AU"/>
              </w:rPr>
            </w:pPr>
            <w:r w:rsidRPr="002127DE">
              <w:rPr>
                <w:rFonts w:ascii="Calibri" w:hAnsi="Calibri" w:cs="Calibri"/>
                <w:lang w:eastAsia="en-AU"/>
              </w:rPr>
              <w:t>Legal service</w:t>
            </w:r>
          </w:p>
          <w:p w14:paraId="6937F22E" w14:textId="3965DEB9" w:rsidR="00AE1FC6" w:rsidRPr="002127DE" w:rsidRDefault="00AE1FC6" w:rsidP="00021D43">
            <w:pPr>
              <w:numPr>
                <w:ilvl w:val="0"/>
                <w:numId w:val="7"/>
              </w:numPr>
              <w:ind w:right="125"/>
              <w:contextualSpacing/>
              <w:jc w:val="both"/>
              <w:rPr>
                <w:rFonts w:ascii="Calibri" w:hAnsi="Calibri" w:cs="Calibri"/>
                <w:lang w:eastAsia="en-AU"/>
              </w:rPr>
            </w:pPr>
            <w:r>
              <w:rPr>
                <w:rFonts w:ascii="Calibri" w:hAnsi="Calibri" w:cs="Calibri"/>
                <w:lang w:eastAsia="en-AU"/>
              </w:rPr>
              <w:t>PDMF service</w:t>
            </w:r>
          </w:p>
        </w:tc>
      </w:tr>
      <w:tr w:rsidR="003A3AE6" w:rsidRPr="005A0193" w14:paraId="6B750382" w14:textId="77777777" w:rsidTr="00BC390A">
        <w:tc>
          <w:tcPr>
            <w:tcW w:w="2547" w:type="dxa"/>
          </w:tcPr>
          <w:p w14:paraId="59AB68CA" w14:textId="77777777" w:rsidR="003A3AE6" w:rsidRPr="005A0193" w:rsidRDefault="003A3AE6" w:rsidP="00021D43">
            <w:pPr>
              <w:rPr>
                <w:rFonts w:ascii="Calibri" w:hAnsi="Calibri" w:cs="Times New Roman"/>
                <w:b/>
                <w:bCs/>
              </w:rPr>
            </w:pPr>
            <w:r w:rsidRPr="005A0193">
              <w:rPr>
                <w:rFonts w:ascii="Calibri" w:hAnsi="Calibri" w:cs="Times New Roman"/>
                <w:b/>
                <w:bCs/>
              </w:rPr>
              <w:t xml:space="preserve">4 </w:t>
            </w:r>
            <w:r w:rsidRPr="005A0193">
              <w:rPr>
                <w:rFonts w:ascii="Calibri" w:hAnsi="Calibri" w:cs="Times New Roman"/>
              </w:rPr>
              <w:t>interviews with PPP Implementing partners (national government and non-traditional actors)</w:t>
            </w:r>
          </w:p>
        </w:tc>
        <w:tc>
          <w:tcPr>
            <w:tcW w:w="6469" w:type="dxa"/>
          </w:tcPr>
          <w:p w14:paraId="1FDFE547" w14:textId="75CB2B0D" w:rsidR="003A3AE6" w:rsidRPr="002127DE" w:rsidRDefault="003A3AE6" w:rsidP="00021D43">
            <w:pPr>
              <w:numPr>
                <w:ilvl w:val="0"/>
                <w:numId w:val="7"/>
              </w:numPr>
              <w:ind w:right="125"/>
              <w:contextualSpacing/>
              <w:jc w:val="both"/>
              <w:rPr>
                <w:rFonts w:ascii="Calibri" w:hAnsi="Calibri" w:cs="Calibri"/>
                <w:lang w:eastAsia="en-AU"/>
              </w:rPr>
            </w:pPr>
            <w:r w:rsidRPr="002127DE">
              <w:rPr>
                <w:rFonts w:ascii="Calibri" w:hAnsi="Calibri" w:cs="Calibri"/>
                <w:lang w:eastAsia="en-AU"/>
              </w:rPr>
              <w:t>Department of Transport</w:t>
            </w:r>
            <w:r w:rsidR="00900FEA" w:rsidRPr="002127DE">
              <w:rPr>
                <w:rFonts w:ascii="Calibri" w:hAnsi="Calibri" w:cs="Calibri"/>
                <w:lang w:eastAsia="en-AU"/>
              </w:rPr>
              <w:t>ation</w:t>
            </w:r>
          </w:p>
          <w:p w14:paraId="6B6B8ABD" w14:textId="254B7512" w:rsidR="003A3AE6" w:rsidRPr="002127DE" w:rsidRDefault="003A3AE6" w:rsidP="00021D43">
            <w:pPr>
              <w:numPr>
                <w:ilvl w:val="0"/>
                <w:numId w:val="7"/>
              </w:numPr>
              <w:ind w:right="125"/>
              <w:contextualSpacing/>
              <w:jc w:val="both"/>
              <w:rPr>
                <w:rFonts w:ascii="Calibri" w:hAnsi="Calibri" w:cs="Calibri"/>
                <w:lang w:eastAsia="en-AU"/>
              </w:rPr>
            </w:pPr>
            <w:r w:rsidRPr="002127DE">
              <w:rPr>
                <w:rFonts w:ascii="Calibri" w:hAnsi="Calibri" w:cs="Calibri"/>
                <w:lang w:eastAsia="en-AU"/>
              </w:rPr>
              <w:t>Department of Public Works and Highways</w:t>
            </w:r>
          </w:p>
          <w:p w14:paraId="17B66C79" w14:textId="02F60448" w:rsidR="003A3AE6" w:rsidRPr="002127DE" w:rsidRDefault="003A3AE6" w:rsidP="00021D43">
            <w:pPr>
              <w:numPr>
                <w:ilvl w:val="0"/>
                <w:numId w:val="7"/>
              </w:numPr>
              <w:ind w:right="125"/>
              <w:contextualSpacing/>
              <w:jc w:val="both"/>
              <w:rPr>
                <w:rFonts w:ascii="Calibri" w:hAnsi="Calibri" w:cs="Calibri"/>
                <w:lang w:eastAsia="en-AU"/>
              </w:rPr>
            </w:pPr>
            <w:r w:rsidRPr="002127DE">
              <w:rPr>
                <w:rFonts w:ascii="Calibri" w:hAnsi="Calibri" w:cs="Calibri"/>
                <w:lang w:eastAsia="en-AU"/>
              </w:rPr>
              <w:t>O</w:t>
            </w:r>
            <w:r w:rsidR="00900FEA" w:rsidRPr="002127DE">
              <w:rPr>
                <w:rFonts w:ascii="Calibri" w:hAnsi="Calibri" w:cs="Calibri"/>
                <w:lang w:eastAsia="en-AU"/>
              </w:rPr>
              <w:t xml:space="preserve">rmoc </w:t>
            </w:r>
            <w:r w:rsidRPr="002127DE">
              <w:rPr>
                <w:rFonts w:ascii="Calibri" w:hAnsi="Calibri" w:cs="Calibri"/>
                <w:lang w:eastAsia="en-AU"/>
              </w:rPr>
              <w:t>City</w:t>
            </w:r>
          </w:p>
          <w:p w14:paraId="4C6C2284" w14:textId="77777777" w:rsidR="003A3AE6" w:rsidRPr="002127DE" w:rsidRDefault="003A3AE6" w:rsidP="00021D43">
            <w:pPr>
              <w:numPr>
                <w:ilvl w:val="0"/>
                <w:numId w:val="7"/>
              </w:numPr>
              <w:ind w:right="125"/>
              <w:contextualSpacing/>
              <w:jc w:val="both"/>
              <w:rPr>
                <w:rFonts w:ascii="Calibri" w:hAnsi="Calibri" w:cs="Calibri"/>
                <w:lang w:eastAsia="en-AU"/>
              </w:rPr>
            </w:pPr>
            <w:r w:rsidRPr="002127DE">
              <w:rPr>
                <w:rFonts w:ascii="Calibri" w:hAnsi="Calibri" w:cs="Calibri"/>
                <w:lang w:eastAsia="en-AU"/>
              </w:rPr>
              <w:t>University of the Philippines</w:t>
            </w:r>
          </w:p>
        </w:tc>
      </w:tr>
      <w:tr w:rsidR="003A3AE6" w:rsidRPr="005A0193" w14:paraId="3434E353" w14:textId="77777777" w:rsidTr="00BC390A">
        <w:tc>
          <w:tcPr>
            <w:tcW w:w="2547" w:type="dxa"/>
          </w:tcPr>
          <w:p w14:paraId="03147F1A" w14:textId="77777777" w:rsidR="003A3AE6" w:rsidRPr="005A0193" w:rsidRDefault="003A3AE6" w:rsidP="00021D43">
            <w:pPr>
              <w:rPr>
                <w:rFonts w:ascii="Calibri" w:hAnsi="Calibri" w:cs="Times New Roman"/>
                <w:b/>
                <w:bCs/>
              </w:rPr>
            </w:pPr>
            <w:r w:rsidRPr="005A0193">
              <w:rPr>
                <w:rFonts w:ascii="Calibri" w:hAnsi="Calibri" w:cs="Times New Roman"/>
                <w:b/>
                <w:bCs/>
              </w:rPr>
              <w:t xml:space="preserve">1 </w:t>
            </w:r>
            <w:r w:rsidRPr="005A0193">
              <w:rPr>
                <w:rFonts w:ascii="Calibri" w:hAnsi="Calibri" w:cs="Times New Roman"/>
              </w:rPr>
              <w:t>interview with ADB staff</w:t>
            </w:r>
          </w:p>
        </w:tc>
        <w:tc>
          <w:tcPr>
            <w:tcW w:w="6469" w:type="dxa"/>
          </w:tcPr>
          <w:p w14:paraId="445CB913" w14:textId="77777777" w:rsidR="003A3AE6" w:rsidRPr="005A0193" w:rsidRDefault="003A3AE6" w:rsidP="00021D43">
            <w:pPr>
              <w:numPr>
                <w:ilvl w:val="0"/>
                <w:numId w:val="7"/>
              </w:numPr>
              <w:ind w:right="125"/>
              <w:contextualSpacing/>
              <w:jc w:val="both"/>
              <w:rPr>
                <w:rFonts w:ascii="Calibri" w:hAnsi="Calibri" w:cs="Calibri"/>
                <w:lang w:eastAsia="en-AU"/>
              </w:rPr>
            </w:pPr>
            <w:r w:rsidRPr="005A0193">
              <w:rPr>
                <w:rFonts w:ascii="Calibri" w:hAnsi="Calibri" w:cs="Calibri"/>
                <w:lang w:eastAsia="en-AU"/>
              </w:rPr>
              <w:t>Current and previous staff involved in designing and managing the TA Program</w:t>
            </w:r>
          </w:p>
        </w:tc>
      </w:tr>
      <w:tr w:rsidR="003A3AE6" w:rsidRPr="005A0193" w14:paraId="7F414C98" w14:textId="77777777" w:rsidTr="00BC390A">
        <w:tc>
          <w:tcPr>
            <w:tcW w:w="2547" w:type="dxa"/>
          </w:tcPr>
          <w:p w14:paraId="6C01B453" w14:textId="77777777" w:rsidR="003A3AE6" w:rsidRPr="005A0193" w:rsidRDefault="003A3AE6" w:rsidP="00021D43">
            <w:pPr>
              <w:rPr>
                <w:rFonts w:ascii="Calibri" w:hAnsi="Calibri" w:cs="Times New Roman"/>
                <w:b/>
                <w:bCs/>
              </w:rPr>
            </w:pPr>
            <w:r w:rsidRPr="005A0193">
              <w:rPr>
                <w:rFonts w:ascii="Calibri" w:hAnsi="Calibri" w:cs="Times New Roman"/>
                <w:b/>
                <w:bCs/>
              </w:rPr>
              <w:t xml:space="preserve">5 </w:t>
            </w:r>
            <w:r w:rsidRPr="005A0193">
              <w:rPr>
                <w:rFonts w:ascii="Calibri" w:hAnsi="Calibri" w:cs="Times New Roman"/>
              </w:rPr>
              <w:t xml:space="preserve">interviews with DFAT officers </w:t>
            </w:r>
          </w:p>
        </w:tc>
        <w:tc>
          <w:tcPr>
            <w:tcW w:w="6469" w:type="dxa"/>
          </w:tcPr>
          <w:p w14:paraId="186FD7CE" w14:textId="77777777" w:rsidR="003A3AE6" w:rsidRPr="005A0193" w:rsidRDefault="003A3AE6" w:rsidP="00021D43">
            <w:pPr>
              <w:numPr>
                <w:ilvl w:val="0"/>
                <w:numId w:val="7"/>
              </w:numPr>
              <w:ind w:right="125"/>
              <w:contextualSpacing/>
              <w:jc w:val="both"/>
              <w:rPr>
                <w:rFonts w:ascii="Calibri" w:hAnsi="Calibri" w:cs="Calibri"/>
                <w:lang w:eastAsia="en-AU"/>
              </w:rPr>
            </w:pPr>
            <w:r w:rsidRPr="005A0193">
              <w:rPr>
                <w:rFonts w:ascii="Calibri" w:hAnsi="Calibri" w:cs="Calibri"/>
                <w:lang w:eastAsia="en-AU"/>
              </w:rPr>
              <w:t>Staff and previous staff involved in managing the Program</w:t>
            </w:r>
          </w:p>
          <w:p w14:paraId="15B6B2DC" w14:textId="330EF7ED" w:rsidR="003A3AE6" w:rsidRPr="005A0193" w:rsidRDefault="003A3AE6" w:rsidP="00021D43">
            <w:pPr>
              <w:numPr>
                <w:ilvl w:val="0"/>
                <w:numId w:val="7"/>
              </w:numPr>
              <w:ind w:right="125"/>
              <w:contextualSpacing/>
              <w:jc w:val="both"/>
              <w:rPr>
                <w:rFonts w:ascii="Calibri" w:hAnsi="Calibri" w:cs="Calibri"/>
                <w:lang w:eastAsia="en-AU"/>
              </w:rPr>
            </w:pPr>
            <w:r w:rsidRPr="005A0193">
              <w:rPr>
                <w:rFonts w:ascii="Calibri" w:hAnsi="Calibri" w:cs="Calibri"/>
                <w:lang w:eastAsia="en-AU"/>
              </w:rPr>
              <w:t>Manila Embassy officials</w:t>
            </w:r>
          </w:p>
          <w:p w14:paraId="1CF85E2B" w14:textId="77777777" w:rsidR="003A3AE6" w:rsidRPr="005A0193" w:rsidRDefault="003A3AE6" w:rsidP="00021D43">
            <w:pPr>
              <w:numPr>
                <w:ilvl w:val="0"/>
                <w:numId w:val="7"/>
              </w:numPr>
              <w:ind w:right="125"/>
              <w:contextualSpacing/>
              <w:jc w:val="both"/>
              <w:rPr>
                <w:rFonts w:ascii="Calibri" w:hAnsi="Calibri" w:cs="Calibri"/>
                <w:lang w:eastAsia="en-AU"/>
              </w:rPr>
            </w:pPr>
            <w:r w:rsidRPr="005A0193">
              <w:rPr>
                <w:rFonts w:ascii="Calibri" w:hAnsi="Calibri" w:cs="Calibri"/>
                <w:lang w:eastAsia="en-AU"/>
              </w:rPr>
              <w:t>Canberra based staff</w:t>
            </w:r>
          </w:p>
        </w:tc>
      </w:tr>
      <w:tr w:rsidR="003A3AE6" w:rsidRPr="005A0193" w14:paraId="3288B1AF" w14:textId="77777777" w:rsidTr="00BC390A">
        <w:tc>
          <w:tcPr>
            <w:tcW w:w="2547" w:type="dxa"/>
          </w:tcPr>
          <w:p w14:paraId="07244D2C" w14:textId="77777777" w:rsidR="003A3AE6" w:rsidRPr="005A0193" w:rsidRDefault="003A3AE6" w:rsidP="00021D43">
            <w:pPr>
              <w:rPr>
                <w:rFonts w:ascii="Calibri" w:hAnsi="Calibri" w:cs="Times New Roman"/>
                <w:b/>
                <w:bCs/>
              </w:rPr>
            </w:pPr>
            <w:r w:rsidRPr="005A0193">
              <w:rPr>
                <w:rFonts w:ascii="Calibri" w:hAnsi="Calibri" w:cs="Times New Roman"/>
                <w:b/>
                <w:bCs/>
              </w:rPr>
              <w:t xml:space="preserve">2 </w:t>
            </w:r>
            <w:r w:rsidRPr="005A0193">
              <w:rPr>
                <w:rFonts w:ascii="Calibri" w:hAnsi="Calibri" w:cs="Times New Roman"/>
              </w:rPr>
              <w:t>interviews with other Australian partners</w:t>
            </w:r>
          </w:p>
          <w:p w14:paraId="16B13E78" w14:textId="77777777" w:rsidR="003A3AE6" w:rsidRPr="005A0193" w:rsidRDefault="003A3AE6" w:rsidP="00021D43">
            <w:pPr>
              <w:rPr>
                <w:rFonts w:ascii="Calibri" w:hAnsi="Calibri" w:cs="Times New Roman"/>
                <w:b/>
                <w:bCs/>
              </w:rPr>
            </w:pPr>
          </w:p>
        </w:tc>
        <w:tc>
          <w:tcPr>
            <w:tcW w:w="6469" w:type="dxa"/>
          </w:tcPr>
          <w:p w14:paraId="28B63EE3" w14:textId="77777777" w:rsidR="003A3AE6" w:rsidRPr="005A0193" w:rsidRDefault="003A3AE6" w:rsidP="00021D43">
            <w:pPr>
              <w:numPr>
                <w:ilvl w:val="0"/>
                <w:numId w:val="7"/>
              </w:numPr>
              <w:ind w:right="125"/>
              <w:contextualSpacing/>
              <w:jc w:val="both"/>
              <w:rPr>
                <w:rFonts w:ascii="Calibri" w:hAnsi="Calibri" w:cs="Calibri"/>
                <w:lang w:eastAsia="en-AU"/>
              </w:rPr>
            </w:pPr>
            <w:r w:rsidRPr="005A0193">
              <w:rPr>
                <w:rFonts w:ascii="Calibri" w:hAnsi="Calibri" w:cs="Calibri"/>
                <w:lang w:eastAsia="en-AU"/>
              </w:rPr>
              <w:lastRenderedPageBreak/>
              <w:t>Austrade</w:t>
            </w:r>
          </w:p>
          <w:p w14:paraId="72975444" w14:textId="77777777" w:rsidR="003A3AE6" w:rsidRPr="005A0193" w:rsidRDefault="003A3AE6" w:rsidP="00021D43">
            <w:pPr>
              <w:numPr>
                <w:ilvl w:val="0"/>
                <w:numId w:val="7"/>
              </w:numPr>
              <w:ind w:right="125"/>
              <w:contextualSpacing/>
              <w:jc w:val="both"/>
              <w:rPr>
                <w:rFonts w:ascii="Calibri" w:hAnsi="Calibri" w:cs="Calibri"/>
                <w:lang w:eastAsia="en-AU"/>
              </w:rPr>
            </w:pPr>
            <w:r w:rsidRPr="005A0193">
              <w:rPr>
                <w:rFonts w:ascii="Calibri" w:hAnsi="Calibri" w:cs="Calibri"/>
                <w:lang w:eastAsia="en-AU"/>
              </w:rPr>
              <w:lastRenderedPageBreak/>
              <w:t>Australian Award (AA) partners including representative</w:t>
            </w:r>
            <w:r>
              <w:rPr>
                <w:rFonts w:ascii="Calibri" w:hAnsi="Calibri" w:cs="Calibri"/>
                <w:lang w:eastAsia="en-AU"/>
              </w:rPr>
              <w:t>s</w:t>
            </w:r>
            <w:r w:rsidRPr="005A0193">
              <w:rPr>
                <w:rFonts w:ascii="Calibri" w:hAnsi="Calibri" w:cs="Calibri"/>
                <w:lang w:eastAsia="en-AU"/>
              </w:rPr>
              <w:t xml:space="preserve"> from Coffey (AA MC in the Philippines</w:t>
            </w:r>
            <w:r>
              <w:rPr>
                <w:rFonts w:ascii="Calibri" w:hAnsi="Calibri" w:cs="Calibri"/>
                <w:lang w:eastAsia="en-AU"/>
              </w:rPr>
              <w:t>)</w:t>
            </w:r>
            <w:r w:rsidRPr="005A0193">
              <w:rPr>
                <w:rFonts w:ascii="Calibri" w:hAnsi="Calibri" w:cs="Calibri"/>
                <w:lang w:eastAsia="en-AU"/>
              </w:rPr>
              <w:t>, Carnegie Mellon University</w:t>
            </w:r>
            <w:r>
              <w:rPr>
                <w:rFonts w:ascii="Calibri" w:hAnsi="Calibri" w:cs="Calibri"/>
                <w:lang w:eastAsia="en-AU"/>
              </w:rPr>
              <w:t xml:space="preserve"> and two alumni</w:t>
            </w:r>
          </w:p>
        </w:tc>
      </w:tr>
      <w:tr w:rsidR="003A3AE6" w:rsidRPr="005A0193" w14:paraId="3F4B72AE" w14:textId="77777777" w:rsidTr="00BC390A">
        <w:tc>
          <w:tcPr>
            <w:tcW w:w="2547" w:type="dxa"/>
          </w:tcPr>
          <w:p w14:paraId="41155F84" w14:textId="4DC983E6" w:rsidR="003A3AE6" w:rsidRPr="005A0193" w:rsidRDefault="003A3AE6" w:rsidP="00021D43">
            <w:pPr>
              <w:rPr>
                <w:rFonts w:ascii="Calibri" w:hAnsi="Calibri" w:cs="Times New Roman"/>
                <w:lang w:val="en-GB"/>
              </w:rPr>
            </w:pPr>
            <w:r w:rsidRPr="005A0193">
              <w:rPr>
                <w:rFonts w:ascii="Calibri" w:hAnsi="Calibri" w:cs="Times New Roman"/>
                <w:b/>
                <w:bCs/>
                <w:lang w:val="en-GB"/>
              </w:rPr>
              <w:lastRenderedPageBreak/>
              <w:t>2</w:t>
            </w:r>
            <w:r w:rsidRPr="005A0193">
              <w:rPr>
                <w:rFonts w:ascii="Calibri" w:hAnsi="Calibri" w:cs="Times New Roman"/>
                <w:lang w:val="en-GB"/>
              </w:rPr>
              <w:t xml:space="preserve"> interviews with Philippines </w:t>
            </w:r>
            <w:r w:rsidR="00A92122">
              <w:rPr>
                <w:rFonts w:ascii="Calibri" w:hAnsi="Calibri" w:cs="Times New Roman"/>
                <w:lang w:val="en-GB"/>
              </w:rPr>
              <w:t>private sector</w:t>
            </w:r>
            <w:r w:rsidRPr="005A0193">
              <w:rPr>
                <w:rFonts w:ascii="Calibri" w:hAnsi="Calibri" w:cs="Times New Roman"/>
                <w:lang w:val="en-GB"/>
              </w:rPr>
              <w:t xml:space="preserve"> entities (PDMF supported)</w:t>
            </w:r>
          </w:p>
        </w:tc>
        <w:tc>
          <w:tcPr>
            <w:tcW w:w="6469" w:type="dxa"/>
          </w:tcPr>
          <w:p w14:paraId="6BFE15BB" w14:textId="263C75A0" w:rsidR="003A3AE6" w:rsidRPr="005A0193" w:rsidRDefault="00900FEA" w:rsidP="00021D43">
            <w:pPr>
              <w:numPr>
                <w:ilvl w:val="0"/>
                <w:numId w:val="7"/>
              </w:numPr>
              <w:ind w:right="125"/>
              <w:contextualSpacing/>
              <w:jc w:val="both"/>
              <w:rPr>
                <w:rFonts w:ascii="Calibri" w:hAnsi="Calibri" w:cs="Calibri"/>
                <w:lang w:eastAsia="en-AU"/>
              </w:rPr>
            </w:pPr>
            <w:r>
              <w:rPr>
                <w:rFonts w:ascii="Calibri" w:hAnsi="Calibri" w:cs="Calibri"/>
                <w:lang w:eastAsia="en-AU"/>
              </w:rPr>
              <w:t xml:space="preserve">GMR </w:t>
            </w:r>
            <w:r w:rsidR="003A3AE6" w:rsidRPr="005A0193">
              <w:rPr>
                <w:rFonts w:ascii="Calibri" w:hAnsi="Calibri" w:cs="Calibri"/>
                <w:lang w:eastAsia="en-AU"/>
              </w:rPr>
              <w:t>Megawide Cebu Airport Corporation (MCIA)</w:t>
            </w:r>
          </w:p>
          <w:p w14:paraId="16B52B51" w14:textId="3CFBC8C0" w:rsidR="003A3AE6" w:rsidRPr="005A0193" w:rsidRDefault="003A3AE6" w:rsidP="0024778C">
            <w:pPr>
              <w:numPr>
                <w:ilvl w:val="0"/>
                <w:numId w:val="7"/>
              </w:numPr>
              <w:ind w:right="125"/>
              <w:contextualSpacing/>
              <w:jc w:val="both"/>
              <w:rPr>
                <w:rFonts w:ascii="Calibri" w:hAnsi="Calibri" w:cs="Calibri"/>
                <w:lang w:eastAsia="en-AU"/>
              </w:rPr>
            </w:pPr>
            <w:r w:rsidRPr="005A0193">
              <w:rPr>
                <w:rFonts w:ascii="Calibri" w:hAnsi="Calibri" w:cs="Calibri"/>
                <w:lang w:eastAsia="en-AU"/>
              </w:rPr>
              <w:t>Metro Pacific Tollways South Corporation</w:t>
            </w:r>
          </w:p>
        </w:tc>
      </w:tr>
      <w:tr w:rsidR="003A3AE6" w:rsidRPr="005A0193" w14:paraId="64BB546B" w14:textId="77777777" w:rsidTr="00BC390A">
        <w:tc>
          <w:tcPr>
            <w:tcW w:w="2547" w:type="dxa"/>
          </w:tcPr>
          <w:p w14:paraId="4C7B5626" w14:textId="2F8D3226" w:rsidR="003A3AE6" w:rsidRPr="005A0193" w:rsidRDefault="003A3AE6" w:rsidP="00021D43">
            <w:pPr>
              <w:rPr>
                <w:rFonts w:ascii="Calibri" w:hAnsi="Calibri" w:cs="Times New Roman"/>
                <w:b/>
                <w:bCs/>
              </w:rPr>
            </w:pPr>
            <w:r w:rsidRPr="005A0193">
              <w:rPr>
                <w:rFonts w:ascii="Calibri" w:hAnsi="Calibri" w:cs="Times New Roman"/>
                <w:b/>
                <w:bCs/>
              </w:rPr>
              <w:t xml:space="preserve">2 </w:t>
            </w:r>
            <w:r w:rsidRPr="005A0193">
              <w:rPr>
                <w:rFonts w:ascii="Calibri" w:hAnsi="Calibri" w:cs="Times New Roman"/>
              </w:rPr>
              <w:t xml:space="preserve">interviews with Australian </w:t>
            </w:r>
            <w:r w:rsidR="00A92122">
              <w:rPr>
                <w:rFonts w:ascii="Calibri" w:hAnsi="Calibri" w:cs="Times New Roman"/>
              </w:rPr>
              <w:t>private sector</w:t>
            </w:r>
            <w:r w:rsidRPr="005A0193">
              <w:rPr>
                <w:rFonts w:ascii="Calibri" w:hAnsi="Calibri" w:cs="Times New Roman"/>
              </w:rPr>
              <w:t xml:space="preserve"> entities</w:t>
            </w:r>
          </w:p>
        </w:tc>
        <w:tc>
          <w:tcPr>
            <w:tcW w:w="6469" w:type="dxa"/>
          </w:tcPr>
          <w:p w14:paraId="32A4E0F3" w14:textId="77777777" w:rsidR="003A3AE6" w:rsidRPr="005A0193" w:rsidRDefault="003A3AE6" w:rsidP="00021D43">
            <w:pPr>
              <w:numPr>
                <w:ilvl w:val="0"/>
                <w:numId w:val="7"/>
              </w:numPr>
              <w:ind w:right="125"/>
              <w:contextualSpacing/>
              <w:jc w:val="both"/>
              <w:rPr>
                <w:rFonts w:ascii="Calibri" w:hAnsi="Calibri" w:cs="Calibri"/>
                <w:lang w:eastAsia="en-AU"/>
              </w:rPr>
            </w:pPr>
            <w:r w:rsidRPr="005A0193">
              <w:rPr>
                <w:rFonts w:ascii="Calibri" w:hAnsi="Calibri" w:cs="Calibri"/>
                <w:lang w:eastAsia="en-AU"/>
              </w:rPr>
              <w:t>SMEC</w:t>
            </w:r>
          </w:p>
          <w:p w14:paraId="7A568864" w14:textId="77777777" w:rsidR="003A3AE6" w:rsidRPr="005A0193" w:rsidRDefault="003A3AE6" w:rsidP="00021D43">
            <w:pPr>
              <w:numPr>
                <w:ilvl w:val="0"/>
                <w:numId w:val="7"/>
              </w:numPr>
              <w:ind w:right="125"/>
              <w:contextualSpacing/>
              <w:jc w:val="both"/>
              <w:rPr>
                <w:rFonts w:ascii="Calibri" w:hAnsi="Calibri" w:cs="Calibri"/>
                <w:lang w:eastAsia="en-AU"/>
              </w:rPr>
            </w:pPr>
            <w:r w:rsidRPr="005A0193">
              <w:rPr>
                <w:rFonts w:ascii="Calibri" w:hAnsi="Calibri" w:cs="Calibri"/>
                <w:lang w:eastAsia="en-AU"/>
              </w:rPr>
              <w:t>GHD (through a written submission)</w:t>
            </w:r>
          </w:p>
        </w:tc>
      </w:tr>
    </w:tbl>
    <w:p w14:paraId="571B91FC" w14:textId="74A94516" w:rsidR="00CD58E1" w:rsidRDefault="00CD58E1" w:rsidP="00021D43">
      <w:pPr>
        <w:widowControl w:val="0"/>
        <w:autoSpaceDE w:val="0"/>
        <w:autoSpaceDN w:val="0"/>
        <w:adjustRightInd w:val="0"/>
        <w:spacing w:before="2" w:after="2" w:line="240" w:lineRule="auto"/>
        <w:jc w:val="both"/>
        <w:rPr>
          <w:rFonts w:cstheme="minorHAnsi"/>
          <w:u w:val="single"/>
        </w:rPr>
      </w:pPr>
    </w:p>
    <w:p w14:paraId="57BC63DC" w14:textId="77777777" w:rsidR="00CD58E1" w:rsidRPr="007C2AA2" w:rsidRDefault="00CD58E1" w:rsidP="00021D43">
      <w:pPr>
        <w:spacing w:after="0" w:line="240" w:lineRule="auto"/>
        <w:ind w:right="-23"/>
        <w:rPr>
          <w:b/>
        </w:rPr>
      </w:pPr>
      <w:r w:rsidRPr="007C2AA2">
        <w:rPr>
          <w:b/>
        </w:rPr>
        <w:t>Data analysis and the formulation of judgements</w:t>
      </w:r>
    </w:p>
    <w:p w14:paraId="714FDDAA" w14:textId="512F6DF4" w:rsidR="00CD58E1" w:rsidRPr="00CD58E1" w:rsidRDefault="00CD58E1" w:rsidP="00021D43">
      <w:pPr>
        <w:spacing w:line="240" w:lineRule="auto"/>
      </w:pPr>
      <w:r w:rsidRPr="00CD58E1">
        <w:t xml:space="preserve">Data was consolidated, coded and analysed existing and new data sets against the KEQs in the Evaluation Plan to produce a set of preliminary findings. </w:t>
      </w:r>
      <w:r w:rsidR="00E4013F">
        <w:t>A</w:t>
      </w:r>
      <w:r w:rsidR="007C2AA2">
        <w:t xml:space="preserve"> rapid assessment of the political economy of the </w:t>
      </w:r>
      <w:r w:rsidR="007C2AA2" w:rsidRPr="00FC346D">
        <w:t xml:space="preserve">state of </w:t>
      </w:r>
      <w:r w:rsidR="007C2AA2">
        <w:t>PPPs</w:t>
      </w:r>
      <w:r w:rsidR="007C2AA2" w:rsidRPr="00FC346D">
        <w:t xml:space="preserve"> in the Philippines </w:t>
      </w:r>
      <w:r w:rsidR="00E4013F">
        <w:t xml:space="preserve">was also undertaken </w:t>
      </w:r>
      <w:r w:rsidR="007C2AA2" w:rsidRPr="00FC346D">
        <w:t xml:space="preserve">as a basis for assessing the performance of the </w:t>
      </w:r>
      <w:r w:rsidR="007C2AA2">
        <w:t xml:space="preserve">TA. </w:t>
      </w:r>
      <w:r w:rsidR="00E4013F">
        <w:t xml:space="preserve">Findings were discussed with DFAT, ADB and Philippine Government stakeholders during an Aide Memoire presentation. </w:t>
      </w:r>
      <w:r w:rsidRPr="00CD58E1">
        <w:t>The evaluator has ensured independence by holding responsibility for final determinations and judgements presented in this report.</w:t>
      </w:r>
    </w:p>
    <w:p w14:paraId="1FF7AE6F" w14:textId="77777777" w:rsidR="00CD58E1" w:rsidRPr="00CD58E1" w:rsidRDefault="00CD58E1" w:rsidP="00021D43">
      <w:pPr>
        <w:spacing w:after="0" w:line="240" w:lineRule="auto"/>
        <w:ind w:right="-23"/>
        <w:rPr>
          <w:b/>
        </w:rPr>
      </w:pPr>
      <w:r w:rsidRPr="00CD58E1">
        <w:rPr>
          <w:b/>
        </w:rPr>
        <w:t>Limitations</w:t>
      </w:r>
    </w:p>
    <w:p w14:paraId="7BEB8C8C" w14:textId="0AA649F9" w:rsidR="00E4013F" w:rsidRDefault="00CD58E1" w:rsidP="00021D43">
      <w:pPr>
        <w:spacing w:after="60" w:line="240" w:lineRule="auto"/>
        <w:ind w:right="-23"/>
      </w:pPr>
      <w:r w:rsidRPr="00CD58E1">
        <w:t xml:space="preserve">There were several limiting factors which need to be considered alongside the findings and analysis presented in this report. The limitations include: </w:t>
      </w:r>
    </w:p>
    <w:p w14:paraId="425A92B2" w14:textId="4D578D52" w:rsidR="00A00C02" w:rsidRDefault="0036715A" w:rsidP="00021D43">
      <w:pPr>
        <w:numPr>
          <w:ilvl w:val="0"/>
          <w:numId w:val="7"/>
        </w:numPr>
        <w:spacing w:after="60" w:line="240" w:lineRule="auto"/>
        <w:ind w:left="425" w:right="96" w:hanging="425"/>
        <w:rPr>
          <w:rFonts w:eastAsia="Times New Roman" w:cstheme="minorHAnsi"/>
          <w:lang w:eastAsia="en-AU"/>
        </w:rPr>
      </w:pPr>
      <w:r w:rsidRPr="00531730">
        <w:rPr>
          <w:rFonts w:eastAsia="Times New Roman" w:cstheme="minorHAnsi"/>
          <w:lang w:eastAsia="en-AU"/>
        </w:rPr>
        <w:t>Evaluation interviews were conducted jointly with ADB</w:t>
      </w:r>
      <w:r w:rsidR="00BD57DD">
        <w:rPr>
          <w:rFonts w:eastAsia="Times New Roman" w:cstheme="minorHAnsi"/>
          <w:lang w:eastAsia="en-AU"/>
        </w:rPr>
        <w:t xml:space="preserve">, </w:t>
      </w:r>
      <w:r w:rsidRPr="00531730">
        <w:rPr>
          <w:rFonts w:eastAsia="Times New Roman" w:cstheme="minorHAnsi"/>
          <w:lang w:eastAsia="en-AU"/>
        </w:rPr>
        <w:t xml:space="preserve">which </w:t>
      </w:r>
      <w:r w:rsidR="00BD57DD">
        <w:rPr>
          <w:rFonts w:eastAsia="Times New Roman" w:cstheme="minorHAnsi"/>
          <w:lang w:eastAsia="en-AU"/>
        </w:rPr>
        <w:t>was</w:t>
      </w:r>
      <w:r w:rsidRPr="00531730">
        <w:rPr>
          <w:rFonts w:eastAsia="Times New Roman" w:cstheme="minorHAnsi"/>
          <w:lang w:eastAsia="en-AU"/>
        </w:rPr>
        <w:t xml:space="preserve"> carrying out </w:t>
      </w:r>
      <w:r w:rsidR="00BD57DD">
        <w:rPr>
          <w:rFonts w:eastAsia="Times New Roman" w:cstheme="minorHAnsi"/>
          <w:lang w:eastAsia="en-AU"/>
        </w:rPr>
        <w:t>an</w:t>
      </w:r>
      <w:r w:rsidRPr="00531730">
        <w:rPr>
          <w:rFonts w:eastAsia="Times New Roman" w:cstheme="minorHAnsi"/>
          <w:lang w:eastAsia="en-AU"/>
        </w:rPr>
        <w:t xml:space="preserve"> internal progress review of the TA</w:t>
      </w:r>
      <w:r w:rsidR="00531730" w:rsidRPr="00531730">
        <w:rPr>
          <w:rFonts w:eastAsia="Times New Roman" w:cstheme="minorHAnsi"/>
          <w:lang w:eastAsia="en-AU"/>
        </w:rPr>
        <w:t xml:space="preserve"> at the same time</w:t>
      </w:r>
      <w:r w:rsidRPr="00531730">
        <w:rPr>
          <w:rFonts w:eastAsia="Times New Roman" w:cstheme="minorHAnsi"/>
          <w:lang w:eastAsia="en-AU"/>
        </w:rPr>
        <w:t>. Joint consultations sought to streamline the process and create efficiencies for respondents. However, as the TA is administered through the ADB, stakeholders may have been reluctant to provide open and critical feedback</w:t>
      </w:r>
      <w:r w:rsidR="00BD57DD">
        <w:rPr>
          <w:rFonts w:eastAsia="Times New Roman" w:cstheme="minorHAnsi"/>
          <w:lang w:eastAsia="en-AU"/>
        </w:rPr>
        <w:t>, particularly with regards to the quality of support provided and their satisfaction with ADB’s performance</w:t>
      </w:r>
      <w:r w:rsidRPr="00531730">
        <w:rPr>
          <w:rFonts w:eastAsia="Times New Roman" w:cstheme="minorHAnsi"/>
          <w:lang w:eastAsia="en-AU"/>
        </w:rPr>
        <w:t xml:space="preserve">. While efforts were made to manage this risk, such as </w:t>
      </w:r>
      <w:r w:rsidR="00531730" w:rsidRPr="00531730">
        <w:rPr>
          <w:rFonts w:eastAsia="Times New Roman" w:cstheme="minorHAnsi"/>
          <w:lang w:eastAsia="en-AU"/>
        </w:rPr>
        <w:t>by allocating time at the end of interviews for more confidential discussions between the evaluator and respondent only,</w:t>
      </w:r>
      <w:r w:rsidRPr="00531730">
        <w:rPr>
          <w:rFonts w:eastAsia="Times New Roman" w:cstheme="minorHAnsi"/>
          <w:lang w:eastAsia="en-AU"/>
        </w:rPr>
        <w:t xml:space="preserve"> it may have affected </w:t>
      </w:r>
      <w:r w:rsidR="00AD3D5B">
        <w:rPr>
          <w:rFonts w:eastAsia="Times New Roman" w:cstheme="minorHAnsi"/>
          <w:lang w:eastAsia="en-AU"/>
        </w:rPr>
        <w:t xml:space="preserve">the openness of </w:t>
      </w:r>
      <w:r w:rsidR="00531730" w:rsidRPr="00531730">
        <w:rPr>
          <w:rFonts w:eastAsia="Times New Roman" w:cstheme="minorHAnsi"/>
          <w:lang w:eastAsia="en-AU"/>
        </w:rPr>
        <w:t>responses</w:t>
      </w:r>
      <w:r w:rsidRPr="00531730">
        <w:rPr>
          <w:rFonts w:eastAsia="Times New Roman" w:cstheme="minorHAnsi"/>
          <w:lang w:eastAsia="en-AU"/>
        </w:rPr>
        <w:t xml:space="preserve"> in some instances.</w:t>
      </w:r>
    </w:p>
    <w:p w14:paraId="48D851D8" w14:textId="098D3788" w:rsidR="00531730" w:rsidRPr="00A00C02" w:rsidRDefault="00531730" w:rsidP="00021D43">
      <w:pPr>
        <w:numPr>
          <w:ilvl w:val="0"/>
          <w:numId w:val="7"/>
        </w:numPr>
        <w:spacing w:after="60" w:line="240" w:lineRule="auto"/>
        <w:ind w:left="425" w:right="96" w:hanging="425"/>
        <w:rPr>
          <w:rFonts w:eastAsia="Times New Roman" w:cstheme="minorHAnsi"/>
          <w:lang w:eastAsia="en-AU"/>
        </w:rPr>
      </w:pPr>
      <w:r w:rsidRPr="00A00C02">
        <w:rPr>
          <w:rFonts w:eastAsia="Times New Roman" w:cstheme="minorHAnsi"/>
          <w:lang w:eastAsia="en-AU"/>
        </w:rPr>
        <w:t xml:space="preserve">Due to </w:t>
      </w:r>
      <w:r w:rsidR="000321CA">
        <w:rPr>
          <w:rFonts w:eastAsia="Times New Roman" w:cstheme="minorHAnsi"/>
          <w:lang w:eastAsia="en-AU"/>
        </w:rPr>
        <w:t>COVID</w:t>
      </w:r>
      <w:r w:rsidRPr="00A00C02">
        <w:rPr>
          <w:rFonts w:eastAsia="Times New Roman" w:cstheme="minorHAnsi"/>
          <w:lang w:eastAsia="en-AU"/>
        </w:rPr>
        <w:t xml:space="preserve">-19 travel restrictions, the external evaluator was unable to travel to the Philippines, carrying out consultations remotely. The use of video conferencing resulted in some limitations in carrying out focus group discussions (particularly with regional and local teams) </w:t>
      </w:r>
      <w:r w:rsidR="007A3F65">
        <w:rPr>
          <w:rFonts w:eastAsia="Times New Roman" w:cstheme="minorHAnsi"/>
          <w:lang w:eastAsia="en-AU"/>
        </w:rPr>
        <w:t>through the use of</w:t>
      </w:r>
      <w:r w:rsidRPr="00A00C02">
        <w:rPr>
          <w:rFonts w:eastAsia="Times New Roman" w:cstheme="minorHAnsi"/>
          <w:lang w:eastAsia="en-AU"/>
        </w:rPr>
        <w:t xml:space="preserve"> a strong facilitation approach </w:t>
      </w:r>
      <w:r w:rsidR="007A3F65">
        <w:rPr>
          <w:rFonts w:eastAsia="Times New Roman" w:cstheme="minorHAnsi"/>
          <w:lang w:eastAsia="en-AU"/>
        </w:rPr>
        <w:t>that</w:t>
      </w:r>
      <w:r w:rsidRPr="00A00C02">
        <w:rPr>
          <w:rFonts w:eastAsia="Times New Roman" w:cstheme="minorHAnsi"/>
          <w:lang w:eastAsia="en-AU"/>
        </w:rPr>
        <w:t xml:space="preserve"> ensure</w:t>
      </w:r>
      <w:r w:rsidR="007A3F65">
        <w:rPr>
          <w:rFonts w:eastAsia="Times New Roman" w:cstheme="minorHAnsi"/>
          <w:lang w:eastAsia="en-AU"/>
        </w:rPr>
        <w:t>d</w:t>
      </w:r>
      <w:r w:rsidRPr="00A00C02">
        <w:rPr>
          <w:rFonts w:eastAsia="Times New Roman" w:cstheme="minorHAnsi"/>
          <w:lang w:eastAsia="en-AU"/>
        </w:rPr>
        <w:t xml:space="preserve"> the </w:t>
      </w:r>
      <w:r w:rsidR="007A3F65">
        <w:rPr>
          <w:rFonts w:eastAsia="Times New Roman" w:cstheme="minorHAnsi"/>
          <w:lang w:eastAsia="en-AU"/>
        </w:rPr>
        <w:t xml:space="preserve">full </w:t>
      </w:r>
      <w:r w:rsidRPr="00A00C02">
        <w:rPr>
          <w:rFonts w:eastAsia="Times New Roman" w:cstheme="minorHAnsi"/>
          <w:lang w:eastAsia="en-AU"/>
        </w:rPr>
        <w:t xml:space="preserve">participation </w:t>
      </w:r>
      <w:r w:rsidR="007A3F65">
        <w:rPr>
          <w:rFonts w:eastAsia="Times New Roman" w:cstheme="minorHAnsi"/>
          <w:lang w:eastAsia="en-AU"/>
        </w:rPr>
        <w:t>of</w:t>
      </w:r>
      <w:r w:rsidRPr="00A00C02">
        <w:rPr>
          <w:rFonts w:eastAsia="Times New Roman" w:cstheme="minorHAnsi"/>
          <w:lang w:eastAsia="en-AU"/>
        </w:rPr>
        <w:t xml:space="preserve"> all respondents. Some technical challenges were also encountered during meetings with </w:t>
      </w:r>
      <w:r w:rsidR="00E51EF4">
        <w:rPr>
          <w:rFonts w:eastAsia="Times New Roman" w:cstheme="minorHAnsi"/>
          <w:lang w:eastAsia="en-AU"/>
        </w:rPr>
        <w:t>local government units</w:t>
      </w:r>
      <w:r w:rsidRPr="00A00C02">
        <w:rPr>
          <w:rFonts w:eastAsia="Times New Roman" w:cstheme="minorHAnsi"/>
          <w:lang w:eastAsia="en-AU"/>
        </w:rPr>
        <w:t xml:space="preserve">. </w:t>
      </w:r>
    </w:p>
    <w:p w14:paraId="5F957749" w14:textId="3AE4EA38" w:rsidR="00531730" w:rsidRPr="00317F66" w:rsidRDefault="00531730" w:rsidP="00021D43">
      <w:pPr>
        <w:numPr>
          <w:ilvl w:val="0"/>
          <w:numId w:val="7"/>
        </w:numPr>
        <w:spacing w:after="0" w:line="240" w:lineRule="auto"/>
        <w:ind w:left="426" w:right="95" w:hanging="426"/>
        <w:contextualSpacing/>
        <w:rPr>
          <w:rFonts w:eastAsia="Times New Roman" w:cstheme="minorHAnsi"/>
          <w:lang w:eastAsia="en-AU"/>
        </w:rPr>
      </w:pPr>
      <w:r w:rsidRPr="00317F66">
        <w:rPr>
          <w:rFonts w:eastAsia="Times New Roman" w:cstheme="minorHAnsi"/>
          <w:lang w:eastAsia="en-AU"/>
        </w:rPr>
        <w:t xml:space="preserve">The evaluation methodology sought to </w:t>
      </w:r>
      <w:r w:rsidR="00BD57DD" w:rsidRPr="00317F66">
        <w:rPr>
          <w:rFonts w:eastAsia="Times New Roman" w:cstheme="minorHAnsi"/>
          <w:lang w:eastAsia="en-AU"/>
        </w:rPr>
        <w:t xml:space="preserve">engage a broad range of respondent groups, including </w:t>
      </w:r>
      <w:r w:rsidR="007E4F73">
        <w:rPr>
          <w:rFonts w:eastAsia="Times New Roman" w:cstheme="minorHAnsi"/>
          <w:lang w:eastAsia="en-AU"/>
        </w:rPr>
        <w:t xml:space="preserve">a sample of supported </w:t>
      </w:r>
      <w:r w:rsidR="00554EE4">
        <w:rPr>
          <w:rFonts w:eastAsia="Times New Roman" w:cstheme="minorHAnsi"/>
          <w:lang w:eastAsia="en-AU"/>
        </w:rPr>
        <w:t>Implementing agencies</w:t>
      </w:r>
      <w:r w:rsidR="007E4F73">
        <w:rPr>
          <w:rFonts w:eastAsia="Times New Roman" w:cstheme="minorHAnsi"/>
          <w:lang w:eastAsia="en-AU"/>
        </w:rPr>
        <w:t xml:space="preserve"> and </w:t>
      </w:r>
      <w:r w:rsidR="00E51EF4">
        <w:rPr>
          <w:rFonts w:eastAsia="Times New Roman" w:cstheme="minorHAnsi"/>
          <w:lang w:eastAsia="en-AU"/>
        </w:rPr>
        <w:t>local governments</w:t>
      </w:r>
      <w:r w:rsidR="007E4F73">
        <w:rPr>
          <w:rFonts w:eastAsia="Times New Roman" w:cstheme="minorHAnsi"/>
          <w:lang w:eastAsia="en-AU"/>
        </w:rPr>
        <w:t xml:space="preserve">, as well as </w:t>
      </w:r>
      <w:r w:rsidR="00BD57DD" w:rsidRPr="00317F66">
        <w:rPr>
          <w:rFonts w:eastAsia="Times New Roman" w:cstheme="minorHAnsi"/>
          <w:lang w:eastAsia="en-AU"/>
        </w:rPr>
        <w:t xml:space="preserve">Australian and Philippines </w:t>
      </w:r>
      <w:r w:rsidR="00A92122">
        <w:rPr>
          <w:rFonts w:eastAsia="Times New Roman" w:cstheme="minorHAnsi"/>
          <w:lang w:eastAsia="en-AU"/>
        </w:rPr>
        <w:t>private sector</w:t>
      </w:r>
      <w:r w:rsidR="00BD57DD" w:rsidRPr="00317F66">
        <w:rPr>
          <w:rFonts w:eastAsia="Times New Roman" w:cstheme="minorHAnsi"/>
          <w:lang w:eastAsia="en-AU"/>
        </w:rPr>
        <w:t xml:space="preserve"> partners as well as </w:t>
      </w:r>
      <w:r w:rsidR="00A92122">
        <w:rPr>
          <w:rFonts w:eastAsia="Times New Roman" w:cstheme="minorHAnsi"/>
          <w:lang w:eastAsia="en-AU"/>
        </w:rPr>
        <w:t>private sector</w:t>
      </w:r>
      <w:r w:rsidR="00F8493B" w:rsidRPr="00317F66">
        <w:rPr>
          <w:rFonts w:eastAsia="Times New Roman" w:cstheme="minorHAnsi"/>
          <w:lang w:eastAsia="en-AU"/>
        </w:rPr>
        <w:t xml:space="preserve"> </w:t>
      </w:r>
      <w:r w:rsidR="00BD57DD" w:rsidRPr="00317F66">
        <w:rPr>
          <w:rFonts w:eastAsia="Times New Roman" w:cstheme="minorHAnsi"/>
          <w:lang w:eastAsia="en-AU"/>
        </w:rPr>
        <w:t>entities external to the TA. While</w:t>
      </w:r>
      <w:r w:rsidR="00E51EF4">
        <w:rPr>
          <w:rFonts w:eastAsia="Times New Roman" w:cstheme="minorHAnsi"/>
          <w:lang w:eastAsia="en-AU"/>
        </w:rPr>
        <w:t xml:space="preserve"> implementing agency</w:t>
      </w:r>
      <w:r w:rsidR="007E4F73">
        <w:rPr>
          <w:rFonts w:eastAsia="Times New Roman" w:cstheme="minorHAnsi"/>
          <w:lang w:eastAsia="en-AU"/>
        </w:rPr>
        <w:t xml:space="preserve">, </w:t>
      </w:r>
      <w:r w:rsidR="00E51EF4">
        <w:rPr>
          <w:rFonts w:eastAsia="Times New Roman" w:cstheme="minorHAnsi"/>
          <w:lang w:eastAsia="en-AU"/>
        </w:rPr>
        <w:t>local government</w:t>
      </w:r>
      <w:r w:rsidR="007E4F73">
        <w:rPr>
          <w:rFonts w:eastAsia="Times New Roman" w:cstheme="minorHAnsi"/>
          <w:lang w:eastAsia="en-AU"/>
        </w:rPr>
        <w:t xml:space="preserve"> and </w:t>
      </w:r>
      <w:r w:rsidR="00A92122">
        <w:rPr>
          <w:rFonts w:eastAsia="Times New Roman" w:cstheme="minorHAnsi"/>
          <w:lang w:eastAsia="en-AU"/>
        </w:rPr>
        <w:t>private sector</w:t>
      </w:r>
      <w:r w:rsidR="00BD57DD" w:rsidRPr="00317F66">
        <w:rPr>
          <w:rFonts w:eastAsia="Times New Roman" w:cstheme="minorHAnsi"/>
          <w:lang w:eastAsia="en-AU"/>
        </w:rPr>
        <w:t xml:space="preserve"> voice</w:t>
      </w:r>
      <w:r w:rsidR="00317F66" w:rsidRPr="00317F66">
        <w:rPr>
          <w:rFonts w:eastAsia="Times New Roman" w:cstheme="minorHAnsi"/>
          <w:lang w:eastAsia="en-AU"/>
        </w:rPr>
        <w:t>s</w:t>
      </w:r>
      <w:r w:rsidR="00BD57DD" w:rsidRPr="00317F66">
        <w:rPr>
          <w:rFonts w:eastAsia="Times New Roman" w:cstheme="minorHAnsi"/>
          <w:lang w:eastAsia="en-AU"/>
        </w:rPr>
        <w:t xml:space="preserve"> </w:t>
      </w:r>
      <w:r w:rsidR="007E4F73">
        <w:rPr>
          <w:rFonts w:eastAsia="Times New Roman" w:cstheme="minorHAnsi"/>
          <w:lang w:eastAsia="en-AU"/>
        </w:rPr>
        <w:t>were</w:t>
      </w:r>
      <w:r w:rsidR="00BD57DD" w:rsidRPr="00317F66">
        <w:rPr>
          <w:rFonts w:eastAsia="Times New Roman" w:cstheme="minorHAnsi"/>
          <w:lang w:eastAsia="en-AU"/>
        </w:rPr>
        <w:t xml:space="preserve"> reflected in the consultations</w:t>
      </w:r>
      <w:r w:rsidR="00317F66" w:rsidRPr="00317F66">
        <w:rPr>
          <w:rFonts w:eastAsia="Times New Roman" w:cstheme="minorHAnsi"/>
          <w:lang w:eastAsia="en-AU"/>
        </w:rPr>
        <w:t xml:space="preserve"> to some extent</w:t>
      </w:r>
      <w:r w:rsidR="00BD57DD" w:rsidRPr="00317F66">
        <w:rPr>
          <w:rFonts w:eastAsia="Times New Roman" w:cstheme="minorHAnsi"/>
          <w:lang w:eastAsia="en-AU"/>
        </w:rPr>
        <w:t xml:space="preserve">, </w:t>
      </w:r>
      <w:r w:rsidR="007E4F73">
        <w:rPr>
          <w:rFonts w:eastAsia="Times New Roman" w:cstheme="minorHAnsi"/>
          <w:lang w:eastAsia="en-AU"/>
        </w:rPr>
        <w:t>largely providing</w:t>
      </w:r>
      <w:r w:rsidR="00BD57DD" w:rsidRPr="00317F66">
        <w:rPr>
          <w:rFonts w:eastAsia="Times New Roman" w:cstheme="minorHAnsi"/>
          <w:lang w:eastAsia="en-AU"/>
        </w:rPr>
        <w:t xml:space="preserve"> consistent messaging, </w:t>
      </w:r>
      <w:r w:rsidR="007E4F73">
        <w:rPr>
          <w:rFonts w:eastAsia="Times New Roman" w:cstheme="minorHAnsi"/>
          <w:lang w:eastAsia="en-AU"/>
        </w:rPr>
        <w:t xml:space="preserve">direct national Philippine </w:t>
      </w:r>
      <w:r w:rsidR="00BD57DD" w:rsidRPr="00317F66">
        <w:rPr>
          <w:rFonts w:eastAsia="Times New Roman" w:cstheme="minorHAnsi"/>
          <w:lang w:eastAsia="en-AU"/>
        </w:rPr>
        <w:t xml:space="preserve">government </w:t>
      </w:r>
      <w:r w:rsidR="007E4F73">
        <w:rPr>
          <w:rFonts w:eastAsia="Times New Roman" w:cstheme="minorHAnsi"/>
          <w:lang w:eastAsia="en-AU"/>
        </w:rPr>
        <w:t xml:space="preserve">partners </w:t>
      </w:r>
      <w:r w:rsidR="00BD57DD" w:rsidRPr="00317F66">
        <w:rPr>
          <w:rFonts w:eastAsia="Times New Roman" w:cstheme="minorHAnsi"/>
          <w:lang w:eastAsia="en-AU"/>
        </w:rPr>
        <w:t>were</w:t>
      </w:r>
      <w:r w:rsidR="00317F66" w:rsidRPr="00317F66">
        <w:rPr>
          <w:rFonts w:eastAsia="Times New Roman" w:cstheme="minorHAnsi"/>
          <w:lang w:eastAsia="en-AU"/>
        </w:rPr>
        <w:t xml:space="preserve"> disproportionally represented in consultations. </w:t>
      </w:r>
    </w:p>
    <w:p w14:paraId="45C8D82B" w14:textId="4E5DA0A8" w:rsidR="004071A2" w:rsidRPr="00EE70F6" w:rsidRDefault="004071A2" w:rsidP="00021D43">
      <w:pPr>
        <w:widowControl w:val="0"/>
        <w:autoSpaceDE w:val="0"/>
        <w:autoSpaceDN w:val="0"/>
        <w:adjustRightInd w:val="0"/>
        <w:spacing w:before="2" w:after="2" w:line="240" w:lineRule="auto"/>
        <w:ind w:left="720"/>
        <w:contextualSpacing/>
        <w:rPr>
          <w:rFonts w:ascii="Calibri" w:hAnsi="Calibri" w:cs="Calibri"/>
        </w:rPr>
      </w:pPr>
    </w:p>
    <w:sectPr w:rsidR="004071A2" w:rsidRPr="00EE70F6" w:rsidSect="008801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85D18" w14:textId="77777777" w:rsidR="00D60095" w:rsidRDefault="00D60095" w:rsidP="00FE031A">
      <w:pPr>
        <w:spacing w:after="0" w:line="240" w:lineRule="auto"/>
      </w:pPr>
      <w:r>
        <w:separator/>
      </w:r>
    </w:p>
  </w:endnote>
  <w:endnote w:type="continuationSeparator" w:id="0">
    <w:p w14:paraId="6CA00392" w14:textId="77777777" w:rsidR="00D60095" w:rsidRDefault="00D60095" w:rsidP="00FE031A">
      <w:pPr>
        <w:spacing w:after="0" w:line="240" w:lineRule="auto"/>
      </w:pPr>
      <w:r>
        <w:continuationSeparator/>
      </w:r>
    </w:p>
  </w:endnote>
  <w:endnote w:type="continuationNotice" w:id="1">
    <w:p w14:paraId="49805C9F" w14:textId="77777777" w:rsidR="00D60095" w:rsidRDefault="00D60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Light">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632387"/>
      <w:docPartObj>
        <w:docPartGallery w:val="Page Numbers (Bottom of Page)"/>
        <w:docPartUnique/>
      </w:docPartObj>
    </w:sdtPr>
    <w:sdtEndPr>
      <w:rPr>
        <w:noProof/>
      </w:rPr>
    </w:sdtEndPr>
    <w:sdtContent>
      <w:p w14:paraId="6037F45F" w14:textId="2A7C3D61" w:rsidR="00D60095" w:rsidRDefault="00D60095">
        <w:pPr>
          <w:pStyle w:val="Footer"/>
          <w:jc w:val="right"/>
        </w:pPr>
        <w:r w:rsidRPr="00D25BF1">
          <w:rPr>
            <w:rFonts w:ascii="Calibri Light" w:hAnsi="Calibri Light" w:cs="Calibri Light"/>
            <w:b/>
            <w:color w:val="000000" w:themeColor="text1"/>
            <w:spacing w:val="60"/>
            <w:sz w:val="12"/>
            <w:szCs w:val="12"/>
          </w:rPr>
          <w:t xml:space="preserve">Evaluation Report –TA on Strengthening PPPs Program                </w:t>
        </w:r>
        <w:r>
          <w:fldChar w:fldCharType="begin"/>
        </w:r>
        <w:r>
          <w:instrText xml:space="preserve"> PAGE   \* MERGEFORMAT </w:instrText>
        </w:r>
        <w:r>
          <w:fldChar w:fldCharType="separate"/>
        </w:r>
        <w:r>
          <w:rPr>
            <w:noProof/>
          </w:rPr>
          <w:t>2</w:t>
        </w:r>
        <w:r>
          <w:rPr>
            <w:noProof/>
          </w:rPr>
          <w:fldChar w:fldCharType="end"/>
        </w:r>
      </w:p>
    </w:sdtContent>
  </w:sdt>
  <w:p w14:paraId="5DB69A35" w14:textId="01BB9823" w:rsidR="00D60095" w:rsidRDefault="00D60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4075704"/>
      <w:docPartObj>
        <w:docPartGallery w:val="Page Numbers (Bottom of Page)"/>
        <w:docPartUnique/>
      </w:docPartObj>
    </w:sdtPr>
    <w:sdtEndPr/>
    <w:sdtContent>
      <w:bookmarkStart w:id="85" w:name="_Hlk95163059" w:displacedByCustomXml="prev"/>
      <w:p w14:paraId="4DBC7CCE" w14:textId="6E1B19E3" w:rsidR="00D60095" w:rsidRDefault="00D60095" w:rsidP="00D83CE6">
        <w:pPr>
          <w:pStyle w:val="Footer"/>
          <w:jc w:val="right"/>
        </w:pPr>
        <w:r w:rsidRPr="00D25BF1">
          <w:rPr>
            <w:rFonts w:ascii="Calibri Light" w:hAnsi="Calibri Light" w:cs="Calibri Light"/>
            <w:b/>
            <w:color w:val="000000" w:themeColor="text1"/>
            <w:spacing w:val="60"/>
            <w:sz w:val="12"/>
            <w:szCs w:val="12"/>
          </w:rPr>
          <w:t>Evaluation Report –TA on Strengthening PPPs Program</w:t>
        </w:r>
        <w:bookmarkEnd w:id="85"/>
        <w:r w:rsidRPr="00D25BF1">
          <w:rPr>
            <w:rFonts w:ascii="Calibri Light" w:hAnsi="Calibri Light" w:cs="Calibri Light"/>
            <w:b/>
            <w:color w:val="000000" w:themeColor="text1"/>
            <w:spacing w:val="60"/>
            <w:sz w:val="12"/>
            <w:szCs w:val="12"/>
          </w:rPr>
          <w:t xml:space="preserve">            </w:t>
        </w: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579C112" w14:textId="010C3E3E" w:rsidR="00D60095" w:rsidRDefault="00D60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FEC24" w14:textId="77777777" w:rsidR="00D60095" w:rsidRDefault="00D60095" w:rsidP="00FE031A">
      <w:pPr>
        <w:spacing w:after="0" w:line="240" w:lineRule="auto"/>
      </w:pPr>
      <w:r>
        <w:separator/>
      </w:r>
    </w:p>
  </w:footnote>
  <w:footnote w:type="continuationSeparator" w:id="0">
    <w:p w14:paraId="0600B9F0" w14:textId="77777777" w:rsidR="00D60095" w:rsidRDefault="00D60095" w:rsidP="00FE031A">
      <w:pPr>
        <w:spacing w:after="0" w:line="240" w:lineRule="auto"/>
      </w:pPr>
      <w:r>
        <w:continuationSeparator/>
      </w:r>
    </w:p>
  </w:footnote>
  <w:footnote w:type="continuationNotice" w:id="1">
    <w:p w14:paraId="7E0AADD6" w14:textId="77777777" w:rsidR="00D60095" w:rsidRDefault="00D60095">
      <w:pPr>
        <w:spacing w:after="0" w:line="240" w:lineRule="auto"/>
      </w:pPr>
    </w:p>
  </w:footnote>
  <w:footnote w:id="2">
    <w:p w14:paraId="462D24C0" w14:textId="2BD7A5D0" w:rsidR="00D60095" w:rsidRPr="003770DE" w:rsidRDefault="00D60095">
      <w:pPr>
        <w:pStyle w:val="FootnoteText"/>
        <w:rPr>
          <w:lang w:val="en-GB"/>
        </w:rPr>
      </w:pPr>
      <w:r w:rsidRPr="00FC3ADC">
        <w:rPr>
          <w:rStyle w:val="FootnoteReference"/>
          <w:sz w:val="18"/>
          <w:szCs w:val="18"/>
        </w:rPr>
        <w:footnoteRef/>
      </w:r>
      <w:r>
        <w:t xml:space="preserve"> </w:t>
      </w:r>
      <w:r w:rsidRPr="00FC3ADC">
        <w:rPr>
          <w:sz w:val="18"/>
          <w:szCs w:val="18"/>
        </w:rPr>
        <w:t xml:space="preserve">This includes the Design and Monitoring Framework (DMF) and other </w:t>
      </w:r>
      <w:r>
        <w:rPr>
          <w:sz w:val="18"/>
          <w:szCs w:val="18"/>
        </w:rPr>
        <w:t>monitoring and evaluation</w:t>
      </w:r>
      <w:r w:rsidRPr="00FC3ADC">
        <w:rPr>
          <w:sz w:val="18"/>
          <w:szCs w:val="18"/>
        </w:rPr>
        <w:t xml:space="preserve"> exercises.</w:t>
      </w:r>
      <w:r>
        <w:t xml:space="preserve"> </w:t>
      </w:r>
    </w:p>
  </w:footnote>
  <w:footnote w:id="3">
    <w:p w14:paraId="7751855B" w14:textId="62CCD8BF" w:rsidR="00D60095" w:rsidRPr="00465CBE" w:rsidRDefault="00D60095" w:rsidP="00937558">
      <w:pPr>
        <w:pStyle w:val="FootnoteText"/>
        <w:rPr>
          <w:lang w:val="en-GB"/>
        </w:rPr>
      </w:pPr>
      <w:r>
        <w:rPr>
          <w:rStyle w:val="FootnoteReference"/>
        </w:rPr>
        <w:footnoteRef/>
      </w:r>
      <w:r>
        <w:t xml:space="preserve"> </w:t>
      </w:r>
      <w:r w:rsidRPr="00465CBE">
        <w:rPr>
          <w:sz w:val="18"/>
          <w:szCs w:val="18"/>
        </w:rPr>
        <w:t>USD1.88 million were later realigned to the capacity building component of the TA, as approved by ADB and DFAT</w:t>
      </w:r>
      <w:bookmarkStart w:id="42" w:name="_Hlk92565514"/>
      <w:r w:rsidRPr="00465CBE">
        <w:rPr>
          <w:sz w:val="18"/>
          <w:szCs w:val="18"/>
        </w:rPr>
        <w:t>.</w:t>
      </w:r>
      <w:bookmarkEnd w:id="42"/>
    </w:p>
  </w:footnote>
  <w:footnote w:id="4">
    <w:p w14:paraId="709EF2FE" w14:textId="27134A6A" w:rsidR="00D60095" w:rsidRPr="004930BE" w:rsidRDefault="00D60095" w:rsidP="00355FCA">
      <w:pPr>
        <w:spacing w:after="0" w:line="240" w:lineRule="auto"/>
        <w:rPr>
          <w:rFonts w:ascii="Calibri" w:eastAsia="Calibri" w:hAnsi="Calibri" w:cs="Times New Roman"/>
        </w:rPr>
      </w:pPr>
      <w:r>
        <w:rPr>
          <w:rStyle w:val="FootnoteReference"/>
        </w:rPr>
        <w:footnoteRef/>
      </w:r>
      <w:r>
        <w:t xml:space="preserve"> </w:t>
      </w:r>
      <w:r w:rsidRPr="00355FCA">
        <w:rPr>
          <w:rFonts w:ascii="Calibri" w:eastAsia="Calibri" w:hAnsi="Calibri" w:cs="Times New Roman"/>
          <w:sz w:val="18"/>
          <w:szCs w:val="18"/>
        </w:rPr>
        <w:t>The TA also included a financial arrangement with the International Finance Cooperation</w:t>
      </w:r>
      <w:r>
        <w:rPr>
          <w:rFonts w:ascii="Calibri" w:eastAsia="Calibri" w:hAnsi="Calibri" w:cs="Times New Roman"/>
          <w:sz w:val="18"/>
          <w:szCs w:val="18"/>
        </w:rPr>
        <w:t xml:space="preserve"> (IFC)</w:t>
      </w:r>
      <w:r w:rsidRPr="00355FCA">
        <w:rPr>
          <w:rFonts w:ascii="Calibri" w:eastAsia="Calibri" w:hAnsi="Calibri" w:cs="Times New Roman"/>
          <w:sz w:val="18"/>
          <w:szCs w:val="18"/>
        </w:rPr>
        <w:t xml:space="preserve"> for Advisory Services from May 2011 to June 2016, to the amount of AUD 4.5 million. </w:t>
      </w:r>
      <w:r w:rsidRPr="00355FCA">
        <w:rPr>
          <w:sz w:val="18"/>
          <w:szCs w:val="18"/>
        </w:rPr>
        <w:t>The IFC component focused on development and implementation of individual projects to the selection of winning private investors and award of tenders, and on building government capacity through a learning-by-doing approach. The investment was assessed as successful, with its performance and</w:t>
      </w:r>
      <w:r>
        <w:t xml:space="preserve"> </w:t>
      </w:r>
      <w:r w:rsidRPr="00355FCA">
        <w:rPr>
          <w:sz w:val="18"/>
          <w:szCs w:val="18"/>
        </w:rPr>
        <w:t>contribution to specific PPP projects well documented in a separate report. As such this component was not included within the scope of the evaluation.</w:t>
      </w:r>
    </w:p>
    <w:p w14:paraId="4CABB3DA" w14:textId="1CDD00D9" w:rsidR="00D60095" w:rsidRPr="00355FCA" w:rsidRDefault="00D60095">
      <w:pPr>
        <w:pStyle w:val="FootnoteText"/>
        <w:rPr>
          <w:lang w:val="en-GB"/>
        </w:rPr>
      </w:pPr>
    </w:p>
  </w:footnote>
  <w:footnote w:id="5">
    <w:p w14:paraId="494C4E08" w14:textId="379EFE84" w:rsidR="00D60095" w:rsidRDefault="00D60095" w:rsidP="00B24215">
      <w:pPr>
        <w:pStyle w:val="FootnoteText"/>
      </w:pPr>
      <w:r>
        <w:rPr>
          <w:rStyle w:val="FootnoteReference"/>
        </w:rPr>
        <w:footnoteRef/>
      </w:r>
      <w:r>
        <w:t xml:space="preserve"> </w:t>
      </w:r>
      <w:r w:rsidRPr="00B24215">
        <w:rPr>
          <w:rFonts w:cstheme="minorHAnsi"/>
          <w:sz w:val="18"/>
          <w:szCs w:val="18"/>
          <w:lang w:val="en-GB"/>
        </w:rPr>
        <w:t>NEDA (2021) Updated Philippine Development Plan 2017-2022, p. I-15 and Chapter 15 – Ensuring Sound Macroeconomic Policy</w:t>
      </w:r>
    </w:p>
  </w:footnote>
  <w:footnote w:id="6">
    <w:p w14:paraId="2162893D" w14:textId="6589A101" w:rsidR="00D60095" w:rsidRPr="00497D61" w:rsidRDefault="00D60095">
      <w:pPr>
        <w:pStyle w:val="FootnoteText"/>
        <w:rPr>
          <w:rFonts w:cstheme="minorHAnsi"/>
          <w:sz w:val="18"/>
          <w:szCs w:val="18"/>
          <w:lang w:val="en-GB"/>
        </w:rPr>
      </w:pPr>
      <w:r w:rsidRPr="00497D61">
        <w:rPr>
          <w:rStyle w:val="FootnoteReference"/>
          <w:rFonts w:cstheme="minorHAnsi"/>
          <w:sz w:val="18"/>
          <w:szCs w:val="18"/>
        </w:rPr>
        <w:footnoteRef/>
      </w:r>
      <w:r w:rsidRPr="00497D61">
        <w:rPr>
          <w:rFonts w:cstheme="minorHAnsi"/>
          <w:sz w:val="18"/>
          <w:szCs w:val="18"/>
        </w:rPr>
        <w:t xml:space="preserve"> </w:t>
      </w:r>
      <w:r w:rsidRPr="00497D61">
        <w:rPr>
          <w:rFonts w:cstheme="minorHAnsi"/>
          <w:sz w:val="18"/>
          <w:szCs w:val="18"/>
          <w:lang w:val="en-GB"/>
        </w:rPr>
        <w:t xml:space="preserve">Non-traditional clients include </w:t>
      </w:r>
      <w:r>
        <w:rPr>
          <w:rFonts w:cstheme="minorHAnsi"/>
          <w:sz w:val="18"/>
          <w:szCs w:val="18"/>
          <w:lang w:val="en-GB"/>
        </w:rPr>
        <w:t xml:space="preserve">for example </w:t>
      </w:r>
      <w:r w:rsidRPr="00497D61">
        <w:rPr>
          <w:rFonts w:cstheme="minorHAnsi"/>
          <w:sz w:val="18"/>
          <w:szCs w:val="18"/>
        </w:rPr>
        <w:t>state universities and colleges</w:t>
      </w:r>
      <w:r>
        <w:rPr>
          <w:rFonts w:cstheme="minorHAnsi"/>
          <w:sz w:val="18"/>
          <w:szCs w:val="18"/>
        </w:rPr>
        <w:t>, economic zones and</w:t>
      </w:r>
      <w:r w:rsidRPr="00497D61">
        <w:rPr>
          <w:rFonts w:cstheme="minorHAnsi"/>
          <w:sz w:val="18"/>
          <w:szCs w:val="18"/>
        </w:rPr>
        <w:t xml:space="preserve"> water district authorities</w:t>
      </w:r>
      <w:r>
        <w:rPr>
          <w:rFonts w:cstheme="minorHAnsi"/>
          <w:sz w:val="18"/>
          <w:szCs w:val="18"/>
        </w:rPr>
        <w:t>.</w:t>
      </w:r>
      <w:r w:rsidRPr="00497D61">
        <w:rPr>
          <w:rFonts w:cstheme="minorHAnsi"/>
          <w:sz w:val="18"/>
          <w:szCs w:val="18"/>
        </w:rPr>
        <w:t xml:space="preserve"> </w:t>
      </w:r>
    </w:p>
  </w:footnote>
  <w:footnote w:id="7">
    <w:p w14:paraId="2A657777" w14:textId="68D4A869" w:rsidR="00D60095" w:rsidRPr="009702A7" w:rsidRDefault="00D60095" w:rsidP="00B54913">
      <w:pPr>
        <w:pStyle w:val="FootnoteText"/>
        <w:rPr>
          <w:sz w:val="18"/>
          <w:szCs w:val="18"/>
          <w:lang w:val="en-GB"/>
        </w:rPr>
      </w:pPr>
      <w:r w:rsidRPr="009702A7">
        <w:rPr>
          <w:rStyle w:val="FootnoteReference"/>
          <w:sz w:val="18"/>
          <w:szCs w:val="18"/>
        </w:rPr>
        <w:footnoteRef/>
      </w:r>
      <w:r w:rsidRPr="009702A7">
        <w:rPr>
          <w:sz w:val="18"/>
          <w:szCs w:val="18"/>
        </w:rPr>
        <w:t xml:space="preserve"> </w:t>
      </w:r>
      <w:r>
        <w:rPr>
          <w:sz w:val="18"/>
          <w:szCs w:val="18"/>
        </w:rPr>
        <w:t xml:space="preserve">Supreme Court ruling which provides that the just share of local government units from the national taxes is not limited to “national internal revenue taxes” collected by the Bureau of Internal Revenue (BIR) but includes collections (custom duties) from the Bureau of Customs (BOC). </w:t>
      </w:r>
      <w:r w:rsidRPr="009702A7">
        <w:rPr>
          <w:sz w:val="18"/>
          <w:szCs w:val="18"/>
          <w:lang w:val="en-GB"/>
        </w:rPr>
        <w:t xml:space="preserve">More information on the Mandanas ruling and its implications can be found </w:t>
      </w:r>
      <w:hyperlink r:id="rId1" w:history="1">
        <w:r w:rsidRPr="009702A7">
          <w:rPr>
            <w:rStyle w:val="Hyperlink"/>
            <w:sz w:val="18"/>
            <w:szCs w:val="18"/>
            <w:lang w:val="en-GB"/>
          </w:rPr>
          <w:t>here</w:t>
        </w:r>
      </w:hyperlink>
      <w:r w:rsidRPr="009702A7">
        <w:rPr>
          <w:sz w:val="18"/>
          <w:szCs w:val="18"/>
          <w:lang w:val="en-GB"/>
        </w:rPr>
        <w:t>.</w:t>
      </w:r>
    </w:p>
  </w:footnote>
  <w:footnote w:id="8">
    <w:p w14:paraId="5E791F32" w14:textId="3E698661" w:rsidR="00D60095" w:rsidRDefault="00D60095">
      <w:pPr>
        <w:pStyle w:val="FootnoteText"/>
      </w:pPr>
      <w:r>
        <w:rPr>
          <w:rStyle w:val="FootnoteReference"/>
        </w:rPr>
        <w:footnoteRef/>
      </w:r>
      <w:r>
        <w:t xml:space="preserve"> Based on average Forex as of the time of the evaluation in February 2021: AUD1=PhP36.7</w:t>
      </w:r>
    </w:p>
  </w:footnote>
  <w:footnote w:id="9">
    <w:p w14:paraId="6AB38525" w14:textId="27FE88D5" w:rsidR="00D60095" w:rsidRPr="00CD6A32" w:rsidRDefault="00D60095">
      <w:pPr>
        <w:pStyle w:val="FootnoteText"/>
        <w:rPr>
          <w:lang w:val="en-GB"/>
        </w:rPr>
      </w:pPr>
      <w:r>
        <w:rPr>
          <w:rStyle w:val="FootnoteReference"/>
        </w:rPr>
        <w:footnoteRef/>
      </w:r>
      <w:r>
        <w:t xml:space="preserve"> </w:t>
      </w:r>
      <w:r w:rsidRPr="00CD6A32">
        <w:rPr>
          <w:sz w:val="18"/>
          <w:szCs w:val="18"/>
        </w:rPr>
        <w:t>Local Government Code or Republic Act No. 7160 legislated the grant of local autonomy and devolution of powers to the local governments.</w:t>
      </w:r>
    </w:p>
  </w:footnote>
  <w:footnote w:id="10">
    <w:p w14:paraId="553493CB" w14:textId="5ED3454A" w:rsidR="00D60095" w:rsidRPr="00FC3ADC" w:rsidRDefault="00D60095">
      <w:pPr>
        <w:pStyle w:val="FootnoteText"/>
        <w:rPr>
          <w:sz w:val="18"/>
          <w:szCs w:val="18"/>
          <w:lang w:val="en-GB"/>
        </w:rPr>
      </w:pPr>
      <w:r w:rsidRPr="00FC3ADC">
        <w:rPr>
          <w:rStyle w:val="FootnoteReference"/>
          <w:sz w:val="18"/>
          <w:szCs w:val="18"/>
        </w:rPr>
        <w:footnoteRef/>
      </w:r>
      <w:r w:rsidRPr="00FC3ADC">
        <w:rPr>
          <w:sz w:val="18"/>
          <w:szCs w:val="18"/>
        </w:rPr>
        <w:t xml:space="preserve"> </w:t>
      </w:r>
      <w:r w:rsidRPr="00FC3ADC">
        <w:rPr>
          <w:sz w:val="18"/>
          <w:szCs w:val="18"/>
          <w:lang w:val="en-GB"/>
        </w:rPr>
        <w:t>Written feedback was received from DFAT, the PPP Center, NEDA</w:t>
      </w:r>
      <w:r>
        <w:rPr>
          <w:sz w:val="18"/>
          <w:szCs w:val="18"/>
          <w:lang w:val="en-GB"/>
        </w:rPr>
        <w:t xml:space="preserve"> and the </w:t>
      </w:r>
      <w:r w:rsidRPr="00FC3ADC">
        <w:rPr>
          <w:sz w:val="18"/>
          <w:szCs w:val="18"/>
          <w:lang w:val="en-GB"/>
        </w:rPr>
        <w:t>ADB.</w:t>
      </w:r>
    </w:p>
  </w:footnote>
  <w:footnote w:id="11">
    <w:p w14:paraId="32D3839F" w14:textId="77777777" w:rsidR="00D60095" w:rsidRPr="001230BB" w:rsidRDefault="00D60095" w:rsidP="000600AA">
      <w:pPr>
        <w:pStyle w:val="FootnoteText"/>
        <w:rPr>
          <w:sz w:val="18"/>
          <w:szCs w:val="18"/>
        </w:rPr>
      </w:pPr>
      <w:r w:rsidRPr="001230BB">
        <w:rPr>
          <w:rStyle w:val="FootnoteReference"/>
          <w:sz w:val="18"/>
          <w:szCs w:val="18"/>
        </w:rPr>
        <w:footnoteRef/>
      </w:r>
      <w:r w:rsidRPr="001230BB">
        <w:rPr>
          <w:sz w:val="18"/>
          <w:szCs w:val="18"/>
        </w:rPr>
        <w:t xml:space="preserve"> </w:t>
      </w:r>
      <w:r w:rsidRPr="001230BB">
        <w:rPr>
          <w:sz w:val="18"/>
          <w:szCs w:val="18"/>
          <w:lang w:val="en-GB"/>
        </w:rPr>
        <w:t>Source</w:t>
      </w:r>
      <w:r w:rsidRPr="001230BB">
        <w:rPr>
          <w:sz w:val="18"/>
          <w:szCs w:val="18"/>
          <w:lang w:val="en-US"/>
        </w:rPr>
        <w:t xml:space="preserve">: The World Bank, </w:t>
      </w:r>
      <w:hyperlink r:id="rId2" w:history="1">
        <w:r w:rsidRPr="001230BB">
          <w:rPr>
            <w:rStyle w:val="Hyperlink"/>
            <w:sz w:val="18"/>
            <w:szCs w:val="18"/>
            <w:lang w:val="en-US"/>
          </w:rPr>
          <w:t>Benchmarking Infrastructure Development</w:t>
        </w:r>
      </w:hyperlink>
      <w:r w:rsidRPr="001230BB">
        <w:rPr>
          <w:sz w:val="18"/>
          <w:szCs w:val="18"/>
          <w:lang w:val="en-US"/>
        </w:rPr>
        <w:t xml:space="preserve"> 2020.</w:t>
      </w:r>
      <w:r w:rsidRPr="001230BB">
        <w:rPr>
          <w:i/>
          <w:iCs/>
          <w:sz w:val="18"/>
          <w:szCs w:val="18"/>
          <w:lang w:val="en-US"/>
        </w:rPr>
        <w:t xml:space="preserve"> </w:t>
      </w:r>
      <w:r w:rsidRPr="001230BB">
        <w:rPr>
          <w:sz w:val="18"/>
          <w:szCs w:val="18"/>
          <w:lang w:val="en-US"/>
        </w:rPr>
        <w:t xml:space="preserve">Thematic scores for PPPs in the Philippines include: Preparation (79), Procurement (58), Contract management (94), Unsolicited Proposals (75), noting the highest score is 100. </w:t>
      </w:r>
    </w:p>
  </w:footnote>
  <w:footnote w:id="12">
    <w:p w14:paraId="776D38D5" w14:textId="77777777" w:rsidR="00D60095" w:rsidRPr="001230BB" w:rsidRDefault="00D60095" w:rsidP="000600AA">
      <w:pPr>
        <w:pStyle w:val="SDAbodytext"/>
        <w:spacing w:before="0" w:after="0"/>
        <w:rPr>
          <w:sz w:val="18"/>
          <w:szCs w:val="18"/>
        </w:rPr>
      </w:pPr>
      <w:r w:rsidRPr="001230BB">
        <w:rPr>
          <w:rStyle w:val="FootnoteReference"/>
          <w:sz w:val="18"/>
          <w:szCs w:val="18"/>
        </w:rPr>
        <w:footnoteRef/>
      </w:r>
      <w:r w:rsidRPr="001230BB">
        <w:rPr>
          <w:sz w:val="18"/>
          <w:szCs w:val="18"/>
        </w:rPr>
        <w:t xml:space="preserve"> </w:t>
      </w:r>
      <w:r w:rsidRPr="001230BB">
        <w:rPr>
          <w:sz w:val="18"/>
          <w:szCs w:val="18"/>
          <w:lang w:val="en-GB"/>
        </w:rPr>
        <w:t xml:space="preserve">Awards include: </w:t>
      </w:r>
      <w:r w:rsidRPr="00E676AC">
        <w:rPr>
          <w:sz w:val="18"/>
          <w:szCs w:val="18"/>
          <w:lang w:val="en-GB"/>
        </w:rPr>
        <w:t>Best Central Government</w:t>
      </w:r>
      <w:r w:rsidRPr="001230BB">
        <w:rPr>
          <w:sz w:val="18"/>
          <w:szCs w:val="18"/>
        </w:rPr>
        <w:t xml:space="preserve"> </w:t>
      </w:r>
      <w:r w:rsidRPr="00E676AC">
        <w:rPr>
          <w:sz w:val="18"/>
          <w:szCs w:val="18"/>
          <w:lang w:val="en-GB"/>
        </w:rPr>
        <w:t>PPP Promoter - Gold Award</w:t>
      </w:r>
      <w:r w:rsidRPr="001230BB">
        <w:rPr>
          <w:sz w:val="18"/>
          <w:szCs w:val="18"/>
        </w:rPr>
        <w:t xml:space="preserve"> </w:t>
      </w:r>
      <w:r w:rsidRPr="00E676AC">
        <w:rPr>
          <w:sz w:val="18"/>
          <w:szCs w:val="18"/>
          <w:lang w:val="en-GB"/>
        </w:rPr>
        <w:t>Partnerships Awards 2014</w:t>
      </w:r>
      <w:r w:rsidRPr="001230BB">
        <w:rPr>
          <w:sz w:val="18"/>
          <w:szCs w:val="18"/>
          <w:lang w:val="en-GB"/>
        </w:rPr>
        <w:t xml:space="preserve">; Asia-Pacific </w:t>
      </w:r>
      <w:r w:rsidRPr="00E676AC">
        <w:rPr>
          <w:sz w:val="18"/>
          <w:szCs w:val="18"/>
          <w:lang w:val="en-GB"/>
        </w:rPr>
        <w:t>Grantor of the Year</w:t>
      </w:r>
      <w:r w:rsidRPr="001230BB">
        <w:rPr>
          <w:sz w:val="18"/>
          <w:szCs w:val="18"/>
          <w:lang w:val="en-GB"/>
        </w:rPr>
        <w:t xml:space="preserve"> IJGlobal Awards 2014; PH: Most-improved in Asia-Pacific for PPP Readiness INFRASCOPE 2014; PPP Agency of the Year</w:t>
      </w:r>
      <w:r>
        <w:rPr>
          <w:sz w:val="18"/>
          <w:szCs w:val="18"/>
        </w:rPr>
        <w:t xml:space="preserve"> - </w:t>
      </w:r>
      <w:r w:rsidRPr="001230BB">
        <w:rPr>
          <w:sz w:val="18"/>
          <w:szCs w:val="18"/>
          <w:lang w:val="en-GB"/>
        </w:rPr>
        <w:t>The ASSET Triple A Asia</w:t>
      </w:r>
      <w:r w:rsidRPr="001230BB">
        <w:rPr>
          <w:sz w:val="18"/>
          <w:szCs w:val="18"/>
        </w:rPr>
        <w:t xml:space="preserve"> </w:t>
      </w:r>
      <w:r w:rsidRPr="001230BB">
        <w:rPr>
          <w:sz w:val="18"/>
          <w:szCs w:val="18"/>
          <w:lang w:val="en-GB"/>
        </w:rPr>
        <w:t>Infrastructure Awards 2015; and Best Central Government</w:t>
      </w:r>
      <w:r w:rsidRPr="001230BB">
        <w:rPr>
          <w:sz w:val="18"/>
          <w:szCs w:val="18"/>
        </w:rPr>
        <w:t xml:space="preserve"> </w:t>
      </w:r>
      <w:r w:rsidRPr="001230BB">
        <w:rPr>
          <w:sz w:val="18"/>
          <w:szCs w:val="18"/>
          <w:lang w:val="en-GB"/>
        </w:rPr>
        <w:t>PPP Promoter - Silver Award</w:t>
      </w:r>
      <w:r w:rsidRPr="001230BB">
        <w:rPr>
          <w:sz w:val="18"/>
          <w:szCs w:val="18"/>
        </w:rPr>
        <w:t xml:space="preserve"> </w:t>
      </w:r>
      <w:r w:rsidRPr="001230BB">
        <w:rPr>
          <w:sz w:val="18"/>
          <w:szCs w:val="18"/>
          <w:lang w:val="en-GB"/>
        </w:rPr>
        <w:t xml:space="preserve">Partnerships Awards 2016. </w:t>
      </w:r>
    </w:p>
  </w:footnote>
  <w:footnote w:id="13">
    <w:p w14:paraId="3B649A66" w14:textId="6DD28ED0" w:rsidR="00D60095" w:rsidRPr="00050B73" w:rsidRDefault="00D60095" w:rsidP="00050B73">
      <w:pPr>
        <w:pStyle w:val="Default"/>
        <w:rPr>
          <w:rFonts w:asciiTheme="minorHAnsi" w:hAnsiTheme="minorHAnsi" w:cstheme="minorHAnsi"/>
          <w:sz w:val="18"/>
          <w:szCs w:val="18"/>
        </w:rPr>
      </w:pPr>
      <w:r w:rsidRPr="00050B73">
        <w:rPr>
          <w:rStyle w:val="FootnoteReference"/>
          <w:rFonts w:asciiTheme="minorHAnsi" w:hAnsiTheme="minorHAnsi" w:cstheme="minorHAnsi"/>
          <w:sz w:val="18"/>
          <w:szCs w:val="18"/>
        </w:rPr>
        <w:footnoteRef/>
      </w:r>
      <w:r w:rsidRPr="00050B73">
        <w:rPr>
          <w:rFonts w:asciiTheme="minorHAnsi" w:hAnsiTheme="minorHAnsi" w:cstheme="minorHAnsi"/>
          <w:sz w:val="18"/>
          <w:szCs w:val="18"/>
        </w:rPr>
        <w:t xml:space="preserve"> USD1.88 million w</w:t>
      </w:r>
      <w:r>
        <w:rPr>
          <w:rFonts w:asciiTheme="minorHAnsi" w:hAnsiTheme="minorHAnsi" w:cstheme="minorHAnsi"/>
          <w:sz w:val="18"/>
          <w:szCs w:val="18"/>
        </w:rPr>
        <w:t>as</w:t>
      </w:r>
      <w:r w:rsidRPr="00050B73">
        <w:rPr>
          <w:rFonts w:asciiTheme="minorHAnsi" w:hAnsiTheme="minorHAnsi" w:cstheme="minorHAnsi"/>
          <w:sz w:val="18"/>
          <w:szCs w:val="18"/>
        </w:rPr>
        <w:t xml:space="preserve"> later realigned to the capacity building component of the TA, as approved by ADB and DFAT. </w:t>
      </w:r>
    </w:p>
  </w:footnote>
  <w:footnote w:id="14">
    <w:p w14:paraId="1A1B25D5" w14:textId="29B55378" w:rsidR="00D60095" w:rsidRPr="00A24D54" w:rsidRDefault="00D60095">
      <w:pPr>
        <w:pStyle w:val="FootnoteText"/>
        <w:rPr>
          <w:sz w:val="18"/>
          <w:szCs w:val="18"/>
          <w:lang w:val="en-GB"/>
        </w:rPr>
      </w:pPr>
      <w:r w:rsidRPr="00A24D54">
        <w:rPr>
          <w:rStyle w:val="FootnoteReference"/>
          <w:sz w:val="18"/>
          <w:szCs w:val="18"/>
        </w:rPr>
        <w:footnoteRef/>
      </w:r>
      <w:r w:rsidRPr="00A24D54">
        <w:rPr>
          <w:sz w:val="18"/>
          <w:szCs w:val="18"/>
        </w:rPr>
        <w:t xml:space="preserve"> </w:t>
      </w:r>
      <w:r w:rsidRPr="005809FA">
        <w:rPr>
          <w:sz w:val="18"/>
          <w:szCs w:val="18"/>
        </w:rPr>
        <w:t xml:space="preserve">Source: </w:t>
      </w:r>
      <w:hyperlink r:id="rId3" w:history="1">
        <w:r w:rsidRPr="005809FA">
          <w:rPr>
            <w:rStyle w:val="Hyperlink"/>
            <w:sz w:val="18"/>
            <w:szCs w:val="18"/>
          </w:rPr>
          <w:t>ADB Completion Report, Philippines: Expanding Private Participation in Infrastructure Program</w:t>
        </w:r>
      </w:hyperlink>
      <w:r w:rsidRPr="005809FA">
        <w:rPr>
          <w:sz w:val="18"/>
          <w:szCs w:val="18"/>
        </w:rPr>
        <w:t xml:space="preserve">, September 2020, Pg. </w:t>
      </w:r>
      <w:r>
        <w:rPr>
          <w:sz w:val="18"/>
          <w:szCs w:val="18"/>
          <w:lang w:val="en-GB"/>
        </w:rPr>
        <w:t xml:space="preserve">1. </w:t>
      </w:r>
    </w:p>
  </w:footnote>
  <w:footnote w:id="15">
    <w:p w14:paraId="33AB4EEC" w14:textId="5AF1B586" w:rsidR="00D60095" w:rsidRPr="00F44D9B" w:rsidRDefault="00D60095">
      <w:pPr>
        <w:pStyle w:val="FootnoteText"/>
        <w:rPr>
          <w:lang w:val="en-GB"/>
        </w:rPr>
      </w:pPr>
      <w:r w:rsidRPr="00AB1DB3">
        <w:rPr>
          <w:rStyle w:val="FootnoteReference"/>
          <w:sz w:val="18"/>
          <w:szCs w:val="18"/>
        </w:rPr>
        <w:footnoteRef/>
      </w:r>
      <w:r w:rsidRPr="00AB1DB3">
        <w:rPr>
          <w:sz w:val="18"/>
          <w:szCs w:val="18"/>
        </w:rPr>
        <w:t xml:space="preserve"> </w:t>
      </w:r>
      <w:r>
        <w:rPr>
          <w:sz w:val="18"/>
          <w:szCs w:val="18"/>
        </w:rPr>
        <w:t>F</w:t>
      </w:r>
      <w:r w:rsidRPr="00AB1DB3">
        <w:rPr>
          <w:sz w:val="18"/>
          <w:szCs w:val="18"/>
        </w:rPr>
        <w:t xml:space="preserve">eedback suggests a series of projects have not progressed </w:t>
      </w:r>
      <w:r>
        <w:rPr>
          <w:sz w:val="18"/>
          <w:szCs w:val="18"/>
        </w:rPr>
        <w:t xml:space="preserve">due </w:t>
      </w:r>
      <w:r w:rsidRPr="00AB1DB3">
        <w:rPr>
          <w:sz w:val="18"/>
          <w:szCs w:val="18"/>
        </w:rPr>
        <w:t xml:space="preserve">to </w:t>
      </w:r>
      <w:r>
        <w:rPr>
          <w:sz w:val="18"/>
          <w:szCs w:val="18"/>
        </w:rPr>
        <w:t>private sector</w:t>
      </w:r>
      <w:r w:rsidRPr="00AB1DB3">
        <w:rPr>
          <w:sz w:val="18"/>
          <w:szCs w:val="18"/>
        </w:rPr>
        <w:t xml:space="preserve"> concerns on a lack of shared which reduce</w:t>
      </w:r>
      <w:r>
        <w:rPr>
          <w:sz w:val="18"/>
          <w:szCs w:val="18"/>
        </w:rPr>
        <w:t>s</w:t>
      </w:r>
      <w:r w:rsidRPr="00AB1DB3">
        <w:rPr>
          <w:sz w:val="18"/>
          <w:szCs w:val="18"/>
        </w:rPr>
        <w:t xml:space="preserve"> investor confidence</w:t>
      </w:r>
      <w:r>
        <w:rPr>
          <w:sz w:val="18"/>
          <w:szCs w:val="18"/>
        </w:rPr>
        <w:t>. It should be noted that the</w:t>
      </w:r>
      <w:r w:rsidRPr="00230626">
        <w:rPr>
          <w:sz w:val="18"/>
          <w:szCs w:val="18"/>
        </w:rPr>
        <w:t xml:space="preserve"> government has established the Risk Management Program, which is funded annually in the government's budget.</w:t>
      </w:r>
      <w:r>
        <w:rPr>
          <w:sz w:val="18"/>
          <w:szCs w:val="18"/>
        </w:rPr>
        <w:t xml:space="preserve"> Another posited reason for the non-awarding of DOTr </w:t>
      </w:r>
      <w:r w:rsidRPr="00AB1DB3">
        <w:rPr>
          <w:sz w:val="18"/>
          <w:szCs w:val="18"/>
        </w:rPr>
        <w:t>contract</w:t>
      </w:r>
      <w:r>
        <w:rPr>
          <w:sz w:val="18"/>
          <w:szCs w:val="18"/>
        </w:rPr>
        <w:t xml:space="preserve">s is changes in policy stance following a change in leadership: </w:t>
      </w:r>
      <w:r w:rsidRPr="00F44D9B">
        <w:rPr>
          <w:sz w:val="18"/>
          <w:szCs w:val="18"/>
        </w:rPr>
        <w:t>many of the projects were airport projects, which were the subject of constantly changing policy of the agency on whether to proceed as solicited PPP or through ODA.</w:t>
      </w:r>
    </w:p>
  </w:footnote>
  <w:footnote w:id="16">
    <w:p w14:paraId="4A5421C5" w14:textId="32749BAB" w:rsidR="00D60095" w:rsidRPr="00AB1DB3" w:rsidRDefault="00D60095" w:rsidP="00B561C0">
      <w:pPr>
        <w:pStyle w:val="SDAbodytext"/>
        <w:spacing w:before="0" w:after="0"/>
        <w:rPr>
          <w:sz w:val="18"/>
          <w:szCs w:val="18"/>
        </w:rPr>
      </w:pPr>
      <w:r w:rsidRPr="00A24D54">
        <w:rPr>
          <w:rStyle w:val="FootnoteReference"/>
          <w:sz w:val="18"/>
          <w:szCs w:val="18"/>
        </w:rPr>
        <w:footnoteRef/>
      </w:r>
      <w:r w:rsidRPr="00A24D54">
        <w:rPr>
          <w:sz w:val="18"/>
          <w:szCs w:val="18"/>
        </w:rPr>
        <w:t xml:space="preserve"> It is difficult to analys</w:t>
      </w:r>
      <w:r>
        <w:rPr>
          <w:sz w:val="18"/>
          <w:szCs w:val="18"/>
        </w:rPr>
        <w:t>e</w:t>
      </w:r>
      <w:r w:rsidRPr="00A24D54">
        <w:rPr>
          <w:sz w:val="18"/>
          <w:szCs w:val="18"/>
        </w:rPr>
        <w:t xml:space="preserve"> the success level without data related to whether the other 12 projects have been discontinued, or are still under negotiation, and a window would need to be defined to undertake this analysis (i.e., number awarded </w:t>
      </w:r>
      <w:r w:rsidRPr="00AB1DB3">
        <w:rPr>
          <w:sz w:val="18"/>
          <w:szCs w:val="18"/>
        </w:rPr>
        <w:t>within 12 months of approval).</w:t>
      </w:r>
      <w:r>
        <w:rPr>
          <w:sz w:val="18"/>
          <w:szCs w:val="18"/>
        </w:rPr>
        <w:t xml:space="preserve"> </w:t>
      </w:r>
    </w:p>
  </w:footnote>
  <w:footnote w:id="17">
    <w:p w14:paraId="7957FC54" w14:textId="424D1A7F" w:rsidR="00D60095" w:rsidRPr="001F5246" w:rsidRDefault="00D60095">
      <w:pPr>
        <w:pStyle w:val="FootnoteText"/>
        <w:rPr>
          <w:sz w:val="18"/>
          <w:szCs w:val="18"/>
          <w:lang w:val="en-GB"/>
        </w:rPr>
      </w:pPr>
      <w:r w:rsidRPr="001F5246">
        <w:rPr>
          <w:rStyle w:val="FootnoteReference"/>
          <w:sz w:val="18"/>
          <w:szCs w:val="18"/>
        </w:rPr>
        <w:footnoteRef/>
      </w:r>
      <w:r w:rsidRPr="001F5246">
        <w:rPr>
          <w:sz w:val="18"/>
          <w:szCs w:val="18"/>
        </w:rPr>
        <w:t xml:space="preserve"> </w:t>
      </w:r>
      <w:r w:rsidRPr="001F5246">
        <w:rPr>
          <w:sz w:val="18"/>
          <w:szCs w:val="18"/>
          <w:lang w:val="en-GB"/>
        </w:rPr>
        <w:t xml:space="preserve">This would require knowledge of </w:t>
      </w:r>
      <w:r>
        <w:rPr>
          <w:sz w:val="18"/>
          <w:szCs w:val="18"/>
          <w:lang w:val="en-GB"/>
        </w:rPr>
        <w:t>how</w:t>
      </w:r>
      <w:r w:rsidRPr="001F5246">
        <w:rPr>
          <w:sz w:val="18"/>
          <w:szCs w:val="18"/>
          <w:lang w:val="en-GB"/>
        </w:rPr>
        <w:t xml:space="preserve"> all supported PPP projects</w:t>
      </w:r>
      <w:r>
        <w:rPr>
          <w:sz w:val="18"/>
          <w:szCs w:val="18"/>
          <w:lang w:val="en-GB"/>
        </w:rPr>
        <w:t xml:space="preserve"> play out (i.e.,</w:t>
      </w:r>
      <w:r w:rsidRPr="001F5246">
        <w:rPr>
          <w:sz w:val="18"/>
          <w:szCs w:val="18"/>
          <w:lang w:val="en-GB"/>
        </w:rPr>
        <w:t xml:space="preserve"> are </w:t>
      </w:r>
      <w:r>
        <w:rPr>
          <w:sz w:val="18"/>
          <w:szCs w:val="18"/>
          <w:lang w:val="en-GB"/>
        </w:rPr>
        <w:t xml:space="preserve">discontinued or </w:t>
      </w:r>
      <w:r w:rsidRPr="001F5246">
        <w:rPr>
          <w:sz w:val="18"/>
          <w:szCs w:val="18"/>
          <w:lang w:val="en-GB"/>
        </w:rPr>
        <w:t>contracted and successfully implemented</w:t>
      </w:r>
      <w:r>
        <w:rPr>
          <w:sz w:val="18"/>
          <w:szCs w:val="18"/>
          <w:lang w:val="en-GB"/>
        </w:rPr>
        <w:t>)</w:t>
      </w:r>
      <w:r w:rsidRPr="001F5246">
        <w:rPr>
          <w:sz w:val="18"/>
          <w:szCs w:val="18"/>
          <w:lang w:val="en-GB"/>
        </w:rPr>
        <w:t>, with many currently in various stages of development, and pre and post approval.</w:t>
      </w:r>
    </w:p>
  </w:footnote>
  <w:footnote w:id="18">
    <w:p w14:paraId="01004489" w14:textId="6887753B" w:rsidR="00D60095" w:rsidRPr="00502967" w:rsidRDefault="00D60095">
      <w:pPr>
        <w:pStyle w:val="FootnoteText"/>
        <w:rPr>
          <w:sz w:val="18"/>
          <w:szCs w:val="18"/>
          <w:lang w:val="en-GB"/>
        </w:rPr>
      </w:pPr>
      <w:r w:rsidRPr="00502967">
        <w:rPr>
          <w:rStyle w:val="FootnoteReference"/>
          <w:sz w:val="18"/>
          <w:szCs w:val="18"/>
        </w:rPr>
        <w:footnoteRef/>
      </w:r>
      <w:r w:rsidRPr="00502967">
        <w:rPr>
          <w:sz w:val="18"/>
          <w:szCs w:val="18"/>
        </w:rPr>
        <w:t xml:space="preserve"> </w:t>
      </w:r>
      <w:r w:rsidRPr="00502967">
        <w:rPr>
          <w:sz w:val="18"/>
          <w:szCs w:val="18"/>
          <w:lang w:val="en-GB"/>
        </w:rPr>
        <w:t xml:space="preserve">Interviews with Philippine-based respondents indicated that while closely supported national government partners such as representatives from the </w:t>
      </w:r>
      <w:r>
        <w:rPr>
          <w:sz w:val="18"/>
          <w:szCs w:val="18"/>
          <w:lang w:val="en-GB"/>
        </w:rPr>
        <w:t>PPP Center</w:t>
      </w:r>
      <w:r w:rsidRPr="00502967">
        <w:rPr>
          <w:sz w:val="18"/>
          <w:szCs w:val="18"/>
          <w:lang w:val="en-GB"/>
        </w:rPr>
        <w:t xml:space="preserve"> ha</w:t>
      </w:r>
      <w:r>
        <w:rPr>
          <w:sz w:val="18"/>
          <w:szCs w:val="18"/>
          <w:lang w:val="en-GB"/>
        </w:rPr>
        <w:t>d</w:t>
      </w:r>
      <w:r w:rsidRPr="00502967">
        <w:rPr>
          <w:sz w:val="18"/>
          <w:szCs w:val="18"/>
          <w:lang w:val="en-GB"/>
        </w:rPr>
        <w:t xml:space="preserve"> a </w:t>
      </w:r>
      <w:r>
        <w:rPr>
          <w:sz w:val="18"/>
          <w:szCs w:val="18"/>
          <w:lang w:val="en-GB"/>
        </w:rPr>
        <w:t xml:space="preserve">firm understanding of the level of financial support provided by the Australian government, other partners at the national </w:t>
      </w:r>
      <w:r w:rsidR="008F709D">
        <w:rPr>
          <w:sz w:val="18"/>
          <w:szCs w:val="18"/>
          <w:lang w:val="en-GB"/>
        </w:rPr>
        <w:t>level and</w:t>
      </w:r>
      <w:r>
        <w:rPr>
          <w:sz w:val="18"/>
          <w:szCs w:val="18"/>
          <w:lang w:val="en-GB"/>
        </w:rPr>
        <w:t xml:space="preserve"> downwards at the local level (local government units were unaware of the level of Australia’s financial contribution.</w:t>
      </w:r>
    </w:p>
  </w:footnote>
  <w:footnote w:id="19">
    <w:p w14:paraId="5FDF8870" w14:textId="7F6F64E6" w:rsidR="00D60095" w:rsidRPr="00514328" w:rsidRDefault="00D60095">
      <w:pPr>
        <w:pStyle w:val="FootnoteText"/>
        <w:rPr>
          <w:sz w:val="18"/>
          <w:szCs w:val="18"/>
          <w:lang w:val="en-GB"/>
        </w:rPr>
      </w:pPr>
      <w:r w:rsidRPr="00514328">
        <w:rPr>
          <w:rStyle w:val="FootnoteReference"/>
          <w:sz w:val="18"/>
          <w:szCs w:val="18"/>
        </w:rPr>
        <w:footnoteRef/>
      </w:r>
      <w:r w:rsidRPr="00514328">
        <w:rPr>
          <w:sz w:val="18"/>
          <w:szCs w:val="18"/>
        </w:rPr>
        <w:t xml:space="preserve"> </w:t>
      </w:r>
      <w:r w:rsidRPr="00514328">
        <w:rPr>
          <w:sz w:val="18"/>
          <w:szCs w:val="18"/>
          <w:lang w:val="en-GB"/>
        </w:rPr>
        <w:t>The arrangement has not been renewed as</w:t>
      </w:r>
      <w:r>
        <w:rPr>
          <w:sz w:val="18"/>
          <w:szCs w:val="18"/>
          <w:lang w:val="en-GB"/>
        </w:rPr>
        <w:t xml:space="preserve"> the</w:t>
      </w:r>
      <w:r w:rsidRPr="00514328">
        <w:rPr>
          <w:sz w:val="18"/>
          <w:szCs w:val="18"/>
          <w:lang w:val="en-GB"/>
        </w:rPr>
        <w:t xml:space="preserve"> INSW staff person with which the </w:t>
      </w:r>
      <w:r>
        <w:rPr>
          <w:sz w:val="18"/>
          <w:szCs w:val="18"/>
          <w:lang w:val="en-GB"/>
        </w:rPr>
        <w:t>PPP Center</w:t>
      </w:r>
      <w:r w:rsidRPr="00514328">
        <w:rPr>
          <w:sz w:val="18"/>
          <w:szCs w:val="18"/>
          <w:lang w:val="en-GB"/>
        </w:rPr>
        <w:t xml:space="preserve"> and ADB were liaising has left, and </w:t>
      </w:r>
      <w:r>
        <w:rPr>
          <w:sz w:val="18"/>
          <w:szCs w:val="18"/>
          <w:lang w:val="en-GB"/>
        </w:rPr>
        <w:t xml:space="preserve">despite attempts to renew this arrangement, the PPP Center and ADB </w:t>
      </w:r>
      <w:r w:rsidRPr="00514328">
        <w:rPr>
          <w:sz w:val="18"/>
          <w:szCs w:val="18"/>
          <w:lang w:val="en-GB"/>
        </w:rPr>
        <w:t>have been unable to forge a link with another staff member.</w:t>
      </w:r>
    </w:p>
  </w:footnote>
  <w:footnote w:id="20">
    <w:p w14:paraId="18AFBFFE" w14:textId="221F3756" w:rsidR="00D60095" w:rsidRDefault="00D60095">
      <w:pPr>
        <w:pStyle w:val="FootnoteText"/>
      </w:pPr>
      <w:r>
        <w:rPr>
          <w:rStyle w:val="FootnoteReference"/>
        </w:rPr>
        <w:footnoteRef/>
      </w:r>
      <w:r>
        <w:t xml:space="preserve"> </w:t>
      </w:r>
      <w:r w:rsidRPr="00343EF8">
        <w:t>Coffey International Ltd was fully merged with Tetra Tech in 2016</w:t>
      </w:r>
      <w:r>
        <w:t>.</w:t>
      </w:r>
    </w:p>
  </w:footnote>
  <w:footnote w:id="21">
    <w:p w14:paraId="4961EED3" w14:textId="63B2AB1B" w:rsidR="00D60095" w:rsidRPr="00CB6477" w:rsidRDefault="00D60095">
      <w:pPr>
        <w:pStyle w:val="FootnoteText"/>
        <w:rPr>
          <w:sz w:val="18"/>
          <w:szCs w:val="18"/>
          <w:lang w:val="en-GB"/>
        </w:rPr>
      </w:pPr>
      <w:r w:rsidRPr="00CB6477">
        <w:rPr>
          <w:rStyle w:val="FootnoteReference"/>
          <w:sz w:val="18"/>
          <w:szCs w:val="18"/>
        </w:rPr>
        <w:footnoteRef/>
      </w:r>
      <w:r w:rsidRPr="00CB6477">
        <w:rPr>
          <w:sz w:val="18"/>
          <w:szCs w:val="18"/>
        </w:rPr>
        <w:t xml:space="preserve"> </w:t>
      </w:r>
      <w:r w:rsidRPr="00CB6477">
        <w:rPr>
          <w:sz w:val="18"/>
          <w:szCs w:val="18"/>
          <w:lang w:val="en-GB"/>
        </w:rPr>
        <w:t xml:space="preserve">One respondent from a national </w:t>
      </w:r>
      <w:r>
        <w:rPr>
          <w:sz w:val="18"/>
          <w:szCs w:val="18"/>
          <w:lang w:val="en-GB"/>
        </w:rPr>
        <w:t>implementing agency</w:t>
      </w:r>
      <w:r w:rsidRPr="00CB6477">
        <w:rPr>
          <w:sz w:val="18"/>
          <w:szCs w:val="18"/>
          <w:lang w:val="en-GB"/>
        </w:rPr>
        <w:t xml:space="preserve"> noted that in the early years, the quality of some of the consultants on the panel was low, though stated that this issue was addressed over the years. </w:t>
      </w:r>
    </w:p>
  </w:footnote>
  <w:footnote w:id="22">
    <w:p w14:paraId="223B9D4A" w14:textId="736FECD6" w:rsidR="00D60095" w:rsidRPr="008C0450" w:rsidRDefault="00D60095">
      <w:pPr>
        <w:pStyle w:val="FootnoteText"/>
        <w:rPr>
          <w:lang w:val="en-GB"/>
        </w:rPr>
      </w:pPr>
      <w:r>
        <w:rPr>
          <w:rStyle w:val="FootnoteReference"/>
        </w:rPr>
        <w:footnoteRef/>
      </w:r>
      <w:r>
        <w:t xml:space="preserve"> </w:t>
      </w:r>
      <w:r w:rsidRPr="008C0450">
        <w:rPr>
          <w:rFonts w:cstheme="minorHAnsi"/>
          <w:sz w:val="18"/>
          <w:szCs w:val="18"/>
          <w:lang w:val="en-GB"/>
        </w:rPr>
        <w:t xml:space="preserve">During evaluation consultations, </w:t>
      </w:r>
      <w:r w:rsidRPr="008C0450">
        <w:rPr>
          <w:rFonts w:cstheme="minorHAnsi"/>
          <w:sz w:val="18"/>
          <w:szCs w:val="18"/>
        </w:rPr>
        <w:t>NEDA noted that the PPP Center may consider revisiting the implementation arrangements of the PDMF, in favour of involving more local consulting firms.</w:t>
      </w:r>
    </w:p>
  </w:footnote>
  <w:footnote w:id="23">
    <w:p w14:paraId="64A6C60C" w14:textId="51628294" w:rsidR="00D60095" w:rsidRPr="001C38CD" w:rsidRDefault="00D60095">
      <w:pPr>
        <w:pStyle w:val="FootnoteText"/>
        <w:rPr>
          <w:lang w:val="en-GB"/>
        </w:rPr>
      </w:pPr>
      <w:r w:rsidRPr="001C38CD">
        <w:rPr>
          <w:rStyle w:val="FootnoteReference"/>
          <w:sz w:val="18"/>
          <w:szCs w:val="18"/>
        </w:rPr>
        <w:footnoteRef/>
      </w:r>
      <w:r w:rsidRPr="001C38CD">
        <w:rPr>
          <w:rStyle w:val="FootnoteReference"/>
          <w:sz w:val="18"/>
          <w:szCs w:val="18"/>
        </w:rPr>
        <w:t xml:space="preserve"> </w:t>
      </w:r>
      <w:r w:rsidRPr="001A3240">
        <w:rPr>
          <w:sz w:val="18"/>
          <w:szCs w:val="18"/>
          <w:lang w:val="en-GB"/>
        </w:rPr>
        <w:t>Meetings have been called for example when the PPP Cent</w:t>
      </w:r>
      <w:r>
        <w:rPr>
          <w:sz w:val="18"/>
          <w:szCs w:val="18"/>
          <w:lang w:val="en-GB"/>
        </w:rPr>
        <w:t>er</w:t>
      </w:r>
      <w:r w:rsidRPr="001A3240">
        <w:rPr>
          <w:sz w:val="18"/>
          <w:szCs w:val="18"/>
          <w:lang w:val="en-GB"/>
        </w:rPr>
        <w:t xml:space="preserve"> is seeking to discuss a particular proposal. </w:t>
      </w:r>
      <w:r>
        <w:rPr>
          <w:sz w:val="18"/>
          <w:szCs w:val="18"/>
          <w:lang w:val="en-GB"/>
        </w:rPr>
        <w:t>N</w:t>
      </w:r>
      <w:r w:rsidRPr="001A3240">
        <w:rPr>
          <w:sz w:val="18"/>
          <w:szCs w:val="18"/>
          <w:lang w:val="en-GB"/>
        </w:rPr>
        <w:t>o T</w:t>
      </w:r>
      <w:r>
        <w:rPr>
          <w:sz w:val="18"/>
          <w:szCs w:val="18"/>
          <w:lang w:val="en-GB"/>
        </w:rPr>
        <w:t>O</w:t>
      </w:r>
      <w:r w:rsidRPr="001A3240">
        <w:rPr>
          <w:sz w:val="18"/>
          <w:szCs w:val="18"/>
          <w:lang w:val="en-GB"/>
        </w:rPr>
        <w:t>R or formally mandated process is embedded</w:t>
      </w:r>
      <w:r>
        <w:rPr>
          <w:sz w:val="18"/>
          <w:szCs w:val="18"/>
          <w:lang w:val="en-GB"/>
        </w:rPr>
        <w:t>.</w:t>
      </w:r>
    </w:p>
  </w:footnote>
  <w:footnote w:id="24">
    <w:p w14:paraId="10027692" w14:textId="77777777" w:rsidR="00D60095" w:rsidRPr="001A3240" w:rsidRDefault="00D60095" w:rsidP="001A3240">
      <w:pPr>
        <w:pStyle w:val="FootnoteText"/>
        <w:rPr>
          <w:lang w:val="en-GB"/>
        </w:rPr>
      </w:pPr>
      <w:r w:rsidRPr="001A3240">
        <w:rPr>
          <w:rStyle w:val="FootnoteReference"/>
          <w:sz w:val="18"/>
          <w:szCs w:val="18"/>
        </w:rPr>
        <w:footnoteRef/>
      </w:r>
      <w:r w:rsidRPr="001A3240">
        <w:rPr>
          <w:sz w:val="18"/>
          <w:szCs w:val="18"/>
        </w:rPr>
        <w:t xml:space="preserve"> </w:t>
      </w:r>
      <w:r w:rsidRPr="001A3240">
        <w:rPr>
          <w:sz w:val="18"/>
          <w:szCs w:val="18"/>
          <w:lang w:val="en-GB"/>
        </w:rPr>
        <w:t>It is reported that while joint donor meetings occurred in the earlier years, this practice ceased over time.</w:t>
      </w:r>
      <w:r>
        <w:rPr>
          <w:lang w:val="en-GB"/>
        </w:rPr>
        <w:t xml:space="preserve"> </w:t>
      </w:r>
    </w:p>
  </w:footnote>
  <w:footnote w:id="25">
    <w:p w14:paraId="1B08645A" w14:textId="4990614D" w:rsidR="00D60095" w:rsidRPr="00A47F3C" w:rsidRDefault="00D60095">
      <w:pPr>
        <w:pStyle w:val="FootnoteText"/>
        <w:rPr>
          <w:lang w:val="en-GB"/>
        </w:rPr>
      </w:pPr>
      <w:r>
        <w:rPr>
          <w:rStyle w:val="FootnoteReference"/>
        </w:rPr>
        <w:footnoteRef/>
      </w:r>
      <w:r>
        <w:t xml:space="preserve"> </w:t>
      </w:r>
      <w:r w:rsidRPr="000E0EB6">
        <w:rPr>
          <w:sz w:val="18"/>
          <w:szCs w:val="18"/>
        </w:rPr>
        <w:t>Proactive monitoring of utilisation commenced in late 2017-2018 when it was clear that DFAT funds were not being fully utilised. Proactive monitoring of utilisation commenced in late 2017-2018 when it was clear that utilisation rate of DFAT funds did not meet annual targets.</w:t>
      </w:r>
    </w:p>
  </w:footnote>
  <w:footnote w:id="26">
    <w:p w14:paraId="3023E7D2" w14:textId="09BDB99A" w:rsidR="00D60095" w:rsidRPr="003D2BC5" w:rsidRDefault="00D60095">
      <w:pPr>
        <w:pStyle w:val="FootnoteText"/>
        <w:rPr>
          <w:sz w:val="18"/>
          <w:szCs w:val="18"/>
          <w:lang w:val="en-GB"/>
        </w:rPr>
      </w:pPr>
      <w:r w:rsidRPr="003D2BC5">
        <w:rPr>
          <w:rStyle w:val="FootnoteReference"/>
          <w:sz w:val="18"/>
          <w:szCs w:val="18"/>
        </w:rPr>
        <w:footnoteRef/>
      </w:r>
      <w:r w:rsidRPr="003D2BC5">
        <w:rPr>
          <w:sz w:val="18"/>
          <w:szCs w:val="18"/>
        </w:rPr>
        <w:t xml:space="preserve"> </w:t>
      </w:r>
      <w:r w:rsidRPr="003D2BC5">
        <w:rPr>
          <w:sz w:val="18"/>
          <w:szCs w:val="18"/>
          <w:lang w:val="en-GB"/>
        </w:rPr>
        <w:t>This was not an output of the PPP Program.</w:t>
      </w:r>
    </w:p>
  </w:footnote>
  <w:footnote w:id="27">
    <w:p w14:paraId="5016BBE8" w14:textId="77777777" w:rsidR="00D60095" w:rsidRPr="00C051C9" w:rsidRDefault="00D60095" w:rsidP="00C75AE6">
      <w:pPr>
        <w:pStyle w:val="FootnoteText"/>
        <w:rPr>
          <w:sz w:val="18"/>
          <w:szCs w:val="18"/>
          <w:lang w:val="en-GB"/>
        </w:rPr>
      </w:pPr>
      <w:r w:rsidRPr="00FF3B04">
        <w:rPr>
          <w:rStyle w:val="FootnoteReference"/>
          <w:sz w:val="18"/>
          <w:szCs w:val="18"/>
        </w:rPr>
        <w:footnoteRef/>
      </w:r>
      <w:r w:rsidRPr="00FF3B04">
        <w:rPr>
          <w:sz w:val="18"/>
          <w:szCs w:val="18"/>
        </w:rPr>
        <w:t xml:space="preserve"> ADB is credited with contributing through </w:t>
      </w:r>
      <w:r>
        <w:rPr>
          <w:sz w:val="18"/>
          <w:szCs w:val="18"/>
        </w:rPr>
        <w:t xml:space="preserve">its strong </w:t>
      </w:r>
      <w:r w:rsidRPr="00FF3B04">
        <w:rPr>
          <w:sz w:val="18"/>
          <w:szCs w:val="18"/>
        </w:rPr>
        <w:t xml:space="preserve">gender policy, the Canadian Government with ensuring a focus on </w:t>
      </w:r>
      <w:r w:rsidRPr="00C514E0">
        <w:rPr>
          <w:sz w:val="18"/>
          <w:szCs w:val="18"/>
        </w:rPr>
        <w:t>gender in the design, and Australia through a focus on reporting and sharing valuable lessons from practice.</w:t>
      </w:r>
    </w:p>
  </w:footnote>
  <w:footnote w:id="28">
    <w:p w14:paraId="33D41A65" w14:textId="47DDC425" w:rsidR="00D60095" w:rsidRPr="00FC3ADC" w:rsidRDefault="00D60095">
      <w:pPr>
        <w:pStyle w:val="FootnoteText"/>
        <w:rPr>
          <w:lang w:val="en-GB"/>
        </w:rPr>
      </w:pPr>
      <w:r w:rsidRPr="00FC3ADC">
        <w:rPr>
          <w:rStyle w:val="FootnoteReference"/>
          <w:sz w:val="18"/>
          <w:szCs w:val="18"/>
        </w:rPr>
        <w:footnoteRef/>
      </w:r>
      <w:r w:rsidRPr="00FC3ADC">
        <w:rPr>
          <w:sz w:val="18"/>
          <w:szCs w:val="18"/>
        </w:rPr>
        <w:t xml:space="preserve"> </w:t>
      </w:r>
      <w:r w:rsidRPr="00FC3ADC">
        <w:rPr>
          <w:rFonts w:cstheme="minorHAnsi"/>
          <w:color w:val="000000" w:themeColor="text1"/>
          <w:sz w:val="18"/>
          <w:szCs w:val="18"/>
        </w:rPr>
        <w:t>Specifications outline what is required from the private sector entity to comply with output requirements such as compliance with gender inclusivity standards.</w:t>
      </w:r>
    </w:p>
  </w:footnote>
  <w:footnote w:id="29">
    <w:p w14:paraId="236367F7" w14:textId="60FE3185" w:rsidR="00D60095" w:rsidRPr="002F4A01" w:rsidRDefault="00D60095" w:rsidP="002F4A01">
      <w:pPr>
        <w:pStyle w:val="FootnoteText"/>
        <w:rPr>
          <w:sz w:val="18"/>
          <w:szCs w:val="18"/>
        </w:rPr>
      </w:pPr>
      <w:r w:rsidRPr="00171FBA">
        <w:rPr>
          <w:rStyle w:val="FootnoteReference"/>
          <w:sz w:val="18"/>
          <w:szCs w:val="18"/>
        </w:rPr>
        <w:footnoteRef/>
      </w:r>
      <w:r w:rsidRPr="00171FBA">
        <w:rPr>
          <w:sz w:val="18"/>
          <w:szCs w:val="18"/>
        </w:rPr>
        <w:t xml:space="preserve"> The </w:t>
      </w:r>
      <w:hyperlink r:id="rId4" w:history="1">
        <w:r w:rsidRPr="00171FBA">
          <w:rPr>
            <w:rStyle w:val="Hyperlink"/>
            <w:sz w:val="18"/>
            <w:szCs w:val="18"/>
          </w:rPr>
          <w:t>PPP Governing Board Resolution 2018 12-02 on Mainstreaming Environment and Social Safeguards</w:t>
        </w:r>
      </w:hyperlink>
      <w:r w:rsidRPr="00171FBA">
        <w:rPr>
          <w:sz w:val="18"/>
          <w:szCs w:val="18"/>
        </w:rPr>
        <w:t xml:space="preserve"> includes people with disability as a vulnerable group requiring protection and consideration (see Section 4 Safeguarding Scope</w:t>
      </w:r>
      <w:r>
        <w:rPr>
          <w:sz w:val="18"/>
          <w:szCs w:val="18"/>
        </w:rPr>
        <w:t>, Pg. 3</w:t>
      </w:r>
      <w:r w:rsidRPr="00171FBA">
        <w:rPr>
          <w:sz w:val="18"/>
          <w:szCs w:val="18"/>
        </w:rPr>
        <w:t>)</w:t>
      </w:r>
      <w:r>
        <w:rPr>
          <w:sz w:val="18"/>
          <w:szCs w:val="18"/>
        </w:rPr>
        <w:t xml:space="preserve"> and references disability inclusion in the annexes, such as by providing examples of disability inclusion in </w:t>
      </w:r>
      <w:r w:rsidRPr="002F4A01">
        <w:rPr>
          <w:sz w:val="18"/>
          <w:szCs w:val="18"/>
        </w:rPr>
        <w:t>MPSS</w:t>
      </w:r>
      <w:r>
        <w:rPr>
          <w:sz w:val="18"/>
          <w:szCs w:val="18"/>
        </w:rPr>
        <w:t xml:space="preserve"> and KPIs.</w:t>
      </w:r>
    </w:p>
  </w:footnote>
  <w:footnote w:id="30">
    <w:p w14:paraId="4481A135" w14:textId="12C40645" w:rsidR="00D60095" w:rsidRPr="00C14386" w:rsidRDefault="00D60095" w:rsidP="00C14386">
      <w:pPr>
        <w:spacing w:after="0" w:line="240" w:lineRule="auto"/>
        <w:rPr>
          <w:rFonts w:ascii="Calibri" w:hAnsi="Calibri" w:cs="Calibri"/>
          <w:color w:val="000000"/>
          <w:sz w:val="18"/>
          <w:szCs w:val="18"/>
        </w:rPr>
      </w:pPr>
      <w:r>
        <w:rPr>
          <w:rStyle w:val="FootnoteReference"/>
        </w:rPr>
        <w:footnoteRef/>
      </w:r>
      <w:r>
        <w:t xml:space="preserve"> </w:t>
      </w:r>
      <w:r w:rsidRPr="00C14386">
        <w:rPr>
          <w:rFonts w:ascii="Calibri" w:eastAsia="Times New Roman" w:hAnsi="Calibri" w:cs="Calibri"/>
          <w:color w:val="000000"/>
          <w:sz w:val="18"/>
          <w:szCs w:val="18"/>
          <w:lang w:eastAsia="en-AU"/>
        </w:rPr>
        <w:t xml:space="preserve">The </w:t>
      </w:r>
      <w:hyperlink r:id="rId5" w:history="1">
        <w:r w:rsidRPr="00C14386">
          <w:rPr>
            <w:rStyle w:val="Hyperlink"/>
            <w:rFonts w:ascii="Calibri" w:eastAsia="Times New Roman" w:hAnsi="Calibri" w:cs="Calibri"/>
            <w:sz w:val="18"/>
            <w:szCs w:val="18"/>
            <w:lang w:eastAsia="en-AU"/>
          </w:rPr>
          <w:t>NGA PPP Manual, Vol. 4, Annex 4 on Guidelines for Gender Mainstreaming in PPP Projects</w:t>
        </w:r>
      </w:hyperlink>
      <w:r>
        <w:rPr>
          <w:rFonts w:ascii="Calibri" w:eastAsia="Times New Roman" w:hAnsi="Calibri" w:cs="Calibri"/>
          <w:color w:val="000000"/>
          <w:sz w:val="18"/>
          <w:szCs w:val="18"/>
          <w:lang w:eastAsia="en-AU"/>
        </w:rPr>
        <w:t>, 2014</w:t>
      </w:r>
      <w:r w:rsidRPr="00C14386">
        <w:rPr>
          <w:rFonts w:ascii="Calibri" w:eastAsia="Times New Roman" w:hAnsi="Calibri" w:cs="Calibri"/>
          <w:color w:val="000000"/>
          <w:sz w:val="18"/>
          <w:szCs w:val="18"/>
          <w:lang w:eastAsia="en-AU"/>
        </w:rPr>
        <w:t>, require</w:t>
      </w:r>
      <w:r>
        <w:rPr>
          <w:rFonts w:ascii="Calibri" w:eastAsia="Times New Roman" w:hAnsi="Calibri" w:cs="Calibri"/>
          <w:color w:val="000000"/>
          <w:sz w:val="18"/>
          <w:szCs w:val="18"/>
          <w:lang w:eastAsia="en-AU"/>
        </w:rPr>
        <w:t>s</w:t>
      </w:r>
      <w:r w:rsidRPr="00C14386">
        <w:rPr>
          <w:rFonts w:ascii="Calibri" w:eastAsia="Times New Roman" w:hAnsi="Calibri" w:cs="Calibri"/>
          <w:color w:val="000000"/>
          <w:sz w:val="18"/>
          <w:szCs w:val="18"/>
          <w:lang w:eastAsia="en-AU"/>
        </w:rPr>
        <w:t xml:space="preserve"> that project design integrate</w:t>
      </w:r>
      <w:r w:rsidRPr="00C14386">
        <w:rPr>
          <w:rFonts w:ascii="Calibri" w:hAnsi="Calibri" w:cs="Calibri"/>
          <w:color w:val="000000"/>
          <w:sz w:val="18"/>
          <w:szCs w:val="18"/>
        </w:rPr>
        <w:t xml:space="preserve"> proposed strategies and measures to avoid or mitigate the significant potential impacts of the project on people with disability, and monitor and evaluate the benefit of the PPP project to people with disability</w:t>
      </w:r>
      <w:r>
        <w:rPr>
          <w:rFonts w:ascii="Calibri" w:hAnsi="Calibri" w:cs="Calibri"/>
          <w:color w:val="000000"/>
          <w:sz w:val="18"/>
          <w:szCs w:val="18"/>
        </w:rPr>
        <w:t xml:space="preserve"> </w:t>
      </w:r>
      <w:r w:rsidRPr="00C14386">
        <w:rPr>
          <w:rFonts w:ascii="Calibri" w:eastAsia="Times New Roman" w:hAnsi="Calibri" w:cs="Calibri"/>
          <w:color w:val="000000"/>
          <w:sz w:val="18"/>
          <w:szCs w:val="18"/>
          <w:lang w:eastAsia="en-AU"/>
        </w:rPr>
        <w:t>(see General Procedures for Mainstreaming Gender in PPP Projects</w:t>
      </w:r>
      <w:r>
        <w:rPr>
          <w:rFonts w:ascii="Calibri" w:eastAsia="Times New Roman" w:hAnsi="Calibri" w:cs="Calibri"/>
          <w:color w:val="000000"/>
          <w:sz w:val="18"/>
          <w:szCs w:val="18"/>
          <w:lang w:eastAsia="en-AU"/>
        </w:rPr>
        <w:t xml:space="preserve">, Pg. 5). </w:t>
      </w:r>
    </w:p>
  </w:footnote>
  <w:footnote w:id="31">
    <w:p w14:paraId="0C62CB8C" w14:textId="12890E73" w:rsidR="00D60095" w:rsidRPr="00245E76" w:rsidRDefault="00D60095" w:rsidP="00F92B9F">
      <w:pPr>
        <w:pStyle w:val="FootnoteText"/>
        <w:rPr>
          <w:sz w:val="18"/>
          <w:szCs w:val="18"/>
          <w:lang w:val="en-GB"/>
        </w:rPr>
      </w:pPr>
      <w:r w:rsidRPr="00245E76">
        <w:rPr>
          <w:rStyle w:val="FootnoteReference"/>
          <w:sz w:val="18"/>
          <w:szCs w:val="18"/>
        </w:rPr>
        <w:footnoteRef/>
      </w:r>
      <w:r w:rsidRPr="00245E76">
        <w:rPr>
          <w:sz w:val="18"/>
          <w:szCs w:val="18"/>
        </w:rPr>
        <w:t xml:space="preserve"> </w:t>
      </w:r>
      <w:r w:rsidRPr="00245E76">
        <w:rPr>
          <w:sz w:val="18"/>
          <w:szCs w:val="18"/>
          <w:lang w:val="en-GB"/>
        </w:rPr>
        <w:t xml:space="preserve">One </w:t>
      </w:r>
      <w:r>
        <w:rPr>
          <w:sz w:val="18"/>
          <w:szCs w:val="18"/>
          <w:lang w:val="en-GB"/>
        </w:rPr>
        <w:t>private sector</w:t>
      </w:r>
      <w:r w:rsidRPr="00245E76">
        <w:rPr>
          <w:sz w:val="18"/>
          <w:szCs w:val="18"/>
          <w:lang w:val="en-GB"/>
        </w:rPr>
        <w:t xml:space="preserve"> partner who </w:t>
      </w:r>
      <w:r>
        <w:rPr>
          <w:sz w:val="18"/>
          <w:szCs w:val="18"/>
          <w:lang w:val="en-GB"/>
        </w:rPr>
        <w:t xml:space="preserve">designed strongly accessible procedures asserted that this was solely due to their own impetus, and was not required by the PPP project contract specifications. </w:t>
      </w:r>
    </w:p>
  </w:footnote>
  <w:footnote w:id="32">
    <w:p w14:paraId="7B8D00E5" w14:textId="10BD7CF2" w:rsidR="00D60095" w:rsidRPr="00B73F59" w:rsidRDefault="00D60095">
      <w:pPr>
        <w:pStyle w:val="FootnoteText"/>
        <w:rPr>
          <w:sz w:val="18"/>
          <w:szCs w:val="18"/>
          <w:lang w:val="en-GB"/>
        </w:rPr>
      </w:pPr>
      <w:r w:rsidRPr="00725F8C">
        <w:rPr>
          <w:rStyle w:val="FootnoteReference"/>
          <w:sz w:val="18"/>
          <w:szCs w:val="18"/>
        </w:rPr>
        <w:footnoteRef/>
      </w:r>
      <w:r w:rsidRPr="00725F8C">
        <w:rPr>
          <w:sz w:val="18"/>
          <w:szCs w:val="18"/>
        </w:rPr>
        <w:t xml:space="preserve"> </w:t>
      </w:r>
      <w:r w:rsidRPr="00725F8C">
        <w:rPr>
          <w:sz w:val="18"/>
          <w:szCs w:val="18"/>
          <w:lang w:val="en-GB"/>
        </w:rPr>
        <w:t xml:space="preserve">It was reported by a DFAT Canberra-based official various DFAT programs have a practice of opening up disability </w:t>
      </w:r>
      <w:r w:rsidRPr="00B73F59">
        <w:rPr>
          <w:sz w:val="18"/>
          <w:szCs w:val="18"/>
          <w:lang w:val="en-GB"/>
        </w:rPr>
        <w:t xml:space="preserve">inclusion training sessions and capacity building initiatives to multilateral partners. </w:t>
      </w:r>
    </w:p>
  </w:footnote>
  <w:footnote w:id="33">
    <w:p w14:paraId="2F2D138E" w14:textId="4ECD9A65" w:rsidR="00D60095" w:rsidRPr="00B73F59" w:rsidRDefault="00D60095">
      <w:pPr>
        <w:pStyle w:val="FootnoteText"/>
        <w:rPr>
          <w:lang w:val="en-GB"/>
        </w:rPr>
      </w:pPr>
      <w:r w:rsidRPr="00B50F69">
        <w:rPr>
          <w:rStyle w:val="FootnoteReference"/>
          <w:sz w:val="18"/>
        </w:rPr>
        <w:footnoteRef/>
      </w:r>
      <w:r w:rsidRPr="00B50F69">
        <w:rPr>
          <w:sz w:val="18"/>
          <w:vertAlign w:val="superscript"/>
        </w:rPr>
        <w:t xml:space="preserve"> </w:t>
      </w:r>
      <w:r w:rsidRPr="00B73F59">
        <w:rPr>
          <w:rFonts w:cstheme="minorHAnsi"/>
          <w:sz w:val="18"/>
          <w:szCs w:val="18"/>
        </w:rPr>
        <w:t>During heavy rains, suspended solids increase, which affect water quality and result to a higher turbidity reading. High turbidity would require more treatment and would result to additional expense on the part of the private sector partner</w:t>
      </w:r>
    </w:p>
  </w:footnote>
  <w:footnote w:id="34">
    <w:p w14:paraId="1AFEFB28" w14:textId="70955632" w:rsidR="00D60095" w:rsidRPr="00512AFA" w:rsidRDefault="00D60095">
      <w:pPr>
        <w:pStyle w:val="FootnoteText"/>
        <w:rPr>
          <w:lang w:val="en-GB"/>
        </w:rPr>
      </w:pPr>
      <w:r>
        <w:rPr>
          <w:rStyle w:val="FootnoteReference"/>
        </w:rPr>
        <w:footnoteRef/>
      </w:r>
      <w:r>
        <w:t xml:space="preserve"> </w:t>
      </w:r>
      <w:r w:rsidRPr="00512AFA">
        <w:rPr>
          <w:sz w:val="18"/>
          <w:szCs w:val="18"/>
          <w:lang w:val="en-GB"/>
        </w:rPr>
        <w:t>This seeks to ensure that the extraction rate of water does not exceed the allowable volume indicated in the water permit, and sustainability of the water spring source.</w:t>
      </w:r>
    </w:p>
  </w:footnote>
  <w:footnote w:id="35">
    <w:p w14:paraId="6535A57E" w14:textId="693EDCD0" w:rsidR="00D60095" w:rsidRPr="0004009D" w:rsidRDefault="00D60095" w:rsidP="00C059AE">
      <w:pPr>
        <w:pStyle w:val="FootnoteText"/>
        <w:rPr>
          <w:sz w:val="18"/>
          <w:szCs w:val="18"/>
          <w:lang w:val="en-GB"/>
        </w:rPr>
      </w:pPr>
      <w:r w:rsidRPr="00C059AE">
        <w:rPr>
          <w:rStyle w:val="FootnoteReference"/>
        </w:rPr>
        <w:footnoteRef/>
      </w:r>
      <w:r w:rsidRPr="0004009D">
        <w:rPr>
          <w:rStyle w:val="FootnoteReference"/>
        </w:rPr>
        <w:t xml:space="preserve"> </w:t>
      </w:r>
      <w:r w:rsidRPr="0004009D">
        <w:rPr>
          <w:sz w:val="18"/>
          <w:szCs w:val="18"/>
          <w:lang w:val="en-GB"/>
        </w:rPr>
        <w:t>A PDMF panel of experts that provide</w:t>
      </w:r>
      <w:r>
        <w:rPr>
          <w:sz w:val="18"/>
          <w:szCs w:val="18"/>
          <w:lang w:val="en-GB"/>
        </w:rPr>
        <w:t>s</w:t>
      </w:r>
      <w:r w:rsidRPr="0004009D">
        <w:rPr>
          <w:sz w:val="18"/>
          <w:szCs w:val="18"/>
          <w:lang w:val="en-GB"/>
        </w:rPr>
        <w:t xml:space="preserve"> advice in the development, preparation, and tender of climate change-adaptive and disaster risk-resilient PPP Projects of </w:t>
      </w:r>
      <w:r>
        <w:rPr>
          <w:sz w:val="18"/>
          <w:szCs w:val="18"/>
          <w:lang w:val="en-GB"/>
        </w:rPr>
        <w:t>local implementing agencies.</w:t>
      </w:r>
    </w:p>
  </w:footnote>
  <w:footnote w:id="36">
    <w:p w14:paraId="7A9D41D4" w14:textId="2B814E93" w:rsidR="00D60095" w:rsidRPr="00D24DD9" w:rsidRDefault="00D60095">
      <w:pPr>
        <w:pStyle w:val="FootnoteText"/>
        <w:rPr>
          <w:sz w:val="18"/>
          <w:szCs w:val="18"/>
          <w:lang w:val="en-GB"/>
        </w:rPr>
      </w:pPr>
      <w:r w:rsidRPr="00D24DD9">
        <w:rPr>
          <w:rStyle w:val="FootnoteReference"/>
          <w:sz w:val="18"/>
          <w:szCs w:val="18"/>
        </w:rPr>
        <w:footnoteRef/>
      </w:r>
      <w:r w:rsidRPr="00D24DD9">
        <w:rPr>
          <w:sz w:val="18"/>
          <w:szCs w:val="18"/>
        </w:rPr>
        <w:t xml:space="preserve"> </w:t>
      </w:r>
      <w:r w:rsidRPr="00D24DD9">
        <w:rPr>
          <w:sz w:val="18"/>
          <w:szCs w:val="18"/>
          <w:lang w:val="en-GB"/>
        </w:rPr>
        <w:t xml:space="preserve">Several </w:t>
      </w:r>
      <w:r>
        <w:rPr>
          <w:sz w:val="18"/>
          <w:szCs w:val="18"/>
          <w:lang w:val="en-GB"/>
        </w:rPr>
        <w:t>private sector</w:t>
      </w:r>
      <w:r w:rsidRPr="00D24DD9">
        <w:rPr>
          <w:sz w:val="18"/>
          <w:szCs w:val="18"/>
          <w:lang w:val="en-GB"/>
        </w:rPr>
        <w:t xml:space="preserve"> respondents reported three-year</w:t>
      </w:r>
      <w:r>
        <w:rPr>
          <w:sz w:val="18"/>
          <w:szCs w:val="18"/>
          <w:lang w:val="en-GB"/>
        </w:rPr>
        <w:t xml:space="preserve"> delays, with no update on outcomes or resolution timeframes (noting implementing agencies hold responsibility for progressing and addressing Right of Way issues for PPPs under their purview). </w:t>
      </w:r>
    </w:p>
  </w:footnote>
  <w:footnote w:id="37">
    <w:p w14:paraId="31651E52" w14:textId="3BA50E3D" w:rsidR="00D60095" w:rsidRPr="00FC3ADC" w:rsidRDefault="00D60095">
      <w:pPr>
        <w:pStyle w:val="FootnoteText"/>
        <w:rPr>
          <w:rFonts w:cstheme="minorHAnsi"/>
          <w:sz w:val="18"/>
          <w:szCs w:val="18"/>
          <w:lang w:val="en-GB"/>
        </w:rPr>
      </w:pPr>
      <w:r w:rsidRPr="00FC3ADC">
        <w:rPr>
          <w:rStyle w:val="FootnoteReference"/>
          <w:rFonts w:cstheme="minorHAnsi"/>
          <w:sz w:val="18"/>
          <w:szCs w:val="18"/>
        </w:rPr>
        <w:footnoteRef/>
      </w:r>
      <w:r w:rsidRPr="00FC3ADC">
        <w:rPr>
          <w:rFonts w:cstheme="minorHAnsi"/>
          <w:sz w:val="18"/>
          <w:szCs w:val="18"/>
        </w:rPr>
        <w:t xml:space="preserve"> </w:t>
      </w:r>
      <w:r w:rsidRPr="00FC3ADC">
        <w:rPr>
          <w:rFonts w:cstheme="minorHAnsi"/>
          <w:sz w:val="18"/>
          <w:szCs w:val="18"/>
          <w:lang w:val="en-GB"/>
        </w:rPr>
        <w:t xml:space="preserve">This is contested by the </w:t>
      </w:r>
      <w:r w:rsidRPr="00211FAB">
        <w:rPr>
          <w:rFonts w:cstheme="minorHAnsi"/>
          <w:sz w:val="18"/>
          <w:szCs w:val="18"/>
          <w:lang w:val="en-GB"/>
        </w:rPr>
        <w:t>PP</w:t>
      </w:r>
      <w:r w:rsidRPr="00686C97">
        <w:rPr>
          <w:rFonts w:cstheme="minorHAnsi"/>
          <w:sz w:val="18"/>
          <w:szCs w:val="18"/>
          <w:lang w:val="en-GB"/>
        </w:rPr>
        <w:t>P Cente</w:t>
      </w:r>
      <w:r>
        <w:rPr>
          <w:rFonts w:cstheme="minorHAnsi"/>
          <w:sz w:val="18"/>
          <w:szCs w:val="18"/>
          <w:lang w:val="en-GB"/>
        </w:rPr>
        <w:t>r</w:t>
      </w:r>
      <w:r w:rsidRPr="00686C97">
        <w:rPr>
          <w:rFonts w:cstheme="minorHAnsi"/>
          <w:sz w:val="18"/>
          <w:szCs w:val="18"/>
          <w:lang w:val="en-GB"/>
        </w:rPr>
        <w:t xml:space="preserve"> </w:t>
      </w:r>
      <w:r w:rsidRPr="00F54585">
        <w:rPr>
          <w:rFonts w:cstheme="minorHAnsi"/>
          <w:sz w:val="18"/>
          <w:szCs w:val="18"/>
          <w:lang w:val="en-GB"/>
        </w:rPr>
        <w:t xml:space="preserve">which states that </w:t>
      </w:r>
      <w:r w:rsidRPr="00FC3ADC">
        <w:rPr>
          <w:rFonts w:cstheme="minorHAnsi"/>
          <w:color w:val="000000" w:themeColor="text1"/>
          <w:sz w:val="18"/>
          <w:szCs w:val="18"/>
        </w:rPr>
        <w:t xml:space="preserve">PDMF-supported Feasibility Studies Typically contain exhaustive project implementation options, including concerns and mitigation measures, and analysis as to why the project may not be suitable for PPP implementation. It is then up to the </w:t>
      </w:r>
      <w:r>
        <w:rPr>
          <w:rFonts w:cstheme="minorHAnsi"/>
          <w:color w:val="000000" w:themeColor="text1"/>
          <w:sz w:val="18"/>
          <w:szCs w:val="18"/>
        </w:rPr>
        <w:t>implementing agency</w:t>
      </w:r>
      <w:r w:rsidRPr="00FC3ADC">
        <w:rPr>
          <w:rFonts w:cstheme="minorHAnsi"/>
          <w:color w:val="000000" w:themeColor="text1"/>
          <w:sz w:val="18"/>
          <w:szCs w:val="18"/>
        </w:rPr>
        <w:t xml:space="preserve"> to decide on whether to proceed with the project.</w:t>
      </w:r>
    </w:p>
  </w:footnote>
  <w:footnote w:id="38">
    <w:p w14:paraId="18EB29D8" w14:textId="77777777" w:rsidR="00D60095" w:rsidRPr="0049514B" w:rsidRDefault="00D60095" w:rsidP="0049514B">
      <w:pPr>
        <w:pStyle w:val="FootnoteText"/>
        <w:rPr>
          <w:rFonts w:cstheme="minorHAnsi"/>
          <w:color w:val="000000" w:themeColor="text1"/>
          <w:sz w:val="18"/>
          <w:szCs w:val="18"/>
        </w:rPr>
      </w:pPr>
      <w:r>
        <w:rPr>
          <w:rStyle w:val="FootnoteReference"/>
        </w:rPr>
        <w:footnoteRef/>
      </w:r>
      <w:r>
        <w:t xml:space="preserve"> </w:t>
      </w:r>
      <w:r w:rsidRPr="0049514B">
        <w:rPr>
          <w:rFonts w:cstheme="minorHAnsi"/>
          <w:color w:val="000000" w:themeColor="text1"/>
          <w:sz w:val="18"/>
          <w:szCs w:val="18"/>
        </w:rPr>
        <w:t>The MPSS details the minimum technical specifications and minimum required performance</w:t>
      </w:r>
    </w:p>
    <w:p w14:paraId="10B0FEE4" w14:textId="77777777" w:rsidR="00D60095" w:rsidRPr="0049514B" w:rsidRDefault="00D60095" w:rsidP="0049514B">
      <w:pPr>
        <w:pStyle w:val="FootnoteText"/>
        <w:rPr>
          <w:rFonts w:cstheme="minorHAnsi"/>
          <w:color w:val="000000" w:themeColor="text1"/>
          <w:sz w:val="18"/>
          <w:szCs w:val="18"/>
        </w:rPr>
      </w:pPr>
      <w:r w:rsidRPr="0049514B">
        <w:rPr>
          <w:rFonts w:cstheme="minorHAnsi"/>
          <w:color w:val="000000" w:themeColor="text1"/>
          <w:sz w:val="18"/>
          <w:szCs w:val="18"/>
        </w:rPr>
        <w:t>levels of a project based on the demand study, as well as existing local and international</w:t>
      </w:r>
    </w:p>
    <w:p w14:paraId="712F25E0" w14:textId="77777777" w:rsidR="00D60095" w:rsidRPr="0049514B" w:rsidRDefault="00D60095" w:rsidP="0049514B">
      <w:pPr>
        <w:pStyle w:val="FootnoteText"/>
        <w:rPr>
          <w:rFonts w:cstheme="minorHAnsi"/>
          <w:color w:val="000000" w:themeColor="text1"/>
          <w:sz w:val="18"/>
          <w:szCs w:val="18"/>
        </w:rPr>
      </w:pPr>
      <w:r w:rsidRPr="0049514B">
        <w:rPr>
          <w:rFonts w:cstheme="minorHAnsi"/>
          <w:color w:val="000000" w:themeColor="text1"/>
          <w:sz w:val="18"/>
          <w:szCs w:val="18"/>
        </w:rPr>
        <w:t>industry standards and best practices. These could also be based on local laws and building</w:t>
      </w:r>
    </w:p>
    <w:p w14:paraId="737B3183" w14:textId="79A46904" w:rsidR="00D60095" w:rsidRPr="0049514B" w:rsidRDefault="00D60095" w:rsidP="0049514B">
      <w:pPr>
        <w:pStyle w:val="FootnoteText"/>
        <w:rPr>
          <w:rFonts w:cstheme="minorHAnsi"/>
          <w:color w:val="000000" w:themeColor="text1"/>
          <w:sz w:val="18"/>
          <w:szCs w:val="18"/>
        </w:rPr>
      </w:pPr>
      <w:r w:rsidRPr="0049514B">
        <w:rPr>
          <w:rFonts w:cstheme="minorHAnsi"/>
          <w:color w:val="000000" w:themeColor="text1"/>
          <w:sz w:val="18"/>
          <w:szCs w:val="18"/>
        </w:rPr>
        <w:t>regulations as well as service level targets determined by the NGA</w:t>
      </w:r>
      <w:r>
        <w:rPr>
          <w:rFonts w:cstheme="minorHAnsi"/>
          <w:color w:val="000000" w:themeColor="text1"/>
          <w:sz w:val="18"/>
          <w:szCs w:val="18"/>
        </w:rPr>
        <w:t>.</w:t>
      </w:r>
    </w:p>
  </w:footnote>
  <w:footnote w:id="39">
    <w:p w14:paraId="44712381" w14:textId="33BC571F" w:rsidR="00D60095" w:rsidRPr="00FC79DB" w:rsidRDefault="00D60095" w:rsidP="00FC79DB">
      <w:pPr>
        <w:pStyle w:val="FootnoteText"/>
        <w:rPr>
          <w:sz w:val="18"/>
          <w:szCs w:val="18"/>
        </w:rPr>
      </w:pPr>
      <w:r w:rsidRPr="00FC79DB">
        <w:rPr>
          <w:rStyle w:val="FootnoteReference"/>
          <w:sz w:val="18"/>
          <w:szCs w:val="18"/>
        </w:rPr>
        <w:footnoteRef/>
      </w:r>
      <w:r w:rsidRPr="00FC79DB">
        <w:rPr>
          <w:sz w:val="18"/>
          <w:szCs w:val="18"/>
        </w:rPr>
        <w:t xml:space="preserve"> The Philippine PPP Framework and Programme; An OECD Review in co-operation with the Government of the Philippines, January 2016, Pg. 14. </w:t>
      </w:r>
    </w:p>
  </w:footnote>
  <w:footnote w:id="40">
    <w:p w14:paraId="14C48341" w14:textId="0DDB83E1" w:rsidR="00D60095" w:rsidRPr="00C8472A" w:rsidRDefault="00D60095">
      <w:pPr>
        <w:pStyle w:val="FootnoteText"/>
        <w:rPr>
          <w:lang w:val="en-GB"/>
        </w:rPr>
      </w:pPr>
      <w:r>
        <w:rPr>
          <w:rStyle w:val="FootnoteReference"/>
        </w:rPr>
        <w:footnoteRef/>
      </w:r>
      <w:r>
        <w:t xml:space="preserve"> </w:t>
      </w:r>
      <w:r w:rsidRPr="00C8472A">
        <w:rPr>
          <w:sz w:val="18"/>
          <w:szCs w:val="18"/>
          <w:lang w:val="en-GB"/>
        </w:rPr>
        <w:t>The lack of framework to</w:t>
      </w:r>
      <w:r>
        <w:rPr>
          <w:sz w:val="18"/>
          <w:szCs w:val="18"/>
          <w:lang w:val="en-GB"/>
        </w:rPr>
        <w:t xml:space="preserve"> enable government to</w:t>
      </w:r>
      <w:r w:rsidRPr="00C8472A">
        <w:rPr>
          <w:sz w:val="18"/>
          <w:szCs w:val="18"/>
          <w:lang w:val="en-GB"/>
        </w:rPr>
        <w:t xml:space="preserve"> estimate contingent liabilities</w:t>
      </w:r>
      <w:r>
        <w:rPr>
          <w:sz w:val="18"/>
          <w:szCs w:val="18"/>
          <w:lang w:val="en-GB"/>
        </w:rPr>
        <w:t xml:space="preserve"> reportedly made government hesitant to enter into contracts with the private sector, and assign a disproportionate amount of financial risk to the private sector, who in turn were less willing to take on large scale infrastructure projects. </w:t>
      </w:r>
    </w:p>
  </w:footnote>
  <w:footnote w:id="41">
    <w:p w14:paraId="7BF60E0D" w14:textId="2AA4CAF1" w:rsidR="00D60095" w:rsidRPr="00FC3ADC" w:rsidRDefault="00D60095">
      <w:pPr>
        <w:pStyle w:val="FootnoteText"/>
        <w:rPr>
          <w:sz w:val="18"/>
          <w:szCs w:val="18"/>
          <w:lang w:val="en-GB"/>
        </w:rPr>
      </w:pPr>
      <w:r w:rsidRPr="00FC3ADC">
        <w:rPr>
          <w:rStyle w:val="FootnoteReference"/>
          <w:sz w:val="18"/>
          <w:szCs w:val="18"/>
        </w:rPr>
        <w:footnoteRef/>
      </w:r>
      <w:r w:rsidRPr="00FC3ADC">
        <w:rPr>
          <w:sz w:val="18"/>
          <w:szCs w:val="18"/>
        </w:rPr>
        <w:t xml:space="preserve"> </w:t>
      </w:r>
      <w:r w:rsidRPr="00FC3ADC">
        <w:rPr>
          <w:sz w:val="18"/>
          <w:szCs w:val="18"/>
          <w:lang w:val="en-GB"/>
        </w:rPr>
        <w:t>For example, repositioning of the TA upon the change in Administration led to the formulation and launch of the PPP Center’s Local PPP Strategy, increased emphasis on new, non-traditional sectors such as health, water and sanitation, solid waste, waste-to-energy, renewable energy, green vertical infrastructures and tourism and PDMF support for evaluation of unsolicited proposals and for hybrid PPP operations.</w:t>
      </w:r>
    </w:p>
  </w:footnote>
  <w:footnote w:id="42">
    <w:p w14:paraId="03EE16F3" w14:textId="1CD2E293" w:rsidR="00D60095" w:rsidRPr="00AC2213" w:rsidRDefault="00D60095" w:rsidP="00FC3ADC">
      <w:pPr>
        <w:autoSpaceDE w:val="0"/>
        <w:autoSpaceDN w:val="0"/>
        <w:adjustRightInd w:val="0"/>
        <w:spacing w:after="0" w:line="240" w:lineRule="auto"/>
      </w:pPr>
      <w:r w:rsidRPr="00FC3ADC">
        <w:rPr>
          <w:rStyle w:val="FootnoteReference"/>
          <w:sz w:val="18"/>
          <w:szCs w:val="18"/>
        </w:rPr>
        <w:footnoteRef/>
      </w:r>
      <w:r w:rsidRPr="00FC3ADC">
        <w:rPr>
          <w:sz w:val="18"/>
          <w:szCs w:val="18"/>
        </w:rPr>
        <w:t xml:space="preserve"> </w:t>
      </w:r>
      <w:r w:rsidRPr="00FC3ADC">
        <w:rPr>
          <w:sz w:val="18"/>
          <w:szCs w:val="18"/>
          <w:lang w:val="en-GB"/>
        </w:rPr>
        <w:t>With regards to hybrid projects, NEDA recognises the importance of planning the projects as a whole, which implies that operation and maintenance shall be an integral part of project planning and project structuring, instead of being dealt with post-construction.</w:t>
      </w:r>
      <w:r w:rsidRPr="009675FA">
        <w:rPr>
          <w:rFonts w:cstheme="minorHAnsi"/>
        </w:rPr>
        <w:t xml:space="preserve"> </w:t>
      </w:r>
    </w:p>
  </w:footnote>
  <w:footnote w:id="43">
    <w:p w14:paraId="29EB1680" w14:textId="2E86962D" w:rsidR="00D60095" w:rsidRPr="003D2BC5" w:rsidRDefault="00D60095" w:rsidP="009F7867">
      <w:pPr>
        <w:pStyle w:val="FootnoteText"/>
        <w:rPr>
          <w:sz w:val="18"/>
          <w:szCs w:val="18"/>
          <w:lang w:val="en-GB"/>
        </w:rPr>
      </w:pPr>
      <w:r w:rsidRPr="003D2BC5">
        <w:rPr>
          <w:rStyle w:val="FootnoteReference"/>
          <w:sz w:val="18"/>
          <w:szCs w:val="18"/>
        </w:rPr>
        <w:footnoteRef/>
      </w:r>
      <w:r w:rsidRPr="003D2BC5">
        <w:rPr>
          <w:sz w:val="18"/>
          <w:szCs w:val="18"/>
        </w:rPr>
        <w:t xml:space="preserve"> Typically, </w:t>
      </w:r>
      <w:r>
        <w:rPr>
          <w:sz w:val="18"/>
          <w:szCs w:val="18"/>
        </w:rPr>
        <w:t xml:space="preserve">for similar DFAT projects that are strongly shaped by political-economy factors and work closely with national governments, administering partners hold responsibility for conducting political economy analysis throughout the initiative in consultation with key stakeholders, and for revising and adapting a program’s strategy to align with key changes in the context. </w:t>
      </w:r>
    </w:p>
  </w:footnote>
  <w:footnote w:id="44">
    <w:p w14:paraId="48C14BE7" w14:textId="37D90056" w:rsidR="00D60095" w:rsidRPr="00FC3ADC" w:rsidRDefault="00D60095" w:rsidP="00DF77AA">
      <w:pPr>
        <w:autoSpaceDE w:val="0"/>
        <w:autoSpaceDN w:val="0"/>
        <w:adjustRightInd w:val="0"/>
        <w:spacing w:after="0" w:line="240" w:lineRule="auto"/>
        <w:rPr>
          <w:rFonts w:cstheme="minorHAnsi"/>
          <w:sz w:val="18"/>
          <w:szCs w:val="18"/>
        </w:rPr>
      </w:pPr>
      <w:r w:rsidRPr="00FC79DB">
        <w:rPr>
          <w:rStyle w:val="FootnoteReference"/>
          <w:sz w:val="18"/>
          <w:szCs w:val="18"/>
        </w:rPr>
        <w:footnoteRef/>
      </w:r>
      <w:r w:rsidRPr="00FC79DB">
        <w:rPr>
          <w:sz w:val="18"/>
          <w:szCs w:val="18"/>
        </w:rPr>
        <w:t xml:space="preserve"> It is noted that this issue is also affecting PS. For example,</w:t>
      </w:r>
      <w:r>
        <w:rPr>
          <w:sz w:val="18"/>
          <w:szCs w:val="18"/>
        </w:rPr>
        <w:t xml:space="preserve"> several</w:t>
      </w:r>
      <w:r w:rsidRPr="00FC79DB">
        <w:rPr>
          <w:sz w:val="18"/>
          <w:szCs w:val="18"/>
        </w:rPr>
        <w:t xml:space="preserve"> </w:t>
      </w:r>
      <w:r>
        <w:rPr>
          <w:sz w:val="18"/>
          <w:szCs w:val="18"/>
        </w:rPr>
        <w:t>private sector</w:t>
      </w:r>
      <w:r w:rsidRPr="00FC79DB">
        <w:rPr>
          <w:sz w:val="18"/>
          <w:szCs w:val="18"/>
        </w:rPr>
        <w:t xml:space="preserve"> companies are reportedly not entering into contracts as the risks are perceived to be unfairly weighted towards </w:t>
      </w:r>
      <w:r>
        <w:rPr>
          <w:sz w:val="18"/>
          <w:szCs w:val="18"/>
        </w:rPr>
        <w:t>private sector</w:t>
      </w:r>
      <w:r w:rsidRPr="00FC79DB">
        <w:rPr>
          <w:sz w:val="18"/>
          <w:szCs w:val="18"/>
        </w:rPr>
        <w:t xml:space="preserve"> entity. The timeframes for unsolicited proposals are </w:t>
      </w:r>
      <w:r w:rsidRPr="00AA772C">
        <w:rPr>
          <w:rFonts w:cstheme="minorHAnsi"/>
          <w:sz w:val="18"/>
          <w:szCs w:val="18"/>
        </w:rPr>
        <w:t>to</w:t>
      </w:r>
      <w:r w:rsidRPr="00FC3ADC">
        <w:rPr>
          <w:rFonts w:cstheme="minorHAnsi"/>
          <w:sz w:val="18"/>
          <w:szCs w:val="18"/>
        </w:rPr>
        <w:t xml:space="preserve">o lengthy, with several </w:t>
      </w:r>
      <w:r>
        <w:rPr>
          <w:rFonts w:cstheme="minorHAnsi"/>
          <w:sz w:val="18"/>
          <w:szCs w:val="18"/>
        </w:rPr>
        <w:t xml:space="preserve">private sector </w:t>
      </w:r>
      <w:r w:rsidRPr="00FC3ADC">
        <w:rPr>
          <w:rFonts w:cstheme="minorHAnsi"/>
          <w:sz w:val="18"/>
          <w:szCs w:val="18"/>
        </w:rPr>
        <w:t xml:space="preserve">firms stating it had been three years without receiving a response on proposals. </w:t>
      </w:r>
    </w:p>
  </w:footnote>
  <w:footnote w:id="45">
    <w:p w14:paraId="4517FB38" w14:textId="0BAA3DAF" w:rsidR="00D60095" w:rsidRPr="00445167" w:rsidRDefault="00D60095" w:rsidP="00D54F4B">
      <w:pPr>
        <w:autoSpaceDE w:val="0"/>
        <w:autoSpaceDN w:val="0"/>
        <w:adjustRightInd w:val="0"/>
        <w:spacing w:after="0" w:line="240" w:lineRule="auto"/>
        <w:rPr>
          <w:sz w:val="18"/>
          <w:szCs w:val="18"/>
        </w:rPr>
      </w:pPr>
      <w:r w:rsidRPr="00FC79DB">
        <w:rPr>
          <w:rStyle w:val="FootnoteReference"/>
          <w:sz w:val="18"/>
          <w:szCs w:val="18"/>
        </w:rPr>
        <w:footnoteRef/>
      </w:r>
      <w:r w:rsidRPr="00FC79DB">
        <w:rPr>
          <w:sz w:val="18"/>
          <w:szCs w:val="18"/>
        </w:rPr>
        <w:t xml:space="preserve"> P</w:t>
      </w:r>
      <w:r>
        <w:rPr>
          <w:sz w:val="18"/>
          <w:szCs w:val="18"/>
        </w:rPr>
        <w:t>rivate sector</w:t>
      </w:r>
      <w:r w:rsidRPr="00FC79DB">
        <w:rPr>
          <w:sz w:val="18"/>
          <w:szCs w:val="18"/>
        </w:rPr>
        <w:t xml:space="preserve"> firms recommended that PPP Cente</w:t>
      </w:r>
      <w:r>
        <w:rPr>
          <w:sz w:val="18"/>
          <w:szCs w:val="18"/>
        </w:rPr>
        <w:t>r</w:t>
      </w:r>
      <w:r w:rsidRPr="00FC79DB">
        <w:rPr>
          <w:sz w:val="18"/>
          <w:szCs w:val="18"/>
        </w:rPr>
        <w:t xml:space="preserve"> also play this role for unsolicited projects, noting challenges in dealing with </w:t>
      </w:r>
      <w:r>
        <w:rPr>
          <w:sz w:val="18"/>
          <w:szCs w:val="18"/>
        </w:rPr>
        <w:t>implementing agencies</w:t>
      </w:r>
      <w:r w:rsidRPr="00FC79DB">
        <w:rPr>
          <w:sz w:val="18"/>
          <w:szCs w:val="18"/>
        </w:rPr>
        <w:t xml:space="preserve"> directly without the support of the PPP Cent</w:t>
      </w:r>
      <w:r>
        <w:rPr>
          <w:sz w:val="18"/>
          <w:szCs w:val="18"/>
        </w:rPr>
        <w:t>er</w:t>
      </w:r>
      <w:r w:rsidRPr="00FC79DB">
        <w:rPr>
          <w:sz w:val="18"/>
          <w:szCs w:val="18"/>
        </w:rPr>
        <w:t xml:space="preserve">, and not having an ally in government, with proposals not kept track of, and issues and delays left uncommunicated to </w:t>
      </w:r>
      <w:r>
        <w:rPr>
          <w:sz w:val="18"/>
          <w:szCs w:val="18"/>
        </w:rPr>
        <w:t>private sector</w:t>
      </w:r>
      <w:r w:rsidRPr="00FC79DB">
        <w:rPr>
          <w:sz w:val="18"/>
          <w:szCs w:val="18"/>
        </w:rPr>
        <w:t>.</w:t>
      </w:r>
      <w:r w:rsidRPr="00445167">
        <w:rPr>
          <w:sz w:val="18"/>
          <w:szCs w:val="18"/>
        </w:rPr>
        <w:t xml:space="preserve"> </w:t>
      </w:r>
    </w:p>
  </w:footnote>
  <w:footnote w:id="46">
    <w:p w14:paraId="28EB9D86" w14:textId="06CF7FAE" w:rsidR="00D60095" w:rsidRPr="00FC3ADC" w:rsidRDefault="00D60095">
      <w:pPr>
        <w:pStyle w:val="FootnoteText"/>
        <w:rPr>
          <w:lang w:val="en-GB"/>
        </w:rPr>
      </w:pPr>
      <w:r w:rsidRPr="00FC3ADC">
        <w:rPr>
          <w:rStyle w:val="FootnoteReference"/>
          <w:rFonts w:cstheme="minorHAnsi"/>
          <w:sz w:val="18"/>
          <w:szCs w:val="18"/>
        </w:rPr>
        <w:footnoteRef/>
      </w:r>
      <w:r w:rsidRPr="00FC3ADC">
        <w:rPr>
          <w:rFonts w:cstheme="minorHAnsi"/>
          <w:sz w:val="18"/>
          <w:szCs w:val="18"/>
        </w:rPr>
        <w:t xml:space="preserve"> This occurred </w:t>
      </w:r>
      <w:r w:rsidRPr="00FC3ADC">
        <w:rPr>
          <w:rFonts w:cstheme="minorHAnsi"/>
          <w:color w:val="000000" w:themeColor="text1"/>
          <w:sz w:val="18"/>
          <w:szCs w:val="18"/>
        </w:rPr>
        <w:t>through: i) the passage of the PPP Governing Board Guidelines on Managing Unsolicited Proposals under Republic Act No. 6957 as Amended by Republic Act No. 7718; and ii) introducing amendments to the PDMF Guidelines to allow assistance to implementing agencies in evaluating and negotiating unsolicited proposals.</w:t>
      </w:r>
      <w:r>
        <w:rPr>
          <w:rFonts w:ascii="Arial" w:hAnsi="Arial" w:cs="Arial"/>
          <w:color w:val="000000" w:themeColor="text1"/>
        </w:rPr>
        <w:t xml:space="preserve"> </w:t>
      </w:r>
    </w:p>
  </w:footnote>
  <w:footnote w:id="47">
    <w:p w14:paraId="52572993" w14:textId="3407CF5D" w:rsidR="00D60095" w:rsidRPr="000955C3" w:rsidRDefault="00D60095" w:rsidP="00DF77AA">
      <w:pPr>
        <w:autoSpaceDE w:val="0"/>
        <w:autoSpaceDN w:val="0"/>
        <w:adjustRightInd w:val="0"/>
        <w:spacing w:after="0" w:line="240" w:lineRule="auto"/>
        <w:rPr>
          <w:sz w:val="18"/>
          <w:szCs w:val="18"/>
        </w:rPr>
      </w:pPr>
      <w:r w:rsidRPr="00234AAC">
        <w:rPr>
          <w:rStyle w:val="FootnoteReference"/>
          <w:sz w:val="18"/>
          <w:szCs w:val="18"/>
        </w:rPr>
        <w:footnoteRef/>
      </w:r>
      <w:r>
        <w:t xml:space="preserve"> </w:t>
      </w:r>
      <w:r w:rsidRPr="000955C3">
        <w:rPr>
          <w:sz w:val="18"/>
          <w:szCs w:val="18"/>
        </w:rPr>
        <w:t xml:space="preserve">Under the tool, national consultants and Program Development </w:t>
      </w:r>
      <w:r>
        <w:rPr>
          <w:sz w:val="18"/>
          <w:szCs w:val="18"/>
        </w:rPr>
        <w:t>Service</w:t>
      </w:r>
      <w:r w:rsidRPr="000955C3">
        <w:rPr>
          <w:sz w:val="18"/>
          <w:szCs w:val="18"/>
        </w:rPr>
        <w:t xml:space="preserve"> staff work side by side with a</w:t>
      </w:r>
      <w:r>
        <w:rPr>
          <w:sz w:val="18"/>
          <w:szCs w:val="18"/>
        </w:rPr>
        <w:t xml:space="preserve"> local government unit</w:t>
      </w:r>
      <w:r w:rsidRPr="000955C3">
        <w:rPr>
          <w:sz w:val="18"/>
          <w:szCs w:val="18"/>
        </w:rPr>
        <w:t xml:space="preserve">, where they are in charge of developing a business case for </w:t>
      </w:r>
      <w:r>
        <w:rPr>
          <w:sz w:val="18"/>
          <w:szCs w:val="18"/>
        </w:rPr>
        <w:t>local government units</w:t>
      </w:r>
      <w:r w:rsidRPr="000955C3">
        <w:rPr>
          <w:sz w:val="18"/>
          <w:szCs w:val="18"/>
        </w:rPr>
        <w:t xml:space="preserve">. The process draws on the team’s experience in handling national projects. The success of the approach is due to its collaborative and practical nature, whereby trainers and </w:t>
      </w:r>
      <w:r>
        <w:rPr>
          <w:sz w:val="18"/>
          <w:szCs w:val="18"/>
        </w:rPr>
        <w:t>local government unit</w:t>
      </w:r>
      <w:r w:rsidRPr="000955C3">
        <w:rPr>
          <w:sz w:val="18"/>
          <w:szCs w:val="18"/>
        </w:rPr>
        <w:t xml:space="preserve"> staff have a similar skill set and are working and learning together on small projects, learning and building confidence over time.</w:t>
      </w:r>
    </w:p>
  </w:footnote>
  <w:footnote w:id="48">
    <w:p w14:paraId="74E2DC6B" w14:textId="77777777" w:rsidR="00D60095" w:rsidRPr="0040283D" w:rsidRDefault="00D60095" w:rsidP="00DF77AA">
      <w:pPr>
        <w:pStyle w:val="FootnoteText"/>
        <w:rPr>
          <w:sz w:val="18"/>
          <w:szCs w:val="18"/>
          <w:lang w:val="en-GB"/>
        </w:rPr>
      </w:pPr>
      <w:r w:rsidRPr="0040283D">
        <w:rPr>
          <w:rStyle w:val="FootnoteReference"/>
          <w:sz w:val="18"/>
          <w:szCs w:val="18"/>
        </w:rPr>
        <w:footnoteRef/>
      </w:r>
      <w:r w:rsidRPr="0040283D">
        <w:rPr>
          <w:sz w:val="18"/>
          <w:szCs w:val="18"/>
        </w:rPr>
        <w:t xml:space="preserve"> </w:t>
      </w:r>
      <w:r w:rsidRPr="0040283D">
        <w:rPr>
          <w:sz w:val="18"/>
          <w:szCs w:val="18"/>
          <w:lang w:val="en-GB"/>
        </w:rPr>
        <w:t>ADB report, Pg. 6.</w:t>
      </w:r>
    </w:p>
  </w:footnote>
  <w:footnote w:id="49">
    <w:p w14:paraId="3E2EE3EA" w14:textId="0468CC71" w:rsidR="00D60095" w:rsidRPr="0040283D" w:rsidRDefault="00D60095" w:rsidP="00DF77AA">
      <w:pPr>
        <w:pStyle w:val="FootnoteText"/>
        <w:rPr>
          <w:lang w:val="en-GB"/>
        </w:rPr>
      </w:pPr>
      <w:r w:rsidRPr="0040283D">
        <w:rPr>
          <w:rStyle w:val="FootnoteReference"/>
          <w:sz w:val="18"/>
          <w:szCs w:val="18"/>
        </w:rPr>
        <w:footnoteRef/>
      </w:r>
      <w:r>
        <w:rPr>
          <w:sz w:val="18"/>
          <w:szCs w:val="18"/>
        </w:rPr>
        <w:t xml:space="preserve"> </w:t>
      </w:r>
      <w:r w:rsidRPr="0040283D">
        <w:rPr>
          <w:rFonts w:cstheme="minorHAnsi"/>
          <w:sz w:val="18"/>
          <w:szCs w:val="18"/>
        </w:rPr>
        <w:t>Such as water districts and authorities, special economic and tourism enterprise zones.</w:t>
      </w:r>
    </w:p>
  </w:footnote>
  <w:footnote w:id="50">
    <w:p w14:paraId="50C6A6ED" w14:textId="2A584C3C" w:rsidR="00D60095" w:rsidRPr="00FC3ADC" w:rsidRDefault="00D60095" w:rsidP="00F664B6">
      <w:pPr>
        <w:pStyle w:val="FootnoteText"/>
        <w:rPr>
          <w:rFonts w:cstheme="minorHAnsi"/>
          <w:sz w:val="18"/>
          <w:szCs w:val="18"/>
          <w:lang w:val="en-GB"/>
        </w:rPr>
      </w:pPr>
      <w:r w:rsidRPr="00FC3ADC">
        <w:rPr>
          <w:rStyle w:val="FootnoteReference"/>
          <w:rFonts w:cstheme="minorHAnsi"/>
          <w:sz w:val="18"/>
          <w:szCs w:val="18"/>
        </w:rPr>
        <w:footnoteRef/>
      </w:r>
      <w:r w:rsidRPr="00FC3ADC">
        <w:rPr>
          <w:rFonts w:cstheme="minorHAnsi"/>
          <w:sz w:val="18"/>
          <w:szCs w:val="18"/>
        </w:rPr>
        <w:t xml:space="preserve"> </w:t>
      </w:r>
      <w:r w:rsidRPr="00FC3ADC">
        <w:rPr>
          <w:rFonts w:cstheme="minorHAnsi"/>
          <w:sz w:val="18"/>
          <w:szCs w:val="18"/>
          <w:lang w:val="en-GB"/>
        </w:rPr>
        <w:t xml:space="preserve">Some analysis of the PDMF is </w:t>
      </w:r>
      <w:r w:rsidRPr="00FC3ADC">
        <w:rPr>
          <w:rFonts w:cstheme="minorHAnsi"/>
          <w:sz w:val="18"/>
          <w:szCs w:val="18"/>
        </w:rPr>
        <w:t>is illustrated in World Bank - "</w:t>
      </w:r>
      <w:hyperlink r:id="rId6" w:history="1">
        <w:r w:rsidRPr="00FC3ADC">
          <w:rPr>
            <w:rStyle w:val="Hyperlink"/>
            <w:rFonts w:cstheme="minorHAnsi"/>
            <w:sz w:val="18"/>
            <w:szCs w:val="18"/>
          </w:rPr>
          <w:t>Mobilization of Private Finance by MDBs</w:t>
        </w:r>
      </w:hyperlink>
      <w:r w:rsidRPr="00FC3ADC">
        <w:rPr>
          <w:rFonts w:cstheme="minorHAnsi"/>
          <w:sz w:val="18"/>
          <w:szCs w:val="18"/>
        </w:rPr>
        <w:t xml:space="preserve">": Case Study #1 on the PDMF, The World Bank, June 2018, Page 34. </w:t>
      </w:r>
    </w:p>
  </w:footnote>
  <w:footnote w:id="51">
    <w:p w14:paraId="4A73139C" w14:textId="01A3A22A" w:rsidR="00D60095" w:rsidRPr="0004233C" w:rsidRDefault="00D60095">
      <w:pPr>
        <w:pStyle w:val="FootnoteText"/>
        <w:rPr>
          <w:sz w:val="18"/>
          <w:szCs w:val="18"/>
          <w:lang w:val="en-GB"/>
        </w:rPr>
      </w:pPr>
      <w:r w:rsidRPr="0004233C">
        <w:rPr>
          <w:rStyle w:val="FootnoteReference"/>
          <w:sz w:val="18"/>
          <w:szCs w:val="18"/>
        </w:rPr>
        <w:footnoteRef/>
      </w:r>
      <w:r w:rsidRPr="0004233C">
        <w:rPr>
          <w:sz w:val="18"/>
          <w:szCs w:val="18"/>
        </w:rPr>
        <w:t xml:space="preserve"> </w:t>
      </w:r>
      <w:r w:rsidRPr="0004233C">
        <w:rPr>
          <w:sz w:val="18"/>
          <w:szCs w:val="18"/>
          <w:lang w:val="en-GB"/>
        </w:rPr>
        <w:t>There is opportunity to augment this data, such as by tracking the status of each PPP project</w:t>
      </w:r>
      <w:r>
        <w:rPr>
          <w:sz w:val="18"/>
          <w:szCs w:val="18"/>
          <w:lang w:val="en-GB"/>
        </w:rPr>
        <w:t xml:space="preserve"> (</w:t>
      </w:r>
      <w:r w:rsidRPr="0004233C">
        <w:rPr>
          <w:sz w:val="18"/>
          <w:szCs w:val="18"/>
          <w:lang w:val="en-GB"/>
        </w:rPr>
        <w:t>whether in development</w:t>
      </w:r>
      <w:r>
        <w:rPr>
          <w:sz w:val="18"/>
          <w:szCs w:val="18"/>
          <w:lang w:val="en-GB"/>
        </w:rPr>
        <w:t>, approval, procurement</w:t>
      </w:r>
      <w:r w:rsidRPr="0004233C">
        <w:rPr>
          <w:sz w:val="18"/>
          <w:szCs w:val="18"/>
          <w:lang w:val="en-GB"/>
        </w:rPr>
        <w:t xml:space="preserve"> or implementation</w:t>
      </w:r>
      <w:r>
        <w:rPr>
          <w:sz w:val="18"/>
          <w:szCs w:val="18"/>
          <w:lang w:val="en-GB"/>
        </w:rPr>
        <w:t>)</w:t>
      </w:r>
      <w:r w:rsidRPr="0004233C">
        <w:rPr>
          <w:sz w:val="18"/>
          <w:szCs w:val="18"/>
          <w:lang w:val="en-GB"/>
        </w:rPr>
        <w:t xml:space="preserve">, and capturing </w:t>
      </w:r>
      <w:r>
        <w:rPr>
          <w:sz w:val="18"/>
          <w:szCs w:val="18"/>
          <w:lang w:val="en-GB"/>
        </w:rPr>
        <w:t xml:space="preserve">key </w:t>
      </w:r>
      <w:r w:rsidRPr="0004233C">
        <w:rPr>
          <w:sz w:val="18"/>
          <w:szCs w:val="18"/>
          <w:lang w:val="en-GB"/>
        </w:rPr>
        <w:t xml:space="preserve">data </w:t>
      </w:r>
      <w:r>
        <w:rPr>
          <w:sz w:val="18"/>
          <w:szCs w:val="18"/>
          <w:lang w:val="en-GB"/>
        </w:rPr>
        <w:t>as to</w:t>
      </w:r>
      <w:r w:rsidRPr="0004233C">
        <w:rPr>
          <w:sz w:val="18"/>
          <w:szCs w:val="18"/>
          <w:lang w:val="en-GB"/>
        </w:rPr>
        <w:t xml:space="preserve"> why particular projects are being cancelled, rejected, not contract</w:t>
      </w:r>
      <w:r>
        <w:rPr>
          <w:sz w:val="18"/>
          <w:szCs w:val="18"/>
          <w:lang w:val="en-GB"/>
        </w:rPr>
        <w:t xml:space="preserve">ed </w:t>
      </w:r>
      <w:r w:rsidRPr="0004233C">
        <w:rPr>
          <w:sz w:val="18"/>
          <w:szCs w:val="18"/>
          <w:lang w:val="en-GB"/>
        </w:rPr>
        <w:t>or delayed</w:t>
      </w:r>
      <w:r>
        <w:rPr>
          <w:sz w:val="18"/>
          <w:szCs w:val="18"/>
          <w:lang w:val="en-GB"/>
        </w:rPr>
        <w:t xml:space="preserve"> to identify trends and issues. Conducting qualitative data collection with implementing agencies and private sector firms would assist in this process, and ensure issues are not assessed from the government perspective only.</w:t>
      </w:r>
    </w:p>
  </w:footnote>
  <w:footnote w:id="52">
    <w:p w14:paraId="4E18F53C" w14:textId="1E5DC750" w:rsidR="00D60095" w:rsidRPr="00FC3ADC" w:rsidRDefault="00D60095" w:rsidP="005D631A">
      <w:pPr>
        <w:pStyle w:val="FootnoteText"/>
        <w:rPr>
          <w:rFonts w:cstheme="minorHAnsi"/>
          <w:sz w:val="18"/>
          <w:szCs w:val="18"/>
          <w:lang w:val="en-GB"/>
        </w:rPr>
      </w:pPr>
      <w:r w:rsidRPr="00FC3ADC">
        <w:rPr>
          <w:rStyle w:val="FootnoteReference"/>
          <w:rFonts w:cstheme="minorHAnsi"/>
          <w:sz w:val="18"/>
          <w:szCs w:val="18"/>
        </w:rPr>
        <w:footnoteRef/>
      </w:r>
      <w:r w:rsidRPr="00FC3ADC">
        <w:rPr>
          <w:rFonts w:cstheme="minorHAnsi"/>
          <w:sz w:val="18"/>
          <w:szCs w:val="18"/>
        </w:rPr>
        <w:t xml:space="preserve"> </w:t>
      </w:r>
      <w:r w:rsidRPr="00FC3ADC">
        <w:rPr>
          <w:rFonts w:cstheme="minorHAnsi"/>
          <w:color w:val="000000"/>
          <w:sz w:val="18"/>
          <w:szCs w:val="18"/>
        </w:rPr>
        <w:t xml:space="preserve">ADB led a mid-term review of the TA in April 2013 which led to a reset in the cost-sharing ratio, update of the outcome indicators and establishment of important policy reforms. Over the course of the ten-year timeframe, ADB has initiated Major and Minor Changes in Implementation Arrangements for the TA to respond to developments in the TA and to national policy directions, such as the PDMF's support to unsolicited proposals and the PPP Governing Board policy guidelines for managing hybrid PPPs. Finally, the ADB supported the launch of the PPP Center's </w:t>
      </w:r>
      <w:r>
        <w:rPr>
          <w:rFonts w:cstheme="minorHAnsi"/>
          <w:color w:val="000000"/>
          <w:sz w:val="18"/>
          <w:szCs w:val="18"/>
        </w:rPr>
        <w:t>Local Government Unit (</w:t>
      </w:r>
      <w:r w:rsidRPr="00FC3ADC">
        <w:rPr>
          <w:rFonts w:cstheme="minorHAnsi"/>
          <w:color w:val="000000"/>
          <w:sz w:val="18"/>
          <w:szCs w:val="18"/>
        </w:rPr>
        <w:t>LGU</w:t>
      </w:r>
      <w:r>
        <w:rPr>
          <w:rFonts w:cstheme="minorHAnsi"/>
          <w:color w:val="000000"/>
          <w:sz w:val="18"/>
          <w:szCs w:val="18"/>
        </w:rPr>
        <w:t>)</w:t>
      </w:r>
      <w:r w:rsidRPr="00FC3ADC">
        <w:rPr>
          <w:rFonts w:cstheme="minorHAnsi"/>
          <w:color w:val="000000"/>
          <w:sz w:val="18"/>
          <w:szCs w:val="18"/>
        </w:rPr>
        <w:t xml:space="preserve"> PPP Strategy and held various fora to support the PPP Center's shift to strategic sectors such as health and renewable energy such as solid waste management and waste-to-energy projects.</w:t>
      </w:r>
    </w:p>
  </w:footnote>
  <w:footnote w:id="53">
    <w:p w14:paraId="256767ED" w14:textId="47974843" w:rsidR="00D60095" w:rsidRPr="00FC3ADC" w:rsidRDefault="00D60095" w:rsidP="00FC3ADC">
      <w:pPr>
        <w:spacing w:after="0" w:line="240" w:lineRule="auto"/>
        <w:rPr>
          <w:rFonts w:cstheme="minorHAnsi"/>
          <w:sz w:val="18"/>
          <w:szCs w:val="18"/>
        </w:rPr>
      </w:pPr>
      <w:r w:rsidRPr="00FC3ADC">
        <w:rPr>
          <w:rStyle w:val="FootnoteReference"/>
          <w:rFonts w:cstheme="minorHAnsi"/>
          <w:sz w:val="18"/>
          <w:szCs w:val="18"/>
        </w:rPr>
        <w:footnoteRef/>
      </w:r>
      <w:r w:rsidRPr="00FC3ADC">
        <w:rPr>
          <w:rFonts w:cstheme="minorHAnsi"/>
          <w:sz w:val="18"/>
          <w:szCs w:val="18"/>
        </w:rPr>
        <w:t xml:space="preserve"> </w:t>
      </w:r>
      <w:r>
        <w:rPr>
          <w:rFonts w:cstheme="minorHAnsi"/>
          <w:color w:val="000000" w:themeColor="text1"/>
          <w:sz w:val="18"/>
          <w:szCs w:val="18"/>
        </w:rPr>
        <w:t>I</w:t>
      </w:r>
      <w:r w:rsidRPr="00FC3ADC">
        <w:rPr>
          <w:rFonts w:cstheme="minorHAnsi"/>
          <w:color w:val="000000" w:themeColor="text1"/>
          <w:sz w:val="18"/>
          <w:szCs w:val="18"/>
        </w:rPr>
        <w:t>t is noted that the ADB</w:t>
      </w:r>
      <w:r>
        <w:rPr>
          <w:rFonts w:cstheme="minorHAnsi"/>
          <w:color w:val="000000" w:themeColor="text1"/>
          <w:sz w:val="18"/>
          <w:szCs w:val="18"/>
        </w:rPr>
        <w:t xml:space="preserve"> </w:t>
      </w:r>
      <w:r w:rsidRPr="00FC3ADC">
        <w:rPr>
          <w:rFonts w:cstheme="minorHAnsi"/>
          <w:color w:val="000000" w:themeColor="text1"/>
          <w:sz w:val="18"/>
          <w:szCs w:val="18"/>
        </w:rPr>
        <w:t>met with DFAT in June 2017</w:t>
      </w:r>
      <w:r>
        <w:rPr>
          <w:rFonts w:cstheme="minorHAnsi"/>
          <w:color w:val="000000" w:themeColor="text1"/>
          <w:sz w:val="18"/>
          <w:szCs w:val="18"/>
        </w:rPr>
        <w:t xml:space="preserve"> </w:t>
      </w:r>
      <w:r w:rsidRPr="00FC3ADC">
        <w:rPr>
          <w:rFonts w:cstheme="minorHAnsi"/>
          <w:color w:val="000000" w:themeColor="text1"/>
          <w:sz w:val="18"/>
          <w:szCs w:val="18"/>
        </w:rPr>
        <w:t>to seek its approval to allow the PDMF to fund evaluation of unsolicited proposals at the time when the Government was encouraging unsolicited proposals to increase private participation in funding infrastructure requirements.</w:t>
      </w:r>
      <w:r>
        <w:rPr>
          <w:rFonts w:cstheme="minorHAnsi"/>
          <w:color w:val="000000" w:themeColor="text1"/>
          <w:sz w:val="18"/>
          <w:szCs w:val="18"/>
        </w:rPr>
        <w:t xml:space="preserve"> However, </w:t>
      </w:r>
      <w:r w:rsidRPr="00303B4E">
        <w:rPr>
          <w:rFonts w:cstheme="minorHAnsi"/>
          <w:sz w:val="18"/>
          <w:szCs w:val="18"/>
        </w:rPr>
        <w:t xml:space="preserve">the evaluation finding </w:t>
      </w:r>
      <w:r>
        <w:rPr>
          <w:rFonts w:cstheme="minorHAnsi"/>
          <w:sz w:val="18"/>
          <w:szCs w:val="18"/>
        </w:rPr>
        <w:t xml:space="preserve">argues </w:t>
      </w:r>
      <w:r w:rsidRPr="00303B4E">
        <w:rPr>
          <w:rFonts w:cstheme="minorHAnsi"/>
          <w:sz w:val="18"/>
          <w:szCs w:val="18"/>
        </w:rPr>
        <w:t xml:space="preserve">a more significant repositioning of the program </w:t>
      </w:r>
      <w:r>
        <w:rPr>
          <w:rFonts w:cstheme="minorHAnsi"/>
          <w:sz w:val="18"/>
          <w:szCs w:val="18"/>
        </w:rPr>
        <w:t xml:space="preserve">was needed </w:t>
      </w:r>
      <w:r w:rsidRPr="00303B4E">
        <w:rPr>
          <w:rFonts w:cstheme="minorHAnsi"/>
          <w:sz w:val="18"/>
          <w:szCs w:val="18"/>
        </w:rPr>
        <w:t>including change of direction and outcomes</w:t>
      </w:r>
      <w:r>
        <w:rPr>
          <w:rFonts w:cstheme="minorHAnsi"/>
          <w:sz w:val="18"/>
          <w:szCs w:val="18"/>
        </w:rPr>
        <w:t xml:space="preserve"> that went</w:t>
      </w:r>
      <w:r w:rsidRPr="00303B4E">
        <w:rPr>
          <w:rFonts w:cstheme="minorHAnsi"/>
          <w:sz w:val="18"/>
          <w:szCs w:val="18"/>
        </w:rPr>
        <w:t xml:space="preserve"> beyond changes at the activity level</w:t>
      </w:r>
      <w:r>
        <w:rPr>
          <w:rFonts w:cstheme="minorHAnsi"/>
          <w:sz w:val="18"/>
          <w:szCs w:val="18"/>
        </w:rPr>
        <w:t xml:space="preserve">, given the large change in policy direction that occurred through the change in administration and its impact on the TA. </w:t>
      </w:r>
    </w:p>
  </w:footnote>
  <w:footnote w:id="54">
    <w:p w14:paraId="5E450B65" w14:textId="1E6B66F3" w:rsidR="00D60095" w:rsidRPr="00FC3ADC" w:rsidRDefault="00D60095">
      <w:pPr>
        <w:pStyle w:val="FootnoteText"/>
        <w:rPr>
          <w:lang w:val="en-GB"/>
        </w:rPr>
      </w:pPr>
      <w:r>
        <w:rPr>
          <w:rStyle w:val="FootnoteReference"/>
        </w:rPr>
        <w:footnoteRef/>
      </w:r>
      <w:r>
        <w:t xml:space="preserve"> </w:t>
      </w:r>
      <w:r w:rsidRPr="00FC3ADC">
        <w:rPr>
          <w:rFonts w:cstheme="minorHAnsi"/>
          <w:color w:val="000000"/>
          <w:sz w:val="18"/>
          <w:szCs w:val="18"/>
        </w:rPr>
        <w:t>The primary function for TA reporting is vested with the Technical Advisor through quarterly reports on the progress of each output of the TA, issues, challenges and recommendations. The quarterly reports also incorporate DFAT's new reporting requirements, such as recently on GEDSI. These reports are submitted regularly to the Executing Agency, the Implementing Agencies and the Development Partners (PPP Center, NEDA, DOF, ADB).</w:t>
      </w:r>
    </w:p>
  </w:footnote>
  <w:footnote w:id="55">
    <w:p w14:paraId="7F963621" w14:textId="660E391B" w:rsidR="00D60095" w:rsidRPr="00BE6C05" w:rsidRDefault="00D60095" w:rsidP="00282AB3">
      <w:pPr>
        <w:pStyle w:val="Default"/>
        <w:rPr>
          <w:rFonts w:asciiTheme="minorHAnsi" w:hAnsiTheme="minorHAnsi" w:cstheme="minorHAnsi"/>
          <w:sz w:val="18"/>
          <w:szCs w:val="18"/>
          <w:lang w:val="en-PH"/>
        </w:rPr>
      </w:pPr>
      <w:r w:rsidRPr="00BE6C05">
        <w:rPr>
          <w:rStyle w:val="FootnoteReference"/>
          <w:rFonts w:asciiTheme="minorHAnsi" w:hAnsiTheme="minorHAnsi" w:cstheme="minorHAnsi"/>
          <w:sz w:val="18"/>
          <w:szCs w:val="18"/>
        </w:rPr>
        <w:footnoteRef/>
      </w:r>
      <w:r w:rsidRPr="00BE6C05">
        <w:rPr>
          <w:rFonts w:asciiTheme="minorHAnsi" w:hAnsiTheme="minorHAnsi" w:cstheme="minorHAnsi"/>
          <w:sz w:val="18"/>
          <w:szCs w:val="18"/>
        </w:rPr>
        <w:t xml:space="preserve"> The duration and implementation of PPP Projects span until completion of operation based on agreements with PS, which can be of a longer time frame when compared with ODA-supported projects, with average implementation of 3-6 years.</w:t>
      </w:r>
      <w:r>
        <w:rPr>
          <w:rFonts w:asciiTheme="minorHAnsi" w:hAnsiTheme="minorHAnsi" w:cstheme="minorHAnsi"/>
          <w:sz w:val="18"/>
          <w:szCs w:val="18"/>
        </w:rPr>
        <w:t xml:space="preserve"> </w:t>
      </w:r>
    </w:p>
  </w:footnote>
  <w:footnote w:id="56">
    <w:p w14:paraId="5EEA5FED" w14:textId="39638BD9" w:rsidR="00D60095" w:rsidRPr="001A253F" w:rsidRDefault="00D60095" w:rsidP="008F478A">
      <w:pPr>
        <w:spacing w:after="0" w:line="240" w:lineRule="auto"/>
        <w:rPr>
          <w:sz w:val="18"/>
          <w:szCs w:val="18"/>
        </w:rPr>
      </w:pPr>
      <w:r w:rsidRPr="001A253F">
        <w:rPr>
          <w:rStyle w:val="FootnoteReference"/>
          <w:sz w:val="18"/>
          <w:szCs w:val="18"/>
        </w:rPr>
        <w:footnoteRef/>
      </w:r>
      <w:r w:rsidRPr="001A253F">
        <w:rPr>
          <w:sz w:val="18"/>
          <w:szCs w:val="18"/>
        </w:rPr>
        <w:t xml:space="preserve"> Under the TA an arrangement was in place with Foster Infrastructure, which provided PPP training to partners and issues a formal certificate. </w:t>
      </w:r>
    </w:p>
  </w:footnote>
  <w:footnote w:id="57">
    <w:p w14:paraId="37ACF454" w14:textId="492A85D4" w:rsidR="00D60095" w:rsidRPr="005809FA" w:rsidRDefault="00D60095" w:rsidP="005809FA">
      <w:pPr>
        <w:autoSpaceDE w:val="0"/>
        <w:autoSpaceDN w:val="0"/>
        <w:adjustRightInd w:val="0"/>
        <w:spacing w:after="0" w:line="240" w:lineRule="auto"/>
        <w:rPr>
          <w:sz w:val="18"/>
          <w:szCs w:val="18"/>
        </w:rPr>
      </w:pPr>
      <w:r w:rsidRPr="001A253F">
        <w:rPr>
          <w:rStyle w:val="FootnoteReference"/>
          <w:sz w:val="18"/>
          <w:szCs w:val="18"/>
        </w:rPr>
        <w:footnoteRef/>
      </w:r>
      <w:r w:rsidRPr="001A253F">
        <w:rPr>
          <w:sz w:val="18"/>
          <w:szCs w:val="18"/>
        </w:rPr>
        <w:t xml:space="preserve"> </w:t>
      </w:r>
      <w:bookmarkStart w:id="78" w:name="_Hlk66795287"/>
      <w:r w:rsidRPr="001A253F">
        <w:rPr>
          <w:sz w:val="18"/>
          <w:szCs w:val="18"/>
        </w:rPr>
        <w:t xml:space="preserve">Source: </w:t>
      </w:r>
      <w:hyperlink r:id="rId7" w:history="1">
        <w:r w:rsidRPr="001A253F">
          <w:rPr>
            <w:rStyle w:val="Hyperlink"/>
            <w:sz w:val="18"/>
            <w:szCs w:val="18"/>
          </w:rPr>
          <w:t>ADB Completion Report, Philippines: Expanding Private Participation in Infrastructure Program</w:t>
        </w:r>
      </w:hyperlink>
      <w:r w:rsidRPr="001A253F">
        <w:rPr>
          <w:sz w:val="18"/>
          <w:szCs w:val="18"/>
        </w:rPr>
        <w:t>, September 2020, Pg. 14.</w:t>
      </w:r>
      <w:r w:rsidRPr="005809FA">
        <w:rPr>
          <w:sz w:val="18"/>
          <w:szCs w:val="18"/>
        </w:rPr>
        <w:t xml:space="preserve"> </w:t>
      </w:r>
      <w:bookmarkEnd w:id="78"/>
    </w:p>
  </w:footnote>
  <w:footnote w:id="58">
    <w:p w14:paraId="5FC43929" w14:textId="2C486045" w:rsidR="00D60095" w:rsidRPr="00FC3ADC" w:rsidRDefault="00D60095" w:rsidP="00FC3ADC">
      <w:pPr>
        <w:pStyle w:val="Default"/>
        <w:rPr>
          <w:rFonts w:cstheme="minorHAnsi"/>
          <w:sz w:val="18"/>
          <w:szCs w:val="18"/>
        </w:rPr>
      </w:pPr>
      <w:r w:rsidRPr="00FC3ADC">
        <w:rPr>
          <w:rStyle w:val="FootnoteReference"/>
          <w:rFonts w:asciiTheme="minorHAnsi" w:hAnsiTheme="minorHAnsi" w:cstheme="minorHAnsi"/>
          <w:sz w:val="18"/>
          <w:szCs w:val="18"/>
        </w:rPr>
        <w:footnoteRef/>
      </w:r>
      <w:r w:rsidRPr="00FC3ADC">
        <w:rPr>
          <w:rFonts w:asciiTheme="minorHAnsi" w:hAnsiTheme="minorHAnsi" w:cstheme="minorHAnsi"/>
          <w:sz w:val="18"/>
          <w:szCs w:val="18"/>
        </w:rPr>
        <w:t xml:space="preserve"> During the July 24, 2020 INFRACOM-Cabinet Committee meeting delisted the proposed amendments to RA No. 6957, as amended by RA 7718, or the Philippine BOT Law from the list of priority legislative agenda for the infrastructure sector of the Updated PDP 2017-2022. </w:t>
      </w:r>
    </w:p>
  </w:footnote>
  <w:footnote w:id="59">
    <w:p w14:paraId="2A7C4AB1" w14:textId="25B76923" w:rsidR="00D60095" w:rsidRPr="00973DD5" w:rsidRDefault="00D60095">
      <w:pPr>
        <w:pStyle w:val="FootnoteText"/>
        <w:rPr>
          <w:sz w:val="18"/>
          <w:szCs w:val="18"/>
        </w:rPr>
      </w:pPr>
      <w:r w:rsidRPr="00973DD5">
        <w:rPr>
          <w:rStyle w:val="FootnoteReference"/>
          <w:sz w:val="18"/>
          <w:szCs w:val="18"/>
        </w:rPr>
        <w:footnoteRef/>
      </w:r>
      <w:r w:rsidRPr="00973DD5">
        <w:rPr>
          <w:sz w:val="18"/>
          <w:szCs w:val="18"/>
        </w:rPr>
        <w:t xml:space="preserve"> Funds that would continue include those resulting from Philippine Government funding and funds</w:t>
      </w:r>
      <w:r>
        <w:rPr>
          <w:sz w:val="18"/>
          <w:szCs w:val="18"/>
        </w:rPr>
        <w:t xml:space="preserve"> </w:t>
      </w:r>
      <w:r w:rsidRPr="00AF3845">
        <w:rPr>
          <w:sz w:val="18"/>
          <w:szCs w:val="18"/>
        </w:rPr>
        <w:t>disbursed from the TA grant which will be received as reflows from reimbursements</w:t>
      </w:r>
      <w:r w:rsidRPr="00973DD5">
        <w:rPr>
          <w:sz w:val="18"/>
          <w:szCs w:val="18"/>
        </w:rPr>
        <w:t xml:space="preserve"> </w:t>
      </w:r>
      <w:r>
        <w:rPr>
          <w:sz w:val="18"/>
          <w:szCs w:val="18"/>
        </w:rPr>
        <w:t>by</w:t>
      </w:r>
      <w:r w:rsidRPr="00973DD5">
        <w:rPr>
          <w:sz w:val="18"/>
          <w:szCs w:val="18"/>
        </w:rPr>
        <w:t xml:space="preserve"> the winning bidder</w:t>
      </w:r>
      <w:r>
        <w:rPr>
          <w:sz w:val="18"/>
          <w:szCs w:val="18"/>
        </w:rPr>
        <w:t xml:space="preserve"> and Implementing Agencies</w:t>
      </w:r>
      <w:r w:rsidRPr="00973DD5">
        <w:rPr>
          <w:sz w:val="18"/>
          <w:szCs w:val="18"/>
        </w:rPr>
        <w:t>.</w:t>
      </w:r>
    </w:p>
  </w:footnote>
  <w:footnote w:id="60">
    <w:p w14:paraId="299547F5" w14:textId="2A9C7F0F" w:rsidR="00D60095" w:rsidRPr="00601490" w:rsidRDefault="00D60095">
      <w:pPr>
        <w:pStyle w:val="FootnoteText"/>
      </w:pPr>
      <w:r>
        <w:rPr>
          <w:rStyle w:val="FootnoteReference"/>
        </w:rPr>
        <w:footnoteRef/>
      </w:r>
      <w:r>
        <w:t xml:space="preserve"> </w:t>
      </w:r>
      <w:r w:rsidRPr="00601490">
        <w:rPr>
          <w:sz w:val="18"/>
          <w:szCs w:val="18"/>
        </w:rPr>
        <w:t>This would occur due to restrictions in the local procurement law that prevent</w:t>
      </w:r>
      <w:r>
        <w:rPr>
          <w:sz w:val="18"/>
          <w:szCs w:val="18"/>
        </w:rPr>
        <w:t xml:space="preserve"> the</w:t>
      </w:r>
      <w:r w:rsidRPr="00601490">
        <w:rPr>
          <w:sz w:val="18"/>
          <w:szCs w:val="18"/>
        </w:rPr>
        <w:t xml:space="preserve"> hiring of international consultants.</w:t>
      </w:r>
      <w:r>
        <w:t xml:space="preserve"> </w:t>
      </w:r>
    </w:p>
  </w:footnote>
  <w:footnote w:id="61">
    <w:p w14:paraId="54EB84C6" w14:textId="41D2B3FA" w:rsidR="00D60095" w:rsidRPr="00E402FE" w:rsidRDefault="00D60095">
      <w:pPr>
        <w:pStyle w:val="FootnoteText"/>
        <w:rPr>
          <w:lang w:val="en-GB"/>
        </w:rPr>
      </w:pPr>
      <w:r w:rsidRPr="00FC3ADC">
        <w:rPr>
          <w:rStyle w:val="FootnoteReference"/>
        </w:rPr>
        <w:footnoteRef/>
      </w:r>
      <w:r w:rsidRPr="00FC3ADC">
        <w:t xml:space="preserve"> </w:t>
      </w:r>
      <w:r w:rsidRPr="00FC3ADC">
        <w:rPr>
          <w:sz w:val="18"/>
          <w:szCs w:val="18"/>
        </w:rPr>
        <w:t xml:space="preserve">The composition of </w:t>
      </w:r>
      <w:r w:rsidRPr="00BD00C6">
        <w:rPr>
          <w:sz w:val="18"/>
          <w:szCs w:val="18"/>
        </w:rPr>
        <w:t>Project Development and Monitoring Facility</w:t>
      </w:r>
      <w:r w:rsidRPr="00AC794F">
        <w:t xml:space="preserve"> </w:t>
      </w:r>
      <w:r>
        <w:t>(</w:t>
      </w:r>
      <w:r w:rsidRPr="00FC3ADC">
        <w:rPr>
          <w:sz w:val="18"/>
          <w:szCs w:val="18"/>
        </w:rPr>
        <w:t>PDMF</w:t>
      </w:r>
      <w:r>
        <w:rPr>
          <w:sz w:val="18"/>
          <w:szCs w:val="18"/>
        </w:rPr>
        <w:t>)</w:t>
      </w:r>
      <w:r w:rsidRPr="00FC3ADC">
        <w:rPr>
          <w:sz w:val="18"/>
          <w:szCs w:val="18"/>
        </w:rPr>
        <w:t xml:space="preserve"> panels of consultants is based on approved Expressions of Interests received from various national and international firms. While composition is not under the control of PPP Center or ADB, additional targeting and promotion of the panels to national firms may increase their level of representation.</w:t>
      </w:r>
    </w:p>
  </w:footnote>
  <w:footnote w:id="62">
    <w:p w14:paraId="3101A3FF" w14:textId="0AC41BFD" w:rsidR="00D60095" w:rsidRPr="00F8357E" w:rsidRDefault="00D60095">
      <w:pPr>
        <w:pStyle w:val="FootnoteText"/>
        <w:rPr>
          <w:sz w:val="18"/>
          <w:szCs w:val="18"/>
          <w:lang w:val="en-GB"/>
        </w:rPr>
      </w:pPr>
      <w:r w:rsidRPr="00B14AF6">
        <w:rPr>
          <w:rStyle w:val="FootnoteReference"/>
          <w:sz w:val="18"/>
          <w:szCs w:val="18"/>
        </w:rPr>
        <w:footnoteRef/>
      </w:r>
      <w:r w:rsidRPr="00F8357E">
        <w:rPr>
          <w:sz w:val="18"/>
          <w:szCs w:val="18"/>
        </w:rPr>
        <w:t xml:space="preserve"> This should be done with consideration of the </w:t>
      </w:r>
      <w:r w:rsidRPr="00F8357E">
        <w:rPr>
          <w:bCs/>
          <w:sz w:val="18"/>
          <w:szCs w:val="18"/>
        </w:rPr>
        <w:t xml:space="preserve">institutional readiness of the </w:t>
      </w:r>
      <w:r>
        <w:rPr>
          <w:bCs/>
          <w:sz w:val="18"/>
          <w:szCs w:val="18"/>
        </w:rPr>
        <w:t>local government unit</w:t>
      </w:r>
      <w:r w:rsidRPr="00F8357E">
        <w:rPr>
          <w:bCs/>
          <w:sz w:val="18"/>
          <w:szCs w:val="18"/>
        </w:rPr>
        <w:t xml:space="preserve"> (competency and availability of human resources), fiscal absorptive capacity if they were to consider availability-based PPPs, the internal approval process</w:t>
      </w:r>
      <w:r>
        <w:rPr>
          <w:bCs/>
          <w:sz w:val="18"/>
          <w:szCs w:val="18"/>
        </w:rPr>
        <w:t>,</w:t>
      </w:r>
      <w:r w:rsidRPr="00F8357E">
        <w:rPr>
          <w:bCs/>
          <w:sz w:val="18"/>
          <w:szCs w:val="18"/>
        </w:rPr>
        <w:t xml:space="preserve"> and the dynamics between the </w:t>
      </w:r>
      <w:r>
        <w:rPr>
          <w:bCs/>
          <w:sz w:val="18"/>
          <w:szCs w:val="18"/>
        </w:rPr>
        <w:t>local government unit</w:t>
      </w:r>
      <w:r w:rsidRPr="00F8357E">
        <w:rPr>
          <w:bCs/>
          <w:sz w:val="18"/>
          <w:szCs w:val="18"/>
        </w:rPr>
        <w:t xml:space="preserve"> legislative and executive branches.</w:t>
      </w:r>
    </w:p>
  </w:footnote>
  <w:footnote w:id="63">
    <w:p w14:paraId="42D26099" w14:textId="5FEBACB0" w:rsidR="00D60095" w:rsidRPr="00F71C8C" w:rsidRDefault="00D60095" w:rsidP="001A253F">
      <w:pPr>
        <w:spacing w:after="0" w:line="240" w:lineRule="auto"/>
        <w:rPr>
          <w:sz w:val="18"/>
          <w:szCs w:val="18"/>
          <w:lang w:val="en-GB"/>
        </w:rPr>
      </w:pPr>
      <w:r w:rsidRPr="00F71C8C">
        <w:rPr>
          <w:rStyle w:val="FootnoteReference"/>
          <w:sz w:val="18"/>
          <w:szCs w:val="18"/>
        </w:rPr>
        <w:footnoteRef/>
      </w:r>
      <w:r w:rsidRPr="001A253F">
        <w:rPr>
          <w:rStyle w:val="FootnoteReference"/>
        </w:rPr>
        <w:t xml:space="preserve"> </w:t>
      </w:r>
      <w:r w:rsidRPr="00F71C8C">
        <w:rPr>
          <w:sz w:val="18"/>
          <w:szCs w:val="18"/>
          <w:lang w:val="en-GB"/>
        </w:rPr>
        <w:t xml:space="preserve">A communications expert was engaged through the TA, providing spokesperson training to </w:t>
      </w:r>
      <w:r>
        <w:rPr>
          <w:sz w:val="18"/>
          <w:szCs w:val="18"/>
          <w:lang w:val="en-GB"/>
        </w:rPr>
        <w:t>implementing agencies</w:t>
      </w:r>
      <w:r w:rsidRPr="00F71C8C">
        <w:rPr>
          <w:sz w:val="18"/>
          <w:szCs w:val="18"/>
          <w:lang w:val="en-GB"/>
        </w:rPr>
        <w:t xml:space="preserve"> and capacity to develop communication strategies, develop press releases, and hold press conferences</w:t>
      </w:r>
      <w:r>
        <w:rPr>
          <w:sz w:val="18"/>
          <w:szCs w:val="18"/>
          <w:lang w:val="en-GB"/>
        </w:rPr>
        <w:t>.</w:t>
      </w:r>
      <w:r w:rsidRPr="00F71C8C">
        <w:rPr>
          <w:sz w:val="18"/>
          <w:szCs w:val="18"/>
          <w:lang w:val="en-GB"/>
        </w:rPr>
        <w:t xml:space="preserve"> </w:t>
      </w:r>
    </w:p>
  </w:footnote>
  <w:footnote w:id="64">
    <w:p w14:paraId="1BD09F55" w14:textId="77777777" w:rsidR="00D60095" w:rsidRPr="00FC3ADC" w:rsidRDefault="00D60095" w:rsidP="00FC3ADC">
      <w:pPr>
        <w:pStyle w:val="ListParagraph"/>
        <w:spacing w:after="0" w:line="240" w:lineRule="auto"/>
        <w:ind w:left="0" w:right="-590"/>
        <w:rPr>
          <w:sz w:val="18"/>
          <w:szCs w:val="18"/>
        </w:rPr>
      </w:pPr>
      <w:r w:rsidRPr="00FC3ADC">
        <w:rPr>
          <w:rStyle w:val="FootnoteReference"/>
          <w:rFonts w:cstheme="minorHAnsi"/>
          <w:sz w:val="18"/>
          <w:szCs w:val="18"/>
        </w:rPr>
        <w:footnoteRef/>
      </w:r>
      <w:r w:rsidRPr="00FC3ADC">
        <w:rPr>
          <w:rStyle w:val="FootnoteReference"/>
          <w:rFonts w:cstheme="minorHAnsi"/>
          <w:sz w:val="18"/>
          <w:szCs w:val="18"/>
        </w:rPr>
        <w:t xml:space="preserve"> </w:t>
      </w:r>
      <w:r w:rsidRPr="00FC3ADC">
        <w:rPr>
          <w:rFonts w:cstheme="minorHAnsi"/>
          <w:sz w:val="18"/>
          <w:szCs w:val="18"/>
        </w:rPr>
        <w:t>A winning bidder reported being challenged by the second highest bidder. The Supreme Court ruled in the winning bidder’s favour, giving confidence in due process and Philippines legal framework.</w:t>
      </w:r>
      <w:r w:rsidRPr="00FC3ADC">
        <w:rPr>
          <w:sz w:val="18"/>
          <w:szCs w:val="18"/>
        </w:rPr>
        <w:t xml:space="preserve"> </w:t>
      </w:r>
    </w:p>
  </w:footnote>
  <w:footnote w:id="65">
    <w:p w14:paraId="0D5ED2A6" w14:textId="11C411D3" w:rsidR="00D60095" w:rsidRPr="00A34AF6" w:rsidRDefault="00D60095">
      <w:pPr>
        <w:pStyle w:val="FootnoteText"/>
        <w:rPr>
          <w:rFonts w:cstheme="minorHAnsi"/>
          <w:sz w:val="18"/>
          <w:szCs w:val="18"/>
          <w:lang w:val="en-GB"/>
        </w:rPr>
      </w:pPr>
      <w:r w:rsidRPr="00A34AF6">
        <w:rPr>
          <w:rStyle w:val="FootnoteReference"/>
          <w:rFonts w:cstheme="minorHAnsi"/>
          <w:sz w:val="18"/>
          <w:szCs w:val="18"/>
        </w:rPr>
        <w:footnoteRef/>
      </w:r>
      <w:r w:rsidRPr="00A34AF6">
        <w:rPr>
          <w:rFonts w:cstheme="minorHAnsi"/>
          <w:sz w:val="18"/>
          <w:szCs w:val="18"/>
        </w:rPr>
        <w:t xml:space="preserve"> During the </w:t>
      </w:r>
      <w:r>
        <w:rPr>
          <w:rFonts w:cstheme="minorHAnsi"/>
          <w:sz w:val="18"/>
          <w:szCs w:val="18"/>
        </w:rPr>
        <w:t xml:space="preserve">COVID-19 </w:t>
      </w:r>
      <w:r w:rsidRPr="00A34AF6">
        <w:rPr>
          <w:rFonts w:cstheme="minorHAnsi"/>
          <w:sz w:val="18"/>
          <w:szCs w:val="18"/>
        </w:rPr>
        <w:t>pandemic, airport and port infrastructures serve as the gateway</w:t>
      </w:r>
      <w:r>
        <w:rPr>
          <w:rFonts w:cstheme="minorHAnsi"/>
          <w:sz w:val="18"/>
          <w:szCs w:val="18"/>
        </w:rPr>
        <w:t xml:space="preserve"> </w:t>
      </w:r>
      <w:r w:rsidRPr="00A34AF6">
        <w:rPr>
          <w:rFonts w:cstheme="minorHAnsi"/>
          <w:sz w:val="18"/>
          <w:szCs w:val="18"/>
        </w:rPr>
        <w:t>to international and local borders</w:t>
      </w:r>
      <w:r>
        <w:rPr>
          <w:rFonts w:cstheme="minorHAnsi"/>
          <w:sz w:val="18"/>
          <w:szCs w:val="18"/>
        </w:rPr>
        <w:t xml:space="preserve">, and </w:t>
      </w:r>
      <w:r w:rsidRPr="00A34AF6">
        <w:rPr>
          <w:rFonts w:cstheme="minorHAnsi"/>
          <w:sz w:val="18"/>
          <w:szCs w:val="18"/>
        </w:rPr>
        <w:t>hence are highly prone to become hotspots of the virus. There is a need to augment the capacity of the Government, operators, airlines, and cargo vessels, in terms of institutionali</w:t>
      </w:r>
      <w:r>
        <w:rPr>
          <w:rFonts w:cstheme="minorHAnsi"/>
          <w:sz w:val="18"/>
          <w:szCs w:val="18"/>
        </w:rPr>
        <w:t>s</w:t>
      </w:r>
      <w:r w:rsidRPr="00A34AF6">
        <w:rPr>
          <w:rFonts w:cstheme="minorHAnsi"/>
          <w:sz w:val="18"/>
          <w:szCs w:val="18"/>
        </w:rPr>
        <w:t xml:space="preserve">ing health protocols and stringent measures to manage suspected </w:t>
      </w:r>
      <w:r>
        <w:rPr>
          <w:rFonts w:cstheme="minorHAnsi"/>
          <w:sz w:val="18"/>
          <w:szCs w:val="18"/>
        </w:rPr>
        <w:t xml:space="preserve">COVID-19 </w:t>
      </w:r>
      <w:r w:rsidRPr="00A34AF6">
        <w:rPr>
          <w:rFonts w:cstheme="minorHAnsi"/>
          <w:sz w:val="18"/>
          <w:szCs w:val="18"/>
        </w:rPr>
        <w:t>cases in terminals.</w:t>
      </w:r>
    </w:p>
  </w:footnote>
  <w:footnote w:id="66">
    <w:p w14:paraId="3BCD5930" w14:textId="201B2C2F" w:rsidR="00D60095" w:rsidRPr="00FC3ADC" w:rsidRDefault="00D60095" w:rsidP="00FC3ADC">
      <w:pPr>
        <w:pStyle w:val="Default"/>
        <w:rPr>
          <w:rFonts w:cstheme="minorHAnsi"/>
          <w:sz w:val="18"/>
          <w:szCs w:val="18"/>
        </w:rPr>
      </w:pPr>
      <w:r w:rsidRPr="00FC3ADC">
        <w:rPr>
          <w:rStyle w:val="FootnoteReference"/>
          <w:rFonts w:asciiTheme="minorHAnsi" w:hAnsiTheme="minorHAnsi" w:cstheme="minorHAnsi"/>
          <w:sz w:val="18"/>
          <w:szCs w:val="18"/>
        </w:rPr>
        <w:footnoteRef/>
      </w:r>
      <w:r w:rsidRPr="00FC3ADC">
        <w:rPr>
          <w:rFonts w:asciiTheme="minorHAnsi" w:hAnsiTheme="minorHAnsi" w:cstheme="minorHAnsi"/>
          <w:sz w:val="18"/>
          <w:szCs w:val="18"/>
        </w:rPr>
        <w:t xml:space="preserve"> House of </w:t>
      </w:r>
      <w:r w:rsidRPr="004304A0">
        <w:rPr>
          <w:rFonts w:asciiTheme="minorHAnsi" w:hAnsiTheme="minorHAnsi" w:cstheme="minorHAnsi"/>
          <w:sz w:val="18"/>
          <w:szCs w:val="18"/>
        </w:rPr>
        <w:t>Representatives: The</w:t>
      </w:r>
      <w:r w:rsidRPr="00FC3ADC">
        <w:rPr>
          <w:rFonts w:asciiTheme="minorHAnsi" w:hAnsiTheme="minorHAnsi" w:cstheme="minorHAnsi"/>
          <w:sz w:val="18"/>
          <w:szCs w:val="18"/>
        </w:rPr>
        <w:t xml:space="preserve"> House TWG version of the PPP House Bill was finali</w:t>
      </w:r>
      <w:r>
        <w:rPr>
          <w:rFonts w:asciiTheme="minorHAnsi" w:hAnsiTheme="minorHAnsi" w:cstheme="minorHAnsi"/>
          <w:sz w:val="18"/>
          <w:szCs w:val="18"/>
        </w:rPr>
        <w:t>s</w:t>
      </w:r>
      <w:r w:rsidRPr="00FC3ADC">
        <w:rPr>
          <w:rFonts w:asciiTheme="minorHAnsi" w:hAnsiTheme="minorHAnsi" w:cstheme="minorHAnsi"/>
          <w:sz w:val="18"/>
          <w:szCs w:val="18"/>
        </w:rPr>
        <w:t xml:space="preserve">ed last February 18, 2021. It was agreed that the TWG version will be presented in the next House Committee Meeting. </w:t>
      </w:r>
    </w:p>
  </w:footnote>
  <w:footnote w:id="67">
    <w:p w14:paraId="73AF8509" w14:textId="73EA2E98" w:rsidR="00D60095" w:rsidRPr="00FC3ADC" w:rsidRDefault="00D60095">
      <w:pPr>
        <w:pStyle w:val="FootnoteText"/>
        <w:rPr>
          <w:lang w:val="en-GB"/>
        </w:rPr>
      </w:pPr>
      <w:r w:rsidRPr="00FC3ADC">
        <w:rPr>
          <w:rStyle w:val="FootnoteReference"/>
          <w:sz w:val="18"/>
          <w:szCs w:val="18"/>
        </w:rPr>
        <w:footnoteRef/>
      </w:r>
      <w:r w:rsidRPr="00FC3ADC">
        <w:rPr>
          <w:sz w:val="18"/>
          <w:szCs w:val="18"/>
        </w:rPr>
        <w:t xml:space="preserve"> Senate of the Philippines. The consolidated Senate version of the PPP Bill (Senate Bill No. 2074) was sponsored on the floor by Senator Emmanuel D. Pacquiao, Chairperson of the Senate Committee on Public Works, on March 24, 2021.</w:t>
      </w:r>
    </w:p>
  </w:footnote>
  <w:footnote w:id="68">
    <w:p w14:paraId="79A41967" w14:textId="7FE9AE09" w:rsidR="00D60095" w:rsidRDefault="00D60095">
      <w:pPr>
        <w:pStyle w:val="FootnoteText"/>
      </w:pPr>
      <w:r>
        <w:rPr>
          <w:rStyle w:val="FootnoteReference"/>
        </w:rPr>
        <w:footnoteRef/>
      </w:r>
      <w:r>
        <w:t xml:space="preserve"> </w:t>
      </w:r>
      <w:r w:rsidRPr="00E150FE">
        <w:t>Guide on Developing Solicited Health PPP Projects was published in the PPP Center’s website on December 31, 2021</w:t>
      </w:r>
    </w:p>
  </w:footnote>
  <w:footnote w:id="69">
    <w:p w14:paraId="1D8D78F1" w14:textId="5699B74B" w:rsidR="00D60095" w:rsidRPr="00F04B3D" w:rsidRDefault="00D60095" w:rsidP="00800AAD">
      <w:pPr>
        <w:pStyle w:val="FootnoteText"/>
      </w:pPr>
      <w:r>
        <w:rPr>
          <w:rStyle w:val="FootnoteReference"/>
        </w:rPr>
        <w:footnoteRef/>
      </w:r>
      <w:r>
        <w:t xml:space="preserve"> As of 31 March </w:t>
      </w:r>
      <w:r w:rsidR="008F709D">
        <w:t>2021. This</w:t>
      </w:r>
      <w:r>
        <w:t xml:space="preserve"> </w:t>
      </w:r>
      <w:r w:rsidRPr="00F04B3D">
        <w:t xml:space="preserve">Includes </w:t>
      </w:r>
      <w:r>
        <w:t>one</w:t>
      </w:r>
      <w:r w:rsidRPr="00F04B3D">
        <w:t xml:space="preserve"> project</w:t>
      </w:r>
      <w:r>
        <w:t xml:space="preserve"> </w:t>
      </w:r>
      <w:r w:rsidRPr="00F04B3D">
        <w:t xml:space="preserve">that </w:t>
      </w:r>
      <w:r>
        <w:t>was</w:t>
      </w:r>
      <w:r w:rsidRPr="00F04B3D">
        <w:t xml:space="preserve"> awarded prior to 2010</w:t>
      </w:r>
      <w:r>
        <w:t xml:space="preserve">. </w:t>
      </w:r>
    </w:p>
  </w:footnote>
  <w:footnote w:id="70">
    <w:p w14:paraId="57656B6C" w14:textId="5D3FBCD7" w:rsidR="00D60095" w:rsidRPr="00B9076E" w:rsidRDefault="00D60095" w:rsidP="00800AAD">
      <w:pPr>
        <w:pStyle w:val="FootnoteText"/>
        <w:rPr>
          <w:lang w:val="en-GB"/>
        </w:rPr>
      </w:pPr>
      <w:r>
        <w:rPr>
          <w:rStyle w:val="FootnoteReference"/>
        </w:rPr>
        <w:footnoteRef/>
      </w:r>
      <w:r>
        <w:t xml:space="preserve"> </w:t>
      </w:r>
      <w:r w:rsidRPr="00B9076E">
        <w:t>Total cost</w:t>
      </w:r>
      <w:r>
        <w:t xml:space="preserve"> at the time of virtual review mission in February 2021 </w:t>
      </w:r>
      <w:r w:rsidRPr="00B9076E">
        <w:t>does not include projects with costs that are yet to be finalized</w:t>
      </w:r>
    </w:p>
  </w:footnote>
  <w:footnote w:id="71">
    <w:p w14:paraId="720E4EA0" w14:textId="03CE7735" w:rsidR="00D60095" w:rsidRPr="00EE0B28" w:rsidRDefault="00D60095">
      <w:pPr>
        <w:pStyle w:val="FootnoteText"/>
        <w:rPr>
          <w:sz w:val="18"/>
          <w:szCs w:val="18"/>
          <w:lang w:val="en-GB"/>
        </w:rPr>
      </w:pPr>
      <w:r w:rsidRPr="00EE0B28">
        <w:rPr>
          <w:rStyle w:val="FootnoteReference"/>
          <w:sz w:val="18"/>
          <w:szCs w:val="18"/>
        </w:rPr>
        <w:footnoteRef/>
      </w:r>
      <w:r w:rsidRPr="00EE0B28">
        <w:rPr>
          <w:sz w:val="18"/>
          <w:szCs w:val="18"/>
        </w:rPr>
        <w:t xml:space="preserve"> This includes the Modernization of the Philippine Orthopaedic Center Project that was awarded to a private sector partner but subsequently terminated by such partner.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47C1"/>
    <w:multiLevelType w:val="hybridMultilevel"/>
    <w:tmpl w:val="00200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862C1"/>
    <w:multiLevelType w:val="multilevel"/>
    <w:tmpl w:val="A3E2814E"/>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9466FEB"/>
    <w:multiLevelType w:val="hybridMultilevel"/>
    <w:tmpl w:val="BE7C5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893281"/>
    <w:multiLevelType w:val="hybridMultilevel"/>
    <w:tmpl w:val="39B646B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DF0D6D"/>
    <w:multiLevelType w:val="hybridMultilevel"/>
    <w:tmpl w:val="669AB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065DA"/>
    <w:multiLevelType w:val="hybridMultilevel"/>
    <w:tmpl w:val="688C640A"/>
    <w:lvl w:ilvl="0" w:tplc="4B44D76C">
      <w:start w:val="1"/>
      <w:numFmt w:val="bullet"/>
      <w:lvlText w:val="•"/>
      <w:lvlJc w:val="left"/>
      <w:pPr>
        <w:tabs>
          <w:tab w:val="num" w:pos="720"/>
        </w:tabs>
        <w:ind w:left="720" w:hanging="360"/>
      </w:pPr>
      <w:rPr>
        <w:rFonts w:ascii="Arial" w:hAnsi="Arial" w:hint="default"/>
      </w:rPr>
    </w:lvl>
    <w:lvl w:ilvl="1" w:tplc="F154A83A" w:tentative="1">
      <w:start w:val="1"/>
      <w:numFmt w:val="bullet"/>
      <w:lvlText w:val="•"/>
      <w:lvlJc w:val="left"/>
      <w:pPr>
        <w:tabs>
          <w:tab w:val="num" w:pos="1440"/>
        </w:tabs>
        <w:ind w:left="1440" w:hanging="360"/>
      </w:pPr>
      <w:rPr>
        <w:rFonts w:ascii="Arial" w:hAnsi="Arial" w:hint="default"/>
      </w:rPr>
    </w:lvl>
    <w:lvl w:ilvl="2" w:tplc="4754F0FE" w:tentative="1">
      <w:start w:val="1"/>
      <w:numFmt w:val="bullet"/>
      <w:lvlText w:val="•"/>
      <w:lvlJc w:val="left"/>
      <w:pPr>
        <w:tabs>
          <w:tab w:val="num" w:pos="2160"/>
        </w:tabs>
        <w:ind w:left="2160" w:hanging="360"/>
      </w:pPr>
      <w:rPr>
        <w:rFonts w:ascii="Arial" w:hAnsi="Arial" w:hint="default"/>
      </w:rPr>
    </w:lvl>
    <w:lvl w:ilvl="3" w:tplc="E73A36E0" w:tentative="1">
      <w:start w:val="1"/>
      <w:numFmt w:val="bullet"/>
      <w:lvlText w:val="•"/>
      <w:lvlJc w:val="left"/>
      <w:pPr>
        <w:tabs>
          <w:tab w:val="num" w:pos="2880"/>
        </w:tabs>
        <w:ind w:left="2880" w:hanging="360"/>
      </w:pPr>
      <w:rPr>
        <w:rFonts w:ascii="Arial" w:hAnsi="Arial" w:hint="default"/>
      </w:rPr>
    </w:lvl>
    <w:lvl w:ilvl="4" w:tplc="B9822AD8" w:tentative="1">
      <w:start w:val="1"/>
      <w:numFmt w:val="bullet"/>
      <w:lvlText w:val="•"/>
      <w:lvlJc w:val="left"/>
      <w:pPr>
        <w:tabs>
          <w:tab w:val="num" w:pos="3600"/>
        </w:tabs>
        <w:ind w:left="3600" w:hanging="360"/>
      </w:pPr>
      <w:rPr>
        <w:rFonts w:ascii="Arial" w:hAnsi="Arial" w:hint="default"/>
      </w:rPr>
    </w:lvl>
    <w:lvl w:ilvl="5" w:tplc="2482D8F0" w:tentative="1">
      <w:start w:val="1"/>
      <w:numFmt w:val="bullet"/>
      <w:lvlText w:val="•"/>
      <w:lvlJc w:val="left"/>
      <w:pPr>
        <w:tabs>
          <w:tab w:val="num" w:pos="4320"/>
        </w:tabs>
        <w:ind w:left="4320" w:hanging="360"/>
      </w:pPr>
      <w:rPr>
        <w:rFonts w:ascii="Arial" w:hAnsi="Arial" w:hint="default"/>
      </w:rPr>
    </w:lvl>
    <w:lvl w:ilvl="6" w:tplc="FCEC944E" w:tentative="1">
      <w:start w:val="1"/>
      <w:numFmt w:val="bullet"/>
      <w:lvlText w:val="•"/>
      <w:lvlJc w:val="left"/>
      <w:pPr>
        <w:tabs>
          <w:tab w:val="num" w:pos="5040"/>
        </w:tabs>
        <w:ind w:left="5040" w:hanging="360"/>
      </w:pPr>
      <w:rPr>
        <w:rFonts w:ascii="Arial" w:hAnsi="Arial" w:hint="default"/>
      </w:rPr>
    </w:lvl>
    <w:lvl w:ilvl="7" w:tplc="E440E842" w:tentative="1">
      <w:start w:val="1"/>
      <w:numFmt w:val="bullet"/>
      <w:lvlText w:val="•"/>
      <w:lvlJc w:val="left"/>
      <w:pPr>
        <w:tabs>
          <w:tab w:val="num" w:pos="5760"/>
        </w:tabs>
        <w:ind w:left="5760" w:hanging="360"/>
      </w:pPr>
      <w:rPr>
        <w:rFonts w:ascii="Arial" w:hAnsi="Arial" w:hint="default"/>
      </w:rPr>
    </w:lvl>
    <w:lvl w:ilvl="8" w:tplc="F404C5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137B79"/>
    <w:multiLevelType w:val="hybridMultilevel"/>
    <w:tmpl w:val="00200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7F09A6"/>
    <w:multiLevelType w:val="multilevel"/>
    <w:tmpl w:val="147F09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A05FB5"/>
    <w:multiLevelType w:val="hybridMultilevel"/>
    <w:tmpl w:val="D076DBC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3859CC"/>
    <w:multiLevelType w:val="hybridMultilevel"/>
    <w:tmpl w:val="00200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B7769A"/>
    <w:multiLevelType w:val="hybridMultilevel"/>
    <w:tmpl w:val="7A987712"/>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F0C3901"/>
    <w:multiLevelType w:val="hybridMultilevel"/>
    <w:tmpl w:val="8926F3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253143"/>
    <w:multiLevelType w:val="hybridMultilevel"/>
    <w:tmpl w:val="00200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5620D1"/>
    <w:multiLevelType w:val="hybridMultilevel"/>
    <w:tmpl w:val="3BC8B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0239F1"/>
    <w:multiLevelType w:val="hybridMultilevel"/>
    <w:tmpl w:val="00200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6224D7"/>
    <w:multiLevelType w:val="hybridMultilevel"/>
    <w:tmpl w:val="044E8A5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C85B77"/>
    <w:multiLevelType w:val="hybridMultilevel"/>
    <w:tmpl w:val="3A88BD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3B1E3C"/>
    <w:multiLevelType w:val="hybridMultilevel"/>
    <w:tmpl w:val="2118E6C2"/>
    <w:lvl w:ilvl="0" w:tplc="EE92F11E">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08E72AF"/>
    <w:multiLevelType w:val="multilevel"/>
    <w:tmpl w:val="65EA5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457065"/>
    <w:multiLevelType w:val="hybridMultilevel"/>
    <w:tmpl w:val="3C8060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011F8F"/>
    <w:multiLevelType w:val="hybridMultilevel"/>
    <w:tmpl w:val="E2C4FB96"/>
    <w:lvl w:ilvl="0" w:tplc="CBB4388A">
      <w:start w:val="1"/>
      <w:numFmt w:val="decimal"/>
      <w:pStyle w:val="Heading2"/>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37676AC"/>
    <w:multiLevelType w:val="hybridMultilevel"/>
    <w:tmpl w:val="F2E02F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C70A91"/>
    <w:multiLevelType w:val="hybridMultilevel"/>
    <w:tmpl w:val="3E8AB800"/>
    <w:lvl w:ilvl="0" w:tplc="0C09000F">
      <w:start w:val="1"/>
      <w:numFmt w:val="decimal"/>
      <w:lvlText w:val="%1."/>
      <w:lvlJc w:val="left"/>
      <w:pPr>
        <w:ind w:left="360" w:hanging="360"/>
      </w:pPr>
      <w:rPr>
        <w:rFonts w:hint="default"/>
      </w:rPr>
    </w:lvl>
    <w:lvl w:ilvl="1" w:tplc="0C090013">
      <w:start w:val="1"/>
      <w:numFmt w:val="upperRoman"/>
      <w:lvlText w:val="%2."/>
      <w:lvlJc w:val="right"/>
      <w:pPr>
        <w:ind w:left="1080" w:hanging="360"/>
      </w:pPr>
    </w:lvl>
    <w:lvl w:ilvl="2" w:tplc="0C09001B">
      <w:start w:val="1"/>
      <w:numFmt w:val="lowerRoman"/>
      <w:lvlText w:val="%3."/>
      <w:lvlJc w:val="right"/>
      <w:pPr>
        <w:ind w:left="1800" w:hanging="180"/>
      </w:pPr>
    </w:lvl>
    <w:lvl w:ilvl="3" w:tplc="047AF8D8">
      <w:numFmt w:val="bullet"/>
      <w:lvlText w:val="-"/>
      <w:lvlJc w:val="left"/>
      <w:pPr>
        <w:ind w:left="2520" w:hanging="360"/>
      </w:pPr>
      <w:rPr>
        <w:rFonts w:ascii="Calibri" w:eastAsiaTheme="minorHAnsi" w:hAnsi="Calibri" w:cs="Calibri"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B4207E9"/>
    <w:multiLevelType w:val="hybridMultilevel"/>
    <w:tmpl w:val="00200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7D7176"/>
    <w:multiLevelType w:val="multilevel"/>
    <w:tmpl w:val="FF3E73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E13285E"/>
    <w:multiLevelType w:val="hybridMultilevel"/>
    <w:tmpl w:val="9DBEF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EB0530"/>
    <w:multiLevelType w:val="hybridMultilevel"/>
    <w:tmpl w:val="54522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FEA278A"/>
    <w:multiLevelType w:val="hybridMultilevel"/>
    <w:tmpl w:val="29F27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16E5467"/>
    <w:multiLevelType w:val="hybridMultilevel"/>
    <w:tmpl w:val="6C66E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711B38"/>
    <w:multiLevelType w:val="hybridMultilevel"/>
    <w:tmpl w:val="811C831A"/>
    <w:lvl w:ilvl="0" w:tplc="F8C44432">
      <w:start w:val="1"/>
      <w:numFmt w:val="lowerLetter"/>
      <w:lvlText w:val="%1."/>
      <w:lvlJc w:val="left"/>
      <w:pPr>
        <w:ind w:left="396" w:hanging="360"/>
      </w:pPr>
      <w:rPr>
        <w:rFonts w:hint="default"/>
      </w:rPr>
    </w:lvl>
    <w:lvl w:ilvl="1" w:tplc="34090019" w:tentative="1">
      <w:start w:val="1"/>
      <w:numFmt w:val="lowerLetter"/>
      <w:lvlText w:val="%2."/>
      <w:lvlJc w:val="left"/>
      <w:pPr>
        <w:ind w:left="1116" w:hanging="360"/>
      </w:pPr>
    </w:lvl>
    <w:lvl w:ilvl="2" w:tplc="3409001B" w:tentative="1">
      <w:start w:val="1"/>
      <w:numFmt w:val="lowerRoman"/>
      <w:lvlText w:val="%3."/>
      <w:lvlJc w:val="right"/>
      <w:pPr>
        <w:ind w:left="1836" w:hanging="180"/>
      </w:pPr>
    </w:lvl>
    <w:lvl w:ilvl="3" w:tplc="3409000F" w:tentative="1">
      <w:start w:val="1"/>
      <w:numFmt w:val="decimal"/>
      <w:lvlText w:val="%4."/>
      <w:lvlJc w:val="left"/>
      <w:pPr>
        <w:ind w:left="2556" w:hanging="360"/>
      </w:pPr>
    </w:lvl>
    <w:lvl w:ilvl="4" w:tplc="34090019" w:tentative="1">
      <w:start w:val="1"/>
      <w:numFmt w:val="lowerLetter"/>
      <w:lvlText w:val="%5."/>
      <w:lvlJc w:val="left"/>
      <w:pPr>
        <w:ind w:left="3276" w:hanging="360"/>
      </w:pPr>
    </w:lvl>
    <w:lvl w:ilvl="5" w:tplc="3409001B" w:tentative="1">
      <w:start w:val="1"/>
      <w:numFmt w:val="lowerRoman"/>
      <w:lvlText w:val="%6."/>
      <w:lvlJc w:val="right"/>
      <w:pPr>
        <w:ind w:left="3996" w:hanging="180"/>
      </w:pPr>
    </w:lvl>
    <w:lvl w:ilvl="6" w:tplc="3409000F" w:tentative="1">
      <w:start w:val="1"/>
      <w:numFmt w:val="decimal"/>
      <w:lvlText w:val="%7."/>
      <w:lvlJc w:val="left"/>
      <w:pPr>
        <w:ind w:left="4716" w:hanging="360"/>
      </w:pPr>
    </w:lvl>
    <w:lvl w:ilvl="7" w:tplc="34090019" w:tentative="1">
      <w:start w:val="1"/>
      <w:numFmt w:val="lowerLetter"/>
      <w:lvlText w:val="%8."/>
      <w:lvlJc w:val="left"/>
      <w:pPr>
        <w:ind w:left="5436" w:hanging="360"/>
      </w:pPr>
    </w:lvl>
    <w:lvl w:ilvl="8" w:tplc="3409001B" w:tentative="1">
      <w:start w:val="1"/>
      <w:numFmt w:val="lowerRoman"/>
      <w:lvlText w:val="%9."/>
      <w:lvlJc w:val="right"/>
      <w:pPr>
        <w:ind w:left="6156" w:hanging="180"/>
      </w:pPr>
    </w:lvl>
  </w:abstractNum>
  <w:abstractNum w:abstractNumId="30" w15:restartNumberingAfterBreak="0">
    <w:nsid w:val="466604BB"/>
    <w:multiLevelType w:val="hybridMultilevel"/>
    <w:tmpl w:val="472A6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1D39A4"/>
    <w:multiLevelType w:val="multilevel"/>
    <w:tmpl w:val="0FC2E5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868770E"/>
    <w:multiLevelType w:val="hybridMultilevel"/>
    <w:tmpl w:val="5994E6B8"/>
    <w:lvl w:ilvl="0" w:tplc="C23E4416">
      <w:start w:val="1"/>
      <w:numFmt w:val="upperRoman"/>
      <w:lvlText w:val="%1."/>
      <w:lvlJc w:val="righ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9952809"/>
    <w:multiLevelType w:val="hybridMultilevel"/>
    <w:tmpl w:val="2FDC69E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A4455B9"/>
    <w:multiLevelType w:val="multilevel"/>
    <w:tmpl w:val="C78AB6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C6D44E5"/>
    <w:multiLevelType w:val="hybridMultilevel"/>
    <w:tmpl w:val="710082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1D92C8A"/>
    <w:multiLevelType w:val="hybridMultilevel"/>
    <w:tmpl w:val="BB00854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517108F"/>
    <w:multiLevelType w:val="hybridMultilevel"/>
    <w:tmpl w:val="D7A67F2E"/>
    <w:lvl w:ilvl="0" w:tplc="8DBCE0F0">
      <w:start w:val="1"/>
      <w:numFmt w:val="bullet"/>
      <w:lvlText w:val="•"/>
      <w:lvlJc w:val="left"/>
      <w:pPr>
        <w:tabs>
          <w:tab w:val="num" w:pos="720"/>
        </w:tabs>
        <w:ind w:left="720" w:hanging="360"/>
      </w:pPr>
      <w:rPr>
        <w:rFonts w:ascii="Arial" w:hAnsi="Arial" w:hint="default"/>
      </w:rPr>
    </w:lvl>
    <w:lvl w:ilvl="1" w:tplc="094AD444" w:tentative="1">
      <w:start w:val="1"/>
      <w:numFmt w:val="bullet"/>
      <w:lvlText w:val="•"/>
      <w:lvlJc w:val="left"/>
      <w:pPr>
        <w:tabs>
          <w:tab w:val="num" w:pos="1440"/>
        </w:tabs>
        <w:ind w:left="1440" w:hanging="360"/>
      </w:pPr>
      <w:rPr>
        <w:rFonts w:ascii="Arial" w:hAnsi="Arial" w:hint="default"/>
      </w:rPr>
    </w:lvl>
    <w:lvl w:ilvl="2" w:tplc="D43CB63C" w:tentative="1">
      <w:start w:val="1"/>
      <w:numFmt w:val="bullet"/>
      <w:lvlText w:val="•"/>
      <w:lvlJc w:val="left"/>
      <w:pPr>
        <w:tabs>
          <w:tab w:val="num" w:pos="2160"/>
        </w:tabs>
        <w:ind w:left="2160" w:hanging="360"/>
      </w:pPr>
      <w:rPr>
        <w:rFonts w:ascii="Arial" w:hAnsi="Arial" w:hint="default"/>
      </w:rPr>
    </w:lvl>
    <w:lvl w:ilvl="3" w:tplc="92449E6A">
      <w:start w:val="1"/>
      <w:numFmt w:val="bullet"/>
      <w:lvlText w:val="•"/>
      <w:lvlJc w:val="left"/>
      <w:pPr>
        <w:tabs>
          <w:tab w:val="num" w:pos="2880"/>
        </w:tabs>
        <w:ind w:left="2880" w:hanging="360"/>
      </w:pPr>
      <w:rPr>
        <w:rFonts w:ascii="Arial" w:hAnsi="Arial" w:hint="default"/>
      </w:rPr>
    </w:lvl>
    <w:lvl w:ilvl="4" w:tplc="DD744A3C" w:tentative="1">
      <w:start w:val="1"/>
      <w:numFmt w:val="bullet"/>
      <w:lvlText w:val="•"/>
      <w:lvlJc w:val="left"/>
      <w:pPr>
        <w:tabs>
          <w:tab w:val="num" w:pos="3600"/>
        </w:tabs>
        <w:ind w:left="3600" w:hanging="360"/>
      </w:pPr>
      <w:rPr>
        <w:rFonts w:ascii="Arial" w:hAnsi="Arial" w:hint="default"/>
      </w:rPr>
    </w:lvl>
    <w:lvl w:ilvl="5" w:tplc="3F8A15E4" w:tentative="1">
      <w:start w:val="1"/>
      <w:numFmt w:val="bullet"/>
      <w:lvlText w:val="•"/>
      <w:lvlJc w:val="left"/>
      <w:pPr>
        <w:tabs>
          <w:tab w:val="num" w:pos="4320"/>
        </w:tabs>
        <w:ind w:left="4320" w:hanging="360"/>
      </w:pPr>
      <w:rPr>
        <w:rFonts w:ascii="Arial" w:hAnsi="Arial" w:hint="default"/>
      </w:rPr>
    </w:lvl>
    <w:lvl w:ilvl="6" w:tplc="3E68A2EE" w:tentative="1">
      <w:start w:val="1"/>
      <w:numFmt w:val="bullet"/>
      <w:lvlText w:val="•"/>
      <w:lvlJc w:val="left"/>
      <w:pPr>
        <w:tabs>
          <w:tab w:val="num" w:pos="5040"/>
        </w:tabs>
        <w:ind w:left="5040" w:hanging="360"/>
      </w:pPr>
      <w:rPr>
        <w:rFonts w:ascii="Arial" w:hAnsi="Arial" w:hint="default"/>
      </w:rPr>
    </w:lvl>
    <w:lvl w:ilvl="7" w:tplc="0FB6F6A6" w:tentative="1">
      <w:start w:val="1"/>
      <w:numFmt w:val="bullet"/>
      <w:lvlText w:val="•"/>
      <w:lvlJc w:val="left"/>
      <w:pPr>
        <w:tabs>
          <w:tab w:val="num" w:pos="5760"/>
        </w:tabs>
        <w:ind w:left="5760" w:hanging="360"/>
      </w:pPr>
      <w:rPr>
        <w:rFonts w:ascii="Arial" w:hAnsi="Arial" w:hint="default"/>
      </w:rPr>
    </w:lvl>
    <w:lvl w:ilvl="8" w:tplc="003C675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78C4F4D"/>
    <w:multiLevelType w:val="hybridMultilevel"/>
    <w:tmpl w:val="DA987F88"/>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1504D6"/>
    <w:multiLevelType w:val="multilevel"/>
    <w:tmpl w:val="65EA5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A6330B"/>
    <w:multiLevelType w:val="multilevel"/>
    <w:tmpl w:val="C7F21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F86FDF"/>
    <w:multiLevelType w:val="hybridMultilevel"/>
    <w:tmpl w:val="D084D0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E6B0557"/>
    <w:multiLevelType w:val="hybridMultilevel"/>
    <w:tmpl w:val="215C3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3713A57"/>
    <w:multiLevelType w:val="hybridMultilevel"/>
    <w:tmpl w:val="00200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4084233"/>
    <w:multiLevelType w:val="hybridMultilevel"/>
    <w:tmpl w:val="1F78CA0E"/>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4363C26"/>
    <w:multiLevelType w:val="hybridMultilevel"/>
    <w:tmpl w:val="9CC26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C5435D"/>
    <w:multiLevelType w:val="hybridMultilevel"/>
    <w:tmpl w:val="6E2053A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7" w15:restartNumberingAfterBreak="0">
    <w:nsid w:val="6D262400"/>
    <w:multiLevelType w:val="hybridMultilevel"/>
    <w:tmpl w:val="821E22C2"/>
    <w:lvl w:ilvl="0" w:tplc="C10CA284">
      <w:start w:val="1"/>
      <w:numFmt w:val="bullet"/>
      <w:lvlText w:val=""/>
      <w:lvlJc w:val="left"/>
      <w:pPr>
        <w:ind w:left="436" w:hanging="360"/>
      </w:pPr>
      <w:rPr>
        <w:rFonts w:ascii="Wingdings" w:hAnsi="Wingdings" w:hint="default"/>
        <w:color w:val="002060"/>
        <w:sz w:val="22"/>
        <w:szCs w:val="22"/>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8" w15:restartNumberingAfterBreak="0">
    <w:nsid w:val="705B35F9"/>
    <w:multiLevelType w:val="hybridMultilevel"/>
    <w:tmpl w:val="947A86A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cs="Times New Roman" w:hint="default"/>
        <w:color w:val="5B9BD5" w:themeColor="accent1"/>
      </w:rPr>
    </w:lvl>
    <w:lvl w:ilvl="2">
      <w:start w:val="1"/>
      <w:numFmt w:val="bullet"/>
      <w:pStyle w:val="Bullet3"/>
      <w:lvlText w:val="»"/>
      <w:lvlJc w:val="left"/>
      <w:pPr>
        <w:tabs>
          <w:tab w:val="num" w:pos="852"/>
        </w:tabs>
        <w:ind w:left="852" w:hanging="285"/>
      </w:pPr>
      <w:rPr>
        <w:rFonts w:ascii="Arial" w:hAnsi="Arial" w:cs="Times New Roman" w:hint="default"/>
        <w:color w:val="5B9BD5" w:themeColor="accent1"/>
      </w:rPr>
    </w:lvl>
    <w:lvl w:ilvl="3">
      <w:start w:val="1"/>
      <w:numFmt w:val="decimal"/>
      <w:lvlText w:val="(%4)"/>
      <w:lvlJc w:val="left"/>
      <w:pPr>
        <w:tabs>
          <w:tab w:val="num" w:pos="1136"/>
        </w:tabs>
        <w:ind w:left="1136" w:firstLine="0"/>
      </w:pPr>
    </w:lvl>
    <w:lvl w:ilvl="4">
      <w:start w:val="1"/>
      <w:numFmt w:val="lowerLetter"/>
      <w:lvlText w:val="(%5)"/>
      <w:lvlJc w:val="left"/>
      <w:pPr>
        <w:tabs>
          <w:tab w:val="num" w:pos="1420"/>
        </w:tabs>
        <w:ind w:left="1420" w:firstLine="0"/>
      </w:pPr>
    </w:lvl>
    <w:lvl w:ilvl="5">
      <w:start w:val="1"/>
      <w:numFmt w:val="lowerRoman"/>
      <w:lvlText w:val="(%6)"/>
      <w:lvlJc w:val="left"/>
      <w:pPr>
        <w:tabs>
          <w:tab w:val="num" w:pos="1704"/>
        </w:tabs>
        <w:ind w:left="1704" w:firstLine="0"/>
      </w:pPr>
    </w:lvl>
    <w:lvl w:ilvl="6">
      <w:start w:val="1"/>
      <w:numFmt w:val="decimal"/>
      <w:lvlText w:val="%7."/>
      <w:lvlJc w:val="left"/>
      <w:pPr>
        <w:tabs>
          <w:tab w:val="num" w:pos="1988"/>
        </w:tabs>
        <w:ind w:left="1988" w:firstLine="0"/>
      </w:pPr>
    </w:lvl>
    <w:lvl w:ilvl="7">
      <w:start w:val="1"/>
      <w:numFmt w:val="lowerLetter"/>
      <w:lvlText w:val="%8."/>
      <w:lvlJc w:val="left"/>
      <w:pPr>
        <w:tabs>
          <w:tab w:val="num" w:pos="2272"/>
        </w:tabs>
        <w:ind w:left="2272" w:firstLine="0"/>
      </w:pPr>
    </w:lvl>
    <w:lvl w:ilvl="8">
      <w:start w:val="1"/>
      <w:numFmt w:val="lowerRoman"/>
      <w:lvlText w:val="%9."/>
      <w:lvlJc w:val="left"/>
      <w:pPr>
        <w:tabs>
          <w:tab w:val="num" w:pos="2556"/>
        </w:tabs>
        <w:ind w:left="2556" w:firstLine="0"/>
      </w:pPr>
    </w:lvl>
  </w:abstractNum>
  <w:abstractNum w:abstractNumId="50" w15:restartNumberingAfterBreak="0">
    <w:nsid w:val="76F1419D"/>
    <w:multiLevelType w:val="hybridMultilevel"/>
    <w:tmpl w:val="00200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E247016"/>
    <w:multiLevelType w:val="hybridMultilevel"/>
    <w:tmpl w:val="00200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9"/>
  </w:num>
  <w:num w:numId="2">
    <w:abstractNumId w:val="44"/>
  </w:num>
  <w:num w:numId="3">
    <w:abstractNumId w:val="1"/>
  </w:num>
  <w:num w:numId="4">
    <w:abstractNumId w:val="12"/>
  </w:num>
  <w:num w:numId="5">
    <w:abstractNumId w:val="0"/>
  </w:num>
  <w:num w:numId="6">
    <w:abstractNumId w:val="41"/>
  </w:num>
  <w:num w:numId="7">
    <w:abstractNumId w:val="47"/>
  </w:num>
  <w:num w:numId="8">
    <w:abstractNumId w:val="21"/>
  </w:num>
  <w:num w:numId="9">
    <w:abstractNumId w:val="24"/>
  </w:num>
  <w:num w:numId="10">
    <w:abstractNumId w:val="13"/>
  </w:num>
  <w:num w:numId="11">
    <w:abstractNumId w:val="40"/>
  </w:num>
  <w:num w:numId="12">
    <w:abstractNumId w:val="39"/>
  </w:num>
  <w:num w:numId="13">
    <w:abstractNumId w:val="18"/>
  </w:num>
  <w:num w:numId="14">
    <w:abstractNumId w:val="16"/>
  </w:num>
  <w:num w:numId="15">
    <w:abstractNumId w:val="7"/>
  </w:num>
  <w:num w:numId="16">
    <w:abstractNumId w:val="14"/>
  </w:num>
  <w:num w:numId="17">
    <w:abstractNumId w:val="6"/>
  </w:num>
  <w:num w:numId="18">
    <w:abstractNumId w:val="46"/>
  </w:num>
  <w:num w:numId="19">
    <w:abstractNumId w:val="29"/>
  </w:num>
  <w:num w:numId="20">
    <w:abstractNumId w:val="26"/>
  </w:num>
  <w:num w:numId="21">
    <w:abstractNumId w:val="50"/>
  </w:num>
  <w:num w:numId="22">
    <w:abstractNumId w:val="9"/>
  </w:num>
  <w:num w:numId="23">
    <w:abstractNumId w:val="23"/>
  </w:num>
  <w:num w:numId="24">
    <w:abstractNumId w:val="51"/>
  </w:num>
  <w:num w:numId="25">
    <w:abstractNumId w:val="35"/>
  </w:num>
  <w:num w:numId="26">
    <w:abstractNumId w:val="36"/>
  </w:num>
  <w:num w:numId="27">
    <w:abstractNumId w:val="48"/>
  </w:num>
  <w:num w:numId="28">
    <w:abstractNumId w:val="4"/>
  </w:num>
  <w:num w:numId="29">
    <w:abstractNumId w:val="25"/>
  </w:num>
  <w:num w:numId="30">
    <w:abstractNumId w:val="45"/>
  </w:num>
  <w:num w:numId="31">
    <w:abstractNumId w:val="34"/>
  </w:num>
  <w:num w:numId="32">
    <w:abstractNumId w:val="31"/>
  </w:num>
  <w:num w:numId="33">
    <w:abstractNumId w:val="22"/>
  </w:num>
  <w:num w:numId="34">
    <w:abstractNumId w:val="19"/>
  </w:num>
  <w:num w:numId="35">
    <w:abstractNumId w:val="42"/>
  </w:num>
  <w:num w:numId="36">
    <w:abstractNumId w:val="2"/>
  </w:num>
  <w:num w:numId="37">
    <w:abstractNumId w:val="38"/>
  </w:num>
  <w:num w:numId="38">
    <w:abstractNumId w:val="37"/>
  </w:num>
  <w:num w:numId="39">
    <w:abstractNumId w:val="5"/>
  </w:num>
  <w:num w:numId="40">
    <w:abstractNumId w:val="32"/>
  </w:num>
  <w:num w:numId="41">
    <w:abstractNumId w:val="11"/>
  </w:num>
  <w:num w:numId="42">
    <w:abstractNumId w:val="27"/>
  </w:num>
  <w:num w:numId="43">
    <w:abstractNumId w:val="28"/>
  </w:num>
  <w:num w:numId="44">
    <w:abstractNumId w:val="33"/>
  </w:num>
  <w:num w:numId="45">
    <w:abstractNumId w:val="17"/>
  </w:num>
  <w:num w:numId="46">
    <w:abstractNumId w:val="10"/>
  </w:num>
  <w:num w:numId="47">
    <w:abstractNumId w:val="43"/>
  </w:num>
  <w:num w:numId="48">
    <w:abstractNumId w:val="3"/>
  </w:num>
  <w:num w:numId="49">
    <w:abstractNumId w:val="30"/>
  </w:num>
  <w:num w:numId="50">
    <w:abstractNumId w:val="15"/>
  </w:num>
  <w:num w:numId="51">
    <w:abstractNumId w:val="8"/>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3"/>
    <w:rsid w:val="000028D1"/>
    <w:rsid w:val="00004D2D"/>
    <w:rsid w:val="000101AA"/>
    <w:rsid w:val="00012DBE"/>
    <w:rsid w:val="00013206"/>
    <w:rsid w:val="00013224"/>
    <w:rsid w:val="000134C4"/>
    <w:rsid w:val="00014948"/>
    <w:rsid w:val="000149E7"/>
    <w:rsid w:val="00017798"/>
    <w:rsid w:val="00017B92"/>
    <w:rsid w:val="0002098A"/>
    <w:rsid w:val="00020BEB"/>
    <w:rsid w:val="00021678"/>
    <w:rsid w:val="00021D43"/>
    <w:rsid w:val="00021FAB"/>
    <w:rsid w:val="00022AD7"/>
    <w:rsid w:val="0002340B"/>
    <w:rsid w:val="00027CA2"/>
    <w:rsid w:val="000321CA"/>
    <w:rsid w:val="00033340"/>
    <w:rsid w:val="00033C40"/>
    <w:rsid w:val="00035735"/>
    <w:rsid w:val="00035AE1"/>
    <w:rsid w:val="0004009D"/>
    <w:rsid w:val="00041483"/>
    <w:rsid w:val="0004233C"/>
    <w:rsid w:val="00045471"/>
    <w:rsid w:val="0004604D"/>
    <w:rsid w:val="00046FEA"/>
    <w:rsid w:val="000478A5"/>
    <w:rsid w:val="00050B73"/>
    <w:rsid w:val="0005408B"/>
    <w:rsid w:val="000600AA"/>
    <w:rsid w:val="000606A8"/>
    <w:rsid w:val="00060786"/>
    <w:rsid w:val="000611CC"/>
    <w:rsid w:val="0006477E"/>
    <w:rsid w:val="0006544B"/>
    <w:rsid w:val="00066B4A"/>
    <w:rsid w:val="000706E6"/>
    <w:rsid w:val="00071A00"/>
    <w:rsid w:val="000735BE"/>
    <w:rsid w:val="00074507"/>
    <w:rsid w:val="0007579D"/>
    <w:rsid w:val="00075FB5"/>
    <w:rsid w:val="00076884"/>
    <w:rsid w:val="00077ABD"/>
    <w:rsid w:val="00077F72"/>
    <w:rsid w:val="0008238A"/>
    <w:rsid w:val="000842A7"/>
    <w:rsid w:val="000863DA"/>
    <w:rsid w:val="0008734F"/>
    <w:rsid w:val="000876A8"/>
    <w:rsid w:val="00090333"/>
    <w:rsid w:val="00090542"/>
    <w:rsid w:val="00091423"/>
    <w:rsid w:val="00091A08"/>
    <w:rsid w:val="00092CA1"/>
    <w:rsid w:val="00092CB2"/>
    <w:rsid w:val="00093196"/>
    <w:rsid w:val="00094070"/>
    <w:rsid w:val="00095BC8"/>
    <w:rsid w:val="00096288"/>
    <w:rsid w:val="0009790D"/>
    <w:rsid w:val="000A0BAE"/>
    <w:rsid w:val="000A11DB"/>
    <w:rsid w:val="000A232F"/>
    <w:rsid w:val="000A3F0C"/>
    <w:rsid w:val="000A4972"/>
    <w:rsid w:val="000B0A66"/>
    <w:rsid w:val="000B16C3"/>
    <w:rsid w:val="000B176E"/>
    <w:rsid w:val="000B35DD"/>
    <w:rsid w:val="000B3C11"/>
    <w:rsid w:val="000B3E00"/>
    <w:rsid w:val="000B4DE0"/>
    <w:rsid w:val="000B5C4F"/>
    <w:rsid w:val="000B7BC5"/>
    <w:rsid w:val="000C09FB"/>
    <w:rsid w:val="000C0FAA"/>
    <w:rsid w:val="000C2AD8"/>
    <w:rsid w:val="000C2E51"/>
    <w:rsid w:val="000C42E5"/>
    <w:rsid w:val="000C5EA4"/>
    <w:rsid w:val="000D12F2"/>
    <w:rsid w:val="000D1D7C"/>
    <w:rsid w:val="000D22BC"/>
    <w:rsid w:val="000D2D4C"/>
    <w:rsid w:val="000D34C7"/>
    <w:rsid w:val="000D3C82"/>
    <w:rsid w:val="000E06C0"/>
    <w:rsid w:val="000E0EB6"/>
    <w:rsid w:val="000E294C"/>
    <w:rsid w:val="000E3ADE"/>
    <w:rsid w:val="000E3DE1"/>
    <w:rsid w:val="000E6F49"/>
    <w:rsid w:val="000F0616"/>
    <w:rsid w:val="000F1962"/>
    <w:rsid w:val="000F282D"/>
    <w:rsid w:val="000F2DF0"/>
    <w:rsid w:val="000F4811"/>
    <w:rsid w:val="000F50F3"/>
    <w:rsid w:val="000F58B2"/>
    <w:rsid w:val="000F727F"/>
    <w:rsid w:val="000F7C9B"/>
    <w:rsid w:val="001006BA"/>
    <w:rsid w:val="00100CA0"/>
    <w:rsid w:val="0010239F"/>
    <w:rsid w:val="001031EB"/>
    <w:rsid w:val="0010509D"/>
    <w:rsid w:val="00105EF8"/>
    <w:rsid w:val="001106F1"/>
    <w:rsid w:val="0011185B"/>
    <w:rsid w:val="001120FC"/>
    <w:rsid w:val="0011263F"/>
    <w:rsid w:val="00112D1E"/>
    <w:rsid w:val="001142BE"/>
    <w:rsid w:val="00121329"/>
    <w:rsid w:val="0013085E"/>
    <w:rsid w:val="00131A55"/>
    <w:rsid w:val="00132A29"/>
    <w:rsid w:val="0013446D"/>
    <w:rsid w:val="0013463D"/>
    <w:rsid w:val="00134D5D"/>
    <w:rsid w:val="0014140C"/>
    <w:rsid w:val="00141468"/>
    <w:rsid w:val="0014565A"/>
    <w:rsid w:val="00145B89"/>
    <w:rsid w:val="00145F85"/>
    <w:rsid w:val="00151918"/>
    <w:rsid w:val="00154143"/>
    <w:rsid w:val="001624E2"/>
    <w:rsid w:val="00162B1A"/>
    <w:rsid w:val="001631C6"/>
    <w:rsid w:val="00165305"/>
    <w:rsid w:val="00165E81"/>
    <w:rsid w:val="0016656E"/>
    <w:rsid w:val="001674D8"/>
    <w:rsid w:val="00167656"/>
    <w:rsid w:val="00167C79"/>
    <w:rsid w:val="001701D6"/>
    <w:rsid w:val="00170D55"/>
    <w:rsid w:val="00171FBA"/>
    <w:rsid w:val="001721D8"/>
    <w:rsid w:val="0017278C"/>
    <w:rsid w:val="00172DBF"/>
    <w:rsid w:val="0017322B"/>
    <w:rsid w:val="0017638F"/>
    <w:rsid w:val="0017661A"/>
    <w:rsid w:val="0017732D"/>
    <w:rsid w:val="001810B9"/>
    <w:rsid w:val="00181404"/>
    <w:rsid w:val="00181EF5"/>
    <w:rsid w:val="0018225F"/>
    <w:rsid w:val="00184E50"/>
    <w:rsid w:val="00184FBF"/>
    <w:rsid w:val="00186CE2"/>
    <w:rsid w:val="00186CE7"/>
    <w:rsid w:val="0018725B"/>
    <w:rsid w:val="001939D9"/>
    <w:rsid w:val="00193C64"/>
    <w:rsid w:val="0019569B"/>
    <w:rsid w:val="0019676A"/>
    <w:rsid w:val="00197899"/>
    <w:rsid w:val="001A253F"/>
    <w:rsid w:val="001A3240"/>
    <w:rsid w:val="001A4288"/>
    <w:rsid w:val="001A5A69"/>
    <w:rsid w:val="001A5F0C"/>
    <w:rsid w:val="001A651A"/>
    <w:rsid w:val="001B037D"/>
    <w:rsid w:val="001B1021"/>
    <w:rsid w:val="001B1973"/>
    <w:rsid w:val="001B252F"/>
    <w:rsid w:val="001B57A5"/>
    <w:rsid w:val="001B62B9"/>
    <w:rsid w:val="001C1F87"/>
    <w:rsid w:val="001C2016"/>
    <w:rsid w:val="001C2855"/>
    <w:rsid w:val="001C38CD"/>
    <w:rsid w:val="001C3976"/>
    <w:rsid w:val="001D0647"/>
    <w:rsid w:val="001D0B53"/>
    <w:rsid w:val="001D4B7A"/>
    <w:rsid w:val="001D5A66"/>
    <w:rsid w:val="001D5C82"/>
    <w:rsid w:val="001D61D2"/>
    <w:rsid w:val="001D6CFA"/>
    <w:rsid w:val="001E067D"/>
    <w:rsid w:val="001E0810"/>
    <w:rsid w:val="001E1438"/>
    <w:rsid w:val="001E2AD4"/>
    <w:rsid w:val="001E2DB4"/>
    <w:rsid w:val="001E2DEF"/>
    <w:rsid w:val="001E2FA8"/>
    <w:rsid w:val="001E568B"/>
    <w:rsid w:val="001E5D65"/>
    <w:rsid w:val="001E77D9"/>
    <w:rsid w:val="001E7BF9"/>
    <w:rsid w:val="001E7FFD"/>
    <w:rsid w:val="001F0C29"/>
    <w:rsid w:val="001F1037"/>
    <w:rsid w:val="001F135A"/>
    <w:rsid w:val="001F367B"/>
    <w:rsid w:val="001F4EC2"/>
    <w:rsid w:val="001F5246"/>
    <w:rsid w:val="001F6438"/>
    <w:rsid w:val="002021EE"/>
    <w:rsid w:val="00202BE1"/>
    <w:rsid w:val="00203B0F"/>
    <w:rsid w:val="00203BF4"/>
    <w:rsid w:val="00203EED"/>
    <w:rsid w:val="00205A34"/>
    <w:rsid w:val="002068A8"/>
    <w:rsid w:val="00207631"/>
    <w:rsid w:val="002116B8"/>
    <w:rsid w:val="00211FAB"/>
    <w:rsid w:val="002127DE"/>
    <w:rsid w:val="00214764"/>
    <w:rsid w:val="00215DC0"/>
    <w:rsid w:val="0021667E"/>
    <w:rsid w:val="00217960"/>
    <w:rsid w:val="00220884"/>
    <w:rsid w:val="00221C4C"/>
    <w:rsid w:val="00222122"/>
    <w:rsid w:val="00222C3E"/>
    <w:rsid w:val="002233D9"/>
    <w:rsid w:val="00223907"/>
    <w:rsid w:val="00230626"/>
    <w:rsid w:val="00233054"/>
    <w:rsid w:val="00234317"/>
    <w:rsid w:val="00234AAC"/>
    <w:rsid w:val="002365F0"/>
    <w:rsid w:val="00240083"/>
    <w:rsid w:val="0024041B"/>
    <w:rsid w:val="002409FE"/>
    <w:rsid w:val="00240D75"/>
    <w:rsid w:val="00242502"/>
    <w:rsid w:val="002442C5"/>
    <w:rsid w:val="002448AE"/>
    <w:rsid w:val="00245128"/>
    <w:rsid w:val="002457A0"/>
    <w:rsid w:val="00245E76"/>
    <w:rsid w:val="002470CE"/>
    <w:rsid w:val="0024778C"/>
    <w:rsid w:val="00247A49"/>
    <w:rsid w:val="00250023"/>
    <w:rsid w:val="00250692"/>
    <w:rsid w:val="00252D46"/>
    <w:rsid w:val="00254635"/>
    <w:rsid w:val="00256528"/>
    <w:rsid w:val="00260E51"/>
    <w:rsid w:val="0026100B"/>
    <w:rsid w:val="00262541"/>
    <w:rsid w:val="002632C2"/>
    <w:rsid w:val="00264314"/>
    <w:rsid w:val="00267614"/>
    <w:rsid w:val="00267FC3"/>
    <w:rsid w:val="002708FE"/>
    <w:rsid w:val="00271363"/>
    <w:rsid w:val="00272C4F"/>
    <w:rsid w:val="00272DEE"/>
    <w:rsid w:val="00276610"/>
    <w:rsid w:val="00276858"/>
    <w:rsid w:val="002771FB"/>
    <w:rsid w:val="00280CE9"/>
    <w:rsid w:val="002826D4"/>
    <w:rsid w:val="00282AB3"/>
    <w:rsid w:val="00284867"/>
    <w:rsid w:val="00286902"/>
    <w:rsid w:val="00287043"/>
    <w:rsid w:val="00287B04"/>
    <w:rsid w:val="0029154C"/>
    <w:rsid w:val="0029472A"/>
    <w:rsid w:val="00294D9E"/>
    <w:rsid w:val="00296A46"/>
    <w:rsid w:val="0029764C"/>
    <w:rsid w:val="002A00C4"/>
    <w:rsid w:val="002A2AF3"/>
    <w:rsid w:val="002A33FC"/>
    <w:rsid w:val="002A4085"/>
    <w:rsid w:val="002A44D8"/>
    <w:rsid w:val="002A503F"/>
    <w:rsid w:val="002A61EF"/>
    <w:rsid w:val="002A76ED"/>
    <w:rsid w:val="002B0069"/>
    <w:rsid w:val="002B081A"/>
    <w:rsid w:val="002B24F2"/>
    <w:rsid w:val="002B4AAE"/>
    <w:rsid w:val="002B58CD"/>
    <w:rsid w:val="002B62B8"/>
    <w:rsid w:val="002B6D2C"/>
    <w:rsid w:val="002B7C4C"/>
    <w:rsid w:val="002C06B5"/>
    <w:rsid w:val="002C1336"/>
    <w:rsid w:val="002C5181"/>
    <w:rsid w:val="002C6839"/>
    <w:rsid w:val="002C6E0E"/>
    <w:rsid w:val="002C7C6F"/>
    <w:rsid w:val="002C7D9F"/>
    <w:rsid w:val="002C7F22"/>
    <w:rsid w:val="002D04F6"/>
    <w:rsid w:val="002D06F3"/>
    <w:rsid w:val="002D3D38"/>
    <w:rsid w:val="002D4DA0"/>
    <w:rsid w:val="002E2372"/>
    <w:rsid w:val="002E431D"/>
    <w:rsid w:val="002E6442"/>
    <w:rsid w:val="002E68F9"/>
    <w:rsid w:val="002F0ADA"/>
    <w:rsid w:val="002F4A01"/>
    <w:rsid w:val="002F5DFD"/>
    <w:rsid w:val="002F744B"/>
    <w:rsid w:val="0030039E"/>
    <w:rsid w:val="003019F8"/>
    <w:rsid w:val="00301ADD"/>
    <w:rsid w:val="00301BFE"/>
    <w:rsid w:val="003027F6"/>
    <w:rsid w:val="003029EF"/>
    <w:rsid w:val="00304611"/>
    <w:rsid w:val="00310C43"/>
    <w:rsid w:val="00312B0D"/>
    <w:rsid w:val="0031557B"/>
    <w:rsid w:val="00317414"/>
    <w:rsid w:val="00317F66"/>
    <w:rsid w:val="00321405"/>
    <w:rsid w:val="00323BBB"/>
    <w:rsid w:val="00324473"/>
    <w:rsid w:val="00324D06"/>
    <w:rsid w:val="00324F63"/>
    <w:rsid w:val="00325C23"/>
    <w:rsid w:val="00325F93"/>
    <w:rsid w:val="00327D23"/>
    <w:rsid w:val="00327F30"/>
    <w:rsid w:val="0033031F"/>
    <w:rsid w:val="00331BAE"/>
    <w:rsid w:val="00332E75"/>
    <w:rsid w:val="00334209"/>
    <w:rsid w:val="00335237"/>
    <w:rsid w:val="00336BEC"/>
    <w:rsid w:val="00341E5C"/>
    <w:rsid w:val="00342223"/>
    <w:rsid w:val="003435AC"/>
    <w:rsid w:val="00343629"/>
    <w:rsid w:val="00343951"/>
    <w:rsid w:val="00343EF8"/>
    <w:rsid w:val="003446A8"/>
    <w:rsid w:val="00344727"/>
    <w:rsid w:val="00344C46"/>
    <w:rsid w:val="00350363"/>
    <w:rsid w:val="00353008"/>
    <w:rsid w:val="00355FCA"/>
    <w:rsid w:val="0035635F"/>
    <w:rsid w:val="00357910"/>
    <w:rsid w:val="00360A22"/>
    <w:rsid w:val="00361399"/>
    <w:rsid w:val="0036281E"/>
    <w:rsid w:val="00362F87"/>
    <w:rsid w:val="0036333E"/>
    <w:rsid w:val="00365B3B"/>
    <w:rsid w:val="0036715A"/>
    <w:rsid w:val="003674F0"/>
    <w:rsid w:val="00373C06"/>
    <w:rsid w:val="0037447A"/>
    <w:rsid w:val="0037464E"/>
    <w:rsid w:val="003759D6"/>
    <w:rsid w:val="003770DE"/>
    <w:rsid w:val="00381D7D"/>
    <w:rsid w:val="00382B59"/>
    <w:rsid w:val="00383861"/>
    <w:rsid w:val="003853A8"/>
    <w:rsid w:val="00387EDF"/>
    <w:rsid w:val="0039107F"/>
    <w:rsid w:val="00393605"/>
    <w:rsid w:val="00393CB1"/>
    <w:rsid w:val="00394A26"/>
    <w:rsid w:val="0039539D"/>
    <w:rsid w:val="00395571"/>
    <w:rsid w:val="00397D32"/>
    <w:rsid w:val="003A3AE6"/>
    <w:rsid w:val="003A3D78"/>
    <w:rsid w:val="003A629F"/>
    <w:rsid w:val="003A671D"/>
    <w:rsid w:val="003B0F07"/>
    <w:rsid w:val="003B2977"/>
    <w:rsid w:val="003B3940"/>
    <w:rsid w:val="003B3C20"/>
    <w:rsid w:val="003B57CE"/>
    <w:rsid w:val="003B5F11"/>
    <w:rsid w:val="003D1B49"/>
    <w:rsid w:val="003D2BC5"/>
    <w:rsid w:val="003D40C3"/>
    <w:rsid w:val="003D4D77"/>
    <w:rsid w:val="003D4EF1"/>
    <w:rsid w:val="003D56A8"/>
    <w:rsid w:val="003D64E7"/>
    <w:rsid w:val="003D7202"/>
    <w:rsid w:val="003E3E3A"/>
    <w:rsid w:val="003E756B"/>
    <w:rsid w:val="003F110B"/>
    <w:rsid w:val="003F216A"/>
    <w:rsid w:val="003F2397"/>
    <w:rsid w:val="003F25D3"/>
    <w:rsid w:val="003F44F6"/>
    <w:rsid w:val="003F5141"/>
    <w:rsid w:val="003F62D2"/>
    <w:rsid w:val="003F737A"/>
    <w:rsid w:val="00400121"/>
    <w:rsid w:val="00402262"/>
    <w:rsid w:val="004028C7"/>
    <w:rsid w:val="004042C2"/>
    <w:rsid w:val="00404780"/>
    <w:rsid w:val="004071A2"/>
    <w:rsid w:val="0040751A"/>
    <w:rsid w:val="00413994"/>
    <w:rsid w:val="00413C1B"/>
    <w:rsid w:val="004151D9"/>
    <w:rsid w:val="00417FF5"/>
    <w:rsid w:val="00420B95"/>
    <w:rsid w:val="00422B76"/>
    <w:rsid w:val="00424C8F"/>
    <w:rsid w:val="004261C8"/>
    <w:rsid w:val="004304A0"/>
    <w:rsid w:val="004311BB"/>
    <w:rsid w:val="004313BA"/>
    <w:rsid w:val="00432819"/>
    <w:rsid w:val="00437487"/>
    <w:rsid w:val="00440388"/>
    <w:rsid w:val="00441055"/>
    <w:rsid w:val="00443602"/>
    <w:rsid w:val="004453F2"/>
    <w:rsid w:val="00446884"/>
    <w:rsid w:val="00446F12"/>
    <w:rsid w:val="0044738D"/>
    <w:rsid w:val="00452D57"/>
    <w:rsid w:val="00455FC0"/>
    <w:rsid w:val="00461F5A"/>
    <w:rsid w:val="00465B14"/>
    <w:rsid w:val="00465CBE"/>
    <w:rsid w:val="004663F8"/>
    <w:rsid w:val="00466F98"/>
    <w:rsid w:val="00470454"/>
    <w:rsid w:val="00470812"/>
    <w:rsid w:val="00472D3B"/>
    <w:rsid w:val="0047359E"/>
    <w:rsid w:val="00473AA0"/>
    <w:rsid w:val="0047454E"/>
    <w:rsid w:val="00474DD3"/>
    <w:rsid w:val="00480FBC"/>
    <w:rsid w:val="0048114D"/>
    <w:rsid w:val="00482ADE"/>
    <w:rsid w:val="00483005"/>
    <w:rsid w:val="004835C3"/>
    <w:rsid w:val="004843F9"/>
    <w:rsid w:val="00484411"/>
    <w:rsid w:val="00484682"/>
    <w:rsid w:val="00484C80"/>
    <w:rsid w:val="00484F0F"/>
    <w:rsid w:val="0048616A"/>
    <w:rsid w:val="004867F3"/>
    <w:rsid w:val="00486D37"/>
    <w:rsid w:val="00487028"/>
    <w:rsid w:val="004900E0"/>
    <w:rsid w:val="004930BE"/>
    <w:rsid w:val="0049342A"/>
    <w:rsid w:val="00494A41"/>
    <w:rsid w:val="0049514B"/>
    <w:rsid w:val="004953EF"/>
    <w:rsid w:val="004979F8"/>
    <w:rsid w:val="00497D61"/>
    <w:rsid w:val="004A0590"/>
    <w:rsid w:val="004A088B"/>
    <w:rsid w:val="004A0BE0"/>
    <w:rsid w:val="004A23B6"/>
    <w:rsid w:val="004A2CCD"/>
    <w:rsid w:val="004A2DFB"/>
    <w:rsid w:val="004A3000"/>
    <w:rsid w:val="004A5D68"/>
    <w:rsid w:val="004A74AA"/>
    <w:rsid w:val="004B16F6"/>
    <w:rsid w:val="004B1C8E"/>
    <w:rsid w:val="004B2957"/>
    <w:rsid w:val="004B4FFC"/>
    <w:rsid w:val="004B5FDD"/>
    <w:rsid w:val="004C225C"/>
    <w:rsid w:val="004C3CE9"/>
    <w:rsid w:val="004C4C35"/>
    <w:rsid w:val="004C65A5"/>
    <w:rsid w:val="004C6C54"/>
    <w:rsid w:val="004C6D1F"/>
    <w:rsid w:val="004D12AB"/>
    <w:rsid w:val="004D1434"/>
    <w:rsid w:val="004D4DCC"/>
    <w:rsid w:val="004D505B"/>
    <w:rsid w:val="004E0238"/>
    <w:rsid w:val="004E1461"/>
    <w:rsid w:val="004E37A1"/>
    <w:rsid w:val="004E463B"/>
    <w:rsid w:val="004E6024"/>
    <w:rsid w:val="004F0463"/>
    <w:rsid w:val="004F0E3B"/>
    <w:rsid w:val="004F37A5"/>
    <w:rsid w:val="004F4F6B"/>
    <w:rsid w:val="004F536C"/>
    <w:rsid w:val="004F5451"/>
    <w:rsid w:val="004F6BFC"/>
    <w:rsid w:val="004F6D54"/>
    <w:rsid w:val="00502967"/>
    <w:rsid w:val="005038FD"/>
    <w:rsid w:val="0050587F"/>
    <w:rsid w:val="00507B0B"/>
    <w:rsid w:val="00512AFA"/>
    <w:rsid w:val="00513592"/>
    <w:rsid w:val="00514328"/>
    <w:rsid w:val="0051471E"/>
    <w:rsid w:val="0051653D"/>
    <w:rsid w:val="00523158"/>
    <w:rsid w:val="005242F4"/>
    <w:rsid w:val="0052474B"/>
    <w:rsid w:val="00526A3B"/>
    <w:rsid w:val="005277AA"/>
    <w:rsid w:val="005306C0"/>
    <w:rsid w:val="00531730"/>
    <w:rsid w:val="00532245"/>
    <w:rsid w:val="0053239F"/>
    <w:rsid w:val="005365A7"/>
    <w:rsid w:val="00537210"/>
    <w:rsid w:val="00540D75"/>
    <w:rsid w:val="005413A4"/>
    <w:rsid w:val="00541E8E"/>
    <w:rsid w:val="00544533"/>
    <w:rsid w:val="0054508B"/>
    <w:rsid w:val="005521E1"/>
    <w:rsid w:val="00552C06"/>
    <w:rsid w:val="00553E1E"/>
    <w:rsid w:val="00554EE4"/>
    <w:rsid w:val="0055541F"/>
    <w:rsid w:val="005562DA"/>
    <w:rsid w:val="00557F51"/>
    <w:rsid w:val="00560FD0"/>
    <w:rsid w:val="00561273"/>
    <w:rsid w:val="005620B6"/>
    <w:rsid w:val="00562AFF"/>
    <w:rsid w:val="00562DC0"/>
    <w:rsid w:val="005637A0"/>
    <w:rsid w:val="00563921"/>
    <w:rsid w:val="00564C1D"/>
    <w:rsid w:val="00564C61"/>
    <w:rsid w:val="00566A89"/>
    <w:rsid w:val="00566B96"/>
    <w:rsid w:val="00567422"/>
    <w:rsid w:val="00570F60"/>
    <w:rsid w:val="005741A2"/>
    <w:rsid w:val="005766C6"/>
    <w:rsid w:val="005809FA"/>
    <w:rsid w:val="00580E90"/>
    <w:rsid w:val="00584A23"/>
    <w:rsid w:val="00585DEC"/>
    <w:rsid w:val="00586836"/>
    <w:rsid w:val="00587419"/>
    <w:rsid w:val="0059121E"/>
    <w:rsid w:val="00591D50"/>
    <w:rsid w:val="00594171"/>
    <w:rsid w:val="0059452F"/>
    <w:rsid w:val="005960B8"/>
    <w:rsid w:val="00596580"/>
    <w:rsid w:val="00596BAB"/>
    <w:rsid w:val="00597817"/>
    <w:rsid w:val="005A0193"/>
    <w:rsid w:val="005A0D4C"/>
    <w:rsid w:val="005A2056"/>
    <w:rsid w:val="005A4B4C"/>
    <w:rsid w:val="005B0A3A"/>
    <w:rsid w:val="005B0CE3"/>
    <w:rsid w:val="005B0D1A"/>
    <w:rsid w:val="005B24AB"/>
    <w:rsid w:val="005B24D5"/>
    <w:rsid w:val="005B2915"/>
    <w:rsid w:val="005B3530"/>
    <w:rsid w:val="005B4082"/>
    <w:rsid w:val="005B4BC3"/>
    <w:rsid w:val="005C0A57"/>
    <w:rsid w:val="005C3245"/>
    <w:rsid w:val="005C5CEE"/>
    <w:rsid w:val="005C7D15"/>
    <w:rsid w:val="005D0DB3"/>
    <w:rsid w:val="005D1524"/>
    <w:rsid w:val="005D264A"/>
    <w:rsid w:val="005D321C"/>
    <w:rsid w:val="005D4E41"/>
    <w:rsid w:val="005D631A"/>
    <w:rsid w:val="005E0783"/>
    <w:rsid w:val="005E2421"/>
    <w:rsid w:val="005E25C5"/>
    <w:rsid w:val="005E374A"/>
    <w:rsid w:val="005E3C9C"/>
    <w:rsid w:val="005E482A"/>
    <w:rsid w:val="005E5409"/>
    <w:rsid w:val="005E5567"/>
    <w:rsid w:val="005E55B2"/>
    <w:rsid w:val="005E71ED"/>
    <w:rsid w:val="005E7A93"/>
    <w:rsid w:val="005F3E86"/>
    <w:rsid w:val="005F4D4F"/>
    <w:rsid w:val="00600AC3"/>
    <w:rsid w:val="00601490"/>
    <w:rsid w:val="00602B82"/>
    <w:rsid w:val="00603D7B"/>
    <w:rsid w:val="00603E10"/>
    <w:rsid w:val="00603F7E"/>
    <w:rsid w:val="00605C58"/>
    <w:rsid w:val="006076C5"/>
    <w:rsid w:val="00611189"/>
    <w:rsid w:val="00611826"/>
    <w:rsid w:val="00612F0E"/>
    <w:rsid w:val="00613584"/>
    <w:rsid w:val="00613C14"/>
    <w:rsid w:val="00613F09"/>
    <w:rsid w:val="00614303"/>
    <w:rsid w:val="00614928"/>
    <w:rsid w:val="006153B7"/>
    <w:rsid w:val="00616A6C"/>
    <w:rsid w:val="0061776A"/>
    <w:rsid w:val="00622DF0"/>
    <w:rsid w:val="0062510F"/>
    <w:rsid w:val="00627FD2"/>
    <w:rsid w:val="0063059C"/>
    <w:rsid w:val="006308AA"/>
    <w:rsid w:val="00630ABF"/>
    <w:rsid w:val="00630B62"/>
    <w:rsid w:val="00631880"/>
    <w:rsid w:val="006346B3"/>
    <w:rsid w:val="00634BFA"/>
    <w:rsid w:val="0063727F"/>
    <w:rsid w:val="00637E32"/>
    <w:rsid w:val="00642449"/>
    <w:rsid w:val="00642B07"/>
    <w:rsid w:val="00644941"/>
    <w:rsid w:val="00646208"/>
    <w:rsid w:val="0064778D"/>
    <w:rsid w:val="00647A2E"/>
    <w:rsid w:val="00650416"/>
    <w:rsid w:val="006527BC"/>
    <w:rsid w:val="00652DC4"/>
    <w:rsid w:val="006538AE"/>
    <w:rsid w:val="00654EEF"/>
    <w:rsid w:val="0066005E"/>
    <w:rsid w:val="0066035D"/>
    <w:rsid w:val="006629D0"/>
    <w:rsid w:val="00665162"/>
    <w:rsid w:val="00665186"/>
    <w:rsid w:val="006719C9"/>
    <w:rsid w:val="00672AAD"/>
    <w:rsid w:val="00672D26"/>
    <w:rsid w:val="00672D3B"/>
    <w:rsid w:val="00674256"/>
    <w:rsid w:val="006747C6"/>
    <w:rsid w:val="006753C9"/>
    <w:rsid w:val="00675467"/>
    <w:rsid w:val="006766E7"/>
    <w:rsid w:val="00680BA5"/>
    <w:rsid w:val="006818A1"/>
    <w:rsid w:val="00682432"/>
    <w:rsid w:val="00683760"/>
    <w:rsid w:val="00683EE7"/>
    <w:rsid w:val="006854FB"/>
    <w:rsid w:val="00685CF1"/>
    <w:rsid w:val="00686452"/>
    <w:rsid w:val="00686C97"/>
    <w:rsid w:val="00687426"/>
    <w:rsid w:val="00690CBF"/>
    <w:rsid w:val="00690F49"/>
    <w:rsid w:val="00692158"/>
    <w:rsid w:val="00692DEE"/>
    <w:rsid w:val="0069338B"/>
    <w:rsid w:val="006937B4"/>
    <w:rsid w:val="00697B82"/>
    <w:rsid w:val="006A0FB7"/>
    <w:rsid w:val="006A2EA1"/>
    <w:rsid w:val="006A371C"/>
    <w:rsid w:val="006A4C2A"/>
    <w:rsid w:val="006A59B6"/>
    <w:rsid w:val="006A69A9"/>
    <w:rsid w:val="006A7FAF"/>
    <w:rsid w:val="006B118D"/>
    <w:rsid w:val="006B20FC"/>
    <w:rsid w:val="006B254D"/>
    <w:rsid w:val="006B2903"/>
    <w:rsid w:val="006B2E8D"/>
    <w:rsid w:val="006B3134"/>
    <w:rsid w:val="006B53C3"/>
    <w:rsid w:val="006B5F33"/>
    <w:rsid w:val="006B6B77"/>
    <w:rsid w:val="006B7B3D"/>
    <w:rsid w:val="006B7D58"/>
    <w:rsid w:val="006C006A"/>
    <w:rsid w:val="006C30B9"/>
    <w:rsid w:val="006C53BD"/>
    <w:rsid w:val="006D031E"/>
    <w:rsid w:val="006D079A"/>
    <w:rsid w:val="006D58DE"/>
    <w:rsid w:val="006D74BA"/>
    <w:rsid w:val="006E4028"/>
    <w:rsid w:val="006E441D"/>
    <w:rsid w:val="006E7CA1"/>
    <w:rsid w:val="006F08D4"/>
    <w:rsid w:val="006F1D85"/>
    <w:rsid w:val="006F28F9"/>
    <w:rsid w:val="006F2E31"/>
    <w:rsid w:val="006F409E"/>
    <w:rsid w:val="006F5ABC"/>
    <w:rsid w:val="007007EC"/>
    <w:rsid w:val="00701BCB"/>
    <w:rsid w:val="007116F4"/>
    <w:rsid w:val="0071195C"/>
    <w:rsid w:val="007143F6"/>
    <w:rsid w:val="007176A5"/>
    <w:rsid w:val="00717784"/>
    <w:rsid w:val="007228AD"/>
    <w:rsid w:val="00722D7D"/>
    <w:rsid w:val="00725694"/>
    <w:rsid w:val="00725F8C"/>
    <w:rsid w:val="00726226"/>
    <w:rsid w:val="0072636F"/>
    <w:rsid w:val="00727782"/>
    <w:rsid w:val="00732447"/>
    <w:rsid w:val="007325F2"/>
    <w:rsid w:val="007363E5"/>
    <w:rsid w:val="007366F0"/>
    <w:rsid w:val="00736B87"/>
    <w:rsid w:val="00736E08"/>
    <w:rsid w:val="007403CD"/>
    <w:rsid w:val="00741322"/>
    <w:rsid w:val="007464F3"/>
    <w:rsid w:val="0074670A"/>
    <w:rsid w:val="00746E66"/>
    <w:rsid w:val="00747341"/>
    <w:rsid w:val="007506A0"/>
    <w:rsid w:val="007518B7"/>
    <w:rsid w:val="00751C23"/>
    <w:rsid w:val="0075323C"/>
    <w:rsid w:val="0075404A"/>
    <w:rsid w:val="00755052"/>
    <w:rsid w:val="007550FA"/>
    <w:rsid w:val="007572D3"/>
    <w:rsid w:val="00757FCB"/>
    <w:rsid w:val="00762BB3"/>
    <w:rsid w:val="00763D1B"/>
    <w:rsid w:val="0076609A"/>
    <w:rsid w:val="0076621A"/>
    <w:rsid w:val="00767FE0"/>
    <w:rsid w:val="007717D6"/>
    <w:rsid w:val="00771FB4"/>
    <w:rsid w:val="00773CFA"/>
    <w:rsid w:val="00773DEC"/>
    <w:rsid w:val="00774FB8"/>
    <w:rsid w:val="00780AD2"/>
    <w:rsid w:val="00780E8B"/>
    <w:rsid w:val="007841A3"/>
    <w:rsid w:val="00784AE6"/>
    <w:rsid w:val="00784CAD"/>
    <w:rsid w:val="0078779F"/>
    <w:rsid w:val="00787807"/>
    <w:rsid w:val="007926CB"/>
    <w:rsid w:val="00792D3C"/>
    <w:rsid w:val="00793661"/>
    <w:rsid w:val="00795AE5"/>
    <w:rsid w:val="00796700"/>
    <w:rsid w:val="007A0E4B"/>
    <w:rsid w:val="007A1CEA"/>
    <w:rsid w:val="007A253D"/>
    <w:rsid w:val="007A265C"/>
    <w:rsid w:val="007A3F65"/>
    <w:rsid w:val="007A435D"/>
    <w:rsid w:val="007A4BDF"/>
    <w:rsid w:val="007A4D15"/>
    <w:rsid w:val="007A6861"/>
    <w:rsid w:val="007B0170"/>
    <w:rsid w:val="007B4796"/>
    <w:rsid w:val="007B4A8E"/>
    <w:rsid w:val="007B75D1"/>
    <w:rsid w:val="007C1105"/>
    <w:rsid w:val="007C2AA2"/>
    <w:rsid w:val="007C3B6B"/>
    <w:rsid w:val="007C445F"/>
    <w:rsid w:val="007C4536"/>
    <w:rsid w:val="007C4A62"/>
    <w:rsid w:val="007C55F4"/>
    <w:rsid w:val="007C5D73"/>
    <w:rsid w:val="007C5E6C"/>
    <w:rsid w:val="007C7AC3"/>
    <w:rsid w:val="007C7D12"/>
    <w:rsid w:val="007D086B"/>
    <w:rsid w:val="007D0D1B"/>
    <w:rsid w:val="007D273D"/>
    <w:rsid w:val="007D3575"/>
    <w:rsid w:val="007D6A1F"/>
    <w:rsid w:val="007D7B02"/>
    <w:rsid w:val="007E0308"/>
    <w:rsid w:val="007E2933"/>
    <w:rsid w:val="007E474D"/>
    <w:rsid w:val="007E4AF3"/>
    <w:rsid w:val="007E4F73"/>
    <w:rsid w:val="007E5194"/>
    <w:rsid w:val="007E5DED"/>
    <w:rsid w:val="007E628B"/>
    <w:rsid w:val="007E65E8"/>
    <w:rsid w:val="007E6708"/>
    <w:rsid w:val="007E6804"/>
    <w:rsid w:val="007E6863"/>
    <w:rsid w:val="007F0338"/>
    <w:rsid w:val="007F08AA"/>
    <w:rsid w:val="007F1CC8"/>
    <w:rsid w:val="007F1DAF"/>
    <w:rsid w:val="007F2AF4"/>
    <w:rsid w:val="007F4F79"/>
    <w:rsid w:val="007F7E52"/>
    <w:rsid w:val="00800AAD"/>
    <w:rsid w:val="00800CDB"/>
    <w:rsid w:val="0080308E"/>
    <w:rsid w:val="00803E96"/>
    <w:rsid w:val="0080433B"/>
    <w:rsid w:val="008048A5"/>
    <w:rsid w:val="008048D3"/>
    <w:rsid w:val="00805A33"/>
    <w:rsid w:val="00813466"/>
    <w:rsid w:val="00814E70"/>
    <w:rsid w:val="00815D6A"/>
    <w:rsid w:val="00816C09"/>
    <w:rsid w:val="00817D07"/>
    <w:rsid w:val="00823BBE"/>
    <w:rsid w:val="0082514B"/>
    <w:rsid w:val="0082525E"/>
    <w:rsid w:val="00825539"/>
    <w:rsid w:val="0083104E"/>
    <w:rsid w:val="00832178"/>
    <w:rsid w:val="00832199"/>
    <w:rsid w:val="00832D0D"/>
    <w:rsid w:val="0083393A"/>
    <w:rsid w:val="0084007B"/>
    <w:rsid w:val="0084167B"/>
    <w:rsid w:val="008462B2"/>
    <w:rsid w:val="008464B6"/>
    <w:rsid w:val="008466AF"/>
    <w:rsid w:val="008504E4"/>
    <w:rsid w:val="0085053D"/>
    <w:rsid w:val="008541E3"/>
    <w:rsid w:val="00854A14"/>
    <w:rsid w:val="008564BB"/>
    <w:rsid w:val="008566AA"/>
    <w:rsid w:val="00861C90"/>
    <w:rsid w:val="008629F1"/>
    <w:rsid w:val="00863C28"/>
    <w:rsid w:val="00865D23"/>
    <w:rsid w:val="0086719C"/>
    <w:rsid w:val="00867BB5"/>
    <w:rsid w:val="00871295"/>
    <w:rsid w:val="00871B63"/>
    <w:rsid w:val="0087205E"/>
    <w:rsid w:val="00873C64"/>
    <w:rsid w:val="008744AD"/>
    <w:rsid w:val="00875622"/>
    <w:rsid w:val="00875DF7"/>
    <w:rsid w:val="008761F9"/>
    <w:rsid w:val="008801FC"/>
    <w:rsid w:val="00880796"/>
    <w:rsid w:val="00880A63"/>
    <w:rsid w:val="00881E1E"/>
    <w:rsid w:val="00885E9C"/>
    <w:rsid w:val="0088719F"/>
    <w:rsid w:val="0088769E"/>
    <w:rsid w:val="00890951"/>
    <w:rsid w:val="00891699"/>
    <w:rsid w:val="008949E2"/>
    <w:rsid w:val="00895BBE"/>
    <w:rsid w:val="00895C7E"/>
    <w:rsid w:val="00897087"/>
    <w:rsid w:val="00897FFE"/>
    <w:rsid w:val="008A1345"/>
    <w:rsid w:val="008A19EC"/>
    <w:rsid w:val="008A2DB4"/>
    <w:rsid w:val="008A3F48"/>
    <w:rsid w:val="008A6AC6"/>
    <w:rsid w:val="008B1391"/>
    <w:rsid w:val="008B25E0"/>
    <w:rsid w:val="008B3C3F"/>
    <w:rsid w:val="008B3D74"/>
    <w:rsid w:val="008B571C"/>
    <w:rsid w:val="008B5D48"/>
    <w:rsid w:val="008C0450"/>
    <w:rsid w:val="008C45F2"/>
    <w:rsid w:val="008C468C"/>
    <w:rsid w:val="008C57E3"/>
    <w:rsid w:val="008C699B"/>
    <w:rsid w:val="008D306F"/>
    <w:rsid w:val="008E4EFD"/>
    <w:rsid w:val="008E6321"/>
    <w:rsid w:val="008E6B4F"/>
    <w:rsid w:val="008F0C4D"/>
    <w:rsid w:val="008F1DA8"/>
    <w:rsid w:val="008F252E"/>
    <w:rsid w:val="008F4500"/>
    <w:rsid w:val="008F478A"/>
    <w:rsid w:val="008F48B2"/>
    <w:rsid w:val="008F5107"/>
    <w:rsid w:val="008F709D"/>
    <w:rsid w:val="00900FEA"/>
    <w:rsid w:val="00902CDE"/>
    <w:rsid w:val="00903E09"/>
    <w:rsid w:val="00904174"/>
    <w:rsid w:val="0090640F"/>
    <w:rsid w:val="00906D82"/>
    <w:rsid w:val="0091009A"/>
    <w:rsid w:val="00910DFE"/>
    <w:rsid w:val="00914A5C"/>
    <w:rsid w:val="00915E15"/>
    <w:rsid w:val="00915F49"/>
    <w:rsid w:val="00922BA2"/>
    <w:rsid w:val="00922C78"/>
    <w:rsid w:val="00923157"/>
    <w:rsid w:val="009246FF"/>
    <w:rsid w:val="00925CCE"/>
    <w:rsid w:val="00926456"/>
    <w:rsid w:val="00930518"/>
    <w:rsid w:val="00935507"/>
    <w:rsid w:val="009362AD"/>
    <w:rsid w:val="00937558"/>
    <w:rsid w:val="009411A9"/>
    <w:rsid w:val="00943AFA"/>
    <w:rsid w:val="0094412C"/>
    <w:rsid w:val="00950EB3"/>
    <w:rsid w:val="00950F57"/>
    <w:rsid w:val="00956AD5"/>
    <w:rsid w:val="00957134"/>
    <w:rsid w:val="009579C7"/>
    <w:rsid w:val="00962F60"/>
    <w:rsid w:val="009640C9"/>
    <w:rsid w:val="0096488D"/>
    <w:rsid w:val="009657A2"/>
    <w:rsid w:val="0096605B"/>
    <w:rsid w:val="00966E3E"/>
    <w:rsid w:val="0097006A"/>
    <w:rsid w:val="00971AFD"/>
    <w:rsid w:val="00973DD5"/>
    <w:rsid w:val="009743BC"/>
    <w:rsid w:val="00974D39"/>
    <w:rsid w:val="009751A6"/>
    <w:rsid w:val="00975515"/>
    <w:rsid w:val="00981339"/>
    <w:rsid w:val="009827A1"/>
    <w:rsid w:val="00982CDB"/>
    <w:rsid w:val="00984A15"/>
    <w:rsid w:val="009877C9"/>
    <w:rsid w:val="0099292E"/>
    <w:rsid w:val="0099357F"/>
    <w:rsid w:val="00993A5A"/>
    <w:rsid w:val="00996691"/>
    <w:rsid w:val="00997FAC"/>
    <w:rsid w:val="009A1E82"/>
    <w:rsid w:val="009A3A26"/>
    <w:rsid w:val="009A3BC5"/>
    <w:rsid w:val="009A41FB"/>
    <w:rsid w:val="009A4E41"/>
    <w:rsid w:val="009A4EBA"/>
    <w:rsid w:val="009A60D5"/>
    <w:rsid w:val="009B54CC"/>
    <w:rsid w:val="009B5647"/>
    <w:rsid w:val="009C0726"/>
    <w:rsid w:val="009C55DB"/>
    <w:rsid w:val="009D13FD"/>
    <w:rsid w:val="009D3A7E"/>
    <w:rsid w:val="009D4E77"/>
    <w:rsid w:val="009D7B99"/>
    <w:rsid w:val="009E1032"/>
    <w:rsid w:val="009E3B8B"/>
    <w:rsid w:val="009E4CDF"/>
    <w:rsid w:val="009E54C5"/>
    <w:rsid w:val="009E67AC"/>
    <w:rsid w:val="009E699F"/>
    <w:rsid w:val="009E7955"/>
    <w:rsid w:val="009F082C"/>
    <w:rsid w:val="009F1412"/>
    <w:rsid w:val="009F2694"/>
    <w:rsid w:val="009F2F10"/>
    <w:rsid w:val="009F3D90"/>
    <w:rsid w:val="009F706A"/>
    <w:rsid w:val="009F7867"/>
    <w:rsid w:val="00A00C02"/>
    <w:rsid w:val="00A01997"/>
    <w:rsid w:val="00A01E01"/>
    <w:rsid w:val="00A0223C"/>
    <w:rsid w:val="00A033FB"/>
    <w:rsid w:val="00A05683"/>
    <w:rsid w:val="00A05CED"/>
    <w:rsid w:val="00A065F9"/>
    <w:rsid w:val="00A06734"/>
    <w:rsid w:val="00A06C73"/>
    <w:rsid w:val="00A0722A"/>
    <w:rsid w:val="00A078B1"/>
    <w:rsid w:val="00A07A0D"/>
    <w:rsid w:val="00A07C4D"/>
    <w:rsid w:val="00A145E7"/>
    <w:rsid w:val="00A14A69"/>
    <w:rsid w:val="00A21BAC"/>
    <w:rsid w:val="00A21EA2"/>
    <w:rsid w:val="00A2205C"/>
    <w:rsid w:val="00A22DA3"/>
    <w:rsid w:val="00A23408"/>
    <w:rsid w:val="00A23AC4"/>
    <w:rsid w:val="00A23C2B"/>
    <w:rsid w:val="00A24D54"/>
    <w:rsid w:val="00A3077A"/>
    <w:rsid w:val="00A34597"/>
    <w:rsid w:val="00A345D6"/>
    <w:rsid w:val="00A34AF6"/>
    <w:rsid w:val="00A377DE"/>
    <w:rsid w:val="00A411ED"/>
    <w:rsid w:val="00A41CF6"/>
    <w:rsid w:val="00A42AF3"/>
    <w:rsid w:val="00A42BEB"/>
    <w:rsid w:val="00A43771"/>
    <w:rsid w:val="00A44EAE"/>
    <w:rsid w:val="00A453F4"/>
    <w:rsid w:val="00A45572"/>
    <w:rsid w:val="00A46F0D"/>
    <w:rsid w:val="00A47199"/>
    <w:rsid w:val="00A47F3C"/>
    <w:rsid w:val="00A51365"/>
    <w:rsid w:val="00A57FA9"/>
    <w:rsid w:val="00A603A2"/>
    <w:rsid w:val="00A60D62"/>
    <w:rsid w:val="00A60F81"/>
    <w:rsid w:val="00A6166B"/>
    <w:rsid w:val="00A616AE"/>
    <w:rsid w:val="00A620DB"/>
    <w:rsid w:val="00A62E25"/>
    <w:rsid w:val="00A6361B"/>
    <w:rsid w:val="00A66B85"/>
    <w:rsid w:val="00A66C1C"/>
    <w:rsid w:val="00A67C6D"/>
    <w:rsid w:val="00A67F56"/>
    <w:rsid w:val="00A712F1"/>
    <w:rsid w:val="00A71EAA"/>
    <w:rsid w:val="00A72390"/>
    <w:rsid w:val="00A726AD"/>
    <w:rsid w:val="00A72740"/>
    <w:rsid w:val="00A72E84"/>
    <w:rsid w:val="00A753AE"/>
    <w:rsid w:val="00A75B4A"/>
    <w:rsid w:val="00A75E82"/>
    <w:rsid w:val="00A768AD"/>
    <w:rsid w:val="00A80F85"/>
    <w:rsid w:val="00A823BC"/>
    <w:rsid w:val="00A828DF"/>
    <w:rsid w:val="00A8429C"/>
    <w:rsid w:val="00A8442D"/>
    <w:rsid w:val="00A84F94"/>
    <w:rsid w:val="00A85D2E"/>
    <w:rsid w:val="00A868BC"/>
    <w:rsid w:val="00A8755C"/>
    <w:rsid w:val="00A90C71"/>
    <w:rsid w:val="00A92122"/>
    <w:rsid w:val="00A935AC"/>
    <w:rsid w:val="00A936A4"/>
    <w:rsid w:val="00A96753"/>
    <w:rsid w:val="00A97FED"/>
    <w:rsid w:val="00AA00D4"/>
    <w:rsid w:val="00AA03F2"/>
    <w:rsid w:val="00AA1265"/>
    <w:rsid w:val="00AA1374"/>
    <w:rsid w:val="00AA20EF"/>
    <w:rsid w:val="00AA23C1"/>
    <w:rsid w:val="00AA3FBC"/>
    <w:rsid w:val="00AA62D5"/>
    <w:rsid w:val="00AA772C"/>
    <w:rsid w:val="00AA7FBE"/>
    <w:rsid w:val="00AB1DB3"/>
    <w:rsid w:val="00AB2E38"/>
    <w:rsid w:val="00AB3B8D"/>
    <w:rsid w:val="00AB40BE"/>
    <w:rsid w:val="00AB6542"/>
    <w:rsid w:val="00AB751E"/>
    <w:rsid w:val="00AB7AB9"/>
    <w:rsid w:val="00AB7E89"/>
    <w:rsid w:val="00AC2213"/>
    <w:rsid w:val="00AC25E7"/>
    <w:rsid w:val="00AC26B4"/>
    <w:rsid w:val="00AC35F2"/>
    <w:rsid w:val="00AC461A"/>
    <w:rsid w:val="00AC4B28"/>
    <w:rsid w:val="00AC63E6"/>
    <w:rsid w:val="00AC734E"/>
    <w:rsid w:val="00AC794F"/>
    <w:rsid w:val="00AD01FB"/>
    <w:rsid w:val="00AD1712"/>
    <w:rsid w:val="00AD183D"/>
    <w:rsid w:val="00AD1CA2"/>
    <w:rsid w:val="00AD24F5"/>
    <w:rsid w:val="00AD3A20"/>
    <w:rsid w:val="00AD3D5B"/>
    <w:rsid w:val="00AE1FC6"/>
    <w:rsid w:val="00AE2956"/>
    <w:rsid w:val="00AE5544"/>
    <w:rsid w:val="00AE68F6"/>
    <w:rsid w:val="00AF0C71"/>
    <w:rsid w:val="00AF0DD8"/>
    <w:rsid w:val="00AF2BCA"/>
    <w:rsid w:val="00AF3845"/>
    <w:rsid w:val="00AF4860"/>
    <w:rsid w:val="00AF69EC"/>
    <w:rsid w:val="00AF7743"/>
    <w:rsid w:val="00AF7DE4"/>
    <w:rsid w:val="00B0462B"/>
    <w:rsid w:val="00B05654"/>
    <w:rsid w:val="00B05F94"/>
    <w:rsid w:val="00B06E88"/>
    <w:rsid w:val="00B06EEF"/>
    <w:rsid w:val="00B10DE1"/>
    <w:rsid w:val="00B12307"/>
    <w:rsid w:val="00B12371"/>
    <w:rsid w:val="00B127A8"/>
    <w:rsid w:val="00B1416A"/>
    <w:rsid w:val="00B1447D"/>
    <w:rsid w:val="00B14AF6"/>
    <w:rsid w:val="00B15D62"/>
    <w:rsid w:val="00B15F97"/>
    <w:rsid w:val="00B16202"/>
    <w:rsid w:val="00B1777C"/>
    <w:rsid w:val="00B177BA"/>
    <w:rsid w:val="00B20577"/>
    <w:rsid w:val="00B20965"/>
    <w:rsid w:val="00B21EE4"/>
    <w:rsid w:val="00B22CB0"/>
    <w:rsid w:val="00B2306C"/>
    <w:rsid w:val="00B24215"/>
    <w:rsid w:val="00B24B4A"/>
    <w:rsid w:val="00B24D1E"/>
    <w:rsid w:val="00B25083"/>
    <w:rsid w:val="00B26FB0"/>
    <w:rsid w:val="00B270D0"/>
    <w:rsid w:val="00B3000B"/>
    <w:rsid w:val="00B30990"/>
    <w:rsid w:val="00B30F0C"/>
    <w:rsid w:val="00B33CE1"/>
    <w:rsid w:val="00B365D8"/>
    <w:rsid w:val="00B41A72"/>
    <w:rsid w:val="00B41B8C"/>
    <w:rsid w:val="00B4226E"/>
    <w:rsid w:val="00B43C44"/>
    <w:rsid w:val="00B45865"/>
    <w:rsid w:val="00B46677"/>
    <w:rsid w:val="00B46ADE"/>
    <w:rsid w:val="00B46F28"/>
    <w:rsid w:val="00B5062B"/>
    <w:rsid w:val="00B50F69"/>
    <w:rsid w:val="00B51497"/>
    <w:rsid w:val="00B54913"/>
    <w:rsid w:val="00B561C0"/>
    <w:rsid w:val="00B61299"/>
    <w:rsid w:val="00B61B75"/>
    <w:rsid w:val="00B61C6E"/>
    <w:rsid w:val="00B62F5E"/>
    <w:rsid w:val="00B64681"/>
    <w:rsid w:val="00B6587A"/>
    <w:rsid w:val="00B70B18"/>
    <w:rsid w:val="00B70F54"/>
    <w:rsid w:val="00B7201A"/>
    <w:rsid w:val="00B72BF4"/>
    <w:rsid w:val="00B73F59"/>
    <w:rsid w:val="00B73F5A"/>
    <w:rsid w:val="00B7635C"/>
    <w:rsid w:val="00B76A78"/>
    <w:rsid w:val="00B83971"/>
    <w:rsid w:val="00B85D1A"/>
    <w:rsid w:val="00B86398"/>
    <w:rsid w:val="00B87690"/>
    <w:rsid w:val="00B9076E"/>
    <w:rsid w:val="00B9086A"/>
    <w:rsid w:val="00B91B4D"/>
    <w:rsid w:val="00B92E29"/>
    <w:rsid w:val="00B94B5C"/>
    <w:rsid w:val="00B95756"/>
    <w:rsid w:val="00B973DA"/>
    <w:rsid w:val="00BA10AD"/>
    <w:rsid w:val="00BA2C57"/>
    <w:rsid w:val="00BA2D0C"/>
    <w:rsid w:val="00BA4133"/>
    <w:rsid w:val="00BA5511"/>
    <w:rsid w:val="00BA7737"/>
    <w:rsid w:val="00BB1099"/>
    <w:rsid w:val="00BB1354"/>
    <w:rsid w:val="00BB13B0"/>
    <w:rsid w:val="00BB2D05"/>
    <w:rsid w:val="00BB486D"/>
    <w:rsid w:val="00BB70E6"/>
    <w:rsid w:val="00BC2033"/>
    <w:rsid w:val="00BC390A"/>
    <w:rsid w:val="00BC3F98"/>
    <w:rsid w:val="00BC5675"/>
    <w:rsid w:val="00BD00C6"/>
    <w:rsid w:val="00BD12A7"/>
    <w:rsid w:val="00BD1E36"/>
    <w:rsid w:val="00BD237D"/>
    <w:rsid w:val="00BD369C"/>
    <w:rsid w:val="00BD57DD"/>
    <w:rsid w:val="00BE03F6"/>
    <w:rsid w:val="00BE08A7"/>
    <w:rsid w:val="00BE0BD6"/>
    <w:rsid w:val="00BE1B1B"/>
    <w:rsid w:val="00BE3073"/>
    <w:rsid w:val="00BE37FA"/>
    <w:rsid w:val="00BE439A"/>
    <w:rsid w:val="00BE43CE"/>
    <w:rsid w:val="00BE47D2"/>
    <w:rsid w:val="00BE505E"/>
    <w:rsid w:val="00BE53BD"/>
    <w:rsid w:val="00BE7F99"/>
    <w:rsid w:val="00BF019C"/>
    <w:rsid w:val="00BF07F9"/>
    <w:rsid w:val="00BF27FF"/>
    <w:rsid w:val="00BF285F"/>
    <w:rsid w:val="00BF3F5C"/>
    <w:rsid w:val="00BF3FDB"/>
    <w:rsid w:val="00BF4640"/>
    <w:rsid w:val="00BF5AE2"/>
    <w:rsid w:val="00BF66FA"/>
    <w:rsid w:val="00BF7C54"/>
    <w:rsid w:val="00C001B7"/>
    <w:rsid w:val="00C00305"/>
    <w:rsid w:val="00C01F27"/>
    <w:rsid w:val="00C03E1A"/>
    <w:rsid w:val="00C04E5F"/>
    <w:rsid w:val="00C051C9"/>
    <w:rsid w:val="00C059AE"/>
    <w:rsid w:val="00C10629"/>
    <w:rsid w:val="00C10CE7"/>
    <w:rsid w:val="00C11EF7"/>
    <w:rsid w:val="00C12C0F"/>
    <w:rsid w:val="00C13F5D"/>
    <w:rsid w:val="00C14386"/>
    <w:rsid w:val="00C1478C"/>
    <w:rsid w:val="00C15628"/>
    <w:rsid w:val="00C15673"/>
    <w:rsid w:val="00C2056F"/>
    <w:rsid w:val="00C22749"/>
    <w:rsid w:val="00C23C23"/>
    <w:rsid w:val="00C254A5"/>
    <w:rsid w:val="00C257AB"/>
    <w:rsid w:val="00C258C3"/>
    <w:rsid w:val="00C32A0D"/>
    <w:rsid w:val="00C3506C"/>
    <w:rsid w:val="00C35755"/>
    <w:rsid w:val="00C40294"/>
    <w:rsid w:val="00C40974"/>
    <w:rsid w:val="00C41557"/>
    <w:rsid w:val="00C42F59"/>
    <w:rsid w:val="00C4352F"/>
    <w:rsid w:val="00C43805"/>
    <w:rsid w:val="00C43C6B"/>
    <w:rsid w:val="00C455B5"/>
    <w:rsid w:val="00C469F3"/>
    <w:rsid w:val="00C46D4F"/>
    <w:rsid w:val="00C514E0"/>
    <w:rsid w:val="00C51821"/>
    <w:rsid w:val="00C51A9E"/>
    <w:rsid w:val="00C55781"/>
    <w:rsid w:val="00C57082"/>
    <w:rsid w:val="00C57EFE"/>
    <w:rsid w:val="00C57FA0"/>
    <w:rsid w:val="00C611C9"/>
    <w:rsid w:val="00C6147A"/>
    <w:rsid w:val="00C6160E"/>
    <w:rsid w:val="00C63368"/>
    <w:rsid w:val="00C63CFB"/>
    <w:rsid w:val="00C654F8"/>
    <w:rsid w:val="00C65E93"/>
    <w:rsid w:val="00C66CBB"/>
    <w:rsid w:val="00C66EB9"/>
    <w:rsid w:val="00C70012"/>
    <w:rsid w:val="00C71538"/>
    <w:rsid w:val="00C727B3"/>
    <w:rsid w:val="00C73880"/>
    <w:rsid w:val="00C74F48"/>
    <w:rsid w:val="00C74FA7"/>
    <w:rsid w:val="00C75AE6"/>
    <w:rsid w:val="00C76239"/>
    <w:rsid w:val="00C7770A"/>
    <w:rsid w:val="00C8086F"/>
    <w:rsid w:val="00C818CE"/>
    <w:rsid w:val="00C823BB"/>
    <w:rsid w:val="00C8277C"/>
    <w:rsid w:val="00C82803"/>
    <w:rsid w:val="00C8472A"/>
    <w:rsid w:val="00C84C5A"/>
    <w:rsid w:val="00C86D1B"/>
    <w:rsid w:val="00C9042A"/>
    <w:rsid w:val="00C9084C"/>
    <w:rsid w:val="00C90961"/>
    <w:rsid w:val="00C931F1"/>
    <w:rsid w:val="00C9334A"/>
    <w:rsid w:val="00C938E9"/>
    <w:rsid w:val="00C97910"/>
    <w:rsid w:val="00CA027A"/>
    <w:rsid w:val="00CA13E9"/>
    <w:rsid w:val="00CA34CF"/>
    <w:rsid w:val="00CA45BF"/>
    <w:rsid w:val="00CA518D"/>
    <w:rsid w:val="00CA5385"/>
    <w:rsid w:val="00CA5B5D"/>
    <w:rsid w:val="00CA5CAB"/>
    <w:rsid w:val="00CA71FB"/>
    <w:rsid w:val="00CB3316"/>
    <w:rsid w:val="00CB376D"/>
    <w:rsid w:val="00CB4DBE"/>
    <w:rsid w:val="00CB5158"/>
    <w:rsid w:val="00CB5EB0"/>
    <w:rsid w:val="00CB6477"/>
    <w:rsid w:val="00CC1D88"/>
    <w:rsid w:val="00CC4BD1"/>
    <w:rsid w:val="00CC4C23"/>
    <w:rsid w:val="00CC58DB"/>
    <w:rsid w:val="00CC7745"/>
    <w:rsid w:val="00CD0C18"/>
    <w:rsid w:val="00CD104B"/>
    <w:rsid w:val="00CD1A3B"/>
    <w:rsid w:val="00CD373F"/>
    <w:rsid w:val="00CD58E1"/>
    <w:rsid w:val="00CD6A32"/>
    <w:rsid w:val="00CD78E5"/>
    <w:rsid w:val="00CD7B9B"/>
    <w:rsid w:val="00CE0F48"/>
    <w:rsid w:val="00CE32A5"/>
    <w:rsid w:val="00CE65C4"/>
    <w:rsid w:val="00CE692F"/>
    <w:rsid w:val="00CE7128"/>
    <w:rsid w:val="00CE7D6A"/>
    <w:rsid w:val="00CE7F50"/>
    <w:rsid w:val="00CF0A10"/>
    <w:rsid w:val="00CF3824"/>
    <w:rsid w:val="00CF4644"/>
    <w:rsid w:val="00CF6687"/>
    <w:rsid w:val="00CF7ADA"/>
    <w:rsid w:val="00CF7BC1"/>
    <w:rsid w:val="00D03D71"/>
    <w:rsid w:val="00D046F5"/>
    <w:rsid w:val="00D107F1"/>
    <w:rsid w:val="00D12E51"/>
    <w:rsid w:val="00D1318A"/>
    <w:rsid w:val="00D13508"/>
    <w:rsid w:val="00D1455A"/>
    <w:rsid w:val="00D14601"/>
    <w:rsid w:val="00D15D6E"/>
    <w:rsid w:val="00D17157"/>
    <w:rsid w:val="00D171B5"/>
    <w:rsid w:val="00D175B6"/>
    <w:rsid w:val="00D218CD"/>
    <w:rsid w:val="00D23F3E"/>
    <w:rsid w:val="00D2494A"/>
    <w:rsid w:val="00D24DD9"/>
    <w:rsid w:val="00D25BF1"/>
    <w:rsid w:val="00D26F4C"/>
    <w:rsid w:val="00D304D0"/>
    <w:rsid w:val="00D30842"/>
    <w:rsid w:val="00D321C6"/>
    <w:rsid w:val="00D32668"/>
    <w:rsid w:val="00D34873"/>
    <w:rsid w:val="00D36F7D"/>
    <w:rsid w:val="00D36FD0"/>
    <w:rsid w:val="00D43945"/>
    <w:rsid w:val="00D43A30"/>
    <w:rsid w:val="00D43B37"/>
    <w:rsid w:val="00D459CA"/>
    <w:rsid w:val="00D4621E"/>
    <w:rsid w:val="00D4672E"/>
    <w:rsid w:val="00D47BE5"/>
    <w:rsid w:val="00D52D06"/>
    <w:rsid w:val="00D54BD2"/>
    <w:rsid w:val="00D54F4B"/>
    <w:rsid w:val="00D569B6"/>
    <w:rsid w:val="00D60095"/>
    <w:rsid w:val="00D6042A"/>
    <w:rsid w:val="00D638CB"/>
    <w:rsid w:val="00D64538"/>
    <w:rsid w:val="00D65127"/>
    <w:rsid w:val="00D662E6"/>
    <w:rsid w:val="00D671F4"/>
    <w:rsid w:val="00D6741C"/>
    <w:rsid w:val="00D71D88"/>
    <w:rsid w:val="00D72C02"/>
    <w:rsid w:val="00D7307C"/>
    <w:rsid w:val="00D73783"/>
    <w:rsid w:val="00D74BB7"/>
    <w:rsid w:val="00D80B71"/>
    <w:rsid w:val="00D8157A"/>
    <w:rsid w:val="00D82571"/>
    <w:rsid w:val="00D8375F"/>
    <w:rsid w:val="00D83CE6"/>
    <w:rsid w:val="00D83F5B"/>
    <w:rsid w:val="00D844B4"/>
    <w:rsid w:val="00D8746A"/>
    <w:rsid w:val="00D87F87"/>
    <w:rsid w:val="00D9467C"/>
    <w:rsid w:val="00D9499A"/>
    <w:rsid w:val="00DA1D60"/>
    <w:rsid w:val="00DA224E"/>
    <w:rsid w:val="00DA337E"/>
    <w:rsid w:val="00DA407D"/>
    <w:rsid w:val="00DA521D"/>
    <w:rsid w:val="00DB24F5"/>
    <w:rsid w:val="00DB6590"/>
    <w:rsid w:val="00DB71B9"/>
    <w:rsid w:val="00DB7EBB"/>
    <w:rsid w:val="00DC05B7"/>
    <w:rsid w:val="00DC1DAF"/>
    <w:rsid w:val="00DC2AD4"/>
    <w:rsid w:val="00DC4810"/>
    <w:rsid w:val="00DC4F52"/>
    <w:rsid w:val="00DD1B5D"/>
    <w:rsid w:val="00DD23DE"/>
    <w:rsid w:val="00DD32EE"/>
    <w:rsid w:val="00DD338A"/>
    <w:rsid w:val="00DD3706"/>
    <w:rsid w:val="00DD451A"/>
    <w:rsid w:val="00DD4A90"/>
    <w:rsid w:val="00DD61AA"/>
    <w:rsid w:val="00DD6217"/>
    <w:rsid w:val="00DD6220"/>
    <w:rsid w:val="00DD63D8"/>
    <w:rsid w:val="00DD6E47"/>
    <w:rsid w:val="00DD732F"/>
    <w:rsid w:val="00DE13AF"/>
    <w:rsid w:val="00DE2068"/>
    <w:rsid w:val="00DE53C0"/>
    <w:rsid w:val="00DF11F7"/>
    <w:rsid w:val="00DF27A8"/>
    <w:rsid w:val="00DF2C71"/>
    <w:rsid w:val="00DF3DDE"/>
    <w:rsid w:val="00DF532F"/>
    <w:rsid w:val="00DF6BDC"/>
    <w:rsid w:val="00DF6D36"/>
    <w:rsid w:val="00DF77AA"/>
    <w:rsid w:val="00DF7F07"/>
    <w:rsid w:val="00E01691"/>
    <w:rsid w:val="00E02757"/>
    <w:rsid w:val="00E02DAD"/>
    <w:rsid w:val="00E03408"/>
    <w:rsid w:val="00E039C9"/>
    <w:rsid w:val="00E03A3A"/>
    <w:rsid w:val="00E0793D"/>
    <w:rsid w:val="00E10A23"/>
    <w:rsid w:val="00E12ADB"/>
    <w:rsid w:val="00E13A37"/>
    <w:rsid w:val="00E14C20"/>
    <w:rsid w:val="00E150FE"/>
    <w:rsid w:val="00E1695B"/>
    <w:rsid w:val="00E218A9"/>
    <w:rsid w:val="00E226A8"/>
    <w:rsid w:val="00E226E2"/>
    <w:rsid w:val="00E24D2D"/>
    <w:rsid w:val="00E2674A"/>
    <w:rsid w:val="00E26EE5"/>
    <w:rsid w:val="00E27875"/>
    <w:rsid w:val="00E32815"/>
    <w:rsid w:val="00E328A3"/>
    <w:rsid w:val="00E358D4"/>
    <w:rsid w:val="00E35985"/>
    <w:rsid w:val="00E367BF"/>
    <w:rsid w:val="00E4013F"/>
    <w:rsid w:val="00E402FE"/>
    <w:rsid w:val="00E41041"/>
    <w:rsid w:val="00E41B16"/>
    <w:rsid w:val="00E4346F"/>
    <w:rsid w:val="00E4727E"/>
    <w:rsid w:val="00E4740C"/>
    <w:rsid w:val="00E476B5"/>
    <w:rsid w:val="00E4780B"/>
    <w:rsid w:val="00E51EF4"/>
    <w:rsid w:val="00E539A5"/>
    <w:rsid w:val="00E54228"/>
    <w:rsid w:val="00E56B1D"/>
    <w:rsid w:val="00E572AF"/>
    <w:rsid w:val="00E61212"/>
    <w:rsid w:val="00E615F5"/>
    <w:rsid w:val="00E6320C"/>
    <w:rsid w:val="00E649FC"/>
    <w:rsid w:val="00E6700E"/>
    <w:rsid w:val="00E6739A"/>
    <w:rsid w:val="00E67EEA"/>
    <w:rsid w:val="00E7001C"/>
    <w:rsid w:val="00E71EB2"/>
    <w:rsid w:val="00E72FA7"/>
    <w:rsid w:val="00E734DC"/>
    <w:rsid w:val="00E75149"/>
    <w:rsid w:val="00E761A4"/>
    <w:rsid w:val="00E77C2C"/>
    <w:rsid w:val="00E77FCE"/>
    <w:rsid w:val="00E8353F"/>
    <w:rsid w:val="00E83C32"/>
    <w:rsid w:val="00E872CD"/>
    <w:rsid w:val="00E87BF6"/>
    <w:rsid w:val="00E90246"/>
    <w:rsid w:val="00E902AE"/>
    <w:rsid w:val="00E93CFF"/>
    <w:rsid w:val="00E93E6C"/>
    <w:rsid w:val="00E96078"/>
    <w:rsid w:val="00E968E0"/>
    <w:rsid w:val="00EA0BD0"/>
    <w:rsid w:val="00EA1BA3"/>
    <w:rsid w:val="00EA1F9B"/>
    <w:rsid w:val="00EA6E14"/>
    <w:rsid w:val="00EB2244"/>
    <w:rsid w:val="00EB2924"/>
    <w:rsid w:val="00EB6DA2"/>
    <w:rsid w:val="00EC013B"/>
    <w:rsid w:val="00EC3F12"/>
    <w:rsid w:val="00EC6269"/>
    <w:rsid w:val="00EC66F3"/>
    <w:rsid w:val="00EC7A3E"/>
    <w:rsid w:val="00EC7FD2"/>
    <w:rsid w:val="00ED02C3"/>
    <w:rsid w:val="00ED39F3"/>
    <w:rsid w:val="00ED5E8E"/>
    <w:rsid w:val="00ED6317"/>
    <w:rsid w:val="00ED795E"/>
    <w:rsid w:val="00EE084F"/>
    <w:rsid w:val="00EE0B28"/>
    <w:rsid w:val="00EE106C"/>
    <w:rsid w:val="00EE1428"/>
    <w:rsid w:val="00EE2896"/>
    <w:rsid w:val="00EE3D5F"/>
    <w:rsid w:val="00EE5492"/>
    <w:rsid w:val="00EE5D83"/>
    <w:rsid w:val="00EE70F6"/>
    <w:rsid w:val="00EE710D"/>
    <w:rsid w:val="00EE7596"/>
    <w:rsid w:val="00EE78E7"/>
    <w:rsid w:val="00EF16F2"/>
    <w:rsid w:val="00EF7BDB"/>
    <w:rsid w:val="00F018B3"/>
    <w:rsid w:val="00F030A5"/>
    <w:rsid w:val="00F032A5"/>
    <w:rsid w:val="00F0491F"/>
    <w:rsid w:val="00F04B3D"/>
    <w:rsid w:val="00F0701D"/>
    <w:rsid w:val="00F10E09"/>
    <w:rsid w:val="00F11052"/>
    <w:rsid w:val="00F11E7F"/>
    <w:rsid w:val="00F124A1"/>
    <w:rsid w:val="00F12D94"/>
    <w:rsid w:val="00F170EC"/>
    <w:rsid w:val="00F17F70"/>
    <w:rsid w:val="00F2226C"/>
    <w:rsid w:val="00F24F3B"/>
    <w:rsid w:val="00F26204"/>
    <w:rsid w:val="00F2643F"/>
    <w:rsid w:val="00F2669E"/>
    <w:rsid w:val="00F273E5"/>
    <w:rsid w:val="00F27F4A"/>
    <w:rsid w:val="00F30722"/>
    <w:rsid w:val="00F34150"/>
    <w:rsid w:val="00F3505F"/>
    <w:rsid w:val="00F3728B"/>
    <w:rsid w:val="00F44375"/>
    <w:rsid w:val="00F44D9B"/>
    <w:rsid w:val="00F45186"/>
    <w:rsid w:val="00F46F7E"/>
    <w:rsid w:val="00F470F5"/>
    <w:rsid w:val="00F504DA"/>
    <w:rsid w:val="00F53ABA"/>
    <w:rsid w:val="00F54585"/>
    <w:rsid w:val="00F551BA"/>
    <w:rsid w:val="00F56969"/>
    <w:rsid w:val="00F5700C"/>
    <w:rsid w:val="00F571EE"/>
    <w:rsid w:val="00F579CA"/>
    <w:rsid w:val="00F605D1"/>
    <w:rsid w:val="00F60C74"/>
    <w:rsid w:val="00F61002"/>
    <w:rsid w:val="00F62068"/>
    <w:rsid w:val="00F6348C"/>
    <w:rsid w:val="00F635E7"/>
    <w:rsid w:val="00F63AD4"/>
    <w:rsid w:val="00F649F4"/>
    <w:rsid w:val="00F66055"/>
    <w:rsid w:val="00F664B6"/>
    <w:rsid w:val="00F673CC"/>
    <w:rsid w:val="00F70FCB"/>
    <w:rsid w:val="00F72E00"/>
    <w:rsid w:val="00F73C30"/>
    <w:rsid w:val="00F746B6"/>
    <w:rsid w:val="00F75E9A"/>
    <w:rsid w:val="00F75FB7"/>
    <w:rsid w:val="00F77C67"/>
    <w:rsid w:val="00F77EB4"/>
    <w:rsid w:val="00F81C07"/>
    <w:rsid w:val="00F82A2F"/>
    <w:rsid w:val="00F8357E"/>
    <w:rsid w:val="00F8493B"/>
    <w:rsid w:val="00F85AFC"/>
    <w:rsid w:val="00F87F22"/>
    <w:rsid w:val="00F9065E"/>
    <w:rsid w:val="00F90848"/>
    <w:rsid w:val="00F91422"/>
    <w:rsid w:val="00F92B9F"/>
    <w:rsid w:val="00F938F3"/>
    <w:rsid w:val="00F93941"/>
    <w:rsid w:val="00F941A4"/>
    <w:rsid w:val="00F96407"/>
    <w:rsid w:val="00FA027C"/>
    <w:rsid w:val="00FA1B43"/>
    <w:rsid w:val="00FA3B4A"/>
    <w:rsid w:val="00FA488C"/>
    <w:rsid w:val="00FA6513"/>
    <w:rsid w:val="00FB0EC0"/>
    <w:rsid w:val="00FB3BA1"/>
    <w:rsid w:val="00FB3BBC"/>
    <w:rsid w:val="00FC2ADE"/>
    <w:rsid w:val="00FC346D"/>
    <w:rsid w:val="00FC3ADC"/>
    <w:rsid w:val="00FC3DB8"/>
    <w:rsid w:val="00FC428B"/>
    <w:rsid w:val="00FC4E42"/>
    <w:rsid w:val="00FC52EB"/>
    <w:rsid w:val="00FC5FFA"/>
    <w:rsid w:val="00FC71B4"/>
    <w:rsid w:val="00FC7320"/>
    <w:rsid w:val="00FC7850"/>
    <w:rsid w:val="00FC79DB"/>
    <w:rsid w:val="00FD0189"/>
    <w:rsid w:val="00FD0502"/>
    <w:rsid w:val="00FD0CB1"/>
    <w:rsid w:val="00FD21A4"/>
    <w:rsid w:val="00FD2601"/>
    <w:rsid w:val="00FD330B"/>
    <w:rsid w:val="00FD3F8A"/>
    <w:rsid w:val="00FD572D"/>
    <w:rsid w:val="00FD6AA1"/>
    <w:rsid w:val="00FD7B1C"/>
    <w:rsid w:val="00FE031A"/>
    <w:rsid w:val="00FE1184"/>
    <w:rsid w:val="00FE2E51"/>
    <w:rsid w:val="00FE39D9"/>
    <w:rsid w:val="00FE4A94"/>
    <w:rsid w:val="00FE4C94"/>
    <w:rsid w:val="00FE4E15"/>
    <w:rsid w:val="00FE5F79"/>
    <w:rsid w:val="00FE789F"/>
    <w:rsid w:val="00FF0C5E"/>
    <w:rsid w:val="00FF1DF7"/>
    <w:rsid w:val="00FF2CAB"/>
    <w:rsid w:val="00FF3B04"/>
    <w:rsid w:val="00FF3BC3"/>
    <w:rsid w:val="00FF3C32"/>
    <w:rsid w:val="00FF3E33"/>
    <w:rsid w:val="00FF4905"/>
    <w:rsid w:val="00FF532B"/>
    <w:rsid w:val="00FF5A7B"/>
    <w:rsid w:val="00FF6EE1"/>
    <w:rsid w:val="00FF75A4"/>
    <w:rsid w:val="00FF76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EBBA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423"/>
  </w:style>
  <w:style w:type="paragraph" w:styleId="Heading1">
    <w:name w:val="heading 1"/>
    <w:basedOn w:val="Normal"/>
    <w:next w:val="Normal"/>
    <w:link w:val="Heading1Char"/>
    <w:uiPriority w:val="99"/>
    <w:qFormat/>
    <w:rsid w:val="00FB0EC0"/>
    <w:pPr>
      <w:spacing w:line="240" w:lineRule="auto"/>
      <w:outlineLvl w:val="0"/>
    </w:pPr>
    <w:rPr>
      <w:rFonts w:eastAsiaTheme="majorEastAsia" w:cstheme="minorHAnsi"/>
      <w:b/>
      <w:color w:val="4472C4" w:themeColor="accent5"/>
      <w:spacing w:val="5"/>
      <w:kern w:val="28"/>
      <w:sz w:val="52"/>
      <w:szCs w:val="52"/>
      <w:lang w:val="en-US"/>
    </w:rPr>
  </w:style>
  <w:style w:type="paragraph" w:styleId="Heading20">
    <w:name w:val="heading 2"/>
    <w:basedOn w:val="Normal"/>
    <w:next w:val="Normal"/>
    <w:link w:val="Heading2Char"/>
    <w:uiPriority w:val="9"/>
    <w:unhideWhenUsed/>
    <w:qFormat/>
    <w:rsid w:val="00FB0EC0"/>
    <w:pPr>
      <w:pBdr>
        <w:bottom w:val="single" w:sz="4" w:space="10" w:color="4472C4" w:themeColor="accent5"/>
      </w:pBdr>
      <w:spacing w:before="800" w:after="280" w:line="240" w:lineRule="auto"/>
      <w:outlineLvl w:val="1"/>
    </w:pPr>
    <w:rPr>
      <w:rFonts w:ascii="Calibri" w:eastAsia="MS Gothic" w:hAnsi="Calibri" w:cs="Times New Roman"/>
      <w:b/>
      <w:bCs/>
      <w:color w:val="4472C4" w:themeColor="accent5"/>
      <w:sz w:val="48"/>
      <w:szCs w:val="48"/>
    </w:rPr>
  </w:style>
  <w:style w:type="paragraph" w:styleId="Heading3">
    <w:name w:val="heading 3"/>
    <w:aliases w:val="h3,h31,h32,h33,h34,h35,h36,h37,h38,h39"/>
    <w:basedOn w:val="SDANumberedheading2"/>
    <w:next w:val="Normal"/>
    <w:link w:val="Heading3Char"/>
    <w:uiPriority w:val="99"/>
    <w:qFormat/>
    <w:rsid w:val="00F2226C"/>
    <w:pPr>
      <w:ind w:left="0"/>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L,CV text,Table text,F5 List Paragraph,Dot pt,Medium Grid 1 - Accent 21,Numbered Paragraph,List Paragraph111,List Paragraph2,Bulleted Para,NFP GP Bulleted List,FooterText,numbered"/>
    <w:basedOn w:val="Normal"/>
    <w:link w:val="ListParagraphChar"/>
    <w:uiPriority w:val="34"/>
    <w:qFormat/>
    <w:rsid w:val="00091423"/>
    <w:pPr>
      <w:ind w:left="720"/>
      <w:contextualSpacing/>
    </w:pPr>
  </w:style>
  <w:style w:type="character" w:customStyle="1" w:styleId="ListParagraphChar">
    <w:name w:val="List Paragraph Char"/>
    <w:aliases w:val="List Paragraph1 Char,Recommendation Char,List Paragraph11 Char,Bullets Char,L Char,CV text Char,Table text Char,F5 List Paragraph Char,Dot pt Char,Medium Grid 1 - Accent 21 Char,Numbered Paragraph Char,List Paragraph111 Char"/>
    <w:link w:val="ListParagraph"/>
    <w:uiPriority w:val="34"/>
    <w:qFormat/>
    <w:locked/>
    <w:rsid w:val="001674D8"/>
  </w:style>
  <w:style w:type="table" w:styleId="TableGrid">
    <w:name w:val="Table Grid"/>
    <w:basedOn w:val="TableNormal"/>
    <w:uiPriority w:val="39"/>
    <w:rsid w:val="00FE0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31A"/>
  </w:style>
  <w:style w:type="paragraph" w:styleId="Footer">
    <w:name w:val="footer"/>
    <w:basedOn w:val="Normal"/>
    <w:link w:val="FooterChar"/>
    <w:uiPriority w:val="99"/>
    <w:unhideWhenUsed/>
    <w:rsid w:val="00FE0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31A"/>
  </w:style>
  <w:style w:type="character" w:styleId="Strong">
    <w:name w:val="Strong"/>
    <w:basedOn w:val="DefaultParagraphFont"/>
    <w:uiPriority w:val="22"/>
    <w:qFormat/>
    <w:rsid w:val="00F53ABA"/>
    <w:rPr>
      <w:b/>
      <w:bCs/>
      <w:color w:val="44546A" w:themeColor="text2"/>
    </w:rPr>
  </w:style>
  <w:style w:type="paragraph" w:customStyle="1" w:styleId="Bullet1">
    <w:name w:val="Bullet 1"/>
    <w:basedOn w:val="Normal"/>
    <w:qFormat/>
    <w:rsid w:val="00247A49"/>
    <w:pPr>
      <w:numPr>
        <w:numId w:val="1"/>
      </w:numPr>
      <w:tabs>
        <w:tab w:val="left" w:pos="567"/>
      </w:tabs>
      <w:suppressAutoHyphens/>
      <w:spacing w:before="60" w:after="60" w:line="260" w:lineRule="atLeast"/>
    </w:pPr>
    <w:rPr>
      <w:color w:val="44546A" w:themeColor="text2"/>
      <w:lang w:val="en-GB"/>
    </w:rPr>
  </w:style>
  <w:style w:type="paragraph" w:customStyle="1" w:styleId="Bullet2">
    <w:name w:val="Bullet 2"/>
    <w:basedOn w:val="Bullet1"/>
    <w:qFormat/>
    <w:rsid w:val="00247A49"/>
    <w:pPr>
      <w:numPr>
        <w:ilvl w:val="1"/>
      </w:numPr>
      <w:tabs>
        <w:tab w:val="clear" w:pos="568"/>
        <w:tab w:val="left" w:pos="851"/>
      </w:tabs>
    </w:pPr>
  </w:style>
  <w:style w:type="paragraph" w:customStyle="1" w:styleId="Bullet3">
    <w:name w:val="Bullet 3"/>
    <w:basedOn w:val="Bullet2"/>
    <w:qFormat/>
    <w:rsid w:val="00247A49"/>
    <w:pPr>
      <w:numPr>
        <w:ilvl w:val="2"/>
      </w:numPr>
      <w:tabs>
        <w:tab w:val="clear" w:pos="852"/>
        <w:tab w:val="left" w:pos="1134"/>
      </w:tabs>
    </w:pPr>
  </w:style>
  <w:style w:type="numbering" w:customStyle="1" w:styleId="BulletsList">
    <w:name w:val="Bullets List"/>
    <w:uiPriority w:val="99"/>
    <w:rsid w:val="00247A49"/>
    <w:pPr>
      <w:numPr>
        <w:numId w:val="1"/>
      </w:numPr>
    </w:pPr>
  </w:style>
  <w:style w:type="paragraph" w:styleId="BalloonText">
    <w:name w:val="Balloon Text"/>
    <w:basedOn w:val="Normal"/>
    <w:link w:val="BalloonTextChar"/>
    <w:uiPriority w:val="99"/>
    <w:semiHidden/>
    <w:unhideWhenUsed/>
    <w:rsid w:val="00271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363"/>
    <w:rPr>
      <w:rFonts w:ascii="Segoe UI" w:hAnsi="Segoe UI" w:cs="Segoe UI"/>
      <w:sz w:val="18"/>
      <w:szCs w:val="18"/>
    </w:rPr>
  </w:style>
  <w:style w:type="character" w:customStyle="1" w:styleId="Heading1Char">
    <w:name w:val="Heading 1 Char"/>
    <w:basedOn w:val="DefaultParagraphFont"/>
    <w:link w:val="Heading1"/>
    <w:uiPriority w:val="99"/>
    <w:rsid w:val="00FB0EC0"/>
    <w:rPr>
      <w:rFonts w:eastAsiaTheme="majorEastAsia" w:cstheme="minorHAnsi"/>
      <w:b/>
      <w:color w:val="4472C4" w:themeColor="accent5"/>
      <w:spacing w:val="5"/>
      <w:kern w:val="28"/>
      <w:sz w:val="52"/>
      <w:szCs w:val="52"/>
      <w:lang w:val="en-US"/>
    </w:rPr>
  </w:style>
  <w:style w:type="character" w:customStyle="1" w:styleId="Heading3Char">
    <w:name w:val="Heading 3 Char"/>
    <w:aliases w:val="h3 Char,h31 Char,h32 Char,h33 Char,h34 Char,h35 Char,h36 Char,h37 Char,h38 Char,h39 Char"/>
    <w:basedOn w:val="DefaultParagraphFont"/>
    <w:link w:val="Heading3"/>
    <w:uiPriority w:val="99"/>
    <w:rsid w:val="00F2226C"/>
    <w:rPr>
      <w:rFonts w:eastAsia="Calibri" w:cstheme="minorHAnsi"/>
      <w:b/>
      <w:noProof/>
      <w:sz w:val="30"/>
      <w:szCs w:val="30"/>
      <w:lang w:eastAsia="en-AU"/>
    </w:rPr>
  </w:style>
  <w:style w:type="paragraph" w:customStyle="1" w:styleId="SDANumberedheading2">
    <w:name w:val="SDA Numbered heading 2"/>
    <w:basedOn w:val="Normal"/>
    <w:link w:val="SDANumberedheading2Char"/>
    <w:qFormat/>
    <w:rsid w:val="00825539"/>
    <w:pPr>
      <w:spacing w:line="240" w:lineRule="auto"/>
      <w:ind w:left="426"/>
      <w:outlineLvl w:val="1"/>
    </w:pPr>
    <w:rPr>
      <w:rFonts w:eastAsia="Calibri" w:cstheme="minorHAnsi"/>
      <w:b/>
      <w:noProof/>
      <w:color w:val="757575"/>
      <w:sz w:val="30"/>
      <w:szCs w:val="30"/>
      <w:lang w:eastAsia="en-AU"/>
    </w:rPr>
  </w:style>
  <w:style w:type="character" w:customStyle="1" w:styleId="SDANumberedheading2Char">
    <w:name w:val="SDA Numbered heading 2 Char"/>
    <w:basedOn w:val="DefaultParagraphFont"/>
    <w:link w:val="SDANumberedheading2"/>
    <w:rsid w:val="00825539"/>
    <w:rPr>
      <w:rFonts w:eastAsia="Calibri" w:cstheme="minorHAnsi"/>
      <w:b/>
      <w:noProof/>
      <w:color w:val="757575"/>
      <w:sz w:val="30"/>
      <w:szCs w:val="30"/>
      <w:lang w:eastAsia="en-AU"/>
    </w:rPr>
  </w:style>
  <w:style w:type="paragraph" w:styleId="FootnoteText">
    <w:name w:val="footnote text"/>
    <w:basedOn w:val="Normal"/>
    <w:link w:val="FootnoteTextChar"/>
    <w:uiPriority w:val="99"/>
    <w:unhideWhenUsed/>
    <w:rsid w:val="00825539"/>
    <w:pPr>
      <w:spacing w:after="0" w:line="240" w:lineRule="auto"/>
    </w:pPr>
    <w:rPr>
      <w:sz w:val="20"/>
      <w:szCs w:val="20"/>
    </w:rPr>
  </w:style>
  <w:style w:type="character" w:customStyle="1" w:styleId="FootnoteTextChar">
    <w:name w:val="Footnote Text Char"/>
    <w:basedOn w:val="DefaultParagraphFont"/>
    <w:link w:val="FootnoteText"/>
    <w:uiPriority w:val="99"/>
    <w:rsid w:val="00825539"/>
    <w:rPr>
      <w:sz w:val="20"/>
      <w:szCs w:val="20"/>
    </w:rPr>
  </w:style>
  <w:style w:type="character" w:styleId="FootnoteReference">
    <w:name w:val="footnote reference"/>
    <w:basedOn w:val="DefaultParagraphFont"/>
    <w:uiPriority w:val="99"/>
    <w:unhideWhenUsed/>
    <w:rsid w:val="00825539"/>
    <w:rPr>
      <w:vertAlign w:val="superscript"/>
    </w:rPr>
  </w:style>
  <w:style w:type="paragraph" w:customStyle="1" w:styleId="SDAbodytext">
    <w:name w:val="SDA body text"/>
    <w:basedOn w:val="Normal"/>
    <w:link w:val="SDAbodytextChar"/>
    <w:qFormat/>
    <w:rsid w:val="00825539"/>
    <w:pPr>
      <w:spacing w:before="120" w:after="120" w:line="240" w:lineRule="auto"/>
    </w:pPr>
  </w:style>
  <w:style w:type="character" w:customStyle="1" w:styleId="SDAbodytextChar">
    <w:name w:val="SDA body text Char"/>
    <w:basedOn w:val="DefaultParagraphFont"/>
    <w:link w:val="SDAbodytext"/>
    <w:rsid w:val="00825539"/>
  </w:style>
  <w:style w:type="character" w:customStyle="1" w:styleId="modulehead">
    <w:name w:val="modulehead"/>
    <w:basedOn w:val="DefaultParagraphFont"/>
    <w:rsid w:val="00825539"/>
  </w:style>
  <w:style w:type="paragraph" w:customStyle="1" w:styleId="SDAHeading1">
    <w:name w:val="SDA Heading 1"/>
    <w:basedOn w:val="Normal"/>
    <w:link w:val="SDAHeading1Char"/>
    <w:qFormat/>
    <w:rsid w:val="00825539"/>
    <w:pPr>
      <w:pageBreakBefore/>
      <w:pBdr>
        <w:bottom w:val="single" w:sz="4" w:space="10" w:color="C9916C"/>
      </w:pBdr>
      <w:spacing w:before="1200" w:after="200" w:line="240" w:lineRule="auto"/>
    </w:pPr>
    <w:rPr>
      <w:b/>
      <w:smallCaps/>
      <w:color w:val="CF5D27"/>
      <w:sz w:val="60"/>
      <w:szCs w:val="60"/>
    </w:rPr>
  </w:style>
  <w:style w:type="character" w:customStyle="1" w:styleId="SDAHeading1Char">
    <w:name w:val="SDA Heading 1 Char"/>
    <w:basedOn w:val="DefaultParagraphFont"/>
    <w:link w:val="SDAHeading1"/>
    <w:rsid w:val="00825539"/>
    <w:rPr>
      <w:b/>
      <w:smallCaps/>
      <w:color w:val="CF5D27"/>
      <w:sz w:val="60"/>
      <w:szCs w:val="60"/>
    </w:rPr>
  </w:style>
  <w:style w:type="character" w:styleId="CommentReference">
    <w:name w:val="annotation reference"/>
    <w:basedOn w:val="DefaultParagraphFont"/>
    <w:uiPriority w:val="99"/>
    <w:semiHidden/>
    <w:unhideWhenUsed/>
    <w:rsid w:val="001E7BF9"/>
    <w:rPr>
      <w:sz w:val="16"/>
      <w:szCs w:val="16"/>
    </w:rPr>
  </w:style>
  <w:style w:type="paragraph" w:styleId="CommentText">
    <w:name w:val="annotation text"/>
    <w:basedOn w:val="Normal"/>
    <w:link w:val="CommentTextChar"/>
    <w:uiPriority w:val="99"/>
    <w:unhideWhenUsed/>
    <w:rsid w:val="001E7BF9"/>
    <w:pPr>
      <w:spacing w:line="240" w:lineRule="auto"/>
    </w:pPr>
    <w:rPr>
      <w:sz w:val="20"/>
      <w:szCs w:val="20"/>
    </w:rPr>
  </w:style>
  <w:style w:type="character" w:customStyle="1" w:styleId="CommentTextChar">
    <w:name w:val="Comment Text Char"/>
    <w:basedOn w:val="DefaultParagraphFont"/>
    <w:link w:val="CommentText"/>
    <w:uiPriority w:val="99"/>
    <w:rsid w:val="001E7BF9"/>
    <w:rPr>
      <w:sz w:val="20"/>
      <w:szCs w:val="20"/>
    </w:rPr>
  </w:style>
  <w:style w:type="table" w:customStyle="1" w:styleId="TableGrid1">
    <w:name w:val="Table Grid1"/>
    <w:basedOn w:val="TableNormal"/>
    <w:next w:val="TableGrid"/>
    <w:uiPriority w:val="39"/>
    <w:rsid w:val="005A0193"/>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071A2"/>
    <w:pPr>
      <w:spacing w:before="240" w:line="259" w:lineRule="auto"/>
      <w:outlineLvl w:val="9"/>
    </w:pPr>
    <w:rPr>
      <w:rFonts w:asciiTheme="majorHAnsi" w:hAnsiTheme="majorHAnsi"/>
      <w:b w:val="0"/>
      <w:bCs/>
      <w:color w:val="2E74B5" w:themeColor="accent1" w:themeShade="BF"/>
      <w:sz w:val="32"/>
    </w:rPr>
  </w:style>
  <w:style w:type="paragraph" w:styleId="TOC2">
    <w:name w:val="toc 2"/>
    <w:basedOn w:val="Normal"/>
    <w:next w:val="Normal"/>
    <w:autoRedefine/>
    <w:uiPriority w:val="39"/>
    <w:unhideWhenUsed/>
    <w:rsid w:val="004071A2"/>
    <w:pPr>
      <w:spacing w:after="100"/>
      <w:ind w:left="220"/>
    </w:pPr>
  </w:style>
  <w:style w:type="character" w:styleId="Hyperlink">
    <w:name w:val="Hyperlink"/>
    <w:basedOn w:val="DefaultParagraphFont"/>
    <w:uiPriority w:val="99"/>
    <w:unhideWhenUsed/>
    <w:rsid w:val="004071A2"/>
    <w:rPr>
      <w:color w:val="0563C1" w:themeColor="hyperlink"/>
      <w:u w:val="single"/>
    </w:rPr>
  </w:style>
  <w:style w:type="paragraph" w:customStyle="1" w:styleId="Default">
    <w:name w:val="Default"/>
    <w:rsid w:val="00FD572D"/>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242F4"/>
    <w:rPr>
      <w:color w:val="605E5C"/>
      <w:shd w:val="clear" w:color="auto" w:fill="E1DFDD"/>
    </w:rPr>
  </w:style>
  <w:style w:type="character" w:styleId="FollowedHyperlink">
    <w:name w:val="FollowedHyperlink"/>
    <w:basedOn w:val="DefaultParagraphFont"/>
    <w:uiPriority w:val="99"/>
    <w:semiHidden/>
    <w:unhideWhenUsed/>
    <w:rsid w:val="005242F4"/>
    <w:rPr>
      <w:color w:val="954F72" w:themeColor="followedHyperlink"/>
      <w:u w:val="single"/>
    </w:rPr>
  </w:style>
  <w:style w:type="paragraph" w:customStyle="1" w:styleId="NoSpacing1">
    <w:name w:val="No Spacing1"/>
    <w:qFormat/>
    <w:rsid w:val="00B73F59"/>
    <w:pPr>
      <w:spacing w:after="0" w:line="240" w:lineRule="auto"/>
    </w:pPr>
    <w:rPr>
      <w:rFonts w:ascii="Times New Roman" w:eastAsia="Times New Roman" w:hAnsi="Times New Roman" w:cs="Times New Roman"/>
      <w:lang w:val="en-US"/>
    </w:rPr>
  </w:style>
  <w:style w:type="table" w:customStyle="1" w:styleId="TableGrid2">
    <w:name w:val="Table Grid2"/>
    <w:basedOn w:val="TableNormal"/>
    <w:next w:val="TableGrid"/>
    <w:uiPriority w:val="39"/>
    <w:rsid w:val="00CD5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12DB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19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opre">
    <w:name w:val="acopre"/>
    <w:basedOn w:val="DefaultParagraphFont"/>
    <w:rsid w:val="00262541"/>
  </w:style>
  <w:style w:type="character" w:styleId="Emphasis">
    <w:name w:val="Emphasis"/>
    <w:basedOn w:val="DefaultParagraphFont"/>
    <w:uiPriority w:val="20"/>
    <w:qFormat/>
    <w:rsid w:val="00262541"/>
    <w:rPr>
      <w:i/>
      <w:iCs/>
    </w:rPr>
  </w:style>
  <w:style w:type="paragraph" w:styleId="CommentSubject">
    <w:name w:val="annotation subject"/>
    <w:basedOn w:val="CommentText"/>
    <w:next w:val="CommentText"/>
    <w:link w:val="CommentSubjectChar"/>
    <w:uiPriority w:val="99"/>
    <w:semiHidden/>
    <w:unhideWhenUsed/>
    <w:rsid w:val="00930518"/>
    <w:rPr>
      <w:b/>
      <w:bCs/>
    </w:rPr>
  </w:style>
  <w:style w:type="character" w:customStyle="1" w:styleId="CommentSubjectChar">
    <w:name w:val="Comment Subject Char"/>
    <w:basedOn w:val="CommentTextChar"/>
    <w:link w:val="CommentSubject"/>
    <w:uiPriority w:val="99"/>
    <w:semiHidden/>
    <w:rsid w:val="00930518"/>
    <w:rPr>
      <w:b/>
      <w:bCs/>
      <w:sz w:val="20"/>
      <w:szCs w:val="20"/>
    </w:rPr>
  </w:style>
  <w:style w:type="paragraph" w:styleId="Revision">
    <w:name w:val="Revision"/>
    <w:hidden/>
    <w:uiPriority w:val="99"/>
    <w:semiHidden/>
    <w:rsid w:val="00930518"/>
    <w:pPr>
      <w:spacing w:after="0" w:line="240" w:lineRule="auto"/>
    </w:pPr>
  </w:style>
  <w:style w:type="character" w:customStyle="1" w:styleId="hgkelc">
    <w:name w:val="hgkelc"/>
    <w:basedOn w:val="DefaultParagraphFont"/>
    <w:rsid w:val="007A6861"/>
  </w:style>
  <w:style w:type="paragraph" w:customStyle="1" w:styleId="xmsonormal">
    <w:name w:val="x_msonormal"/>
    <w:basedOn w:val="Normal"/>
    <w:rsid w:val="004B295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aption">
    <w:name w:val="caption"/>
    <w:basedOn w:val="Normal"/>
    <w:next w:val="Normal"/>
    <w:uiPriority w:val="35"/>
    <w:unhideWhenUsed/>
    <w:qFormat/>
    <w:rsid w:val="00A44EAE"/>
    <w:pPr>
      <w:spacing w:after="200" w:line="240" w:lineRule="auto"/>
    </w:pPr>
    <w:rPr>
      <w:i/>
      <w:iCs/>
      <w:color w:val="44546A" w:themeColor="text2"/>
      <w:sz w:val="18"/>
      <w:szCs w:val="18"/>
    </w:rPr>
  </w:style>
  <w:style w:type="character" w:customStyle="1" w:styleId="BodytxtChar">
    <w:name w:val="Bodytxt Char"/>
    <w:basedOn w:val="DefaultParagraphFont"/>
    <w:link w:val="Bodytxt"/>
    <w:uiPriority w:val="99"/>
    <w:locked/>
    <w:rsid w:val="007E6708"/>
    <w:rPr>
      <w:rFonts w:ascii="Calibri" w:hAnsi="Calibri" w:cs="Calibri"/>
    </w:rPr>
  </w:style>
  <w:style w:type="paragraph" w:customStyle="1" w:styleId="Bodytxt">
    <w:name w:val="Bodytxt"/>
    <w:basedOn w:val="Normal"/>
    <w:link w:val="BodytxtChar"/>
    <w:uiPriority w:val="99"/>
    <w:rsid w:val="007E6708"/>
    <w:pPr>
      <w:spacing w:after="120" w:line="240" w:lineRule="auto"/>
      <w:jc w:val="both"/>
    </w:pPr>
    <w:rPr>
      <w:rFonts w:ascii="Calibri" w:hAnsi="Calibri" w:cs="Calibri"/>
    </w:rPr>
  </w:style>
  <w:style w:type="paragraph" w:customStyle="1" w:styleId="Heading2">
    <w:name w:val="Heading2"/>
    <w:basedOn w:val="Normal"/>
    <w:uiPriority w:val="99"/>
    <w:rsid w:val="007E6708"/>
    <w:pPr>
      <w:numPr>
        <w:numId w:val="52"/>
      </w:numPr>
      <w:spacing w:after="120" w:line="240" w:lineRule="auto"/>
      <w:jc w:val="both"/>
    </w:pPr>
    <w:rPr>
      <w:rFonts w:ascii="Cambria" w:hAnsi="Cambria" w:cs="Calibri"/>
      <w:b/>
      <w:bCs/>
      <w:caps/>
      <w:color w:val="17365D"/>
      <w:sz w:val="32"/>
      <w:szCs w:val="32"/>
    </w:rPr>
  </w:style>
  <w:style w:type="paragraph" w:styleId="TOC1">
    <w:name w:val="toc 1"/>
    <w:basedOn w:val="Normal"/>
    <w:next w:val="Normal"/>
    <w:autoRedefine/>
    <w:uiPriority w:val="39"/>
    <w:unhideWhenUsed/>
    <w:rsid w:val="007E6708"/>
    <w:pPr>
      <w:spacing w:after="100"/>
    </w:pPr>
  </w:style>
  <w:style w:type="table" w:styleId="GridTable2-Accent5">
    <w:name w:val="Grid Table 2 Accent 5"/>
    <w:basedOn w:val="TableNormal"/>
    <w:uiPriority w:val="47"/>
    <w:rsid w:val="0066005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66005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D600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eading2Char">
    <w:name w:val="Heading 2 Char"/>
    <w:basedOn w:val="DefaultParagraphFont"/>
    <w:link w:val="Heading20"/>
    <w:uiPriority w:val="9"/>
    <w:rsid w:val="00FB0EC0"/>
    <w:rPr>
      <w:rFonts w:ascii="Calibri" w:eastAsia="MS Gothic" w:hAnsi="Calibri" w:cs="Times New Roman"/>
      <w:b/>
      <w:bCs/>
      <w:color w:val="4472C4" w:themeColor="accent5"/>
      <w:sz w:val="48"/>
      <w:szCs w:val="48"/>
    </w:rPr>
  </w:style>
  <w:style w:type="paragraph" w:styleId="TOC3">
    <w:name w:val="toc 3"/>
    <w:basedOn w:val="Normal"/>
    <w:next w:val="Normal"/>
    <w:autoRedefine/>
    <w:uiPriority w:val="39"/>
    <w:unhideWhenUsed/>
    <w:rsid w:val="00F5700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59810">
      <w:bodyDiv w:val="1"/>
      <w:marLeft w:val="0"/>
      <w:marRight w:val="0"/>
      <w:marTop w:val="0"/>
      <w:marBottom w:val="0"/>
      <w:divBdr>
        <w:top w:val="none" w:sz="0" w:space="0" w:color="auto"/>
        <w:left w:val="none" w:sz="0" w:space="0" w:color="auto"/>
        <w:bottom w:val="none" w:sz="0" w:space="0" w:color="auto"/>
        <w:right w:val="none" w:sz="0" w:space="0" w:color="auto"/>
      </w:divBdr>
    </w:div>
    <w:div w:id="44062869">
      <w:bodyDiv w:val="1"/>
      <w:marLeft w:val="0"/>
      <w:marRight w:val="0"/>
      <w:marTop w:val="0"/>
      <w:marBottom w:val="0"/>
      <w:divBdr>
        <w:top w:val="none" w:sz="0" w:space="0" w:color="auto"/>
        <w:left w:val="none" w:sz="0" w:space="0" w:color="auto"/>
        <w:bottom w:val="none" w:sz="0" w:space="0" w:color="auto"/>
        <w:right w:val="none" w:sz="0" w:space="0" w:color="auto"/>
      </w:divBdr>
      <w:divsChild>
        <w:div w:id="1672173283">
          <w:marLeft w:val="446"/>
          <w:marRight w:val="0"/>
          <w:marTop w:val="0"/>
          <w:marBottom w:val="61"/>
          <w:divBdr>
            <w:top w:val="none" w:sz="0" w:space="0" w:color="auto"/>
            <w:left w:val="none" w:sz="0" w:space="0" w:color="auto"/>
            <w:bottom w:val="none" w:sz="0" w:space="0" w:color="auto"/>
            <w:right w:val="none" w:sz="0" w:space="0" w:color="auto"/>
          </w:divBdr>
        </w:div>
        <w:div w:id="1317537526">
          <w:marLeft w:val="446"/>
          <w:marRight w:val="0"/>
          <w:marTop w:val="0"/>
          <w:marBottom w:val="61"/>
          <w:divBdr>
            <w:top w:val="none" w:sz="0" w:space="0" w:color="auto"/>
            <w:left w:val="none" w:sz="0" w:space="0" w:color="auto"/>
            <w:bottom w:val="none" w:sz="0" w:space="0" w:color="auto"/>
            <w:right w:val="none" w:sz="0" w:space="0" w:color="auto"/>
          </w:divBdr>
        </w:div>
      </w:divsChild>
    </w:div>
    <w:div w:id="53361557">
      <w:bodyDiv w:val="1"/>
      <w:marLeft w:val="0"/>
      <w:marRight w:val="0"/>
      <w:marTop w:val="0"/>
      <w:marBottom w:val="0"/>
      <w:divBdr>
        <w:top w:val="none" w:sz="0" w:space="0" w:color="auto"/>
        <w:left w:val="none" w:sz="0" w:space="0" w:color="auto"/>
        <w:bottom w:val="none" w:sz="0" w:space="0" w:color="auto"/>
        <w:right w:val="none" w:sz="0" w:space="0" w:color="auto"/>
      </w:divBdr>
    </w:div>
    <w:div w:id="163401768">
      <w:bodyDiv w:val="1"/>
      <w:marLeft w:val="0"/>
      <w:marRight w:val="0"/>
      <w:marTop w:val="0"/>
      <w:marBottom w:val="0"/>
      <w:divBdr>
        <w:top w:val="none" w:sz="0" w:space="0" w:color="auto"/>
        <w:left w:val="none" w:sz="0" w:space="0" w:color="auto"/>
        <w:bottom w:val="none" w:sz="0" w:space="0" w:color="auto"/>
        <w:right w:val="none" w:sz="0" w:space="0" w:color="auto"/>
      </w:divBdr>
    </w:div>
    <w:div w:id="180243798">
      <w:bodyDiv w:val="1"/>
      <w:marLeft w:val="0"/>
      <w:marRight w:val="0"/>
      <w:marTop w:val="0"/>
      <w:marBottom w:val="0"/>
      <w:divBdr>
        <w:top w:val="none" w:sz="0" w:space="0" w:color="auto"/>
        <w:left w:val="none" w:sz="0" w:space="0" w:color="auto"/>
        <w:bottom w:val="none" w:sz="0" w:space="0" w:color="auto"/>
        <w:right w:val="none" w:sz="0" w:space="0" w:color="auto"/>
      </w:divBdr>
    </w:div>
    <w:div w:id="185951845">
      <w:bodyDiv w:val="1"/>
      <w:marLeft w:val="0"/>
      <w:marRight w:val="0"/>
      <w:marTop w:val="0"/>
      <w:marBottom w:val="0"/>
      <w:divBdr>
        <w:top w:val="none" w:sz="0" w:space="0" w:color="auto"/>
        <w:left w:val="none" w:sz="0" w:space="0" w:color="auto"/>
        <w:bottom w:val="none" w:sz="0" w:space="0" w:color="auto"/>
        <w:right w:val="none" w:sz="0" w:space="0" w:color="auto"/>
      </w:divBdr>
    </w:div>
    <w:div w:id="195582763">
      <w:bodyDiv w:val="1"/>
      <w:marLeft w:val="0"/>
      <w:marRight w:val="0"/>
      <w:marTop w:val="0"/>
      <w:marBottom w:val="0"/>
      <w:divBdr>
        <w:top w:val="none" w:sz="0" w:space="0" w:color="auto"/>
        <w:left w:val="none" w:sz="0" w:space="0" w:color="auto"/>
        <w:bottom w:val="none" w:sz="0" w:space="0" w:color="auto"/>
        <w:right w:val="none" w:sz="0" w:space="0" w:color="auto"/>
      </w:divBdr>
    </w:div>
    <w:div w:id="329868054">
      <w:bodyDiv w:val="1"/>
      <w:marLeft w:val="0"/>
      <w:marRight w:val="0"/>
      <w:marTop w:val="0"/>
      <w:marBottom w:val="0"/>
      <w:divBdr>
        <w:top w:val="none" w:sz="0" w:space="0" w:color="auto"/>
        <w:left w:val="none" w:sz="0" w:space="0" w:color="auto"/>
        <w:bottom w:val="none" w:sz="0" w:space="0" w:color="auto"/>
        <w:right w:val="none" w:sz="0" w:space="0" w:color="auto"/>
      </w:divBdr>
      <w:divsChild>
        <w:div w:id="1921404628">
          <w:marLeft w:val="288"/>
          <w:marRight w:val="0"/>
          <w:marTop w:val="0"/>
          <w:marBottom w:val="0"/>
          <w:divBdr>
            <w:top w:val="none" w:sz="0" w:space="0" w:color="auto"/>
            <w:left w:val="none" w:sz="0" w:space="0" w:color="auto"/>
            <w:bottom w:val="none" w:sz="0" w:space="0" w:color="auto"/>
            <w:right w:val="none" w:sz="0" w:space="0" w:color="auto"/>
          </w:divBdr>
        </w:div>
        <w:div w:id="1633485371">
          <w:marLeft w:val="288"/>
          <w:marRight w:val="0"/>
          <w:marTop w:val="0"/>
          <w:marBottom w:val="0"/>
          <w:divBdr>
            <w:top w:val="none" w:sz="0" w:space="0" w:color="auto"/>
            <w:left w:val="none" w:sz="0" w:space="0" w:color="auto"/>
            <w:bottom w:val="none" w:sz="0" w:space="0" w:color="auto"/>
            <w:right w:val="none" w:sz="0" w:space="0" w:color="auto"/>
          </w:divBdr>
        </w:div>
        <w:div w:id="57048867">
          <w:marLeft w:val="288"/>
          <w:marRight w:val="0"/>
          <w:marTop w:val="0"/>
          <w:marBottom w:val="0"/>
          <w:divBdr>
            <w:top w:val="none" w:sz="0" w:space="0" w:color="auto"/>
            <w:left w:val="none" w:sz="0" w:space="0" w:color="auto"/>
            <w:bottom w:val="none" w:sz="0" w:space="0" w:color="auto"/>
            <w:right w:val="none" w:sz="0" w:space="0" w:color="auto"/>
          </w:divBdr>
        </w:div>
      </w:divsChild>
    </w:div>
    <w:div w:id="385377394">
      <w:bodyDiv w:val="1"/>
      <w:marLeft w:val="0"/>
      <w:marRight w:val="0"/>
      <w:marTop w:val="0"/>
      <w:marBottom w:val="0"/>
      <w:divBdr>
        <w:top w:val="none" w:sz="0" w:space="0" w:color="auto"/>
        <w:left w:val="none" w:sz="0" w:space="0" w:color="auto"/>
        <w:bottom w:val="none" w:sz="0" w:space="0" w:color="auto"/>
        <w:right w:val="none" w:sz="0" w:space="0" w:color="auto"/>
      </w:divBdr>
    </w:div>
    <w:div w:id="399056441">
      <w:bodyDiv w:val="1"/>
      <w:marLeft w:val="0"/>
      <w:marRight w:val="0"/>
      <w:marTop w:val="0"/>
      <w:marBottom w:val="0"/>
      <w:divBdr>
        <w:top w:val="none" w:sz="0" w:space="0" w:color="auto"/>
        <w:left w:val="none" w:sz="0" w:space="0" w:color="auto"/>
        <w:bottom w:val="none" w:sz="0" w:space="0" w:color="auto"/>
        <w:right w:val="none" w:sz="0" w:space="0" w:color="auto"/>
      </w:divBdr>
    </w:div>
    <w:div w:id="435101256">
      <w:bodyDiv w:val="1"/>
      <w:marLeft w:val="0"/>
      <w:marRight w:val="0"/>
      <w:marTop w:val="0"/>
      <w:marBottom w:val="0"/>
      <w:divBdr>
        <w:top w:val="none" w:sz="0" w:space="0" w:color="auto"/>
        <w:left w:val="none" w:sz="0" w:space="0" w:color="auto"/>
        <w:bottom w:val="none" w:sz="0" w:space="0" w:color="auto"/>
        <w:right w:val="none" w:sz="0" w:space="0" w:color="auto"/>
      </w:divBdr>
    </w:div>
    <w:div w:id="634143668">
      <w:bodyDiv w:val="1"/>
      <w:marLeft w:val="0"/>
      <w:marRight w:val="0"/>
      <w:marTop w:val="0"/>
      <w:marBottom w:val="0"/>
      <w:divBdr>
        <w:top w:val="none" w:sz="0" w:space="0" w:color="auto"/>
        <w:left w:val="none" w:sz="0" w:space="0" w:color="auto"/>
        <w:bottom w:val="none" w:sz="0" w:space="0" w:color="auto"/>
        <w:right w:val="none" w:sz="0" w:space="0" w:color="auto"/>
      </w:divBdr>
    </w:div>
    <w:div w:id="693381754">
      <w:bodyDiv w:val="1"/>
      <w:marLeft w:val="0"/>
      <w:marRight w:val="0"/>
      <w:marTop w:val="0"/>
      <w:marBottom w:val="0"/>
      <w:divBdr>
        <w:top w:val="none" w:sz="0" w:space="0" w:color="auto"/>
        <w:left w:val="none" w:sz="0" w:space="0" w:color="auto"/>
        <w:bottom w:val="none" w:sz="0" w:space="0" w:color="auto"/>
        <w:right w:val="none" w:sz="0" w:space="0" w:color="auto"/>
      </w:divBdr>
    </w:div>
    <w:div w:id="703362508">
      <w:bodyDiv w:val="1"/>
      <w:marLeft w:val="0"/>
      <w:marRight w:val="0"/>
      <w:marTop w:val="0"/>
      <w:marBottom w:val="0"/>
      <w:divBdr>
        <w:top w:val="none" w:sz="0" w:space="0" w:color="auto"/>
        <w:left w:val="none" w:sz="0" w:space="0" w:color="auto"/>
        <w:bottom w:val="none" w:sz="0" w:space="0" w:color="auto"/>
        <w:right w:val="none" w:sz="0" w:space="0" w:color="auto"/>
      </w:divBdr>
    </w:div>
    <w:div w:id="704252862">
      <w:bodyDiv w:val="1"/>
      <w:marLeft w:val="0"/>
      <w:marRight w:val="0"/>
      <w:marTop w:val="0"/>
      <w:marBottom w:val="0"/>
      <w:divBdr>
        <w:top w:val="none" w:sz="0" w:space="0" w:color="auto"/>
        <w:left w:val="none" w:sz="0" w:space="0" w:color="auto"/>
        <w:bottom w:val="none" w:sz="0" w:space="0" w:color="auto"/>
        <w:right w:val="none" w:sz="0" w:space="0" w:color="auto"/>
      </w:divBdr>
    </w:div>
    <w:div w:id="710963400">
      <w:bodyDiv w:val="1"/>
      <w:marLeft w:val="0"/>
      <w:marRight w:val="0"/>
      <w:marTop w:val="0"/>
      <w:marBottom w:val="0"/>
      <w:divBdr>
        <w:top w:val="none" w:sz="0" w:space="0" w:color="auto"/>
        <w:left w:val="none" w:sz="0" w:space="0" w:color="auto"/>
        <w:bottom w:val="none" w:sz="0" w:space="0" w:color="auto"/>
        <w:right w:val="none" w:sz="0" w:space="0" w:color="auto"/>
      </w:divBdr>
    </w:div>
    <w:div w:id="740253207">
      <w:bodyDiv w:val="1"/>
      <w:marLeft w:val="0"/>
      <w:marRight w:val="0"/>
      <w:marTop w:val="0"/>
      <w:marBottom w:val="0"/>
      <w:divBdr>
        <w:top w:val="none" w:sz="0" w:space="0" w:color="auto"/>
        <w:left w:val="none" w:sz="0" w:space="0" w:color="auto"/>
        <w:bottom w:val="none" w:sz="0" w:space="0" w:color="auto"/>
        <w:right w:val="none" w:sz="0" w:space="0" w:color="auto"/>
      </w:divBdr>
    </w:div>
    <w:div w:id="784233699">
      <w:bodyDiv w:val="1"/>
      <w:marLeft w:val="0"/>
      <w:marRight w:val="0"/>
      <w:marTop w:val="0"/>
      <w:marBottom w:val="0"/>
      <w:divBdr>
        <w:top w:val="none" w:sz="0" w:space="0" w:color="auto"/>
        <w:left w:val="none" w:sz="0" w:space="0" w:color="auto"/>
        <w:bottom w:val="none" w:sz="0" w:space="0" w:color="auto"/>
        <w:right w:val="none" w:sz="0" w:space="0" w:color="auto"/>
      </w:divBdr>
    </w:div>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860825694">
      <w:bodyDiv w:val="1"/>
      <w:marLeft w:val="0"/>
      <w:marRight w:val="0"/>
      <w:marTop w:val="0"/>
      <w:marBottom w:val="0"/>
      <w:divBdr>
        <w:top w:val="none" w:sz="0" w:space="0" w:color="auto"/>
        <w:left w:val="none" w:sz="0" w:space="0" w:color="auto"/>
        <w:bottom w:val="none" w:sz="0" w:space="0" w:color="auto"/>
        <w:right w:val="none" w:sz="0" w:space="0" w:color="auto"/>
      </w:divBdr>
    </w:div>
    <w:div w:id="861356325">
      <w:bodyDiv w:val="1"/>
      <w:marLeft w:val="0"/>
      <w:marRight w:val="0"/>
      <w:marTop w:val="0"/>
      <w:marBottom w:val="0"/>
      <w:divBdr>
        <w:top w:val="none" w:sz="0" w:space="0" w:color="auto"/>
        <w:left w:val="none" w:sz="0" w:space="0" w:color="auto"/>
        <w:bottom w:val="none" w:sz="0" w:space="0" w:color="auto"/>
        <w:right w:val="none" w:sz="0" w:space="0" w:color="auto"/>
      </w:divBdr>
    </w:div>
    <w:div w:id="883520766">
      <w:bodyDiv w:val="1"/>
      <w:marLeft w:val="0"/>
      <w:marRight w:val="0"/>
      <w:marTop w:val="0"/>
      <w:marBottom w:val="0"/>
      <w:divBdr>
        <w:top w:val="none" w:sz="0" w:space="0" w:color="auto"/>
        <w:left w:val="none" w:sz="0" w:space="0" w:color="auto"/>
        <w:bottom w:val="none" w:sz="0" w:space="0" w:color="auto"/>
        <w:right w:val="none" w:sz="0" w:space="0" w:color="auto"/>
      </w:divBdr>
    </w:div>
    <w:div w:id="959995127">
      <w:bodyDiv w:val="1"/>
      <w:marLeft w:val="0"/>
      <w:marRight w:val="0"/>
      <w:marTop w:val="0"/>
      <w:marBottom w:val="0"/>
      <w:divBdr>
        <w:top w:val="none" w:sz="0" w:space="0" w:color="auto"/>
        <w:left w:val="none" w:sz="0" w:space="0" w:color="auto"/>
        <w:bottom w:val="none" w:sz="0" w:space="0" w:color="auto"/>
        <w:right w:val="none" w:sz="0" w:space="0" w:color="auto"/>
      </w:divBdr>
    </w:div>
    <w:div w:id="990522260">
      <w:bodyDiv w:val="1"/>
      <w:marLeft w:val="0"/>
      <w:marRight w:val="0"/>
      <w:marTop w:val="0"/>
      <w:marBottom w:val="0"/>
      <w:divBdr>
        <w:top w:val="none" w:sz="0" w:space="0" w:color="auto"/>
        <w:left w:val="none" w:sz="0" w:space="0" w:color="auto"/>
        <w:bottom w:val="none" w:sz="0" w:space="0" w:color="auto"/>
        <w:right w:val="none" w:sz="0" w:space="0" w:color="auto"/>
      </w:divBdr>
    </w:div>
    <w:div w:id="1031687599">
      <w:bodyDiv w:val="1"/>
      <w:marLeft w:val="0"/>
      <w:marRight w:val="0"/>
      <w:marTop w:val="0"/>
      <w:marBottom w:val="0"/>
      <w:divBdr>
        <w:top w:val="none" w:sz="0" w:space="0" w:color="auto"/>
        <w:left w:val="none" w:sz="0" w:space="0" w:color="auto"/>
        <w:bottom w:val="none" w:sz="0" w:space="0" w:color="auto"/>
        <w:right w:val="none" w:sz="0" w:space="0" w:color="auto"/>
      </w:divBdr>
    </w:div>
    <w:div w:id="1141994132">
      <w:bodyDiv w:val="1"/>
      <w:marLeft w:val="0"/>
      <w:marRight w:val="0"/>
      <w:marTop w:val="0"/>
      <w:marBottom w:val="0"/>
      <w:divBdr>
        <w:top w:val="none" w:sz="0" w:space="0" w:color="auto"/>
        <w:left w:val="none" w:sz="0" w:space="0" w:color="auto"/>
        <w:bottom w:val="none" w:sz="0" w:space="0" w:color="auto"/>
        <w:right w:val="none" w:sz="0" w:space="0" w:color="auto"/>
      </w:divBdr>
    </w:div>
    <w:div w:id="1157651636">
      <w:bodyDiv w:val="1"/>
      <w:marLeft w:val="0"/>
      <w:marRight w:val="0"/>
      <w:marTop w:val="0"/>
      <w:marBottom w:val="0"/>
      <w:divBdr>
        <w:top w:val="none" w:sz="0" w:space="0" w:color="auto"/>
        <w:left w:val="none" w:sz="0" w:space="0" w:color="auto"/>
        <w:bottom w:val="none" w:sz="0" w:space="0" w:color="auto"/>
        <w:right w:val="none" w:sz="0" w:space="0" w:color="auto"/>
      </w:divBdr>
    </w:div>
    <w:div w:id="1241133405">
      <w:bodyDiv w:val="1"/>
      <w:marLeft w:val="0"/>
      <w:marRight w:val="0"/>
      <w:marTop w:val="0"/>
      <w:marBottom w:val="0"/>
      <w:divBdr>
        <w:top w:val="none" w:sz="0" w:space="0" w:color="auto"/>
        <w:left w:val="none" w:sz="0" w:space="0" w:color="auto"/>
        <w:bottom w:val="none" w:sz="0" w:space="0" w:color="auto"/>
        <w:right w:val="none" w:sz="0" w:space="0" w:color="auto"/>
      </w:divBdr>
    </w:div>
    <w:div w:id="1256012481">
      <w:bodyDiv w:val="1"/>
      <w:marLeft w:val="0"/>
      <w:marRight w:val="0"/>
      <w:marTop w:val="0"/>
      <w:marBottom w:val="0"/>
      <w:divBdr>
        <w:top w:val="none" w:sz="0" w:space="0" w:color="auto"/>
        <w:left w:val="none" w:sz="0" w:space="0" w:color="auto"/>
        <w:bottom w:val="none" w:sz="0" w:space="0" w:color="auto"/>
        <w:right w:val="none" w:sz="0" w:space="0" w:color="auto"/>
      </w:divBdr>
    </w:div>
    <w:div w:id="1278835206">
      <w:bodyDiv w:val="1"/>
      <w:marLeft w:val="0"/>
      <w:marRight w:val="0"/>
      <w:marTop w:val="0"/>
      <w:marBottom w:val="0"/>
      <w:divBdr>
        <w:top w:val="none" w:sz="0" w:space="0" w:color="auto"/>
        <w:left w:val="none" w:sz="0" w:space="0" w:color="auto"/>
        <w:bottom w:val="none" w:sz="0" w:space="0" w:color="auto"/>
        <w:right w:val="none" w:sz="0" w:space="0" w:color="auto"/>
      </w:divBdr>
    </w:div>
    <w:div w:id="1379621709">
      <w:bodyDiv w:val="1"/>
      <w:marLeft w:val="0"/>
      <w:marRight w:val="0"/>
      <w:marTop w:val="0"/>
      <w:marBottom w:val="0"/>
      <w:divBdr>
        <w:top w:val="none" w:sz="0" w:space="0" w:color="auto"/>
        <w:left w:val="none" w:sz="0" w:space="0" w:color="auto"/>
        <w:bottom w:val="none" w:sz="0" w:space="0" w:color="auto"/>
        <w:right w:val="none" w:sz="0" w:space="0" w:color="auto"/>
      </w:divBdr>
    </w:div>
    <w:div w:id="1404521839">
      <w:bodyDiv w:val="1"/>
      <w:marLeft w:val="0"/>
      <w:marRight w:val="0"/>
      <w:marTop w:val="0"/>
      <w:marBottom w:val="0"/>
      <w:divBdr>
        <w:top w:val="none" w:sz="0" w:space="0" w:color="auto"/>
        <w:left w:val="none" w:sz="0" w:space="0" w:color="auto"/>
        <w:bottom w:val="none" w:sz="0" w:space="0" w:color="auto"/>
        <w:right w:val="none" w:sz="0" w:space="0" w:color="auto"/>
      </w:divBdr>
    </w:div>
    <w:div w:id="1431856218">
      <w:bodyDiv w:val="1"/>
      <w:marLeft w:val="0"/>
      <w:marRight w:val="0"/>
      <w:marTop w:val="0"/>
      <w:marBottom w:val="0"/>
      <w:divBdr>
        <w:top w:val="none" w:sz="0" w:space="0" w:color="auto"/>
        <w:left w:val="none" w:sz="0" w:space="0" w:color="auto"/>
        <w:bottom w:val="none" w:sz="0" w:space="0" w:color="auto"/>
        <w:right w:val="none" w:sz="0" w:space="0" w:color="auto"/>
      </w:divBdr>
    </w:div>
    <w:div w:id="1443720494">
      <w:bodyDiv w:val="1"/>
      <w:marLeft w:val="0"/>
      <w:marRight w:val="0"/>
      <w:marTop w:val="0"/>
      <w:marBottom w:val="0"/>
      <w:divBdr>
        <w:top w:val="none" w:sz="0" w:space="0" w:color="auto"/>
        <w:left w:val="none" w:sz="0" w:space="0" w:color="auto"/>
        <w:bottom w:val="none" w:sz="0" w:space="0" w:color="auto"/>
        <w:right w:val="none" w:sz="0" w:space="0" w:color="auto"/>
      </w:divBdr>
    </w:div>
    <w:div w:id="1479876845">
      <w:bodyDiv w:val="1"/>
      <w:marLeft w:val="0"/>
      <w:marRight w:val="0"/>
      <w:marTop w:val="0"/>
      <w:marBottom w:val="0"/>
      <w:divBdr>
        <w:top w:val="none" w:sz="0" w:space="0" w:color="auto"/>
        <w:left w:val="none" w:sz="0" w:space="0" w:color="auto"/>
        <w:bottom w:val="none" w:sz="0" w:space="0" w:color="auto"/>
        <w:right w:val="none" w:sz="0" w:space="0" w:color="auto"/>
      </w:divBdr>
    </w:div>
    <w:div w:id="1529098131">
      <w:bodyDiv w:val="1"/>
      <w:marLeft w:val="0"/>
      <w:marRight w:val="0"/>
      <w:marTop w:val="0"/>
      <w:marBottom w:val="0"/>
      <w:divBdr>
        <w:top w:val="none" w:sz="0" w:space="0" w:color="auto"/>
        <w:left w:val="none" w:sz="0" w:space="0" w:color="auto"/>
        <w:bottom w:val="none" w:sz="0" w:space="0" w:color="auto"/>
        <w:right w:val="none" w:sz="0" w:space="0" w:color="auto"/>
      </w:divBdr>
    </w:div>
    <w:div w:id="1583022582">
      <w:bodyDiv w:val="1"/>
      <w:marLeft w:val="0"/>
      <w:marRight w:val="0"/>
      <w:marTop w:val="0"/>
      <w:marBottom w:val="0"/>
      <w:divBdr>
        <w:top w:val="none" w:sz="0" w:space="0" w:color="auto"/>
        <w:left w:val="none" w:sz="0" w:space="0" w:color="auto"/>
        <w:bottom w:val="none" w:sz="0" w:space="0" w:color="auto"/>
        <w:right w:val="none" w:sz="0" w:space="0" w:color="auto"/>
      </w:divBdr>
    </w:div>
    <w:div w:id="1763644931">
      <w:bodyDiv w:val="1"/>
      <w:marLeft w:val="0"/>
      <w:marRight w:val="0"/>
      <w:marTop w:val="0"/>
      <w:marBottom w:val="0"/>
      <w:divBdr>
        <w:top w:val="none" w:sz="0" w:space="0" w:color="auto"/>
        <w:left w:val="none" w:sz="0" w:space="0" w:color="auto"/>
        <w:bottom w:val="none" w:sz="0" w:space="0" w:color="auto"/>
        <w:right w:val="none" w:sz="0" w:space="0" w:color="auto"/>
      </w:divBdr>
      <w:divsChild>
        <w:div w:id="1632125158">
          <w:marLeft w:val="0"/>
          <w:marRight w:val="0"/>
          <w:marTop w:val="0"/>
          <w:marBottom w:val="0"/>
          <w:divBdr>
            <w:top w:val="none" w:sz="0" w:space="0" w:color="auto"/>
            <w:left w:val="none" w:sz="0" w:space="0" w:color="auto"/>
            <w:bottom w:val="none" w:sz="0" w:space="0" w:color="auto"/>
            <w:right w:val="none" w:sz="0" w:space="0" w:color="auto"/>
          </w:divBdr>
        </w:div>
        <w:div w:id="211573702">
          <w:marLeft w:val="0"/>
          <w:marRight w:val="0"/>
          <w:marTop w:val="0"/>
          <w:marBottom w:val="0"/>
          <w:divBdr>
            <w:top w:val="none" w:sz="0" w:space="0" w:color="auto"/>
            <w:left w:val="none" w:sz="0" w:space="0" w:color="auto"/>
            <w:bottom w:val="none" w:sz="0" w:space="0" w:color="auto"/>
            <w:right w:val="none" w:sz="0" w:space="0" w:color="auto"/>
          </w:divBdr>
          <w:divsChild>
            <w:div w:id="499122466">
              <w:marLeft w:val="0"/>
              <w:marRight w:val="0"/>
              <w:marTop w:val="0"/>
              <w:marBottom w:val="0"/>
              <w:divBdr>
                <w:top w:val="none" w:sz="0" w:space="0" w:color="auto"/>
                <w:left w:val="none" w:sz="0" w:space="0" w:color="auto"/>
                <w:bottom w:val="none" w:sz="0" w:space="0" w:color="auto"/>
                <w:right w:val="none" w:sz="0" w:space="0" w:color="auto"/>
              </w:divBdr>
            </w:div>
            <w:div w:id="19069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5987">
      <w:bodyDiv w:val="1"/>
      <w:marLeft w:val="0"/>
      <w:marRight w:val="0"/>
      <w:marTop w:val="0"/>
      <w:marBottom w:val="0"/>
      <w:divBdr>
        <w:top w:val="none" w:sz="0" w:space="0" w:color="auto"/>
        <w:left w:val="none" w:sz="0" w:space="0" w:color="auto"/>
        <w:bottom w:val="none" w:sz="0" w:space="0" w:color="auto"/>
        <w:right w:val="none" w:sz="0" w:space="0" w:color="auto"/>
      </w:divBdr>
    </w:div>
    <w:div w:id="1856142218">
      <w:bodyDiv w:val="1"/>
      <w:marLeft w:val="0"/>
      <w:marRight w:val="0"/>
      <w:marTop w:val="0"/>
      <w:marBottom w:val="0"/>
      <w:divBdr>
        <w:top w:val="none" w:sz="0" w:space="0" w:color="auto"/>
        <w:left w:val="none" w:sz="0" w:space="0" w:color="auto"/>
        <w:bottom w:val="none" w:sz="0" w:space="0" w:color="auto"/>
        <w:right w:val="none" w:sz="0" w:space="0" w:color="auto"/>
      </w:divBdr>
    </w:div>
    <w:div w:id="1858998905">
      <w:bodyDiv w:val="1"/>
      <w:marLeft w:val="0"/>
      <w:marRight w:val="0"/>
      <w:marTop w:val="0"/>
      <w:marBottom w:val="0"/>
      <w:divBdr>
        <w:top w:val="none" w:sz="0" w:space="0" w:color="auto"/>
        <w:left w:val="none" w:sz="0" w:space="0" w:color="auto"/>
        <w:bottom w:val="none" w:sz="0" w:space="0" w:color="auto"/>
        <w:right w:val="none" w:sz="0" w:space="0" w:color="auto"/>
      </w:divBdr>
    </w:div>
    <w:div w:id="1951087552">
      <w:bodyDiv w:val="1"/>
      <w:marLeft w:val="0"/>
      <w:marRight w:val="0"/>
      <w:marTop w:val="0"/>
      <w:marBottom w:val="0"/>
      <w:divBdr>
        <w:top w:val="none" w:sz="0" w:space="0" w:color="auto"/>
        <w:left w:val="none" w:sz="0" w:space="0" w:color="auto"/>
        <w:bottom w:val="none" w:sz="0" w:space="0" w:color="auto"/>
        <w:right w:val="none" w:sz="0" w:space="0" w:color="auto"/>
      </w:divBdr>
    </w:div>
    <w:div w:id="2078435939">
      <w:bodyDiv w:val="1"/>
      <w:marLeft w:val="0"/>
      <w:marRight w:val="0"/>
      <w:marTop w:val="0"/>
      <w:marBottom w:val="0"/>
      <w:divBdr>
        <w:top w:val="none" w:sz="0" w:space="0" w:color="auto"/>
        <w:left w:val="none" w:sz="0" w:space="0" w:color="auto"/>
        <w:bottom w:val="none" w:sz="0" w:space="0" w:color="auto"/>
        <w:right w:val="none" w:sz="0" w:space="0" w:color="auto"/>
      </w:divBdr>
    </w:div>
    <w:div w:id="2084787896">
      <w:bodyDiv w:val="1"/>
      <w:marLeft w:val="0"/>
      <w:marRight w:val="0"/>
      <w:marTop w:val="0"/>
      <w:marBottom w:val="0"/>
      <w:divBdr>
        <w:top w:val="none" w:sz="0" w:space="0" w:color="auto"/>
        <w:left w:val="none" w:sz="0" w:space="0" w:color="auto"/>
        <w:bottom w:val="none" w:sz="0" w:space="0" w:color="auto"/>
        <w:right w:val="none" w:sz="0" w:space="0" w:color="auto"/>
      </w:divBdr>
    </w:div>
    <w:div w:id="21104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chelle@collectiveinsights.com.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db.org/sites/default/files/project-documents/48458/48458-001-48458-003-pcr-en.pdf" TargetMode="External"/><Relationship Id="rId7" Type="http://schemas.openxmlformats.org/officeDocument/2006/relationships/hyperlink" Target="https://www.adb.org/sites/default/files/project-documents/48458/48458-001-48458-003-pcr-en.pdf" TargetMode="External"/><Relationship Id="rId2" Type="http://schemas.openxmlformats.org/officeDocument/2006/relationships/hyperlink" Target="https://bpp.worldbank.org/" TargetMode="External"/><Relationship Id="rId1" Type="http://schemas.openxmlformats.org/officeDocument/2006/relationships/hyperlink" Target="https://www.google.com/url?sa=t&amp;rct=j&amp;q=&amp;esrc=s&amp;source=web&amp;cd=&amp;ved=2ahUKEwjBmPvi9bPvAhV_zjgGHcAYCRgQFjAEegQICBAD&amp;url=https%3A%2F%2Fdbm.gov.ph%2Fwp-content%2Fuploads%2FOur%2520Budget%2F2021%2FImplementation-of-the-Supreme-Court-Decision-in-the-Mandanas-Case.pptx&amp;usg=AOvVaw0IitcBoxeZMxITS9sdIoZt" TargetMode="External"/><Relationship Id="rId6" Type="http://schemas.openxmlformats.org/officeDocument/2006/relationships/hyperlink" Target="https://www.google.com/url?sa=t&amp;rct=j&amp;q=&amp;esrc=s&amp;source=web&amp;cd=&amp;ved=2ahUKEwjK5O6BhqjxAhWa63MBHYvtAgYQFnoECAoQAA&amp;url=https%3A%2F%2Fwww.edfi.eu%2Fwp%2Fwp-content%2Fuploads%2F2018%2F06%2F201806_Mobilization-of-Private-Finance_v2.pdf&amp;usg=AOvVaw3JQ4J2gcg1Om4dT4cdrarV" TargetMode="External"/><Relationship Id="rId5" Type="http://schemas.openxmlformats.org/officeDocument/2006/relationships/hyperlink" Target="https://ppp.gov.ph/publications/ppp-manual-for-national-government-agencies-ngas/" TargetMode="External"/><Relationship Id="rId4" Type="http://schemas.openxmlformats.org/officeDocument/2006/relationships/hyperlink" Target="https://www.google.com/url?sa=t&amp;rct=j&amp;q=&amp;esrc=s&amp;source=web&amp;cd=&amp;cad=rja&amp;uact=8&amp;ved=2ahUKEwj0o4bx4abvAhXryDgGHWw1D08QFjAAegQIAhAD&amp;url=https%3A%2F%2Fppp.gov.ph%2Fwp-content%2Fuploads%2F2019%2F01%2FPPPC_PPPGB_Reso-Safeguards-in-PPP.pdf&amp;usg=AOvVaw1pNH-RJ8EAavmS0Qvlel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A971F-D6D8-438C-B72B-D7513F81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21415</Words>
  <Characters>124209</Characters>
  <Application>Microsoft Office Word</Application>
  <DocSecurity>0</DocSecurity>
  <Lines>2760</Lines>
  <Paragraphs>1055</Paragraphs>
  <ScaleCrop>false</ScaleCrop>
  <Company/>
  <LinksUpToDate>false</LinksUpToDate>
  <CharactersWithSpaces>144569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Assistance on Strengthening Public Private Partnerships Program in the Philippines (2011-2021) - Final Report</dc:title>
  <dc:subject/>
  <dc:creator/>
  <cp:keywords/>
  <dc:description/>
  <cp:lastModifiedBy/>
  <cp:revision>1</cp:revision>
  <dcterms:created xsi:type="dcterms:W3CDTF">2022-02-22T21:15:00Z</dcterms:created>
  <dcterms:modified xsi:type="dcterms:W3CDTF">2022-02-22T21:20:00Z</dcterms:modified>
  <cp:category/>
</cp:coreProperties>
</file>