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1A29" w14:textId="44EB4441" w:rsidR="007E5B2F" w:rsidRPr="00745B76" w:rsidRDefault="007E5B2F" w:rsidP="00745B76">
      <w:pPr>
        <w:pStyle w:val="Heading1"/>
      </w:pPr>
      <w:r w:rsidRPr="00745B76">
        <w:t>Management Response to the Evaluation</w:t>
      </w:r>
    </w:p>
    <w:p w14:paraId="729E7527" w14:textId="0270EC9A" w:rsidR="007E5B2F" w:rsidRPr="009775BF" w:rsidRDefault="007E5B2F" w:rsidP="00745B76">
      <w:pPr>
        <w:pStyle w:val="Heading2"/>
      </w:pPr>
      <w:r w:rsidRPr="009775BF">
        <w:t>Summary of Management Response</w:t>
      </w:r>
    </w:p>
    <w:p w14:paraId="2BA32189" w14:textId="4CA75C35" w:rsidR="00AB070B" w:rsidRDefault="00AB070B" w:rsidP="007E5B2F">
      <w:pPr>
        <w:spacing w:before="57" w:after="142" w:line="288" w:lineRule="auto"/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</w:pPr>
      <w:r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T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he independent</w:t>
      </w:r>
      <w:r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completion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evaluation of the Technical Assistance (TA) on Strengthening Public-Private Partnerships (PPP) in the Philippines (2011-2021)</w:t>
      </w:r>
      <w:r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was commissioned to 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assess 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its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performance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,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provide insights into how the PPP Program could be strengthened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,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and 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share 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lessons 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that could inform designs for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similar programs in the future. </w:t>
      </w:r>
      <w:r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The evaluation was also intended to 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assist the Australian Embassy in Manila to identify 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potential 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areas of future need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s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in relation to PPPs in the Philippines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,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and infrastructure development 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requirements 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in general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. It was intended to provide considerations for DFAT when canvassing 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options for potential Australian Government support through other development cooperation activities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in the Philippines</w:t>
      </w:r>
      <w:r w:rsidRPr="00AB070B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.</w:t>
      </w:r>
    </w:p>
    <w:p w14:paraId="4A552032" w14:textId="7F8F7611" w:rsidR="002E64E1" w:rsidRPr="009775BF" w:rsidRDefault="007E5B2F" w:rsidP="007E5B2F">
      <w:pPr>
        <w:spacing w:before="57" w:after="142" w:line="288" w:lineRule="auto"/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</w:pP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DFAT </w:t>
      </w:r>
      <w:r w:rsidR="009E4582"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welcomes </w:t>
      </w:r>
      <w:r w:rsidR="002E64E1"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the 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recommendations </w:t>
      </w:r>
      <w:r w:rsidR="002E64E1"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of 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the independent completion evaluation.  </w:t>
      </w:r>
    </w:p>
    <w:p w14:paraId="44014657" w14:textId="08F8994E" w:rsidR="007E5B2F" w:rsidRPr="009775BF" w:rsidRDefault="007E5B2F" w:rsidP="007E5B2F">
      <w:pPr>
        <w:spacing w:before="57" w:after="142" w:line="288" w:lineRule="auto"/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</w:pP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DFAT see</w:t>
      </w:r>
      <w:r w:rsidR="002E64E1"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s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value </w:t>
      </w:r>
      <w:r w:rsidR="002E64E1"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in the continued inclusion 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of infrastructure </w:t>
      </w:r>
      <w:r w:rsidR="002E64E1"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as a sector 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in </w:t>
      </w:r>
      <w:r w:rsidR="002E64E1"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Australia’s 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development program in the Philippines.  The evaluation provides useful recommendations that 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could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inform future programming in support of infrastructure development and PPPs in the Philippines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, particularly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in terms of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activity selection,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design, management</w:t>
      </w:r>
      <w:r w:rsidR="008C28C3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>, policy analysis,</w:t>
      </w:r>
      <w:r w:rsidRPr="009775BF">
        <w:rPr>
          <w:rFonts w:asciiTheme="minorHAnsi" w:hAnsiTheme="minorHAnsi" w:cstheme="minorHAnsi"/>
          <w:color w:val="000000"/>
          <w:sz w:val="21"/>
          <w:szCs w:val="24"/>
          <w:lang w:val="en-AU" w:eastAsia="en-AU"/>
        </w:rPr>
        <w:t xml:space="preserve"> and oversight of programs channelled to multilateral institutions.</w:t>
      </w:r>
    </w:p>
    <w:p w14:paraId="5EF9EB3C" w14:textId="413176E9" w:rsidR="007E5B2F" w:rsidRPr="00745B76" w:rsidRDefault="007E5B2F" w:rsidP="00745B76">
      <w:pPr>
        <w:pStyle w:val="Heading2"/>
      </w:pPr>
      <w:r w:rsidRPr="00745B76">
        <w:t>Evaluation recommendations</w:t>
      </w:r>
    </w:p>
    <w:tbl>
      <w:tblPr>
        <w:tblStyle w:val="ODETable"/>
        <w:tblW w:w="0" w:type="auto"/>
        <w:tblLook w:val="04A0" w:firstRow="1" w:lastRow="0" w:firstColumn="1" w:lastColumn="0" w:noHBand="0" w:noVBand="1"/>
      </w:tblPr>
      <w:tblGrid>
        <w:gridCol w:w="5524"/>
        <w:gridCol w:w="3402"/>
        <w:gridCol w:w="5324"/>
      </w:tblGrid>
      <w:tr w:rsidR="00750F2B" w:rsidRPr="009775BF" w14:paraId="0ECF6DDB" w14:textId="1C44BD9D" w:rsidTr="00623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524" w:type="dxa"/>
            <w:shd w:val="clear" w:color="auto" w:fill="14434B"/>
          </w:tcPr>
          <w:p w14:paraId="34C24DF1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Recommendation</w:t>
            </w:r>
          </w:p>
        </w:tc>
        <w:tc>
          <w:tcPr>
            <w:tcW w:w="3402" w:type="dxa"/>
            <w:shd w:val="clear" w:color="auto" w:fill="14434B"/>
          </w:tcPr>
          <w:p w14:paraId="1D34D4AB" w14:textId="2E3AD671" w:rsidR="00750F2B" w:rsidRPr="009775BF" w:rsidRDefault="002E64E1" w:rsidP="00623899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Response</w:t>
            </w:r>
          </w:p>
        </w:tc>
        <w:tc>
          <w:tcPr>
            <w:tcW w:w="5324" w:type="dxa"/>
            <w:shd w:val="clear" w:color="auto" w:fill="14434B"/>
          </w:tcPr>
          <w:p w14:paraId="142AECF4" w14:textId="42ECD806" w:rsidR="00750F2B" w:rsidRPr="009775BF" w:rsidRDefault="00623899" w:rsidP="00623899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Explanation</w:t>
            </w:r>
          </w:p>
        </w:tc>
      </w:tr>
      <w:tr w:rsidR="00750F2B" w:rsidRPr="009775BF" w14:paraId="4F4D85CF" w14:textId="4DD119F7" w:rsidTr="00623899">
        <w:tc>
          <w:tcPr>
            <w:tcW w:w="5524" w:type="dxa"/>
            <w:shd w:val="clear" w:color="auto" w:fill="D3E6E9"/>
          </w:tcPr>
          <w:p w14:paraId="46B613D8" w14:textId="77777777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Bring Australian partners (including private sector) into a </w:t>
            </w:r>
            <w:r w:rsidRPr="009775BF">
              <w:rPr>
                <w:rFonts w:asciiTheme="minorHAnsi" w:eastAsia="Cambria" w:hAnsiTheme="minorHAnsi" w:cstheme="minorHAnsi"/>
                <w:b/>
                <w:sz w:val="22"/>
                <w:szCs w:val="22"/>
                <w:lang w:val="en-AU" w:eastAsia="en-US"/>
              </w:rPr>
              <w:t>joined-up Whole of Government strategy</w:t>
            </w:r>
            <w:r w:rsidRPr="009775BF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Pr="009775BF">
              <w:rPr>
                <w:rFonts w:asciiTheme="minorHAnsi" w:eastAsia="Cambria" w:hAnsiTheme="minorHAnsi" w:cstheme="minorHAnsi"/>
                <w:bCs/>
                <w:sz w:val="22"/>
                <w:szCs w:val="22"/>
                <w:lang w:val="en-AU" w:eastAsia="en-US"/>
              </w:rPr>
              <w:t>that links other programs and priority areas (good governance, climate change, peace and security, indigenous people) in a holistic approach and seeks to increase Australian private sector investment and linkages (such as by providing non-ODA funding to Australian private sector entities to fund bids to increase engagement).</w:t>
            </w:r>
          </w:p>
        </w:tc>
        <w:tc>
          <w:tcPr>
            <w:tcW w:w="3402" w:type="dxa"/>
            <w:shd w:val="clear" w:color="auto" w:fill="FFC000"/>
          </w:tcPr>
          <w:p w14:paraId="52242287" w14:textId="53439585" w:rsidR="00750F2B" w:rsidRPr="009775BF" w:rsidRDefault="00750F2B" w:rsidP="009E4582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sz w:val="21"/>
                <w:szCs w:val="21"/>
              </w:rPr>
              <w:t xml:space="preserve">Agree in </w:t>
            </w: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part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69DE03F3" w14:textId="152F9DCA" w:rsidR="00750F2B" w:rsidRPr="009775BF" w:rsidRDefault="002E64E1" w:rsidP="009775BF">
            <w:pPr>
              <w:spacing w:before="57" w:after="142" w:line="288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DFAT agrees in-principle on the value of bringing in Australian partners including private sector in a holistic approach that links programs and priority areas to increase private sector investments.  Any recommendation to provide non-ODA funding to Australian private sector entities to fund bids would have to undergo approval process and be subject to appropriate due diligence, </w:t>
            </w:r>
            <w:proofErr w:type="gramStart"/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have to</w:t>
            </w:r>
            <w:proofErr w:type="gramEnd"/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be in line with DFAT’s rules on non-aid grants, and would need to comply with the Commonwealth Grant Rules and Guidelines (CGRG).  </w:t>
            </w:r>
          </w:p>
        </w:tc>
      </w:tr>
      <w:tr w:rsidR="00750F2B" w:rsidRPr="009775BF" w14:paraId="4ECED423" w14:textId="054A7EB6" w:rsidTr="00623899">
        <w:tc>
          <w:tcPr>
            <w:tcW w:w="5524" w:type="dxa"/>
            <w:shd w:val="clear" w:color="auto" w:fill="D3E6E9"/>
          </w:tcPr>
          <w:p w14:paraId="6C133E33" w14:textId="061E5E6E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bookmarkStart w:id="0" w:name="_Hlk67930620"/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lastRenderedPageBreak/>
              <w:t xml:space="preserve">Ensure DFAT undertakes a formal </w:t>
            </w:r>
            <w:r w:rsidRPr="001C6F5C">
              <w:rPr>
                <w:rFonts w:asciiTheme="minorHAnsi" w:hAnsiTheme="minorHAnsi" w:cstheme="minorHAnsi"/>
                <w:b/>
                <w:bCs/>
                <w:kern w:val="28"/>
                <w:sz w:val="21"/>
                <w:szCs w:val="21"/>
                <w:lang w:val="en-AU" w:eastAsia="en-AU"/>
              </w:rPr>
              <w:t>p</w:t>
            </w:r>
            <w:r w:rsidRPr="009775BF">
              <w:rPr>
                <w:rFonts w:asciiTheme="minorHAnsi" w:eastAsia="Cambria" w:hAnsiTheme="minorHAnsi" w:cstheme="minorHAnsi"/>
                <w:b/>
                <w:bCs/>
                <w:color w:val="000000"/>
                <w:sz w:val="22"/>
                <w:szCs w:val="22"/>
                <w:lang w:val="en-AU" w:eastAsia="en-US"/>
              </w:rPr>
              <w:t>olitical economy analysis</w:t>
            </w:r>
            <w:r w:rsidRPr="009775BF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 xml:space="preserve"> in the design of new </w:t>
            </w:r>
            <w:r w:rsidR="00B4235B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 xml:space="preserve">infrastructure </w:t>
            </w:r>
            <w:r w:rsidRPr="009775BF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>program</w:t>
            </w:r>
            <w:r w:rsidR="008C28C3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>s</w:t>
            </w:r>
            <w:r w:rsidRPr="009775BF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 xml:space="preserve"> (and that implementing partners hold ongoing responsibility for undertaking structured political economy analysis, including upon a change of government), package support in line with a new government’s policy direction and preferred brand of PPPs, and ensure communication and engagement with senior government personnel is core to any new program.</w:t>
            </w:r>
            <w:bookmarkEnd w:id="0"/>
          </w:p>
        </w:tc>
        <w:tc>
          <w:tcPr>
            <w:tcW w:w="3402" w:type="dxa"/>
            <w:shd w:val="clear" w:color="auto" w:fill="00B050"/>
          </w:tcPr>
          <w:p w14:paraId="394608DD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0AF6C67A" w14:textId="441DE99A" w:rsidR="002E64E1" w:rsidRPr="009775BF" w:rsidRDefault="002E64E1" w:rsidP="002E64E1">
            <w:pPr>
              <w:spacing w:before="57" w:after="142" w:line="288" w:lineRule="auto"/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DFAT agrees on the importance of sound analysis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,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including political economy analysis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,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to ensure alignment with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the partner 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government’s direction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,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especially in the context of major change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s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in the political landscape.  </w:t>
            </w:r>
          </w:p>
          <w:p w14:paraId="15EBC225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</w:p>
        </w:tc>
      </w:tr>
      <w:tr w:rsidR="00750F2B" w:rsidRPr="009775BF" w14:paraId="29FE7BDC" w14:textId="1083B77F" w:rsidTr="00623899">
        <w:tc>
          <w:tcPr>
            <w:tcW w:w="5524" w:type="dxa"/>
            <w:shd w:val="clear" w:color="auto" w:fill="D3E6E9"/>
          </w:tcPr>
          <w:p w14:paraId="6FAD11FD" w14:textId="43DE9FCC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bookmarkStart w:id="1" w:name="_Hlk67931438"/>
            <w:r w:rsidRPr="009775BF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 xml:space="preserve">Detail a </w:t>
            </w:r>
            <w:r w:rsidRPr="009775BF">
              <w:rPr>
                <w:rFonts w:asciiTheme="minorHAnsi" w:eastAsia="Cambria" w:hAnsiTheme="minorHAnsi" w:cstheme="minorHAnsi"/>
                <w:b/>
                <w:bCs/>
                <w:color w:val="000000"/>
                <w:sz w:val="22"/>
                <w:szCs w:val="22"/>
                <w:lang w:val="en-AU" w:eastAsia="en-US"/>
              </w:rPr>
              <w:t>formal partnership approach within the design document and contract agreement</w:t>
            </w:r>
            <w:r w:rsidRPr="009775BF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  <w:t xml:space="preserve"> that articulates clear roles and communication mechanisms to ensure DFAT’s engagement in strategic direction, monitoring and governance, and build in policy-based triggers to payments, rather than just tranche payments. </w:t>
            </w:r>
            <w:bookmarkEnd w:id="1"/>
          </w:p>
        </w:tc>
        <w:tc>
          <w:tcPr>
            <w:tcW w:w="3402" w:type="dxa"/>
            <w:shd w:val="clear" w:color="auto" w:fill="00B050"/>
          </w:tcPr>
          <w:p w14:paraId="5D97F77E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28234380" w14:textId="3D4A3DF4" w:rsidR="00750F2B" w:rsidRPr="009775BF" w:rsidRDefault="002E64E1" w:rsidP="00623899">
            <w:pPr>
              <w:keepNext/>
              <w:keepLines/>
              <w:spacing w:before="227" w:after="57" w:line="300" w:lineRule="auto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Partnerships with multilateral institutions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,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such as the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Asian Development Bank (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ADB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)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enable</w:t>
            </w:r>
            <w:r w:rsidR="008C28C3"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DFAT to leverage its resources and gain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space for effective policy dialogue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.  Nevertheless, DFAT agrees that these partnerships can be strengthened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and better maintained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, including through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improved 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articulation of roles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,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and clearer communication mechanisms between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all 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institutions in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volved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the partnership. These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processes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should be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articulated and integrated into</w:t>
            </w:r>
            <w:r w:rsidR="008C28C3"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partnership agreements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,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and 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implemented 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through more proactive</w:t>
            </w:r>
            <w:r w:rsidR="008C28C3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and consistent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engagement of DFAT in direction setting and monitoring.</w:t>
            </w:r>
          </w:p>
        </w:tc>
      </w:tr>
      <w:tr w:rsidR="00750F2B" w:rsidRPr="009775BF" w14:paraId="7B1522DB" w14:textId="6BE16076" w:rsidTr="00623899">
        <w:tc>
          <w:tcPr>
            <w:tcW w:w="5524" w:type="dxa"/>
            <w:shd w:val="clear" w:color="auto" w:fill="D3E6E9"/>
          </w:tcPr>
          <w:p w14:paraId="22E26DA8" w14:textId="686073CA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lastRenderedPageBreak/>
              <w:t xml:space="preserve">Invest in building stronger partnerships and </w:t>
            </w:r>
            <w:r w:rsidR="008C28C3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maintaining 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more proactive engagement when working through ADB / 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 xml:space="preserve">multilateral institutions to ensure strategic relationships and engagement 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with a broad range of stakeholders, including by allocating additional staffing resources within </w:t>
            </w:r>
            <w:r w:rsidR="004F6A65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the embassy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to support strategic and partnership engagement.</w:t>
            </w:r>
          </w:p>
        </w:tc>
        <w:tc>
          <w:tcPr>
            <w:tcW w:w="3402" w:type="dxa"/>
            <w:shd w:val="clear" w:color="auto" w:fill="00B050"/>
          </w:tcPr>
          <w:p w14:paraId="63958B7D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403E7C56" w14:textId="694D0E50" w:rsidR="00750F2B" w:rsidRPr="009775BF" w:rsidRDefault="006E3C91" w:rsidP="00623899">
            <w:pPr>
              <w:keepNext/>
              <w:keepLines/>
              <w:spacing w:before="227" w:after="57" w:line="300" w:lineRule="auto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DFAT </w:t>
            </w: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will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 </w:t>
            </w:r>
            <w:r w:rsidR="000F5DDE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ensure that partnership priorities will 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be considered </w:t>
            </w:r>
            <w:r w:rsidR="00C62E70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throughout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 the design and development of future program</w:t>
            </w:r>
            <w:r w:rsidR="00C62E70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s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.</w:t>
            </w:r>
          </w:p>
        </w:tc>
      </w:tr>
      <w:tr w:rsidR="00750F2B" w:rsidRPr="009775BF" w14:paraId="694C9855" w14:textId="3834D79E" w:rsidTr="00623899">
        <w:tc>
          <w:tcPr>
            <w:tcW w:w="5524" w:type="dxa"/>
            <w:shd w:val="clear" w:color="auto" w:fill="D3E6E9"/>
          </w:tcPr>
          <w:p w14:paraId="74E733B3" w14:textId="4DFA8857" w:rsidR="00750F2B" w:rsidRPr="009775BF" w:rsidRDefault="00750F2B" w:rsidP="007E5B2F">
            <w:pPr>
              <w:numPr>
                <w:ilvl w:val="0"/>
                <w:numId w:val="1"/>
              </w:numPr>
              <w:spacing w:after="100" w:afterAutospacing="1"/>
              <w:ind w:left="366" w:hanging="284"/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</w:pPr>
            <w:bookmarkStart w:id="2" w:name="_Hlk67931473"/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Ensure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C62E70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monitoring and evaluation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 xml:space="preserve"> supports adaptive management and strategy testing approaches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for DFAT </w:t>
            </w:r>
            <w:r w:rsidR="00C62E70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programs</w:t>
            </w:r>
            <w:r w:rsidR="00C62E70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that are strongly shaped by political-economy factors</w:t>
            </w:r>
            <w:r w:rsidR="00C62E70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,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and work closely with national governments, noting that this may require DFAT to negotiate, contribute to and resource a separate </w:t>
            </w:r>
            <w:r w:rsidR="00C62E70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monitoring and evaluation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framework when working through multilateral institutions. </w:t>
            </w:r>
            <w:bookmarkEnd w:id="2"/>
          </w:p>
        </w:tc>
        <w:tc>
          <w:tcPr>
            <w:tcW w:w="3402" w:type="dxa"/>
            <w:shd w:val="clear" w:color="auto" w:fill="00B050"/>
          </w:tcPr>
          <w:p w14:paraId="64B75BE0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4EBB782E" w14:textId="5FF22E9B" w:rsidR="002E64E1" w:rsidRPr="009775BF" w:rsidRDefault="002E64E1" w:rsidP="002E64E1">
            <w:pPr>
              <w:spacing w:before="57" w:after="142" w:line="288" w:lineRule="auto"/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DFAT agrees on the need for strong and well-resourced monitoring and evaluation system</w:t>
            </w:r>
            <w:r w:rsidR="00C62E70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>s</w:t>
            </w:r>
            <w:r w:rsidRPr="009775BF">
              <w:rPr>
                <w:rFonts w:asciiTheme="minorHAnsi" w:hAnsiTheme="minorHAnsi" w:cstheme="minorHAnsi"/>
                <w:color w:val="000000"/>
                <w:sz w:val="21"/>
                <w:szCs w:val="24"/>
                <w:lang w:val="en-AU" w:eastAsia="en-AU"/>
              </w:rPr>
              <w:t xml:space="preserve"> than can inform programmatic and strategic decisions. </w:t>
            </w:r>
          </w:p>
          <w:p w14:paraId="5E40A336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</w:p>
        </w:tc>
      </w:tr>
      <w:tr w:rsidR="00750F2B" w:rsidRPr="009775BF" w14:paraId="21518830" w14:textId="70C22E26" w:rsidTr="00623899">
        <w:tc>
          <w:tcPr>
            <w:tcW w:w="5524" w:type="dxa"/>
            <w:shd w:val="clear" w:color="auto" w:fill="D3E6E9"/>
          </w:tcPr>
          <w:p w14:paraId="3A7CEDAA" w14:textId="44CFA728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Explore opportunities to 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integrate a future PPP element into existing DFAT investment</w:t>
            </w:r>
            <w:r w:rsidR="00C62E70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s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, with PPPs positioned as one of several modalities to support inclusive infrastructure development, messaged as a continuation of the current program. </w:t>
            </w:r>
          </w:p>
        </w:tc>
        <w:tc>
          <w:tcPr>
            <w:tcW w:w="3402" w:type="dxa"/>
            <w:shd w:val="clear" w:color="auto" w:fill="00B050"/>
          </w:tcPr>
          <w:p w14:paraId="65B6651A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64715858" w14:textId="53C87555" w:rsidR="00750F2B" w:rsidRPr="009775BF" w:rsidRDefault="00142461" w:rsidP="00623899">
            <w:pPr>
              <w:keepNext/>
              <w:keepLines/>
              <w:spacing w:before="227" w:after="57" w:line="300" w:lineRule="auto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DFAT is always open to opportunities to link or find synergies between its investment</w:t>
            </w:r>
            <w:r w:rsidR="00C62E70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s</w:t>
            </w: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.</w:t>
            </w:r>
          </w:p>
        </w:tc>
      </w:tr>
      <w:tr w:rsidR="00750F2B" w:rsidRPr="009775BF" w14:paraId="30C065B6" w14:textId="6B572193" w:rsidTr="00623899">
        <w:tc>
          <w:tcPr>
            <w:tcW w:w="5524" w:type="dxa"/>
            <w:shd w:val="clear" w:color="auto" w:fill="D3E6E9"/>
          </w:tcPr>
          <w:p w14:paraId="4FE268F0" w14:textId="48600BEF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Consider engagement with the Australian private sector for any new project in targeted 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Australian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niche areas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such as </w:t>
            </w:r>
            <w:r w:rsidR="004F6A65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g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ender </w:t>
            </w:r>
            <w:r w:rsidR="004F6A65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e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quality, </w:t>
            </w:r>
            <w:r w:rsidR="004F6A65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d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isability and </w:t>
            </w:r>
            <w:r w:rsidR="004F6A65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s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ocial </w:t>
            </w:r>
            <w:r w:rsidR="004F6A65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i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nclusion 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lastRenderedPageBreak/>
              <w:t xml:space="preserve">(GEDSI) and safeguarding, new technology, quality of infrastructure, </w:t>
            </w:r>
            <w:r w:rsidR="00D05799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and 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anti-corruption</w:t>
            </w:r>
            <w:r w:rsidR="00C62E70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.</w:t>
            </w:r>
          </w:p>
        </w:tc>
        <w:tc>
          <w:tcPr>
            <w:tcW w:w="3402" w:type="dxa"/>
            <w:shd w:val="clear" w:color="auto" w:fill="00B050"/>
          </w:tcPr>
          <w:p w14:paraId="3BE08E50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lastRenderedPageBreak/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08AFFD0A" w14:textId="71944399" w:rsidR="00750F2B" w:rsidRPr="009775BF" w:rsidRDefault="00C62E70" w:rsidP="00623899">
            <w:pPr>
              <w:keepNext/>
              <w:keepLines/>
              <w:spacing w:before="227" w:after="57" w:line="300" w:lineRule="auto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The potential role of the private sector</w:t>
            </w: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 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will be </w:t>
            </w: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taken into 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consider</w:t>
            </w: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ation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 in the design and development of future program</w:t>
            </w: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s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.</w:t>
            </w:r>
          </w:p>
        </w:tc>
      </w:tr>
      <w:tr w:rsidR="00750F2B" w:rsidRPr="009775BF" w14:paraId="78CAC0A5" w14:textId="628B2D31" w:rsidTr="00623899">
        <w:tc>
          <w:tcPr>
            <w:tcW w:w="5524" w:type="dxa"/>
            <w:shd w:val="clear" w:color="auto" w:fill="D3E6E9"/>
          </w:tcPr>
          <w:p w14:paraId="600AB801" w14:textId="10FEBCFD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Link with 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 xml:space="preserve">DFAT’s regional program ‘Partnerships for </w:t>
            </w:r>
            <w:r w:rsidR="00C62E70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I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nfrastructure’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to support continued sharing of Australian expertise, technical assistance and strengthening of bilateral links.</w:t>
            </w:r>
          </w:p>
        </w:tc>
        <w:tc>
          <w:tcPr>
            <w:tcW w:w="3402" w:type="dxa"/>
            <w:shd w:val="clear" w:color="auto" w:fill="00B050"/>
          </w:tcPr>
          <w:p w14:paraId="1641E3BE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1051925C" w14:textId="3B2B887D" w:rsidR="00750F2B" w:rsidRPr="009775BF" w:rsidRDefault="00142461" w:rsidP="00623899">
            <w:pPr>
              <w:keepNext/>
              <w:keepLines/>
              <w:spacing w:before="227" w:after="57" w:line="300" w:lineRule="auto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DFAT is exploring options for possible </w:t>
            </w:r>
            <w:proofErr w:type="gramStart"/>
            <w:r w:rsidR="00C62E70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joint collaboration</w:t>
            </w:r>
            <w:proofErr w:type="gramEnd"/>
            <w:r w:rsidR="00C62E70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 with</w:t>
            </w: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 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‘Partnerships for infrastructure’</w:t>
            </w:r>
            <w:r w:rsidR="00C62E70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in the Philippines.</w:t>
            </w:r>
          </w:p>
        </w:tc>
      </w:tr>
      <w:tr w:rsidR="00750F2B" w:rsidRPr="009775BF" w14:paraId="47572BD9" w14:textId="246899EE" w:rsidTr="00623899">
        <w:tc>
          <w:tcPr>
            <w:tcW w:w="5524" w:type="dxa"/>
            <w:shd w:val="clear" w:color="auto" w:fill="D3E6E9"/>
          </w:tcPr>
          <w:p w14:paraId="154D64DE" w14:textId="6C1020A9" w:rsidR="00750F2B" w:rsidRPr="009775BF" w:rsidRDefault="00750F2B" w:rsidP="007E5B2F">
            <w:pPr>
              <w:numPr>
                <w:ilvl w:val="0"/>
                <w:numId w:val="1"/>
              </w:numPr>
              <w:spacing w:before="120" w:after="120"/>
              <w:ind w:left="366" w:hanging="284"/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val="en-AU" w:eastAsia="en-US"/>
              </w:rPr>
            </w:pP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Prioritise investment in capacity development for </w:t>
            </w:r>
            <w:r w:rsidR="00C62E70"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>public financial management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, program development, planning and contract management for </w:t>
            </w:r>
            <w:r w:rsidRPr="009775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en-AU" w:eastAsia="en-US"/>
              </w:rPr>
              <w:t>enhanced infrastructure development at the local level,</w:t>
            </w:r>
            <w:r w:rsidRPr="009775BF">
              <w:rPr>
                <w:rFonts w:asciiTheme="minorHAnsi" w:eastAsia="Cambria" w:hAnsiTheme="minorHAnsi" w:cstheme="minorHAnsi"/>
                <w:sz w:val="22"/>
                <w:szCs w:val="22"/>
                <w:lang w:val="en-AU" w:eastAsia="en-US"/>
              </w:rPr>
              <w:t xml:space="preserve"> drawing on the approach used by DFAT’s humanitarian program in the Philippines (SHIELD).</w:t>
            </w:r>
          </w:p>
        </w:tc>
        <w:tc>
          <w:tcPr>
            <w:tcW w:w="3402" w:type="dxa"/>
            <w:shd w:val="clear" w:color="auto" w:fill="00B050"/>
          </w:tcPr>
          <w:p w14:paraId="552353EA" w14:textId="77777777" w:rsidR="00750F2B" w:rsidRPr="009775BF" w:rsidRDefault="00750F2B" w:rsidP="00540C95">
            <w:pPr>
              <w:keepNext/>
              <w:keepLines/>
              <w:spacing w:before="227" w:after="57" w:line="300" w:lineRule="auto"/>
              <w:jc w:val="center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Agree</w:t>
            </w:r>
          </w:p>
        </w:tc>
        <w:tc>
          <w:tcPr>
            <w:tcW w:w="5324" w:type="dxa"/>
            <w:shd w:val="clear" w:color="auto" w:fill="DEEAF6" w:themeFill="accent5" w:themeFillTint="33"/>
          </w:tcPr>
          <w:p w14:paraId="5BE61660" w14:textId="7A5AAD50" w:rsidR="00750F2B" w:rsidRPr="009775BF" w:rsidRDefault="00C62E70" w:rsidP="00623899">
            <w:pPr>
              <w:keepNext/>
              <w:keepLines/>
              <w:spacing w:before="227" w:after="57" w:line="300" w:lineRule="auto"/>
              <w:outlineLvl w:val="2"/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</w:pP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Where relevant, opportunities for engaging in capacity building in public financial management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 will be considered in the </w:t>
            </w: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strategy, 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design and development of future </w:t>
            </w: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 xml:space="preserve">DFAT 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program</w:t>
            </w:r>
            <w:r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s in the Philippines</w:t>
            </w:r>
            <w:r w:rsidR="00142461" w:rsidRPr="009775BF">
              <w:rPr>
                <w:rFonts w:asciiTheme="minorHAnsi" w:hAnsiTheme="minorHAnsi" w:cstheme="minorHAnsi"/>
                <w:kern w:val="28"/>
                <w:sz w:val="21"/>
                <w:szCs w:val="21"/>
                <w:lang w:val="en-AU" w:eastAsia="en-AU"/>
              </w:rPr>
              <w:t>.</w:t>
            </w:r>
          </w:p>
        </w:tc>
      </w:tr>
    </w:tbl>
    <w:p w14:paraId="6BEC01E0" w14:textId="5F9638BE" w:rsidR="001732A6" w:rsidRPr="009775BF" w:rsidRDefault="001A3911" w:rsidP="001C6F5C">
      <w:pPr>
        <w:tabs>
          <w:tab w:val="left" w:pos="4845"/>
        </w:tabs>
        <w:rPr>
          <w:rFonts w:asciiTheme="minorHAnsi" w:hAnsiTheme="minorHAnsi" w:cstheme="minorHAnsi"/>
        </w:rPr>
      </w:pPr>
    </w:p>
    <w:sectPr w:rsidR="001732A6" w:rsidRPr="009775BF" w:rsidSect="00B91411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 w:code="9"/>
      <w:pgMar w:top="1219" w:right="1219" w:bottom="1219" w:left="136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048DF" w14:textId="77777777" w:rsidR="007E5B2F" w:rsidRDefault="007E5B2F" w:rsidP="007E5B2F">
      <w:r>
        <w:separator/>
      </w:r>
    </w:p>
  </w:endnote>
  <w:endnote w:type="continuationSeparator" w:id="0">
    <w:p w14:paraId="35EA56A3" w14:textId="77777777" w:rsidR="007E5B2F" w:rsidRDefault="007E5B2F" w:rsidP="007E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13320"/>
      <w:gridCol w:w="940"/>
    </w:tblGrid>
    <w:tr w:rsidR="00C60623" w:rsidRPr="00172BDE" w14:paraId="7E55FF85" w14:textId="77777777" w:rsidTr="00B91411">
      <w:tc>
        <w:tcPr>
          <w:tcW w:w="7938" w:type="dxa"/>
        </w:tcPr>
        <w:p w14:paraId="372D876F" w14:textId="77777777" w:rsidR="00C60623" w:rsidRPr="0083402F" w:rsidRDefault="001A3911" w:rsidP="00B91411">
          <w:pPr>
            <w:pStyle w:val="Footer"/>
            <w:rPr>
              <w:sz w:val="16"/>
              <w:szCs w:val="16"/>
            </w:rPr>
          </w:pPr>
        </w:p>
      </w:tc>
      <w:tc>
        <w:tcPr>
          <w:tcW w:w="560" w:type="dxa"/>
        </w:tcPr>
        <w:p w14:paraId="68B18C08" w14:textId="77777777" w:rsidR="00C60623" w:rsidRPr="00172BDE" w:rsidRDefault="007E5B2F" w:rsidP="00B91411">
          <w:pPr>
            <w:pStyle w:val="Footer"/>
            <w:jc w:val="right"/>
          </w:pPr>
          <w:r w:rsidRPr="00172BDE">
            <w:fldChar w:fldCharType="begin"/>
          </w:r>
          <w:r w:rsidRPr="00172BDE">
            <w:instrText xml:space="preserve"> PAGE   \* MERGEFORMAT </w:instrText>
          </w:r>
          <w:r w:rsidRPr="00172BDE">
            <w:fldChar w:fldCharType="separate"/>
          </w:r>
          <w:r>
            <w:rPr>
              <w:noProof/>
            </w:rPr>
            <w:t>1</w:t>
          </w:r>
          <w:r w:rsidRPr="00172BDE">
            <w:fldChar w:fldCharType="end"/>
          </w:r>
        </w:p>
      </w:tc>
    </w:tr>
  </w:tbl>
  <w:p w14:paraId="443891BE" w14:textId="77777777" w:rsidR="00C60623" w:rsidRDefault="001A3911" w:rsidP="00B9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13320"/>
      <w:gridCol w:w="940"/>
    </w:tblGrid>
    <w:tr w:rsidR="00C60623" w:rsidRPr="00172BDE" w14:paraId="63B91482" w14:textId="77777777" w:rsidTr="00B91411">
      <w:tc>
        <w:tcPr>
          <w:tcW w:w="7938" w:type="dxa"/>
        </w:tcPr>
        <w:p w14:paraId="1AAAC5CC" w14:textId="77777777" w:rsidR="00C60623" w:rsidRPr="00172BDE" w:rsidRDefault="001A3911" w:rsidP="00B91411">
          <w:pPr>
            <w:pStyle w:val="Footer"/>
          </w:pPr>
        </w:p>
      </w:tc>
      <w:tc>
        <w:tcPr>
          <w:tcW w:w="560" w:type="dxa"/>
        </w:tcPr>
        <w:p w14:paraId="2472D098" w14:textId="77777777" w:rsidR="00C60623" w:rsidRPr="00172BDE" w:rsidRDefault="001A3911" w:rsidP="00B91411">
          <w:pPr>
            <w:pStyle w:val="Footer"/>
            <w:jc w:val="right"/>
          </w:pPr>
        </w:p>
      </w:tc>
    </w:tr>
  </w:tbl>
  <w:p w14:paraId="4E54AF65" w14:textId="77777777" w:rsidR="00C60623" w:rsidRDefault="001A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E79A4" w14:textId="77777777" w:rsidR="007E5B2F" w:rsidRDefault="007E5B2F" w:rsidP="007E5B2F">
      <w:r>
        <w:separator/>
      </w:r>
    </w:p>
  </w:footnote>
  <w:footnote w:type="continuationSeparator" w:id="0">
    <w:p w14:paraId="649590AF" w14:textId="77777777" w:rsidR="007E5B2F" w:rsidRDefault="007E5B2F" w:rsidP="007E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D333" w14:textId="77777777" w:rsidR="00C60623" w:rsidRPr="00006316" w:rsidRDefault="001A3911" w:rsidP="00B91411">
    <w:pPr>
      <w:pStyle w:val="Header"/>
      <w:tabs>
        <w:tab w:val="num" w:pos="284"/>
      </w:tabs>
      <w:spacing w:after="57" w:line="288" w:lineRule="auto"/>
      <w:ind w:left="284"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FCB7" w14:textId="77777777" w:rsidR="00C60623" w:rsidRDefault="001A3911" w:rsidP="00B91411">
    <w:pPr>
      <w:pStyle w:val="Header"/>
      <w:spacing w:after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86FDF"/>
    <w:multiLevelType w:val="hybridMultilevel"/>
    <w:tmpl w:val="E9D88DAE"/>
    <w:lvl w:ilvl="0" w:tplc="27125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2F"/>
    <w:rsid w:val="00017BE9"/>
    <w:rsid w:val="000F5DDE"/>
    <w:rsid w:val="00142461"/>
    <w:rsid w:val="00160E66"/>
    <w:rsid w:val="001A3911"/>
    <w:rsid w:val="001C6F5C"/>
    <w:rsid w:val="00273247"/>
    <w:rsid w:val="002C1483"/>
    <w:rsid w:val="002E64E1"/>
    <w:rsid w:val="003228FC"/>
    <w:rsid w:val="003E58E3"/>
    <w:rsid w:val="004F6A65"/>
    <w:rsid w:val="006111E1"/>
    <w:rsid w:val="00623899"/>
    <w:rsid w:val="00694902"/>
    <w:rsid w:val="006E3C91"/>
    <w:rsid w:val="00745B76"/>
    <w:rsid w:val="00750F2B"/>
    <w:rsid w:val="007E5B2F"/>
    <w:rsid w:val="00803AF0"/>
    <w:rsid w:val="00847ACF"/>
    <w:rsid w:val="008C28C3"/>
    <w:rsid w:val="009460C2"/>
    <w:rsid w:val="009775BF"/>
    <w:rsid w:val="009E4582"/>
    <w:rsid w:val="00AB070B"/>
    <w:rsid w:val="00B4235B"/>
    <w:rsid w:val="00B535DE"/>
    <w:rsid w:val="00B67E4C"/>
    <w:rsid w:val="00C62E70"/>
    <w:rsid w:val="00D05799"/>
    <w:rsid w:val="00D41461"/>
    <w:rsid w:val="00E25020"/>
    <w:rsid w:val="00E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02B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B76"/>
    <w:pPr>
      <w:spacing w:before="57" w:after="142" w:line="288" w:lineRule="auto"/>
      <w:jc w:val="center"/>
      <w:outlineLvl w:val="0"/>
    </w:pPr>
    <w:rPr>
      <w:rFonts w:asciiTheme="minorHAnsi" w:hAnsiTheme="minorHAnsi" w:cstheme="minorHAnsi"/>
      <w:b/>
      <w:color w:val="000000"/>
      <w:sz w:val="28"/>
      <w:szCs w:val="28"/>
      <w:u w:val="single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B76"/>
    <w:pPr>
      <w:keepNext/>
      <w:keepLines/>
      <w:spacing w:before="227" w:after="57" w:line="288" w:lineRule="auto"/>
      <w:outlineLvl w:val="1"/>
    </w:pPr>
    <w:rPr>
      <w:rFonts w:asciiTheme="minorHAnsi" w:hAnsiTheme="minorHAnsi" w:cstheme="minorHAnsi"/>
      <w:b/>
      <w:color w:val="127AA5"/>
      <w:kern w:val="28"/>
      <w:sz w:val="24"/>
      <w:szCs w:val="32"/>
      <w:lang w:val="en-AU" w:eastAsia="en-AU"/>
    </w:rPr>
  </w:style>
  <w:style w:type="paragraph" w:styleId="Heading3">
    <w:name w:val="heading 3"/>
    <w:next w:val="BodyText"/>
    <w:link w:val="Heading3Char"/>
    <w:uiPriority w:val="2"/>
    <w:qFormat/>
    <w:rsid w:val="009E4582"/>
    <w:pPr>
      <w:keepNext/>
      <w:keepLines/>
      <w:spacing w:before="227" w:after="57" w:line="300" w:lineRule="auto"/>
      <w:outlineLvl w:val="2"/>
    </w:pPr>
    <w:rPr>
      <w:rFonts w:ascii="Helvetica" w:eastAsia="Times New Roman" w:hAnsi="Helvetica" w:cs="Times New Roman"/>
      <w:kern w:val="28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5B2F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rsid w:val="007E5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B2F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TableGrid">
    <w:name w:val="Table Grid"/>
    <w:basedOn w:val="TableNormal"/>
    <w:rsid w:val="007E5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Mar>
        <w:left w:w="0" w:type="dxa"/>
        <w:right w:w="0" w:type="dxa"/>
      </w:tblCellMar>
    </w:tblPr>
  </w:style>
  <w:style w:type="table" w:customStyle="1" w:styleId="ODETable">
    <w:name w:val="ODE Table"/>
    <w:basedOn w:val="TableNormal"/>
    <w:uiPriority w:val="99"/>
    <w:rsid w:val="007E5B2F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en-A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EEFEE"/>
    </w:tcPr>
    <w:tblStylePr w:type="firstRow">
      <w:tblPr/>
      <w:tcPr>
        <w:shd w:val="clear" w:color="auto" w:fill="92C3CA"/>
      </w:tcPr>
    </w:tblStylePr>
  </w:style>
  <w:style w:type="character" w:customStyle="1" w:styleId="Heading3Char">
    <w:name w:val="Heading 3 Char"/>
    <w:basedOn w:val="DefaultParagraphFont"/>
    <w:link w:val="Heading3"/>
    <w:uiPriority w:val="2"/>
    <w:rsid w:val="009E4582"/>
    <w:rPr>
      <w:rFonts w:ascii="Helvetica" w:eastAsia="Times New Roman" w:hAnsi="Helvetica" w:cs="Times New Roman"/>
      <w:kern w:val="28"/>
      <w:sz w:val="21"/>
      <w:szCs w:val="21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9E45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458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46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0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0C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0C2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45B76"/>
    <w:rPr>
      <w:rFonts w:eastAsia="Times New Roman" w:cstheme="minorHAnsi"/>
      <w:b/>
      <w:color w:val="000000"/>
      <w:sz w:val="28"/>
      <w:szCs w:val="28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45B76"/>
    <w:rPr>
      <w:rFonts w:eastAsia="Times New Roman" w:cstheme="minorHAnsi"/>
      <w:b/>
      <w:color w:val="127AA5"/>
      <w:kern w:val="28"/>
      <w:sz w:val="24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5576</Characters>
  <Application>Microsoft Office Word</Application>
  <DocSecurity>0</DocSecurity>
  <Lines>126</Lines>
  <Paragraphs>41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Assistance (TA) on Strengthening Public-Private Partnerships (PPP) in the Philippines Report - Management Response</dc:title>
  <dc:subject/>
  <dc:creator/>
  <cp:keywords/>
  <dc:description/>
  <cp:lastModifiedBy/>
  <cp:revision>1</cp:revision>
  <dcterms:created xsi:type="dcterms:W3CDTF">2022-02-25T02:19:00Z</dcterms:created>
  <dcterms:modified xsi:type="dcterms:W3CDTF">2022-02-25T02:19:00Z</dcterms:modified>
  <cp:category/>
</cp:coreProperties>
</file>