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1358" w14:textId="77777777" w:rsidR="00A75AA2" w:rsidRDefault="00A75AA2" w:rsidP="00A75AA2">
      <w:pPr>
        <w:pStyle w:val="TitleCover"/>
        <w:rPr>
          <w:noProof/>
        </w:rPr>
      </w:pPr>
    </w:p>
    <w:p w14:paraId="1C66D6A9" w14:textId="77777777" w:rsidR="00A75AA2" w:rsidRPr="00810F99" w:rsidRDefault="00A75AA2" w:rsidP="00A75AA2">
      <w:pPr>
        <w:pStyle w:val="TitleCover"/>
      </w:pPr>
      <w:r>
        <w:br/>
      </w:r>
      <w:bookmarkStart w:id="0" w:name="_Toc127432279"/>
      <w:r>
        <w:t>review of use of dfat development evaluations completed in 2022</w:t>
      </w:r>
      <w:bookmarkEnd w:id="0"/>
      <w:r w:rsidRPr="00810F99">
        <w:t xml:space="preserve"> </w:t>
      </w:r>
    </w:p>
    <w:p w14:paraId="3045D402" w14:textId="77777777" w:rsidR="00A75AA2" w:rsidRPr="00A47A79" w:rsidRDefault="00A75AA2" w:rsidP="00A75AA2">
      <w:pPr>
        <w:pStyle w:val="Subtitlecover"/>
      </w:pPr>
      <w:bookmarkStart w:id="1" w:name="_Toc127432280"/>
      <w:r>
        <w:t>september 2023</w:t>
      </w:r>
      <w:bookmarkEnd w:id="1"/>
      <w:r>
        <w:t xml:space="preserve"> </w:t>
      </w:r>
    </w:p>
    <w:p w14:paraId="01E31690" w14:textId="77777777" w:rsidR="00A75AA2" w:rsidRDefault="00A75AA2" w:rsidP="00A75AA2">
      <w:pPr>
        <w:spacing w:after="0" w:line="240" w:lineRule="auto"/>
      </w:pPr>
    </w:p>
    <w:p w14:paraId="7FE550E0" w14:textId="77777777" w:rsidR="00A75AA2" w:rsidRDefault="00A75AA2" w:rsidP="00A75AA2">
      <w:pPr>
        <w:spacing w:after="0" w:line="240" w:lineRule="auto"/>
      </w:pPr>
      <w:r>
        <w:br w:type="page"/>
      </w:r>
    </w:p>
    <w:p w14:paraId="1B5C94EB" w14:textId="77777777" w:rsidR="00A75AA2" w:rsidRDefault="00A75AA2" w:rsidP="00A75AA2">
      <w:pPr>
        <w:pStyle w:val="BodyCopyBullets"/>
        <w:numPr>
          <w:ilvl w:val="0"/>
          <w:numId w:val="0"/>
        </w:numPr>
        <w:ind w:left="340" w:hanging="340"/>
      </w:pPr>
    </w:p>
    <w:p w14:paraId="49C9C95F" w14:textId="77777777" w:rsidR="00A75AA2" w:rsidRDefault="00A75AA2" w:rsidP="00A75AA2">
      <w:pPr>
        <w:pStyle w:val="BodyCopy"/>
        <w:spacing w:before="120" w:after="240"/>
        <w:jc w:val="center"/>
        <w:rPr>
          <w:rFonts w:asciiTheme="minorHAnsi" w:eastAsiaTheme="majorEastAsia" w:hAnsiTheme="minorHAnsi" w:cstheme="minorHAnsi"/>
          <w:b/>
          <w:bCs/>
          <w:caps/>
          <w:sz w:val="40"/>
          <w:szCs w:val="40"/>
        </w:rPr>
      </w:pPr>
      <w:r w:rsidRPr="001226F0">
        <w:rPr>
          <w:rFonts w:asciiTheme="minorHAnsi" w:eastAsiaTheme="majorEastAsia" w:hAnsiTheme="minorHAnsi" w:cstheme="minorHAnsi"/>
          <w:b/>
          <w:bCs/>
          <w:caps/>
          <w:sz w:val="40"/>
          <w:szCs w:val="40"/>
        </w:rPr>
        <w:t xml:space="preserve">Review of use of DFAT development evaluations </w:t>
      </w:r>
      <w:r>
        <w:rPr>
          <w:rFonts w:asciiTheme="minorHAnsi" w:eastAsiaTheme="majorEastAsia" w:hAnsiTheme="minorHAnsi" w:cstheme="minorHAnsi"/>
          <w:b/>
          <w:bCs/>
          <w:caps/>
          <w:sz w:val="40"/>
          <w:szCs w:val="40"/>
        </w:rPr>
        <w:t>completed</w:t>
      </w:r>
      <w:r w:rsidRPr="001226F0">
        <w:rPr>
          <w:rFonts w:asciiTheme="minorHAnsi" w:eastAsiaTheme="majorEastAsia" w:hAnsiTheme="minorHAnsi" w:cstheme="minorHAnsi"/>
          <w:b/>
          <w:bCs/>
          <w:caps/>
          <w:sz w:val="40"/>
          <w:szCs w:val="40"/>
        </w:rPr>
        <w:t xml:space="preserve"> in 2022</w:t>
      </w:r>
    </w:p>
    <w:p w14:paraId="5D3F1EB9" w14:textId="77777777" w:rsidR="00A75AA2" w:rsidRDefault="00A75AA2" w:rsidP="00A75AA2">
      <w:pPr>
        <w:pStyle w:val="H2-Heading2"/>
        <w:rPr>
          <w:rStyle w:val="Strong"/>
          <w:b/>
          <w:bCs/>
        </w:rPr>
      </w:pPr>
    </w:p>
    <w:p w14:paraId="598A778C" w14:textId="77777777" w:rsidR="00A75AA2" w:rsidRPr="004E3B50" w:rsidRDefault="00A75AA2" w:rsidP="004E3B50">
      <w:pPr>
        <w:pStyle w:val="H2-Heading2"/>
        <w:rPr>
          <w:rStyle w:val="Strong"/>
          <w:b/>
          <w:bCs/>
        </w:rPr>
      </w:pPr>
      <w:r w:rsidRPr="004E3B50">
        <w:rPr>
          <w:rStyle w:val="Strong"/>
          <w:b/>
          <w:bCs/>
        </w:rPr>
        <w:t>Overview</w:t>
      </w:r>
    </w:p>
    <w:p w14:paraId="3019159E" w14:textId="77777777" w:rsidR="00A75AA2" w:rsidRPr="000D0C89" w:rsidRDefault="00A75AA2" w:rsidP="00A75AA2">
      <w:pPr>
        <w:pStyle w:val="BodyCopy"/>
      </w:pPr>
      <w:r w:rsidRPr="000D0C89">
        <w:t>DFAT conducts around 40 program evaluations each year, in line with the Development Evaluation Policy introduced in 2017 and updated in 2023.</w:t>
      </w:r>
    </w:p>
    <w:p w14:paraId="4D5F2D7B" w14:textId="77777777" w:rsidR="00A75AA2" w:rsidRDefault="00A75AA2" w:rsidP="00A75AA2">
      <w:pPr>
        <w:pStyle w:val="BodyCopy"/>
      </w:pPr>
      <w:r>
        <w:t>This review was undertaken to assess how the evaluations completed in 2022 were used. The review is one of the measures in the Performance and Delivery Framework for Australia’s International Development Policy:</w:t>
      </w:r>
    </w:p>
    <w:p w14:paraId="5760B4C7" w14:textId="77777777" w:rsidR="00A75AA2" w:rsidRPr="00E05C36" w:rsidRDefault="00A75AA2" w:rsidP="00A75AA2">
      <w:pPr>
        <w:pStyle w:val="BodyCopy"/>
        <w:ind w:left="720"/>
        <w:rPr>
          <w:i/>
          <w:iCs/>
        </w:rPr>
      </w:pPr>
      <w:r w:rsidRPr="00E05C36">
        <w:rPr>
          <w:i/>
          <w:iCs/>
        </w:rPr>
        <w:t xml:space="preserve">Tier 3 indicator: Our development cooperation is informed by monitoring, evaluation and </w:t>
      </w:r>
      <w:proofErr w:type="gramStart"/>
      <w:r w:rsidRPr="00E05C36">
        <w:rPr>
          <w:i/>
          <w:iCs/>
        </w:rPr>
        <w:t>learning</w:t>
      </w:r>
      <w:proofErr w:type="gramEnd"/>
    </w:p>
    <w:p w14:paraId="3404221E" w14:textId="77777777" w:rsidR="00A75AA2" w:rsidRPr="00E05C36" w:rsidRDefault="00A75AA2" w:rsidP="00A75AA2">
      <w:pPr>
        <w:pStyle w:val="BodyCopy"/>
        <w:ind w:left="720"/>
        <w:rPr>
          <w:i/>
          <w:iCs/>
        </w:rPr>
      </w:pPr>
      <w:r w:rsidRPr="00E05C36">
        <w:rPr>
          <w:i/>
          <w:iCs/>
        </w:rPr>
        <w:t>Measure: Conduct an annual review of the quality and use of evaluations and publicly report on the findings</w:t>
      </w:r>
    </w:p>
    <w:p w14:paraId="1D9D9AFD" w14:textId="77777777" w:rsidR="00A75AA2" w:rsidRPr="00E30C44" w:rsidRDefault="00A75AA2" w:rsidP="00A75AA2">
      <w:pPr>
        <w:pStyle w:val="BodyCopy"/>
      </w:pPr>
      <w:r>
        <w:t>A separate review has been undertaken to assess the quality of the evaluations completed in 2022.</w:t>
      </w:r>
    </w:p>
    <w:p w14:paraId="424F9754" w14:textId="77777777" w:rsidR="00A75AA2" w:rsidRDefault="00A75AA2" w:rsidP="00A75AA2">
      <w:pPr>
        <w:pStyle w:val="H2-Heading2"/>
      </w:pPr>
    </w:p>
    <w:p w14:paraId="026D4CEF" w14:textId="77777777" w:rsidR="00A75AA2" w:rsidRDefault="00A75AA2" w:rsidP="00A75AA2">
      <w:pPr>
        <w:pStyle w:val="H2-Heading2"/>
      </w:pPr>
      <w:r w:rsidRPr="00DF0EAD">
        <w:t>Key findings</w:t>
      </w:r>
    </w:p>
    <w:p w14:paraId="362D1104" w14:textId="77777777" w:rsidR="00A75AA2" w:rsidRDefault="00A75AA2" w:rsidP="00A75AA2">
      <w:pPr>
        <w:pStyle w:val="BodyCopyBullets"/>
        <w:numPr>
          <w:ilvl w:val="0"/>
          <w:numId w:val="4"/>
        </w:numPr>
      </w:pPr>
      <w:r>
        <w:t>DFAT accepted 74 per cent of evaluation recommendations. This was less than the proportion of recommendations accepted in 2021 but more than in 2017 and 2014. With most already or currently being implemented, DFAT is using evaluation findings and recommendations to improve its work.</w:t>
      </w:r>
    </w:p>
    <w:p w14:paraId="79F29607" w14:textId="77777777" w:rsidR="00A75AA2" w:rsidRPr="000405D7" w:rsidRDefault="00A75AA2" w:rsidP="00A75AA2">
      <w:pPr>
        <w:pStyle w:val="BodyCopyBullets"/>
        <w:numPr>
          <w:ilvl w:val="0"/>
          <w:numId w:val="4"/>
        </w:numPr>
      </w:pPr>
      <w:r>
        <w:t xml:space="preserve">The majority of DFAT evaluations were used </w:t>
      </w:r>
      <w:r w:rsidRPr="000405D7">
        <w:t>to inform the design of the next phase of existing investments, related investments, or to inform new policies and strategies</w:t>
      </w:r>
      <w:r>
        <w:t xml:space="preserve"> and for continuous improvement and </w:t>
      </w:r>
      <w:r w:rsidRPr="000405D7">
        <w:t>to improve existing investment</w:t>
      </w:r>
      <w:r>
        <w:t>s.</w:t>
      </w:r>
    </w:p>
    <w:p w14:paraId="6A7277A3" w14:textId="77777777" w:rsidR="00A75AA2" w:rsidRDefault="00A75AA2" w:rsidP="00A75AA2">
      <w:pPr>
        <w:pStyle w:val="BodyCopyBullets"/>
        <w:numPr>
          <w:ilvl w:val="0"/>
          <w:numId w:val="4"/>
        </w:numPr>
      </w:pPr>
      <w:r>
        <w:t>The most common areas evaluations have been used to contribute to improving are gender equality, disability and social inclusion (GEDSI) and monitoring and evaluation (M&amp;E). There were three times the number of examples of evaluations being used to contribute to improvements in GEDSI in 2022 than in 2021.</w:t>
      </w:r>
    </w:p>
    <w:p w14:paraId="44649409" w14:textId="77777777" w:rsidR="00A75AA2" w:rsidRDefault="00A75AA2" w:rsidP="00A75AA2">
      <w:pPr>
        <w:pStyle w:val="BodyCopyBullets"/>
        <w:numPr>
          <w:ilvl w:val="0"/>
          <w:numId w:val="4"/>
        </w:numPr>
      </w:pPr>
      <w:r>
        <w:t>Just over half the evaluations identified barriers to implementing some recommendations, with the main reason being that they would be implemented in a new phase or program, or by another team.</w:t>
      </w:r>
    </w:p>
    <w:p w14:paraId="619005B8" w14:textId="77777777" w:rsidR="00A75AA2" w:rsidRPr="00265858" w:rsidRDefault="00A75AA2" w:rsidP="00A75AA2">
      <w:pPr>
        <w:pStyle w:val="BodyCopyBullets"/>
        <w:numPr>
          <w:ilvl w:val="0"/>
          <w:numId w:val="4"/>
        </w:numPr>
      </w:pPr>
      <w:r>
        <w:t>Common delays to implementing recommendations were capacity and resourcing constraints (in DFAT, the partner or partner government), and that they will be addressed through another mechanism (such as high-level partnership consultations, other committee/governance structures).</w:t>
      </w:r>
    </w:p>
    <w:p w14:paraId="6D38459F" w14:textId="77777777" w:rsidR="00A75AA2" w:rsidRDefault="00A75AA2" w:rsidP="00A75AA2">
      <w:pPr>
        <w:pStyle w:val="BodyCopyBullets"/>
        <w:numPr>
          <w:ilvl w:val="0"/>
          <w:numId w:val="0"/>
        </w:numPr>
        <w:ind w:left="340" w:hanging="340"/>
      </w:pPr>
    </w:p>
    <w:p w14:paraId="22D3E68A" w14:textId="77777777" w:rsidR="00A75AA2" w:rsidRDefault="00A75AA2" w:rsidP="00A75AA2">
      <w:pPr>
        <w:pStyle w:val="BodyCopyBullets"/>
        <w:numPr>
          <w:ilvl w:val="0"/>
          <w:numId w:val="0"/>
        </w:numPr>
        <w:ind w:left="340" w:hanging="340"/>
      </w:pPr>
    </w:p>
    <w:p w14:paraId="364006B0" w14:textId="77777777" w:rsidR="00A75AA2" w:rsidRDefault="00A75AA2" w:rsidP="00A75AA2">
      <w:pPr>
        <w:spacing w:after="0" w:line="240" w:lineRule="auto"/>
        <w:rPr>
          <w:rFonts w:ascii="Calibri Light" w:hAnsi="Calibri Light" w:cs="Calibri Light"/>
          <w:color w:val="313E48"/>
          <w:szCs w:val="21"/>
        </w:rPr>
      </w:pPr>
      <w:r>
        <w:br w:type="page"/>
      </w:r>
    </w:p>
    <w:p w14:paraId="514D5D83" w14:textId="77777777" w:rsidR="00A75AA2" w:rsidRPr="001473C5" w:rsidRDefault="00A75AA2" w:rsidP="00A75AA2">
      <w:pPr>
        <w:pStyle w:val="H2-Heading2"/>
      </w:pPr>
      <w:r w:rsidRPr="001473C5">
        <w:lastRenderedPageBreak/>
        <w:t>Background</w:t>
      </w:r>
    </w:p>
    <w:p w14:paraId="1E03481A" w14:textId="4791F29E" w:rsidR="00A75AA2" w:rsidRDefault="00A75AA2" w:rsidP="00A75AA2">
      <w:pPr>
        <w:pStyle w:val="BodyCopy"/>
      </w:pPr>
      <w:r>
        <w:t>DFAT conducts around 40 program evaluations each year, in line with the Development Evaluation Policy introduced in 2017 and updated in 2023. The policy highlights the importance of learning from evaluations and applying that learning to improve existing investments (</w:t>
      </w:r>
      <w:proofErr w:type="spellStart"/>
      <w:proofErr w:type="gramStart"/>
      <w:r>
        <w:t>ie</w:t>
      </w:r>
      <w:proofErr w:type="spellEnd"/>
      <w:proofErr w:type="gramEnd"/>
      <w:r>
        <w:t xml:space="preserve"> projects/programs) and develop new ones:</w:t>
      </w:r>
    </w:p>
    <w:p w14:paraId="6B836757" w14:textId="77777777" w:rsidR="00BE48CA" w:rsidRPr="001473C5" w:rsidRDefault="00BE48CA" w:rsidP="00A75AA2">
      <w:pPr>
        <w:pStyle w:val="BodyCopy"/>
      </w:pPr>
    </w:p>
    <w:p w14:paraId="7EF1CEB4" w14:textId="77777777" w:rsidR="00A75AA2" w:rsidRPr="001473C5" w:rsidRDefault="00A75AA2" w:rsidP="00A75AA2">
      <w:pPr>
        <w:pStyle w:val="BodyCopy"/>
        <w:ind w:left="720"/>
      </w:pPr>
      <w:r>
        <w:t>“</w:t>
      </w:r>
      <w:proofErr w:type="gramStart"/>
      <w:r w:rsidRPr="708DCB93">
        <w:rPr>
          <w:i/>
          <w:iCs/>
        </w:rPr>
        <w:t>use</w:t>
      </w:r>
      <w:proofErr w:type="gramEnd"/>
      <w:r w:rsidRPr="708DCB93">
        <w:rPr>
          <w:i/>
          <w:iCs/>
        </w:rPr>
        <w:t xml:space="preserve"> is the driving force behind our evaluations. All our evaluations should be commissioned and conducted to maximise the use of evaluation findings and recommendations to improve our work… we link design and evaluation. Our systems will ensure the design of our strategies, programs and investments </w:t>
      </w:r>
      <w:proofErr w:type="gramStart"/>
      <w:r w:rsidRPr="708DCB93">
        <w:rPr>
          <w:i/>
          <w:iCs/>
        </w:rPr>
        <w:t>takes into account</w:t>
      </w:r>
      <w:proofErr w:type="gramEnd"/>
      <w:r w:rsidRPr="708DCB93">
        <w:rPr>
          <w:i/>
          <w:iCs/>
        </w:rPr>
        <w:t xml:space="preserve"> findings from evaluations.”</w:t>
      </w:r>
      <w:r>
        <w:t xml:space="preserve"> </w:t>
      </w:r>
    </w:p>
    <w:p w14:paraId="1D93D79D" w14:textId="77777777" w:rsidR="00A75AA2" w:rsidRPr="001473C5" w:rsidRDefault="00A75AA2" w:rsidP="00A75AA2">
      <w:pPr>
        <w:pStyle w:val="BodyCopy"/>
      </w:pPr>
    </w:p>
    <w:p w14:paraId="4BC35E34" w14:textId="77777777" w:rsidR="00A75AA2" w:rsidRPr="001473C5" w:rsidRDefault="00A75AA2" w:rsidP="00A75AA2">
      <w:pPr>
        <w:pStyle w:val="BodyCopy"/>
      </w:pPr>
      <w:r>
        <w:t>The Development Program Committee, the senior governance body within DFAT charged with oversighting the development program, has a role in ensuring evaluation findings are used to inform the development strategies and investments it approves.</w:t>
      </w:r>
    </w:p>
    <w:p w14:paraId="2101C543" w14:textId="77777777" w:rsidR="00A75AA2" w:rsidRDefault="00A75AA2" w:rsidP="00A75AA2">
      <w:pPr>
        <w:pStyle w:val="BodyCopy"/>
      </w:pPr>
      <w:r>
        <w:t>R</w:t>
      </w:r>
      <w:r w:rsidRPr="001473C5">
        <w:t xml:space="preserve">eviews </w:t>
      </w:r>
      <w:r>
        <w:t>of the use of program evaluations were completed in</w:t>
      </w:r>
      <w:r w:rsidRPr="001473C5">
        <w:t xml:space="preserve"> 2014</w:t>
      </w:r>
      <w:r>
        <w:t xml:space="preserve">, </w:t>
      </w:r>
      <w:r w:rsidRPr="001473C5">
        <w:t>2017</w:t>
      </w:r>
      <w:r>
        <w:t xml:space="preserve"> and 2021</w:t>
      </w:r>
      <w:r w:rsidRPr="001473C5">
        <w:t>. The findings have informed DFAT’s evaluation work.</w:t>
      </w:r>
    </w:p>
    <w:p w14:paraId="095996AF" w14:textId="43122354" w:rsidR="00A75AA2" w:rsidRDefault="00A75AA2" w:rsidP="00A75AA2">
      <w:pPr>
        <w:pStyle w:val="BodyCopy"/>
      </w:pPr>
      <w:r>
        <w:t>A new three-tiered performance indicator framework was introduced in 2023 to support implementation of the Australian Government’s new International Development Policy, released in August 2023. It includes a strengthened approach to evaluation and emphasises that:</w:t>
      </w:r>
    </w:p>
    <w:p w14:paraId="12A78EFE" w14:textId="77777777" w:rsidR="00BE48CA" w:rsidRPr="00D24948" w:rsidRDefault="00BE48CA" w:rsidP="00A75AA2">
      <w:pPr>
        <w:pStyle w:val="BodyCopy"/>
        <w:rPr>
          <w:i/>
          <w:iCs/>
        </w:rPr>
      </w:pPr>
    </w:p>
    <w:p w14:paraId="4CF66A73" w14:textId="77777777" w:rsidR="00A75AA2" w:rsidRDefault="00A75AA2" w:rsidP="00A75AA2">
      <w:pPr>
        <w:pStyle w:val="BodyCopy"/>
        <w:ind w:left="720"/>
        <w:rPr>
          <w:i/>
          <w:iCs/>
        </w:rPr>
      </w:pPr>
      <w:r>
        <w:t xml:space="preserve"> “</w:t>
      </w:r>
      <w:proofErr w:type="gramStart"/>
      <w:r w:rsidRPr="00456B2E">
        <w:t>the</w:t>
      </w:r>
      <w:proofErr w:type="gramEnd"/>
      <w:r w:rsidRPr="00456B2E">
        <w:t xml:space="preserve"> quality and use of evaluations is at the centre of our strengthened approach to evaluation. Evaluation is a key source of information to guide decisions on development </w:t>
      </w:r>
      <w:r>
        <w:t>programming”</w:t>
      </w:r>
      <w:r w:rsidRPr="708DCB93">
        <w:rPr>
          <w:rStyle w:val="FootnoteReference"/>
          <w:i/>
          <w:iCs/>
        </w:rPr>
        <w:footnoteReference w:id="1"/>
      </w:r>
      <w:r w:rsidRPr="708DCB93">
        <w:rPr>
          <w:i/>
          <w:iCs/>
        </w:rPr>
        <w:t xml:space="preserve">. </w:t>
      </w:r>
      <w:r>
        <w:t>Performance will be assessed using the indicator “</w:t>
      </w:r>
      <w:r w:rsidRPr="003105F1">
        <w:t>Our development cooperation is informed by monitoring, evaluation and learning</w:t>
      </w:r>
      <w:r>
        <w:t xml:space="preserve">”. One of the measures for the indicator is to </w:t>
      </w:r>
      <w:r w:rsidRPr="708DCB93">
        <w:rPr>
          <w:i/>
          <w:iCs/>
        </w:rPr>
        <w:t>“</w:t>
      </w:r>
      <w:r w:rsidRPr="00555799">
        <w:t>Conduct an annual review of the quality and use of evaluations and publicly report on the findings</w:t>
      </w:r>
      <w:r>
        <w:t>”.</w:t>
      </w:r>
    </w:p>
    <w:p w14:paraId="245EA46E" w14:textId="77777777" w:rsidR="00A75AA2" w:rsidRPr="00F907B0" w:rsidRDefault="00A75AA2" w:rsidP="00A75AA2">
      <w:pPr>
        <w:pStyle w:val="H2-Heading2"/>
      </w:pPr>
      <w:r w:rsidRPr="00F907B0">
        <w:t>Purpose</w:t>
      </w:r>
    </w:p>
    <w:p w14:paraId="5DD6E3F4" w14:textId="77777777" w:rsidR="00A75AA2" w:rsidRDefault="00A75AA2" w:rsidP="00A75AA2">
      <w:pPr>
        <w:pStyle w:val="BodyCopy"/>
      </w:pPr>
      <w:r w:rsidRPr="00F907B0">
        <w:t>The objective of this desk review is to</w:t>
      </w:r>
      <w:r>
        <w:t>:</w:t>
      </w:r>
    </w:p>
    <w:p w14:paraId="17F3F93C" w14:textId="77777777" w:rsidR="00A75AA2" w:rsidRDefault="00A75AA2" w:rsidP="00A75AA2">
      <w:pPr>
        <w:pStyle w:val="BodyCopy"/>
        <w:numPr>
          <w:ilvl w:val="0"/>
          <w:numId w:val="3"/>
        </w:numPr>
      </w:pPr>
      <w:r w:rsidRPr="00F907B0">
        <w:t>assess how evaluations are used</w:t>
      </w:r>
      <w:r>
        <w:t>, particularly</w:t>
      </w:r>
      <w:r w:rsidRPr="00F907B0">
        <w:t xml:space="preserve"> to inform designs and program </w:t>
      </w:r>
      <w:proofErr w:type="gramStart"/>
      <w:r w:rsidRPr="00F907B0">
        <w:t>improvements</w:t>
      </w:r>
      <w:r>
        <w:t>;</w:t>
      </w:r>
      <w:proofErr w:type="gramEnd"/>
    </w:p>
    <w:p w14:paraId="05AD345D" w14:textId="77777777" w:rsidR="00A75AA2" w:rsidRDefault="00A75AA2" w:rsidP="00A75AA2">
      <w:pPr>
        <w:pStyle w:val="BodyCopy"/>
        <w:numPr>
          <w:ilvl w:val="0"/>
          <w:numId w:val="3"/>
        </w:numPr>
      </w:pPr>
      <w:r>
        <w:t xml:space="preserve">track the </w:t>
      </w:r>
      <w:proofErr w:type="gramStart"/>
      <w:r>
        <w:t>use  of</w:t>
      </w:r>
      <w:proofErr w:type="gramEnd"/>
      <w:r>
        <w:t xml:space="preserve"> evaluation over time and inform DFAT’s evaluation policy and practice; and</w:t>
      </w:r>
    </w:p>
    <w:p w14:paraId="60BE84C9" w14:textId="77777777" w:rsidR="00A75AA2" w:rsidRPr="00AB358E" w:rsidRDefault="00A75AA2" w:rsidP="00A75AA2">
      <w:pPr>
        <w:pStyle w:val="BodyCopy"/>
        <w:numPr>
          <w:ilvl w:val="0"/>
          <w:numId w:val="3"/>
        </w:numPr>
        <w:rPr>
          <w:i/>
          <w:iCs/>
        </w:rPr>
      </w:pPr>
      <w:r>
        <w:t xml:space="preserve">provide evidence to measure progress against the Tier 3 indicator </w:t>
      </w:r>
      <w:r w:rsidRPr="007412FD">
        <w:rPr>
          <w:i/>
          <w:iCs/>
        </w:rPr>
        <w:t>Our development cooperation is informed by monitoring, evaluation and learning</w:t>
      </w:r>
      <w:r>
        <w:rPr>
          <w:i/>
          <w:iCs/>
        </w:rPr>
        <w:t xml:space="preserve"> </w:t>
      </w:r>
      <w:r>
        <w:t>in Australia’s International Development Policy and Delivery Framework.</w:t>
      </w:r>
    </w:p>
    <w:p w14:paraId="07F90B48" w14:textId="77777777" w:rsidR="00A75AA2" w:rsidRPr="005618A5" w:rsidRDefault="00A75AA2" w:rsidP="00A75AA2">
      <w:pPr>
        <w:pStyle w:val="H2-Heading2"/>
      </w:pPr>
      <w:r>
        <w:t>Methodology</w:t>
      </w:r>
    </w:p>
    <w:p w14:paraId="78329116" w14:textId="77777777" w:rsidR="00A75AA2" w:rsidRPr="005618A5" w:rsidRDefault="00A75AA2" w:rsidP="00A75AA2">
      <w:pPr>
        <w:pStyle w:val="BodyCopy"/>
      </w:pPr>
      <w:r>
        <w:t>In 2022 DFAT completed 40 and published 38 evaluations with management responses. All program areas (</w:t>
      </w:r>
      <w:proofErr w:type="spellStart"/>
      <w:proofErr w:type="gramStart"/>
      <w:r>
        <w:t>ie</w:t>
      </w:r>
      <w:proofErr w:type="spellEnd"/>
      <w:proofErr w:type="gramEnd"/>
      <w:r>
        <w:t xml:space="preserve"> those units of DFAT both in Canberra and at our diplomatic missions overseas) that had completed an evaluation in 2022 were surveyed in June 2023. The review used the same methodology as previous reviews to enable comparison over time. Survey responses were received for all 40 evaluations (100%) of the 2022 evaluations.</w:t>
      </w:r>
    </w:p>
    <w:p w14:paraId="46F4E138" w14:textId="36A9D704" w:rsidR="00FC2A59" w:rsidRDefault="00A75AA2" w:rsidP="00A75AA2">
      <w:pPr>
        <w:pStyle w:val="BodyCopy"/>
      </w:pPr>
      <w:r w:rsidRPr="005618A5">
        <w:t>The survey collected quantitative data on the number of recommendations accepted, partially accepted and not accepted for each evaluation. Where a recommendation was “noted” it has been categorised in the review as “partially accepted”.</w:t>
      </w:r>
    </w:p>
    <w:p w14:paraId="0B112417" w14:textId="77777777" w:rsidR="007F7063" w:rsidRDefault="007F7063" w:rsidP="00A75AA2">
      <w:pPr>
        <w:pStyle w:val="BodyCopy"/>
      </w:pPr>
    </w:p>
    <w:p w14:paraId="3B70EE4C" w14:textId="66D817AD" w:rsidR="00A75AA2" w:rsidRPr="005618A5" w:rsidRDefault="00A75AA2" w:rsidP="00A75AA2">
      <w:pPr>
        <w:pStyle w:val="BodyCopy"/>
      </w:pPr>
      <w:r>
        <w:lastRenderedPageBreak/>
        <w:t>The review also collected qualitative data from responses to two questions:</w:t>
      </w:r>
    </w:p>
    <w:p w14:paraId="7672A1FD" w14:textId="77777777" w:rsidR="00A75AA2" w:rsidRPr="005618A5" w:rsidRDefault="00A75AA2" w:rsidP="00A75AA2">
      <w:pPr>
        <w:pStyle w:val="BodycopyNumberedBullets"/>
      </w:pPr>
      <w:r>
        <w:t>How have agreed recommendations been used to improve programs or inform future programming (for example, to inform a policy decision or new design, use in performance reporting, continuous improvement, improving existing programs, thematic learning)?</w:t>
      </w:r>
    </w:p>
    <w:p w14:paraId="26BD5296" w14:textId="77777777" w:rsidR="00A75AA2" w:rsidRPr="005618A5" w:rsidRDefault="00A75AA2" w:rsidP="00A75AA2">
      <w:pPr>
        <w:pStyle w:val="BodycopyNumberedBullets"/>
      </w:pPr>
      <w:r w:rsidRPr="005618A5">
        <w:t>If any agreed recommendations haven’t yet been implemented, identify the factors that have hindered the uptake of the recommendations.</w:t>
      </w:r>
    </w:p>
    <w:p w14:paraId="4815F8B8" w14:textId="77777777" w:rsidR="00A75AA2" w:rsidRPr="005618A5" w:rsidRDefault="00A75AA2" w:rsidP="00A75AA2">
      <w:pPr>
        <w:pStyle w:val="BodyCopy"/>
      </w:pPr>
      <w:r>
        <w:t>The responses to these questions and the examples provided were coded and analysed for common themes. Management responses to the evaluations were also drawn on where necessary to provide additional context and more details background on specific recommendations and DFAT’s action plan.</w:t>
      </w:r>
    </w:p>
    <w:p w14:paraId="0DF3757A" w14:textId="77777777" w:rsidR="00A75AA2" w:rsidRPr="0041567F" w:rsidRDefault="00A75AA2" w:rsidP="00A75AA2">
      <w:pPr>
        <w:pStyle w:val="H2-Heading2"/>
      </w:pPr>
      <w:r w:rsidRPr="0041567F">
        <w:t>Characteristics of 2022 evaluations</w:t>
      </w:r>
    </w:p>
    <w:p w14:paraId="4FEE7980" w14:textId="77777777" w:rsidR="00A75AA2" w:rsidRPr="00855836" w:rsidRDefault="00A75AA2" w:rsidP="00A75AA2">
      <w:pPr>
        <w:pStyle w:val="H3-Heading3"/>
      </w:pPr>
      <w:r w:rsidRPr="00855836">
        <w:t>Evaluations by geographic region</w:t>
      </w:r>
    </w:p>
    <w:p w14:paraId="0AB7F57A" w14:textId="77777777" w:rsidR="00A75AA2" w:rsidRPr="00B879BB" w:rsidRDefault="00A75AA2" w:rsidP="00A75AA2">
      <w:pPr>
        <w:pStyle w:val="BodyCopy"/>
      </w:pPr>
      <w:r w:rsidRPr="00B879BB">
        <w:t>The coverage of evaluations in 2022 broadly reflects the geographic, cross regional and global and funding allocations of DFAT’s development programs</w:t>
      </w:r>
      <w:r w:rsidRPr="00423050">
        <w:rPr>
          <w:vertAlign w:val="superscript"/>
        </w:rPr>
        <w:footnoteReference w:id="2"/>
      </w:r>
      <w:r w:rsidRPr="00423050">
        <w:rPr>
          <w:vertAlign w:val="superscript"/>
        </w:rPr>
        <w:t>.</w:t>
      </w:r>
      <w:r w:rsidRPr="00B879BB">
        <w:t xml:space="preserve">  This is </w:t>
      </w:r>
      <w:proofErr w:type="gramStart"/>
      <w:r w:rsidRPr="00B879BB">
        <w:t>similar to</w:t>
      </w:r>
      <w:proofErr w:type="gramEnd"/>
      <w:r w:rsidRPr="00B879BB">
        <w:t xml:space="preserve"> the 2021 and 2017 reviews which found coverage of evaluations by region reflected geographic priorities at the time. The 2017 review did not include the strategic evaluations completed by the former Office of Development Effectiveness (ODE), which were global/thematic/sectoral evaluations. This type of evaluation is now led by the relevant program area and included in this review.</w:t>
      </w:r>
    </w:p>
    <w:p w14:paraId="4E50F1DB" w14:textId="77777777" w:rsidR="00A75AA2" w:rsidRDefault="00A75AA2" w:rsidP="00A75AA2">
      <w:pPr>
        <w:pStyle w:val="BodyCopy"/>
      </w:pPr>
      <w:r>
        <w:rPr>
          <w:noProof/>
        </w:rPr>
        <w:drawing>
          <wp:inline distT="0" distB="0" distL="0" distR="0" wp14:anchorId="616A45FB" wp14:editId="64BD2175">
            <wp:extent cx="6038850" cy="2847975"/>
            <wp:effectExtent l="0" t="0" r="0" b="9525"/>
            <wp:docPr id="1" name="Chart 1" descr="Pie chard showing evaluations by geographic region (number and percentage)&#10;Pacific - 18 (45%)&#10;Southeast Asia - 13 (32%)&#10;Cross regional and global - 5 (12%)&#10;South and West Asia - 3 (8%)&#10;East Asia - 1 (3%)">
              <a:extLst xmlns:a="http://schemas.openxmlformats.org/drawingml/2006/main">
                <a:ext uri="{FF2B5EF4-FFF2-40B4-BE49-F238E27FC236}">
                  <a16:creationId xmlns:a16="http://schemas.microsoft.com/office/drawing/2014/main" id="{053AB253-5609-11D4-0616-1686AED45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5B42AA" w14:textId="77777777" w:rsidR="00A75AA2" w:rsidRPr="00EE52DD" w:rsidRDefault="00A75AA2" w:rsidP="00A75AA2">
      <w:pPr>
        <w:pStyle w:val="H3-Heading3"/>
      </w:pPr>
      <w:r w:rsidRPr="00EE52DD">
        <w:t>Type</w:t>
      </w:r>
    </w:p>
    <w:p w14:paraId="52194102" w14:textId="77777777" w:rsidR="00A75AA2" w:rsidRDefault="00A75AA2" w:rsidP="00A75AA2">
      <w:pPr>
        <w:pStyle w:val="BodyCopyBullets"/>
      </w:pPr>
      <w:r>
        <w:t>78</w:t>
      </w:r>
      <w:r w:rsidRPr="00CC399F">
        <w:t xml:space="preserve"> per cent of evaluations in 2022 were DFAT-</w:t>
      </w:r>
      <w:proofErr w:type="gramStart"/>
      <w:r w:rsidRPr="00CC399F">
        <w:t>led</w:t>
      </w:r>
      <w:proofErr w:type="gramEnd"/>
    </w:p>
    <w:p w14:paraId="2DDFCDFB" w14:textId="77777777" w:rsidR="00A75AA2" w:rsidRPr="00CC399F" w:rsidRDefault="00A75AA2" w:rsidP="00A75AA2">
      <w:pPr>
        <w:pStyle w:val="BodyCopyBullets"/>
        <w:numPr>
          <w:ilvl w:val="1"/>
          <w:numId w:val="2"/>
        </w:numPr>
      </w:pPr>
      <w:r>
        <w:t>this</w:t>
      </w:r>
      <w:r w:rsidRPr="00CC399F">
        <w:t xml:space="preserve"> is </w:t>
      </w:r>
      <w:proofErr w:type="gramStart"/>
      <w:r w:rsidRPr="00CC399F">
        <w:t>similar to</w:t>
      </w:r>
      <w:proofErr w:type="gramEnd"/>
      <w:r w:rsidRPr="00CC399F">
        <w:t xml:space="preserve"> 2021 (83 per cent) and 2017 (79 per cent). </w:t>
      </w:r>
    </w:p>
    <w:p w14:paraId="7DEDF15E" w14:textId="77777777" w:rsidR="00A75AA2" w:rsidRPr="0018176B" w:rsidRDefault="00A75AA2" w:rsidP="00A75AA2">
      <w:pPr>
        <w:pStyle w:val="BodyCopyBullets"/>
      </w:pPr>
      <w:r>
        <w:t xml:space="preserve">Half </w:t>
      </w:r>
      <w:r w:rsidRPr="0018176B">
        <w:t xml:space="preserve">were mid-term or progress </w:t>
      </w:r>
      <w:proofErr w:type="gramStart"/>
      <w:r w:rsidRPr="0018176B">
        <w:t>evaluations</w:t>
      </w:r>
      <w:proofErr w:type="gramEnd"/>
      <w:r w:rsidRPr="0018176B">
        <w:t xml:space="preserve"> </w:t>
      </w:r>
    </w:p>
    <w:p w14:paraId="2C51A586" w14:textId="77777777" w:rsidR="00A75AA2" w:rsidRDefault="00A75AA2" w:rsidP="00A75AA2">
      <w:pPr>
        <w:pStyle w:val="BodyCopyBullets"/>
      </w:pPr>
      <w:r>
        <w:t>Half</w:t>
      </w:r>
      <w:r w:rsidRPr="0018176B">
        <w:t xml:space="preserve"> were undertaken at the investment’s </w:t>
      </w:r>
      <w:proofErr w:type="gramStart"/>
      <w:r w:rsidRPr="0018176B">
        <w:t>completion</w:t>
      </w:r>
      <w:proofErr w:type="gramEnd"/>
    </w:p>
    <w:p w14:paraId="5347E19E" w14:textId="77777777" w:rsidR="00A75AA2" w:rsidRDefault="00A75AA2" w:rsidP="00A75AA2">
      <w:pPr>
        <w:spacing w:after="0" w:line="240" w:lineRule="auto"/>
        <w:rPr>
          <w:rFonts w:asciiTheme="minorHAnsi" w:eastAsiaTheme="majorEastAsia" w:hAnsiTheme="minorHAnsi" w:cstheme="minorBidi"/>
          <w:b/>
          <w:bCs/>
          <w:color w:val="313E48"/>
          <w:sz w:val="28"/>
          <w:szCs w:val="28"/>
        </w:rPr>
      </w:pPr>
      <w:r>
        <w:rPr>
          <w:noProof/>
        </w:rPr>
        <w:lastRenderedPageBreak/>
        <w:drawing>
          <wp:inline distT="0" distB="0" distL="0" distR="0" wp14:anchorId="699E7B1F" wp14:editId="11234D0E">
            <wp:extent cx="5972175" cy="2581275"/>
            <wp:effectExtent l="0" t="0" r="9525" b="9525"/>
            <wp:docPr id="6" name="Chart 6" descr="Graph showing the percentage of evaluations that were DFAT-led or partner-led for the years 2012, 2014, 2017, 2021, 2022">
              <a:extLst xmlns:a="http://schemas.openxmlformats.org/drawingml/2006/main">
                <a:ext uri="{FF2B5EF4-FFF2-40B4-BE49-F238E27FC236}">
                  <a16:creationId xmlns:a16="http://schemas.microsoft.com/office/drawing/2014/main" id="{2E6488D3-A597-F06A-51A9-7AABC30E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42C91" w14:textId="77777777" w:rsidR="007F7063" w:rsidRDefault="007F7063" w:rsidP="00A75AA2">
      <w:pPr>
        <w:pStyle w:val="H2-Heading2"/>
      </w:pPr>
    </w:p>
    <w:p w14:paraId="07A73F5F" w14:textId="2BA22A79" w:rsidR="00A75AA2" w:rsidRPr="00075C0E" w:rsidRDefault="00A75AA2" w:rsidP="00A75AA2">
      <w:pPr>
        <w:pStyle w:val="H2-Heading2"/>
      </w:pPr>
      <w:r w:rsidRPr="00075C0E">
        <w:t>Review findings</w:t>
      </w:r>
    </w:p>
    <w:p w14:paraId="3636D23D" w14:textId="77777777" w:rsidR="00A75AA2" w:rsidRDefault="00A75AA2" w:rsidP="00A75AA2">
      <w:pPr>
        <w:pStyle w:val="H3-Heading3"/>
      </w:pPr>
      <w:r w:rsidRPr="00740981">
        <w:t>Are evaluations useful?</w:t>
      </w:r>
    </w:p>
    <w:p w14:paraId="702C46DF" w14:textId="77777777" w:rsidR="00A75AA2" w:rsidRDefault="00A75AA2" w:rsidP="00A75AA2">
      <w:pPr>
        <w:pStyle w:val="BodyCopyBullets"/>
      </w:pPr>
      <w:r w:rsidRPr="00C65CF8">
        <w:t>DFAT accepted 74 per cent of evaluation recommendations</w:t>
      </w:r>
      <w:r>
        <w:t>, less than in 2021 but more than in 2017 and 2014</w:t>
      </w:r>
      <w:r w:rsidRPr="00C65CF8">
        <w:t>.</w:t>
      </w:r>
    </w:p>
    <w:p w14:paraId="6DA7DB9C" w14:textId="77777777" w:rsidR="00A75AA2" w:rsidRPr="00C65CF8" w:rsidRDefault="00A75AA2" w:rsidP="00A75AA2">
      <w:pPr>
        <w:pStyle w:val="BodyCopyBullets"/>
        <w:numPr>
          <w:ilvl w:val="1"/>
          <w:numId w:val="2"/>
        </w:numPr>
      </w:pPr>
      <w:r>
        <w:t>With most already or currently being implemented at the time of the review, it can be concluded that DFAT is using evaluation findings and recommendations to improve its work.</w:t>
      </w:r>
    </w:p>
    <w:p w14:paraId="5BA0E096" w14:textId="77777777" w:rsidR="00A75AA2" w:rsidRDefault="00A75AA2" w:rsidP="00A75AA2">
      <w:pPr>
        <w:pStyle w:val="BodyCopyBullets"/>
      </w:pPr>
      <w:r w:rsidRPr="00C65CF8">
        <w:t xml:space="preserve">Only </w:t>
      </w:r>
      <w:r>
        <w:t>two percent (</w:t>
      </w:r>
      <w:r w:rsidRPr="00C65CF8">
        <w:t>8 of 416</w:t>
      </w:r>
      <w:r>
        <w:t>)</w:t>
      </w:r>
      <w:r w:rsidRPr="00C65CF8">
        <w:t xml:space="preserve"> </w:t>
      </w:r>
      <w:r>
        <w:t xml:space="preserve">of </w:t>
      </w:r>
      <w:r w:rsidRPr="00C65CF8">
        <w:t>recommendations were not accepted.</w:t>
      </w:r>
    </w:p>
    <w:p w14:paraId="45D4D081" w14:textId="77777777" w:rsidR="00A75AA2" w:rsidRPr="00C65CF8" w:rsidRDefault="00A75AA2" w:rsidP="00A75AA2">
      <w:pPr>
        <w:pStyle w:val="BodyCopyBullets"/>
        <w:numPr>
          <w:ilvl w:val="1"/>
          <w:numId w:val="2"/>
        </w:numPr>
      </w:pPr>
      <w:r w:rsidRPr="00C65CF8">
        <w:t>This is a small increase from 2021</w:t>
      </w:r>
      <w:r>
        <w:t xml:space="preserve"> but significantly less than </w:t>
      </w:r>
      <w:proofErr w:type="gramStart"/>
      <w:r>
        <w:t>2017</w:t>
      </w:r>
      <w:proofErr w:type="gramEnd"/>
    </w:p>
    <w:p w14:paraId="104FC1ED" w14:textId="77777777" w:rsidR="00A75AA2" w:rsidRDefault="00A75AA2" w:rsidP="00A75AA2">
      <w:pPr>
        <w:pStyle w:val="BodyCopyBullets"/>
      </w:pPr>
      <w:r w:rsidRPr="00C65CF8">
        <w:t xml:space="preserve">25 per cent </w:t>
      </w:r>
      <w:r>
        <w:t xml:space="preserve">of recommendations </w:t>
      </w:r>
      <w:r w:rsidRPr="00C65CF8">
        <w:t xml:space="preserve">were partially accepted, an increase from 19 per cent in </w:t>
      </w:r>
      <w:proofErr w:type="gramStart"/>
      <w:r w:rsidRPr="00C65CF8">
        <w:t>2021</w:t>
      </w:r>
      <w:proofErr w:type="gramEnd"/>
    </w:p>
    <w:p w14:paraId="5ECF6B80" w14:textId="77777777" w:rsidR="00A75AA2" w:rsidRDefault="00A75AA2" w:rsidP="00A75AA2">
      <w:pPr>
        <w:pStyle w:val="BodyCopyBullets"/>
        <w:numPr>
          <w:ilvl w:val="0"/>
          <w:numId w:val="0"/>
        </w:numPr>
        <w:ind w:left="340" w:hanging="340"/>
      </w:pPr>
      <w:r>
        <w:rPr>
          <w:noProof/>
        </w:rPr>
        <w:drawing>
          <wp:inline distT="0" distB="0" distL="0" distR="0" wp14:anchorId="3F468D4E" wp14:editId="338C040E">
            <wp:extent cx="5981700" cy="3248025"/>
            <wp:effectExtent l="0" t="0" r="0" b="9525"/>
            <wp:docPr id="2" name="Chart 2" descr="Comparative graph showing the percentage of evaluation recommendations accepted, partially accepted and not accepted by DFAT, in the 2014, 2017, 2021 and 2022 reviews">
              <a:extLst xmlns:a="http://schemas.openxmlformats.org/drawingml/2006/main">
                <a:ext uri="{FF2B5EF4-FFF2-40B4-BE49-F238E27FC236}">
                  <a16:creationId xmlns:a16="http://schemas.microsoft.com/office/drawing/2014/main" id="{E7311285-FA74-2C7A-75BB-250D5A694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5BF580" w14:textId="77777777" w:rsidR="00A75AA2" w:rsidRDefault="00A75AA2" w:rsidP="00A75AA2">
      <w:pPr>
        <w:pStyle w:val="H3-Heading3"/>
      </w:pPr>
    </w:p>
    <w:p w14:paraId="20E60DD6" w14:textId="77777777" w:rsidR="00A75AA2" w:rsidRDefault="00A75AA2" w:rsidP="00A75AA2">
      <w:pPr>
        <w:pStyle w:val="H3-Heading3"/>
      </w:pPr>
      <w:r w:rsidRPr="00707572">
        <w:t>How have evaluations been used?</w:t>
      </w:r>
    </w:p>
    <w:p w14:paraId="34AD9885" w14:textId="77777777" w:rsidR="00A75AA2" w:rsidRDefault="00A75AA2" w:rsidP="00A75AA2">
      <w:pPr>
        <w:pStyle w:val="BodyCopyBullets"/>
      </w:pPr>
      <w:r>
        <w:t>The majority of DFAT evaluations were used for two purposes:</w:t>
      </w:r>
    </w:p>
    <w:p w14:paraId="02C0EEA0" w14:textId="77777777" w:rsidR="00A75AA2" w:rsidRPr="000405D7" w:rsidRDefault="00A75AA2" w:rsidP="00A75AA2">
      <w:pPr>
        <w:pStyle w:val="BodyCopyBullets"/>
        <w:numPr>
          <w:ilvl w:val="1"/>
          <w:numId w:val="2"/>
        </w:numPr>
      </w:pPr>
      <w:r>
        <w:t>to inform the design of the next phase of existing investments or related investments, or to inform new policies and strategies (60 per cent)</w:t>
      </w:r>
    </w:p>
    <w:p w14:paraId="3E8F2E77" w14:textId="77777777" w:rsidR="00A75AA2" w:rsidRPr="000405D7" w:rsidRDefault="00A75AA2" w:rsidP="00A75AA2">
      <w:pPr>
        <w:pStyle w:val="BodyCopyBullets"/>
        <w:numPr>
          <w:ilvl w:val="1"/>
          <w:numId w:val="2"/>
        </w:numPr>
      </w:pPr>
      <w:r>
        <w:t xml:space="preserve">for continuous improvement and </w:t>
      </w:r>
      <w:r w:rsidRPr="000405D7">
        <w:t>to improve existing investments</w:t>
      </w:r>
      <w:r>
        <w:t xml:space="preserve"> (58 per cent)</w:t>
      </w:r>
    </w:p>
    <w:p w14:paraId="15F669DF" w14:textId="77777777" w:rsidR="00A75AA2" w:rsidRPr="00ED5CDC" w:rsidRDefault="00A75AA2" w:rsidP="00A75AA2">
      <w:pPr>
        <w:pStyle w:val="BodyCopyBullets"/>
      </w:pPr>
      <w:r>
        <w:t>Four of the six</w:t>
      </w:r>
      <w:r w:rsidRPr="00ED5CDC">
        <w:t xml:space="preserve"> evaluations that </w:t>
      </w:r>
      <w:r>
        <w:t>have been</w:t>
      </w:r>
      <w:r w:rsidRPr="00ED5CDC">
        <w:t xml:space="preserve"> used for </w:t>
      </w:r>
      <w:r w:rsidRPr="00AF287F">
        <w:rPr>
          <w:b/>
          <w:bCs/>
        </w:rPr>
        <w:t>thematic</w:t>
      </w:r>
      <w:r>
        <w:rPr>
          <w:b/>
          <w:bCs/>
        </w:rPr>
        <w:t xml:space="preserve">, </w:t>
      </w:r>
      <w:r w:rsidRPr="00AF287F">
        <w:rPr>
          <w:b/>
          <w:bCs/>
        </w:rPr>
        <w:t xml:space="preserve">sectoral </w:t>
      </w:r>
      <w:r>
        <w:rPr>
          <w:b/>
          <w:bCs/>
        </w:rPr>
        <w:t xml:space="preserve">and cross-program </w:t>
      </w:r>
      <w:r w:rsidRPr="00AF287F">
        <w:rPr>
          <w:b/>
          <w:bCs/>
        </w:rPr>
        <w:t>learning</w:t>
      </w:r>
      <w:r w:rsidRPr="00ED5CDC">
        <w:t xml:space="preserve"> were of investments that were completed or near completion. </w:t>
      </w:r>
      <w:r>
        <w:t>These</w:t>
      </w:r>
      <w:r w:rsidRPr="00ED5CDC">
        <w:t xml:space="preserve"> evaluations have been used for learning beyond just the investment that was evaluated, </w:t>
      </w:r>
      <w:r>
        <w:t>for example</w:t>
      </w:r>
      <w:r w:rsidRPr="00ED5CDC">
        <w:t>:</w:t>
      </w:r>
    </w:p>
    <w:p w14:paraId="294843F0" w14:textId="77777777" w:rsidR="00A75AA2" w:rsidRPr="00ED5CDC" w:rsidRDefault="00A75AA2" w:rsidP="00A75AA2">
      <w:pPr>
        <w:pStyle w:val="BodyCopyBullets"/>
        <w:numPr>
          <w:ilvl w:val="1"/>
          <w:numId w:val="2"/>
        </w:numPr>
      </w:pPr>
      <w:r w:rsidRPr="00ED5CDC">
        <w:t xml:space="preserve">sharing findings, collaborating and establishing ongoing exchange of lessons </w:t>
      </w:r>
      <w:r>
        <w:t>across similar programs with other teams</w:t>
      </w:r>
    </w:p>
    <w:p w14:paraId="5463234E" w14:textId="77777777" w:rsidR="00A75AA2" w:rsidRPr="00ED5CDC" w:rsidRDefault="00A75AA2" w:rsidP="00A75AA2">
      <w:pPr>
        <w:pStyle w:val="BodyCopyBullets"/>
        <w:numPr>
          <w:ilvl w:val="1"/>
          <w:numId w:val="2"/>
        </w:numPr>
      </w:pPr>
      <w:r w:rsidRPr="00ED5CDC">
        <w:t>informing thematic or sectoral policy and strategic frameworks</w:t>
      </w:r>
    </w:p>
    <w:p w14:paraId="7A4E4E5C" w14:textId="77777777" w:rsidR="00A75AA2" w:rsidRPr="00ED5CDC" w:rsidRDefault="00A75AA2" w:rsidP="00A75AA2">
      <w:pPr>
        <w:pStyle w:val="BodyCopyBullets"/>
        <w:numPr>
          <w:ilvl w:val="1"/>
          <w:numId w:val="2"/>
        </w:numPr>
      </w:pPr>
      <w:r>
        <w:t>informing new designs being undertaken by a different program area</w:t>
      </w:r>
    </w:p>
    <w:p w14:paraId="755FBF1C" w14:textId="77777777" w:rsidR="00A75AA2" w:rsidRPr="00745466" w:rsidRDefault="00A75AA2" w:rsidP="00A75AA2">
      <w:pPr>
        <w:pStyle w:val="BodyCopyBullets"/>
      </w:pPr>
      <w:r w:rsidRPr="00745466">
        <w:t xml:space="preserve">Findings and recommendations from </w:t>
      </w:r>
      <w:r w:rsidRPr="00281A1D">
        <w:rPr>
          <w:b/>
          <w:bCs/>
        </w:rPr>
        <w:t>evaluations of sectoral, thematic and global programs</w:t>
      </w:r>
      <w:r w:rsidRPr="00745466">
        <w:t xml:space="preserve"> are being used to inform new investments and improve current investments in these areas.</w:t>
      </w:r>
    </w:p>
    <w:p w14:paraId="75338CE8" w14:textId="77777777" w:rsidR="00A75AA2" w:rsidRPr="004F2D3F" w:rsidRDefault="00A75AA2" w:rsidP="00A75AA2">
      <w:pPr>
        <w:pStyle w:val="BodyCopyBullets"/>
        <w:numPr>
          <w:ilvl w:val="1"/>
          <w:numId w:val="2"/>
        </w:numPr>
      </w:pPr>
      <w:r>
        <w:t xml:space="preserve">All five </w:t>
      </w:r>
      <w:r w:rsidRPr="004F2D3F">
        <w:t>have contributed to continuous improvement</w:t>
      </w:r>
      <w:r>
        <w:t xml:space="preserve"> (50 per cent in 2021)</w:t>
      </w:r>
    </w:p>
    <w:p w14:paraId="55B1844F" w14:textId="77777777" w:rsidR="00A75AA2" w:rsidRDefault="00A75AA2" w:rsidP="00A75AA2">
      <w:pPr>
        <w:pStyle w:val="BodyCopyBullets"/>
        <w:numPr>
          <w:ilvl w:val="1"/>
          <w:numId w:val="2"/>
        </w:numPr>
      </w:pPr>
      <w:r>
        <w:t>Two (40 per cent) have been used to inform a new phase, design or policy (76 per cent in 2021)</w:t>
      </w:r>
    </w:p>
    <w:p w14:paraId="162DB76C" w14:textId="77777777" w:rsidR="00A75AA2" w:rsidRDefault="00A75AA2" w:rsidP="00A75AA2">
      <w:pPr>
        <w:pStyle w:val="BodyCopyBullets"/>
        <w:numPr>
          <w:ilvl w:val="1"/>
          <w:numId w:val="2"/>
        </w:numPr>
      </w:pPr>
      <w:r>
        <w:t>One (20 per cent) was reported being used for thematic or cross-program learning (13 per cent in 2021)</w:t>
      </w:r>
    </w:p>
    <w:p w14:paraId="72E27336" w14:textId="77777777" w:rsidR="00A75AA2" w:rsidRDefault="00A75AA2" w:rsidP="00A75AA2">
      <w:pPr>
        <w:pStyle w:val="BodyCopyBullets"/>
        <w:numPr>
          <w:ilvl w:val="0"/>
          <w:numId w:val="0"/>
        </w:numPr>
        <w:ind w:left="340" w:hanging="340"/>
      </w:pPr>
      <w:r>
        <w:rPr>
          <w:noProof/>
        </w:rPr>
        <w:drawing>
          <wp:inline distT="0" distB="0" distL="0" distR="0" wp14:anchorId="0C7383FE" wp14:editId="0F1382D6">
            <wp:extent cx="5835650" cy="2905125"/>
            <wp:effectExtent l="0" t="0" r="12700" b="9525"/>
            <wp:docPr id="24" name="Chart 24" descr="Graph showing what evaluations are used for in 2021 and 2022">
              <a:extLst xmlns:a="http://schemas.openxmlformats.org/drawingml/2006/main">
                <a:ext uri="{FF2B5EF4-FFF2-40B4-BE49-F238E27FC236}">
                  <a16:creationId xmlns:a16="http://schemas.microsoft.com/office/drawing/2014/main" id="{D1B6F77B-155B-324F-DBDC-1AB9B6C59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6ADBAB" w14:textId="77777777" w:rsidR="00A75AA2" w:rsidRDefault="00A75AA2" w:rsidP="00A75AA2">
      <w:pPr>
        <w:pStyle w:val="BodyCopyBullets"/>
        <w:numPr>
          <w:ilvl w:val="0"/>
          <w:numId w:val="0"/>
        </w:numPr>
        <w:ind w:left="340" w:hanging="340"/>
      </w:pPr>
    </w:p>
    <w:p w14:paraId="75B89E1F" w14:textId="77777777" w:rsidR="007F7063" w:rsidRDefault="007F7063">
      <w:pPr>
        <w:rPr>
          <w:rFonts w:asciiTheme="minorHAnsi" w:eastAsiaTheme="majorEastAsia" w:hAnsiTheme="minorHAnsi" w:cstheme="minorHAnsi"/>
          <w:b/>
          <w:bCs/>
          <w:color w:val="313E48"/>
          <w:sz w:val="28"/>
          <w:szCs w:val="28"/>
        </w:rPr>
      </w:pPr>
      <w:r>
        <w:br w:type="page"/>
      </w:r>
    </w:p>
    <w:p w14:paraId="1809DE7D" w14:textId="4EE65786" w:rsidR="00A75AA2" w:rsidRDefault="00A75AA2" w:rsidP="00A75AA2">
      <w:pPr>
        <w:pStyle w:val="H3-Heading3"/>
      </w:pPr>
      <w:r w:rsidRPr="00892DDE">
        <w:lastRenderedPageBreak/>
        <w:t>What areas have evaluations contributed to improving?</w:t>
      </w:r>
    </w:p>
    <w:p w14:paraId="4DA930AF" w14:textId="77777777" w:rsidR="00A75AA2" w:rsidRDefault="00A75AA2" w:rsidP="00A75AA2">
      <w:pPr>
        <w:pStyle w:val="BodyCopyBullets"/>
      </w:pPr>
      <w:r w:rsidRPr="00346DE9">
        <w:t>The most common areas evaluations have</w:t>
      </w:r>
      <w:r>
        <w:t xml:space="preserve"> been used to</w:t>
      </w:r>
      <w:r w:rsidRPr="00346DE9">
        <w:t xml:space="preserve"> contribute to improving are gender equality, disability and social inclusion (GEDSI) and monitoring and evaluation (M&amp;E)</w:t>
      </w:r>
    </w:p>
    <w:p w14:paraId="6EBD8A27" w14:textId="77777777" w:rsidR="00A75AA2" w:rsidRDefault="00A75AA2" w:rsidP="00A75AA2">
      <w:pPr>
        <w:pStyle w:val="BodyCopyBullets"/>
        <w:numPr>
          <w:ilvl w:val="1"/>
          <w:numId w:val="2"/>
        </w:numPr>
      </w:pPr>
      <w:r>
        <w:t>There were three times the number of examples of evaluations being used to contribute to improvements in GEDSI in 2022 (21) compared to 2021 (7)</w:t>
      </w:r>
    </w:p>
    <w:p w14:paraId="7869FF8A" w14:textId="77777777" w:rsidR="00A75AA2" w:rsidRDefault="00A75AA2" w:rsidP="00A75AA2">
      <w:pPr>
        <w:pStyle w:val="BodyCopyBullets"/>
      </w:pPr>
      <w:r>
        <w:t>Other areas that evaluations have contributed to improving are efficiency (including budget and funding decisions, governance, resourcing and expertise), sustainability, technical and thematic areas and risk and safeguards.</w:t>
      </w:r>
    </w:p>
    <w:p w14:paraId="157D3743" w14:textId="77777777" w:rsidR="00A75AA2" w:rsidRDefault="00A75AA2" w:rsidP="00A75AA2">
      <w:pPr>
        <w:pStyle w:val="BodyCopyBullets"/>
        <w:numPr>
          <w:ilvl w:val="0"/>
          <w:numId w:val="0"/>
        </w:numPr>
        <w:ind w:left="340" w:hanging="340"/>
      </w:pPr>
    </w:p>
    <w:p w14:paraId="7FBDCEFE" w14:textId="77777777" w:rsidR="00A75AA2" w:rsidRDefault="00A75AA2" w:rsidP="00A75AA2">
      <w:pPr>
        <w:pStyle w:val="BodyCopyBullets"/>
        <w:numPr>
          <w:ilvl w:val="0"/>
          <w:numId w:val="0"/>
        </w:numPr>
        <w:ind w:left="340" w:hanging="340"/>
      </w:pPr>
      <w:r>
        <w:rPr>
          <w:noProof/>
        </w:rPr>
        <mc:AlternateContent>
          <mc:Choice Requires="cx2">
            <w:drawing>
              <wp:inline distT="0" distB="0" distL="0" distR="0" wp14:anchorId="5140060F" wp14:editId="6158B250">
                <wp:extent cx="5572125" cy="2867025"/>
                <wp:effectExtent l="0" t="0" r="9525" b="9525"/>
                <wp:docPr id="8" name="Chart 8" descr="Graph showing number of examples of areas where evaluations have contributed to improvement:&#10;GEDSI - 21&#10;M&amp;E - 18&#10;Efficiency - 16&#10;Sustainability - 5&#10;Thematic and technical areas - 5&#10;Risk and safeguards - 3">
                  <a:extLst xmlns:a="http://schemas.openxmlformats.org/drawingml/2006/main">
                    <a:ext uri="{FF2B5EF4-FFF2-40B4-BE49-F238E27FC236}">
                      <a16:creationId xmlns:a16="http://schemas.microsoft.com/office/drawing/2014/main" id="{3FFCD54C-F712-4A9A-98D9-94230E5D252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5140060F" wp14:editId="6158B250">
                <wp:extent cx="5572125" cy="2867025"/>
                <wp:effectExtent l="0" t="0" r="9525" b="9525"/>
                <wp:docPr id="8" name="Chart 8" descr="Graph showing number of examples of areas where evaluations have contributed to improvement:&#10;GEDSI - 21&#10;M&amp;E - 18&#10;Efficiency - 16&#10;Sustainability - 5&#10;Thematic and technical areas - 5&#10;Risk and safeguards - 3">
                  <a:extLst xmlns:a="http://schemas.openxmlformats.org/drawingml/2006/main">
                    <a:ext uri="{FF2B5EF4-FFF2-40B4-BE49-F238E27FC236}">
                      <a16:creationId xmlns:a16="http://schemas.microsoft.com/office/drawing/2014/main" id="{3FFCD54C-F712-4A9A-98D9-94230E5D252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descr="Graph showing number of examples of areas where evaluations have contributed to improvement:&#10;GEDSI - 21&#10;M&amp;E - 18&#10;Efficiency - 16&#10;Sustainability - 5&#10;Thematic and technical areas - 5&#10;Risk and safeguards - 3">
                          <a:extLst>
                            <a:ext uri="{FF2B5EF4-FFF2-40B4-BE49-F238E27FC236}">
                              <a16:creationId xmlns:a16="http://schemas.microsoft.com/office/drawing/2014/main" id="{3FFCD54C-F712-4A9A-98D9-94230E5D2520}"/>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572125" cy="2867025"/>
                        </a:xfrm>
                        <a:prstGeom prst="rect">
                          <a:avLst/>
                        </a:prstGeom>
                      </pic:spPr>
                    </pic:pic>
                  </a:graphicData>
                </a:graphic>
              </wp:inline>
            </w:drawing>
          </mc:Fallback>
        </mc:AlternateContent>
      </w:r>
    </w:p>
    <w:p w14:paraId="5B82E8B4" w14:textId="77777777" w:rsidR="00A75AA2" w:rsidRDefault="00A75AA2" w:rsidP="00A75AA2">
      <w:pPr>
        <w:pStyle w:val="H3-Heading3"/>
      </w:pPr>
      <w:r w:rsidRPr="00F30A7B">
        <w:t>What have been the</w:t>
      </w:r>
      <w:r>
        <w:t xml:space="preserve"> barriers to</w:t>
      </w:r>
      <w:r w:rsidRPr="00F30A7B">
        <w:t xml:space="preserve"> implementing recommendations from evaluations?</w:t>
      </w:r>
    </w:p>
    <w:p w14:paraId="48261EAD" w14:textId="77777777" w:rsidR="00A75AA2" w:rsidRPr="00265858" w:rsidRDefault="00A75AA2" w:rsidP="00A75AA2">
      <w:pPr>
        <w:pStyle w:val="BodyCopyBullets"/>
      </w:pPr>
      <w:r>
        <w:t xml:space="preserve">Most recommendations from the 2022 evaluations had already been implemented or </w:t>
      </w:r>
      <w:proofErr w:type="gramStart"/>
      <w:r>
        <w:t>were  being</w:t>
      </w:r>
      <w:proofErr w:type="gramEnd"/>
      <w:r>
        <w:t xml:space="preserve"> implemented at the time of the review. There were twenty-two evaluations that identified factors that had delayed the implementation of some recommendations:</w:t>
      </w:r>
    </w:p>
    <w:p w14:paraId="7973B227" w14:textId="77777777" w:rsidR="00A75AA2" w:rsidRPr="00265858" w:rsidRDefault="00A75AA2" w:rsidP="00A75AA2">
      <w:pPr>
        <w:pStyle w:val="BodyCopyBullets"/>
        <w:numPr>
          <w:ilvl w:val="1"/>
          <w:numId w:val="2"/>
        </w:numPr>
      </w:pPr>
      <w:r>
        <w:t>The main reason that recommendations had not yet been implemented was that they would be implemented in a new phase or program, or by another team (41 per cent).</w:t>
      </w:r>
    </w:p>
    <w:p w14:paraId="6686842B" w14:textId="77777777" w:rsidR="00A75AA2" w:rsidRPr="00265858" w:rsidRDefault="00A75AA2" w:rsidP="00A75AA2">
      <w:pPr>
        <w:pStyle w:val="BodyCopyBullets"/>
        <w:numPr>
          <w:ilvl w:val="1"/>
          <w:numId w:val="2"/>
        </w:numPr>
      </w:pPr>
      <w:r>
        <w:t>C</w:t>
      </w:r>
      <w:r w:rsidRPr="00265858">
        <w:t xml:space="preserve">ommon </w:t>
      </w:r>
      <w:r>
        <w:t>factors that delayed implementation of recommendations</w:t>
      </w:r>
      <w:r w:rsidRPr="00265858">
        <w:t xml:space="preserve"> were:</w:t>
      </w:r>
    </w:p>
    <w:p w14:paraId="51894527" w14:textId="77777777" w:rsidR="00A75AA2" w:rsidRPr="00265858" w:rsidRDefault="00A75AA2" w:rsidP="00A75AA2">
      <w:pPr>
        <w:pStyle w:val="BodyCopyBullets"/>
        <w:numPr>
          <w:ilvl w:val="2"/>
          <w:numId w:val="2"/>
        </w:numPr>
      </w:pPr>
      <w:r w:rsidRPr="00265858">
        <w:t>capacity and resourcing constraints (in DFAT, the partner or partner government)</w:t>
      </w:r>
      <w:r>
        <w:t xml:space="preserve"> (27 per cent)</w:t>
      </w:r>
    </w:p>
    <w:p w14:paraId="1A2ED9B7" w14:textId="77777777" w:rsidR="00A75AA2" w:rsidRPr="00265858" w:rsidRDefault="00A75AA2" w:rsidP="00A75AA2">
      <w:pPr>
        <w:pStyle w:val="BodyCopyBullets"/>
        <w:numPr>
          <w:ilvl w:val="2"/>
          <w:numId w:val="2"/>
        </w:numPr>
      </w:pPr>
      <w:r>
        <w:t xml:space="preserve">recommendations would be addressed through another mechanism (such as </w:t>
      </w:r>
      <w:proofErr w:type="gramStart"/>
      <w:r>
        <w:t>high level</w:t>
      </w:r>
      <w:proofErr w:type="gramEnd"/>
      <w:r>
        <w:t xml:space="preserve"> partnership consultations, other committee/governance structures) (23 per cent)</w:t>
      </w:r>
    </w:p>
    <w:p w14:paraId="1262EE37" w14:textId="77777777" w:rsidR="00A75AA2" w:rsidRPr="00265858" w:rsidRDefault="00A75AA2" w:rsidP="00A75AA2">
      <w:pPr>
        <w:pStyle w:val="BodyCopyBullets"/>
        <w:numPr>
          <w:ilvl w:val="1"/>
          <w:numId w:val="2"/>
        </w:numPr>
      </w:pPr>
      <w:r>
        <w:t>A small number of recommendations had not yet been implemented because:</w:t>
      </w:r>
    </w:p>
    <w:p w14:paraId="78597850" w14:textId="77777777" w:rsidR="00A75AA2" w:rsidRPr="00265858" w:rsidRDefault="00A75AA2" w:rsidP="00A75AA2">
      <w:pPr>
        <w:pStyle w:val="BodyCopyBullets"/>
        <w:numPr>
          <w:ilvl w:val="2"/>
          <w:numId w:val="2"/>
        </w:numPr>
      </w:pPr>
      <w:r>
        <w:t xml:space="preserve">they were not in line with DFAT or Australian government policies and </w:t>
      </w:r>
      <w:proofErr w:type="gramStart"/>
      <w:r>
        <w:t>requirements</w:t>
      </w:r>
      <w:proofErr w:type="gramEnd"/>
    </w:p>
    <w:p w14:paraId="1B698814" w14:textId="77777777" w:rsidR="00A75AA2" w:rsidRPr="00265858" w:rsidRDefault="00A75AA2" w:rsidP="00A75AA2">
      <w:pPr>
        <w:pStyle w:val="BodyCopyBullets"/>
        <w:numPr>
          <w:ilvl w:val="2"/>
          <w:numId w:val="2"/>
        </w:numPr>
      </w:pPr>
      <w:r w:rsidRPr="00265858">
        <w:t>the</w:t>
      </w:r>
      <w:r>
        <w:t xml:space="preserve"> program was</w:t>
      </w:r>
      <w:r w:rsidRPr="00265858">
        <w:t xml:space="preserve"> waiting for the new International Development Policy to provide direction, or</w:t>
      </w:r>
    </w:p>
    <w:p w14:paraId="3A963A36" w14:textId="77777777" w:rsidR="00A75AA2" w:rsidRPr="00265858" w:rsidRDefault="00A75AA2" w:rsidP="00A75AA2">
      <w:pPr>
        <w:pStyle w:val="BodyCopyBullets"/>
        <w:numPr>
          <w:ilvl w:val="2"/>
          <w:numId w:val="2"/>
        </w:numPr>
      </w:pPr>
      <w:r w:rsidRPr="00265858">
        <w:t xml:space="preserve">they were no longer relevant (insufficient time remaining in the program to implement, a </w:t>
      </w:r>
      <w:r>
        <w:t xml:space="preserve">significantly </w:t>
      </w:r>
      <w:r w:rsidRPr="00265858">
        <w:t>change</w:t>
      </w:r>
      <w:r>
        <w:t>d</w:t>
      </w:r>
      <w:r w:rsidRPr="00265858">
        <w:t xml:space="preserve"> context, or the program not continuing).</w:t>
      </w:r>
    </w:p>
    <w:p w14:paraId="6D38B4B1" w14:textId="77777777" w:rsidR="00A75AA2" w:rsidRDefault="00A75AA2" w:rsidP="00A75AA2">
      <w:pPr>
        <w:spacing w:after="0" w:line="240" w:lineRule="auto"/>
        <w:rPr>
          <w:rFonts w:ascii="Calibri Light" w:hAnsi="Calibri Light" w:cs="Calibri Light"/>
          <w:color w:val="313E48"/>
          <w:szCs w:val="21"/>
        </w:rPr>
      </w:pPr>
      <w:r>
        <w:br w:type="page"/>
      </w:r>
    </w:p>
    <w:p w14:paraId="3378E901" w14:textId="77777777" w:rsidR="00A75AA2" w:rsidRDefault="00A75AA2" w:rsidP="00A75AA2">
      <w:pPr>
        <w:pStyle w:val="H2-Heading2"/>
      </w:pPr>
      <w:r>
        <w:lastRenderedPageBreak/>
        <w:t xml:space="preserve">Annex 1: List of 2022 evaluations </w:t>
      </w:r>
    </w:p>
    <w:p w14:paraId="408FAB32" w14:textId="77777777" w:rsidR="00A75AA2" w:rsidRPr="00BC7CB5" w:rsidRDefault="00A75AA2" w:rsidP="00A75AA2">
      <w:pPr>
        <w:pStyle w:val="BodyCopy"/>
      </w:pPr>
      <w:r w:rsidRPr="2C648EEF">
        <w:t>In 202</w:t>
      </w:r>
      <w:r>
        <w:t>2</w:t>
      </w:r>
      <w:r w:rsidRPr="2C648EEF">
        <w:t xml:space="preserve">, </w:t>
      </w:r>
      <w:r w:rsidRPr="001C4D3B">
        <w:t>4</w:t>
      </w:r>
      <w:r>
        <w:t>0</w:t>
      </w:r>
      <w:r w:rsidRPr="2C648EEF">
        <w:t xml:space="preserve"> evaluations were completed and </w:t>
      </w:r>
      <w:r w:rsidRPr="001C4D3B">
        <w:t>38</w:t>
      </w:r>
      <w:r>
        <w:t xml:space="preserve"> </w:t>
      </w:r>
      <w:r w:rsidRPr="2C648EEF">
        <w:t xml:space="preserve">published on the DFAT website with a management response. </w:t>
      </w:r>
      <w:r>
        <w:t>All 40 are included in the review.</w:t>
      </w:r>
    </w:p>
    <w:p w14:paraId="62A78337" w14:textId="77777777" w:rsidR="00A75AA2" w:rsidRDefault="00A75AA2" w:rsidP="00A75AA2">
      <w:pPr>
        <w:pStyle w:val="H3-Heading3"/>
      </w:pPr>
      <w:r w:rsidRPr="00F80201">
        <w:t>PACIFIC</w:t>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Pr>
      <w:tblGrid>
        <w:gridCol w:w="1838"/>
        <w:gridCol w:w="8647"/>
      </w:tblGrid>
      <w:tr w:rsidR="00A75AA2" w14:paraId="53D567AB" w14:textId="77777777" w:rsidTr="00DB2B26">
        <w:trPr>
          <w:trHeight w:val="70"/>
          <w:tblHeader/>
        </w:trPr>
        <w:tc>
          <w:tcPr>
            <w:tcW w:w="1838" w:type="dxa"/>
            <w:shd w:val="clear" w:color="auto" w:fill="E7E6E6" w:themeFill="background2"/>
          </w:tcPr>
          <w:p w14:paraId="4F61BDF4" w14:textId="77777777" w:rsidR="00A75AA2" w:rsidRPr="0079728E" w:rsidRDefault="00A75AA2" w:rsidP="00D44FCD">
            <w:pPr>
              <w:pStyle w:val="TableHeading"/>
            </w:pPr>
            <w:r w:rsidRPr="00635366">
              <w:t>Country/Region</w:t>
            </w:r>
          </w:p>
        </w:tc>
        <w:tc>
          <w:tcPr>
            <w:tcW w:w="8647" w:type="dxa"/>
            <w:shd w:val="clear" w:color="auto" w:fill="E7E6E6" w:themeFill="background2"/>
          </w:tcPr>
          <w:p w14:paraId="73C125D6" w14:textId="77777777" w:rsidR="00A75AA2" w:rsidRDefault="00A75AA2" w:rsidP="00D44FCD">
            <w:pPr>
              <w:pStyle w:val="TableHeading"/>
            </w:pPr>
            <w:r w:rsidRPr="00635366">
              <w:t>Evaluation</w:t>
            </w:r>
          </w:p>
        </w:tc>
      </w:tr>
      <w:tr w:rsidR="00A75AA2" w:rsidRPr="00030679" w14:paraId="4AE03A69" w14:textId="77777777" w:rsidTr="00DB2B26">
        <w:tc>
          <w:tcPr>
            <w:tcW w:w="1838" w:type="dxa"/>
          </w:tcPr>
          <w:p w14:paraId="3CF6FEBC"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6A97568C" w14:textId="77777777" w:rsidR="00A75AA2" w:rsidRPr="00F64317" w:rsidRDefault="00E451E7" w:rsidP="00D44FCD">
            <w:pPr>
              <w:pStyle w:val="TableBodyCopy"/>
              <w:rPr>
                <w:rFonts w:asciiTheme="majorHAnsi" w:hAnsiTheme="majorHAnsi" w:cstheme="majorHAnsi"/>
              </w:rPr>
            </w:pPr>
            <w:hyperlink r:id="rId16" w:history="1">
              <w:r w:rsidR="00A75AA2" w:rsidRPr="00F64317">
                <w:rPr>
                  <w:rStyle w:val="Hyperlink"/>
                  <w:rFonts w:asciiTheme="majorHAnsi" w:hAnsiTheme="majorHAnsi" w:cstheme="majorHAnsi"/>
                </w:rPr>
                <w:t>Final Review of PNG-Australia Governance Partnership</w:t>
              </w:r>
            </w:hyperlink>
          </w:p>
        </w:tc>
      </w:tr>
      <w:tr w:rsidR="00A75AA2" w:rsidRPr="00030679" w14:paraId="7CB07C8F" w14:textId="77777777" w:rsidTr="00DB2B26">
        <w:tc>
          <w:tcPr>
            <w:tcW w:w="1838" w:type="dxa"/>
          </w:tcPr>
          <w:p w14:paraId="172DAA29"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4DE59C78" w14:textId="77777777" w:rsidR="00A75AA2" w:rsidRPr="00F64317" w:rsidRDefault="00E451E7" w:rsidP="00D44FCD">
            <w:pPr>
              <w:pStyle w:val="TableBodyCopy"/>
              <w:rPr>
                <w:rFonts w:asciiTheme="majorHAnsi" w:hAnsiTheme="majorHAnsi" w:cstheme="majorHAnsi"/>
              </w:rPr>
            </w:pPr>
            <w:hyperlink r:id="rId17" w:history="1">
              <w:r w:rsidR="00A75AA2" w:rsidRPr="00F64317">
                <w:rPr>
                  <w:rStyle w:val="Hyperlink"/>
                  <w:rFonts w:asciiTheme="majorHAnsi" w:hAnsiTheme="majorHAnsi" w:cstheme="majorHAnsi"/>
                </w:rPr>
                <w:t>Final Review of PNG-Australia Governance Partnership</w:t>
              </w:r>
            </w:hyperlink>
          </w:p>
        </w:tc>
      </w:tr>
      <w:tr w:rsidR="00A75AA2" w:rsidRPr="00030679" w14:paraId="36DDFD76" w14:textId="77777777" w:rsidTr="00DB2B26">
        <w:tc>
          <w:tcPr>
            <w:tcW w:w="1838" w:type="dxa"/>
          </w:tcPr>
          <w:p w14:paraId="19A77968"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48E93D35" w14:textId="77777777" w:rsidR="00A75AA2" w:rsidRPr="00F64317" w:rsidRDefault="00E451E7" w:rsidP="00D44FCD">
            <w:pPr>
              <w:pStyle w:val="TableBodyCopy"/>
              <w:rPr>
                <w:rFonts w:asciiTheme="majorHAnsi" w:hAnsiTheme="majorHAnsi" w:cstheme="majorHAnsi"/>
              </w:rPr>
            </w:pPr>
            <w:hyperlink r:id="rId18" w:history="1">
              <w:r w:rsidR="00A75AA2" w:rsidRPr="00F64317">
                <w:rPr>
                  <w:rStyle w:val="Hyperlink"/>
                  <w:rFonts w:asciiTheme="majorHAnsi" w:hAnsiTheme="majorHAnsi" w:cstheme="majorHAnsi"/>
                </w:rPr>
                <w:t>Education Emergency Response and Recovery Plan Independent Evaluation</w:t>
              </w:r>
            </w:hyperlink>
          </w:p>
        </w:tc>
      </w:tr>
      <w:tr w:rsidR="00A75AA2" w:rsidRPr="00030679" w14:paraId="3B40E991" w14:textId="77777777" w:rsidTr="00DB2B26">
        <w:tc>
          <w:tcPr>
            <w:tcW w:w="1838" w:type="dxa"/>
          </w:tcPr>
          <w:p w14:paraId="7D515E39"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3598A00D" w14:textId="77777777" w:rsidR="00A75AA2" w:rsidRPr="00F64317" w:rsidRDefault="00E451E7" w:rsidP="00D44FCD">
            <w:pPr>
              <w:pStyle w:val="TableBodyCopy"/>
              <w:rPr>
                <w:rFonts w:asciiTheme="majorHAnsi" w:hAnsiTheme="majorHAnsi" w:cstheme="majorHAnsi"/>
              </w:rPr>
            </w:pPr>
            <w:hyperlink r:id="rId19" w:history="1">
              <w:r w:rsidR="00A75AA2" w:rsidRPr="00F64317">
                <w:rPr>
                  <w:rStyle w:val="Hyperlink"/>
                  <w:rFonts w:asciiTheme="majorHAnsi" w:hAnsiTheme="majorHAnsi" w:cstheme="majorHAnsi"/>
                </w:rPr>
                <w:t>Independent Review of South Fly Resilience Plan</w:t>
              </w:r>
            </w:hyperlink>
          </w:p>
        </w:tc>
      </w:tr>
      <w:tr w:rsidR="00A75AA2" w:rsidRPr="00030679" w14:paraId="6E05D24D" w14:textId="77777777" w:rsidTr="00DB2B26">
        <w:tc>
          <w:tcPr>
            <w:tcW w:w="1838" w:type="dxa"/>
          </w:tcPr>
          <w:p w14:paraId="444D2728"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5EE40E4F" w14:textId="77777777" w:rsidR="00A75AA2" w:rsidRPr="00F64317" w:rsidRDefault="00E451E7" w:rsidP="00D44FCD">
            <w:pPr>
              <w:pStyle w:val="TableBodyCopy"/>
              <w:rPr>
                <w:rFonts w:asciiTheme="majorHAnsi" w:hAnsiTheme="majorHAnsi" w:cstheme="majorHAnsi"/>
              </w:rPr>
            </w:pPr>
            <w:hyperlink r:id="rId20" w:history="1">
              <w:r w:rsidR="00A75AA2" w:rsidRPr="00F64317">
                <w:rPr>
                  <w:rStyle w:val="Hyperlink"/>
                  <w:rFonts w:asciiTheme="majorHAnsi" w:hAnsiTheme="majorHAnsi" w:cstheme="majorHAnsi"/>
                </w:rPr>
                <w:t>Review of the Markets, Economic Recovery, and Inclusion Program (Phase One)</w:t>
              </w:r>
            </w:hyperlink>
          </w:p>
        </w:tc>
      </w:tr>
      <w:tr w:rsidR="00A75AA2" w:rsidRPr="00030679" w14:paraId="20F3FC14" w14:textId="77777777" w:rsidTr="00DB2B26">
        <w:tc>
          <w:tcPr>
            <w:tcW w:w="1838" w:type="dxa"/>
          </w:tcPr>
          <w:p w14:paraId="7061B97F"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70164222" w14:textId="77777777" w:rsidR="00A75AA2" w:rsidRPr="00F64317" w:rsidRDefault="00E451E7" w:rsidP="00D44FCD">
            <w:pPr>
              <w:pStyle w:val="TableBodyCopy"/>
              <w:rPr>
                <w:rFonts w:asciiTheme="majorHAnsi" w:hAnsiTheme="majorHAnsi" w:cstheme="majorHAnsi"/>
              </w:rPr>
            </w:pPr>
            <w:hyperlink r:id="rId21" w:history="1">
              <w:r w:rsidR="00A75AA2" w:rsidRPr="00F64317">
                <w:rPr>
                  <w:rStyle w:val="Hyperlink"/>
                  <w:rFonts w:asciiTheme="majorHAnsi" w:hAnsiTheme="majorHAnsi" w:cstheme="majorHAnsi"/>
                </w:rPr>
                <w:t>Review of the PNG-Australia Transport Sector Support Program Phase 2 (TSSP2)</w:t>
              </w:r>
            </w:hyperlink>
          </w:p>
        </w:tc>
      </w:tr>
      <w:tr w:rsidR="00A75AA2" w:rsidRPr="00030679" w14:paraId="2D52F570" w14:textId="77777777" w:rsidTr="00DB2B26">
        <w:tc>
          <w:tcPr>
            <w:tcW w:w="1838" w:type="dxa"/>
          </w:tcPr>
          <w:p w14:paraId="4B1A4A21"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Papua New Guinea</w:t>
            </w:r>
          </w:p>
        </w:tc>
        <w:tc>
          <w:tcPr>
            <w:tcW w:w="8647" w:type="dxa"/>
          </w:tcPr>
          <w:p w14:paraId="4A9ABD0A" w14:textId="77777777" w:rsidR="00A75AA2" w:rsidRPr="00F64317" w:rsidRDefault="00E451E7" w:rsidP="00D44FCD">
            <w:pPr>
              <w:pStyle w:val="TableBodyCopy"/>
              <w:rPr>
                <w:rFonts w:asciiTheme="majorHAnsi" w:hAnsiTheme="majorHAnsi" w:cstheme="majorHAnsi"/>
              </w:rPr>
            </w:pPr>
            <w:hyperlink r:id="rId22" w:history="1">
              <w:r w:rsidR="00A75AA2" w:rsidRPr="00F64317">
                <w:rPr>
                  <w:rStyle w:val="Hyperlink"/>
                  <w:rFonts w:asciiTheme="majorHAnsi" w:hAnsiTheme="majorHAnsi" w:cstheme="majorHAnsi"/>
                </w:rPr>
                <w:t>Australia, New Zealand, International Finance Corporation: Papua New Guinea Partnership Midterm Evaluation</w:t>
              </w:r>
            </w:hyperlink>
          </w:p>
        </w:tc>
      </w:tr>
      <w:tr w:rsidR="00A75AA2" w:rsidRPr="00030679" w14:paraId="0A974CB0" w14:textId="77777777" w:rsidTr="00DB2B26">
        <w:tc>
          <w:tcPr>
            <w:tcW w:w="1838" w:type="dxa"/>
          </w:tcPr>
          <w:p w14:paraId="629E8421" w14:textId="77777777" w:rsidR="00A75AA2" w:rsidRPr="00F64317" w:rsidRDefault="00A75AA2" w:rsidP="00D44FCD">
            <w:pPr>
              <w:pStyle w:val="TableBodyCopy"/>
              <w:rPr>
                <w:rFonts w:asciiTheme="majorHAnsi" w:hAnsiTheme="majorHAnsi" w:cstheme="majorHAnsi"/>
              </w:rPr>
            </w:pPr>
          </w:p>
        </w:tc>
        <w:tc>
          <w:tcPr>
            <w:tcW w:w="8647" w:type="dxa"/>
          </w:tcPr>
          <w:p w14:paraId="763FD9E6" w14:textId="77777777" w:rsidR="00A75AA2" w:rsidRPr="00F64317" w:rsidRDefault="00E451E7" w:rsidP="00D44FCD">
            <w:pPr>
              <w:pStyle w:val="TableBodyCopy"/>
              <w:rPr>
                <w:rFonts w:asciiTheme="majorHAnsi" w:hAnsiTheme="majorHAnsi" w:cstheme="majorHAnsi"/>
              </w:rPr>
            </w:pPr>
            <w:hyperlink r:id="rId23" w:history="1">
              <w:r w:rsidR="00A75AA2" w:rsidRPr="00F64317">
                <w:rPr>
                  <w:rStyle w:val="Hyperlink"/>
                  <w:rFonts w:asciiTheme="majorHAnsi" w:hAnsiTheme="majorHAnsi" w:cstheme="majorHAnsi"/>
                </w:rPr>
                <w:t>Australia-SPC Partnership Evaluation</w:t>
              </w:r>
            </w:hyperlink>
          </w:p>
        </w:tc>
      </w:tr>
      <w:tr w:rsidR="00A75AA2" w:rsidRPr="00030679" w14:paraId="743FCEF7" w14:textId="77777777" w:rsidTr="00DB2B26">
        <w:tc>
          <w:tcPr>
            <w:tcW w:w="1838" w:type="dxa"/>
          </w:tcPr>
          <w:p w14:paraId="6965A06D"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Pacific Regional</w:t>
            </w:r>
          </w:p>
        </w:tc>
        <w:tc>
          <w:tcPr>
            <w:tcW w:w="8647" w:type="dxa"/>
          </w:tcPr>
          <w:p w14:paraId="7AC8610B" w14:textId="77777777" w:rsidR="00A75AA2" w:rsidRPr="00F64317" w:rsidRDefault="00E451E7" w:rsidP="00D44FCD">
            <w:pPr>
              <w:pStyle w:val="TableBodyCopy"/>
              <w:rPr>
                <w:rFonts w:asciiTheme="majorHAnsi" w:hAnsiTheme="majorHAnsi" w:cstheme="majorHAnsi"/>
              </w:rPr>
            </w:pPr>
            <w:hyperlink r:id="rId24" w:history="1">
              <w:r w:rsidR="00A75AA2" w:rsidRPr="00F64317">
                <w:rPr>
                  <w:rStyle w:val="Hyperlink"/>
                  <w:rFonts w:asciiTheme="majorHAnsi" w:hAnsiTheme="majorHAnsi" w:cstheme="majorHAnsi"/>
                </w:rPr>
                <w:t>Australian Infrastructure Financing Facility for the Pacific Two-Year System-Wide Review</w:t>
              </w:r>
            </w:hyperlink>
          </w:p>
        </w:tc>
      </w:tr>
      <w:tr w:rsidR="00A75AA2" w:rsidRPr="00030679" w14:paraId="1FC2369D" w14:textId="77777777" w:rsidTr="00DB2B26">
        <w:tc>
          <w:tcPr>
            <w:tcW w:w="1838" w:type="dxa"/>
          </w:tcPr>
          <w:p w14:paraId="4EF3D031"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Pacific Regional</w:t>
            </w:r>
          </w:p>
        </w:tc>
        <w:tc>
          <w:tcPr>
            <w:tcW w:w="8647" w:type="dxa"/>
          </w:tcPr>
          <w:p w14:paraId="7A86C861" w14:textId="77777777" w:rsidR="00A75AA2" w:rsidRPr="00F64317" w:rsidRDefault="00E451E7" w:rsidP="00D44FCD">
            <w:pPr>
              <w:pStyle w:val="TableBodyCopy"/>
              <w:rPr>
                <w:rFonts w:asciiTheme="majorHAnsi" w:hAnsiTheme="majorHAnsi" w:cstheme="majorHAnsi"/>
              </w:rPr>
            </w:pPr>
            <w:hyperlink r:id="rId25" w:history="1">
              <w:r w:rsidR="00A75AA2" w:rsidRPr="00F64317">
                <w:rPr>
                  <w:rStyle w:val="Hyperlink"/>
                  <w:rFonts w:asciiTheme="majorHAnsi" w:hAnsiTheme="majorHAnsi" w:cstheme="majorHAnsi"/>
                </w:rPr>
                <w:t>Australia’s COVID-19 Response Package for the Pacific and Timor-Leste Independent Review 2020-2022</w:t>
              </w:r>
            </w:hyperlink>
          </w:p>
        </w:tc>
      </w:tr>
      <w:tr w:rsidR="00A75AA2" w:rsidRPr="00030679" w14:paraId="1B4D18F3" w14:textId="77777777" w:rsidTr="00DB2B26">
        <w:tc>
          <w:tcPr>
            <w:tcW w:w="1838" w:type="dxa"/>
          </w:tcPr>
          <w:p w14:paraId="78B5E4CC"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Pacific Regional</w:t>
            </w:r>
          </w:p>
        </w:tc>
        <w:tc>
          <w:tcPr>
            <w:tcW w:w="8647" w:type="dxa"/>
          </w:tcPr>
          <w:p w14:paraId="7517560D" w14:textId="77777777" w:rsidR="00A75AA2" w:rsidRPr="00F64317" w:rsidRDefault="00E451E7" w:rsidP="00D44FCD">
            <w:pPr>
              <w:pStyle w:val="TableBodyCopy"/>
              <w:rPr>
                <w:rFonts w:asciiTheme="majorHAnsi" w:hAnsiTheme="majorHAnsi" w:cstheme="majorHAnsi"/>
              </w:rPr>
            </w:pPr>
            <w:hyperlink r:id="rId26" w:history="1">
              <w:r w:rsidR="00A75AA2" w:rsidRPr="00F64317">
                <w:rPr>
                  <w:rStyle w:val="Hyperlink"/>
                  <w:rFonts w:asciiTheme="majorHAnsi" w:hAnsiTheme="majorHAnsi" w:cstheme="majorHAnsi"/>
                </w:rPr>
                <w:t>Mid-Term Review Report of the Pacific Insurance and Climate Adaptation Programme</w:t>
              </w:r>
            </w:hyperlink>
          </w:p>
        </w:tc>
      </w:tr>
      <w:tr w:rsidR="00A75AA2" w:rsidRPr="00030679" w14:paraId="6B218162" w14:textId="77777777" w:rsidTr="00DB2B26">
        <w:tc>
          <w:tcPr>
            <w:tcW w:w="1838" w:type="dxa"/>
          </w:tcPr>
          <w:p w14:paraId="77C2EF3A"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Pacific Regional</w:t>
            </w:r>
          </w:p>
        </w:tc>
        <w:tc>
          <w:tcPr>
            <w:tcW w:w="8647" w:type="dxa"/>
          </w:tcPr>
          <w:p w14:paraId="0C6072D1" w14:textId="77777777" w:rsidR="00A75AA2" w:rsidRPr="00F64317" w:rsidRDefault="00E451E7" w:rsidP="00D44FCD">
            <w:pPr>
              <w:pStyle w:val="TableBodyCopy"/>
              <w:rPr>
                <w:rFonts w:asciiTheme="majorHAnsi" w:hAnsiTheme="majorHAnsi" w:cstheme="majorHAnsi"/>
              </w:rPr>
            </w:pPr>
            <w:hyperlink r:id="rId27" w:history="1">
              <w:r w:rsidR="00A75AA2" w:rsidRPr="00F64317">
                <w:rPr>
                  <w:rStyle w:val="Hyperlink"/>
                  <w:rFonts w:asciiTheme="majorHAnsi" w:eastAsia="Times New Roman" w:hAnsiTheme="majorHAnsi" w:cstheme="majorHAnsi"/>
                </w:rPr>
                <w:t>End of Investment Evaluation: Pacific IUU Fishing</w:t>
              </w:r>
            </w:hyperlink>
          </w:p>
        </w:tc>
      </w:tr>
      <w:tr w:rsidR="00A75AA2" w:rsidRPr="00030679" w14:paraId="4A52D117" w14:textId="77777777" w:rsidTr="00DB2B26">
        <w:tc>
          <w:tcPr>
            <w:tcW w:w="1838" w:type="dxa"/>
          </w:tcPr>
          <w:p w14:paraId="7F6D750C"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Pacific Regional</w:t>
            </w:r>
          </w:p>
        </w:tc>
        <w:tc>
          <w:tcPr>
            <w:tcW w:w="8647" w:type="dxa"/>
          </w:tcPr>
          <w:p w14:paraId="253055A8" w14:textId="77777777" w:rsidR="00A75AA2" w:rsidRPr="00F64317" w:rsidRDefault="00E451E7" w:rsidP="00D44FCD">
            <w:pPr>
              <w:pStyle w:val="TableBodyCopy"/>
              <w:rPr>
                <w:rFonts w:asciiTheme="majorHAnsi" w:hAnsiTheme="majorHAnsi" w:cstheme="majorHAnsi"/>
              </w:rPr>
            </w:pPr>
            <w:hyperlink r:id="rId28" w:history="1">
              <w:r w:rsidR="00A75AA2" w:rsidRPr="00F64317">
                <w:rPr>
                  <w:rStyle w:val="Hyperlink"/>
                  <w:rFonts w:asciiTheme="majorHAnsi" w:hAnsiTheme="majorHAnsi" w:cstheme="majorHAnsi"/>
                </w:rPr>
                <w:t>Pacific Digital Economy Programme Mid-Term Review</w:t>
              </w:r>
            </w:hyperlink>
          </w:p>
        </w:tc>
      </w:tr>
      <w:tr w:rsidR="00A75AA2" w:rsidRPr="00030679" w14:paraId="351FBD51" w14:textId="77777777" w:rsidTr="00DB2B26">
        <w:tc>
          <w:tcPr>
            <w:tcW w:w="1838" w:type="dxa"/>
          </w:tcPr>
          <w:p w14:paraId="662C4EFF"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Solomon Islands</w:t>
            </w:r>
          </w:p>
        </w:tc>
        <w:tc>
          <w:tcPr>
            <w:tcW w:w="8647" w:type="dxa"/>
          </w:tcPr>
          <w:p w14:paraId="4CDF7F34" w14:textId="77777777" w:rsidR="00A75AA2" w:rsidRPr="00F64317" w:rsidRDefault="00E451E7" w:rsidP="00D44FCD">
            <w:pPr>
              <w:pStyle w:val="TableBodyCopy"/>
              <w:rPr>
                <w:rFonts w:asciiTheme="majorHAnsi" w:hAnsiTheme="majorHAnsi" w:cstheme="majorHAnsi"/>
              </w:rPr>
            </w:pPr>
            <w:hyperlink r:id="rId29" w:history="1">
              <w:r w:rsidR="00A75AA2" w:rsidRPr="00F64317">
                <w:rPr>
                  <w:rStyle w:val="Hyperlink"/>
                  <w:rFonts w:asciiTheme="majorHAnsi" w:hAnsiTheme="majorHAnsi" w:cstheme="majorHAnsi"/>
                </w:rPr>
                <w:t>Ombudsman Twinning Support Independent Review</w:t>
              </w:r>
            </w:hyperlink>
            <w:r w:rsidR="00A75AA2" w:rsidRPr="00F64317">
              <w:rPr>
                <w:rStyle w:val="Hyperlink"/>
                <w:rFonts w:asciiTheme="majorHAnsi" w:hAnsiTheme="majorHAnsi" w:cstheme="majorHAnsi"/>
              </w:rPr>
              <w:t xml:space="preserve"> </w:t>
            </w:r>
          </w:p>
        </w:tc>
      </w:tr>
      <w:tr w:rsidR="00A75AA2" w:rsidRPr="00030679" w14:paraId="4C87AE11" w14:textId="77777777" w:rsidTr="00DB2B26">
        <w:tc>
          <w:tcPr>
            <w:tcW w:w="1838" w:type="dxa"/>
          </w:tcPr>
          <w:p w14:paraId="1DAE9496"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Solomon Islands</w:t>
            </w:r>
          </w:p>
        </w:tc>
        <w:tc>
          <w:tcPr>
            <w:tcW w:w="8647" w:type="dxa"/>
          </w:tcPr>
          <w:p w14:paraId="4D86EEE5" w14:textId="77777777" w:rsidR="00A75AA2" w:rsidRPr="00F64317" w:rsidRDefault="00E451E7" w:rsidP="00D44FCD">
            <w:pPr>
              <w:pStyle w:val="TableBodyCopy"/>
              <w:rPr>
                <w:rFonts w:asciiTheme="majorHAnsi" w:hAnsiTheme="majorHAnsi" w:cstheme="majorHAnsi"/>
              </w:rPr>
            </w:pPr>
            <w:hyperlink r:id="rId30" w:history="1">
              <w:r w:rsidR="00A75AA2" w:rsidRPr="00F64317">
                <w:rPr>
                  <w:rStyle w:val="Hyperlink"/>
                  <w:rFonts w:asciiTheme="majorHAnsi" w:hAnsiTheme="majorHAnsi" w:cstheme="majorHAnsi"/>
                </w:rPr>
                <w:t>Review and Evaluation of the Performance of Sustainable Transport Infrastructure Improvement Program (STIIP) and the National Transport Fund (NTF) in the Solomon Islands</w:t>
              </w:r>
            </w:hyperlink>
          </w:p>
        </w:tc>
      </w:tr>
      <w:tr w:rsidR="00A75AA2" w:rsidRPr="00030679" w14:paraId="2218240A" w14:textId="77777777" w:rsidTr="00DB2B26">
        <w:tc>
          <w:tcPr>
            <w:tcW w:w="1838" w:type="dxa"/>
          </w:tcPr>
          <w:p w14:paraId="0C2DAB14"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Fiji</w:t>
            </w:r>
          </w:p>
        </w:tc>
        <w:tc>
          <w:tcPr>
            <w:tcW w:w="8647" w:type="dxa"/>
          </w:tcPr>
          <w:p w14:paraId="4F08DD21" w14:textId="77777777" w:rsidR="00A75AA2" w:rsidRPr="00F64317" w:rsidRDefault="00E451E7" w:rsidP="00D44FCD">
            <w:pPr>
              <w:pStyle w:val="TableBodyCopy"/>
              <w:rPr>
                <w:rFonts w:asciiTheme="majorHAnsi" w:hAnsiTheme="majorHAnsi" w:cstheme="majorHAnsi"/>
              </w:rPr>
            </w:pPr>
            <w:hyperlink r:id="rId31" w:history="1">
              <w:r w:rsidR="00A75AA2" w:rsidRPr="00F64317">
                <w:rPr>
                  <w:rStyle w:val="Hyperlink"/>
                  <w:rFonts w:asciiTheme="majorHAnsi" w:hAnsiTheme="majorHAnsi" w:cstheme="majorHAnsi"/>
                </w:rPr>
                <w:t>Strategic Review of the Fiji Health Program</w:t>
              </w:r>
            </w:hyperlink>
          </w:p>
        </w:tc>
      </w:tr>
      <w:tr w:rsidR="00A75AA2" w:rsidRPr="00030679" w14:paraId="092ADCE8" w14:textId="77777777" w:rsidTr="00DB2B26">
        <w:tc>
          <w:tcPr>
            <w:tcW w:w="1838" w:type="dxa"/>
          </w:tcPr>
          <w:p w14:paraId="132B6070" w14:textId="77777777" w:rsidR="00A75AA2" w:rsidRPr="00F64317" w:rsidRDefault="00A75AA2" w:rsidP="00D44FCD">
            <w:pPr>
              <w:pStyle w:val="TableBodyCopy"/>
              <w:rPr>
                <w:rFonts w:asciiTheme="majorHAnsi" w:hAnsiTheme="majorHAnsi" w:cstheme="majorHAnsi"/>
              </w:rPr>
            </w:pPr>
            <w:r w:rsidRPr="00F64317">
              <w:rPr>
                <w:rFonts w:asciiTheme="majorHAnsi" w:hAnsiTheme="majorHAnsi" w:cstheme="majorHAnsi"/>
              </w:rPr>
              <w:t>Nauru</w:t>
            </w:r>
          </w:p>
        </w:tc>
        <w:tc>
          <w:tcPr>
            <w:tcW w:w="8647" w:type="dxa"/>
          </w:tcPr>
          <w:p w14:paraId="021F6323" w14:textId="77777777" w:rsidR="00A75AA2" w:rsidRPr="00F64317" w:rsidRDefault="00E451E7" w:rsidP="00D44FCD">
            <w:pPr>
              <w:pStyle w:val="TableBodyCopy"/>
              <w:rPr>
                <w:rFonts w:asciiTheme="majorHAnsi" w:hAnsiTheme="majorHAnsi" w:cstheme="majorHAnsi"/>
              </w:rPr>
            </w:pPr>
            <w:hyperlink r:id="rId32" w:history="1">
              <w:r w:rsidR="00A75AA2" w:rsidRPr="00F64317">
                <w:rPr>
                  <w:rStyle w:val="Hyperlink"/>
                  <w:rFonts w:asciiTheme="majorHAnsi" w:hAnsiTheme="majorHAnsi" w:cstheme="majorHAnsi"/>
                  <w:i/>
                  <w:iCs/>
                </w:rPr>
                <w:t>Every Life Matters:</w:t>
              </w:r>
              <w:r w:rsidR="00A75AA2" w:rsidRPr="00F64317">
                <w:rPr>
                  <w:rStyle w:val="Hyperlink"/>
                  <w:rFonts w:asciiTheme="majorHAnsi" w:hAnsiTheme="majorHAnsi" w:cstheme="majorHAnsi"/>
                </w:rPr>
                <w:t xml:space="preserve"> Review of DFAT Health Investments to Nauru</w:t>
              </w:r>
            </w:hyperlink>
          </w:p>
        </w:tc>
      </w:tr>
    </w:tbl>
    <w:p w14:paraId="02221247" w14:textId="77777777" w:rsidR="00A75AA2" w:rsidRDefault="00A75AA2" w:rsidP="00A75AA2">
      <w:pPr>
        <w:pStyle w:val="H3-Heading3"/>
      </w:pPr>
      <w:proofErr w:type="gramStart"/>
      <w:r>
        <w:t>SOUTH EAST</w:t>
      </w:r>
      <w:proofErr w:type="gramEnd"/>
      <w:r>
        <w:t xml:space="preserve"> ASIA</w:t>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Pr>
      <w:tblGrid>
        <w:gridCol w:w="1980"/>
        <w:gridCol w:w="8505"/>
      </w:tblGrid>
      <w:tr w:rsidR="00A75AA2" w14:paraId="66E14A4D" w14:textId="77777777" w:rsidTr="00DB2B26">
        <w:trPr>
          <w:trHeight w:val="70"/>
          <w:tblHeader/>
        </w:trPr>
        <w:tc>
          <w:tcPr>
            <w:tcW w:w="1980" w:type="dxa"/>
            <w:shd w:val="clear" w:color="auto" w:fill="E7E6E6" w:themeFill="background2"/>
          </w:tcPr>
          <w:p w14:paraId="7023CC96" w14:textId="77777777" w:rsidR="00A75AA2" w:rsidRPr="0079728E" w:rsidRDefault="00A75AA2" w:rsidP="00D44FCD">
            <w:pPr>
              <w:pStyle w:val="TableHeading"/>
            </w:pPr>
            <w:r w:rsidRPr="00635366">
              <w:t>Country/Region</w:t>
            </w:r>
          </w:p>
        </w:tc>
        <w:tc>
          <w:tcPr>
            <w:tcW w:w="8505" w:type="dxa"/>
            <w:shd w:val="clear" w:color="auto" w:fill="E7E6E6" w:themeFill="background2"/>
          </w:tcPr>
          <w:p w14:paraId="286C8970" w14:textId="77777777" w:rsidR="00A75AA2" w:rsidRDefault="00A75AA2" w:rsidP="00D44FCD">
            <w:pPr>
              <w:pStyle w:val="TableHeading"/>
            </w:pPr>
            <w:r w:rsidRPr="00635366">
              <w:t>Evaluation</w:t>
            </w:r>
          </w:p>
        </w:tc>
      </w:tr>
      <w:tr w:rsidR="00A75AA2" w:rsidRPr="00030679" w14:paraId="13788A3C" w14:textId="77777777" w:rsidTr="00DB2B26">
        <w:tc>
          <w:tcPr>
            <w:tcW w:w="1980" w:type="dxa"/>
          </w:tcPr>
          <w:p w14:paraId="6BEC6A26" w14:textId="77777777" w:rsidR="00A75AA2" w:rsidRPr="00F64317" w:rsidRDefault="00A75AA2" w:rsidP="00D44FCD">
            <w:pPr>
              <w:pStyle w:val="TableBodyCopy"/>
              <w:rPr>
                <w:rFonts w:asciiTheme="majorHAnsi" w:hAnsiTheme="majorHAnsi" w:cstheme="majorHAnsi"/>
              </w:rPr>
            </w:pPr>
            <w:r w:rsidRPr="00525D2C">
              <w:t>Indonesia</w:t>
            </w:r>
          </w:p>
        </w:tc>
        <w:tc>
          <w:tcPr>
            <w:tcW w:w="8505" w:type="dxa"/>
          </w:tcPr>
          <w:p w14:paraId="67B12F82" w14:textId="77777777" w:rsidR="00A75AA2" w:rsidRPr="00F64317" w:rsidRDefault="00E451E7" w:rsidP="00D44FCD">
            <w:pPr>
              <w:pStyle w:val="TableBodyCopy"/>
              <w:rPr>
                <w:rFonts w:asciiTheme="majorHAnsi" w:hAnsiTheme="majorHAnsi" w:cstheme="majorHAnsi"/>
              </w:rPr>
            </w:pPr>
            <w:hyperlink r:id="rId33" w:history="1">
              <w:r w:rsidR="00A75AA2" w:rsidRPr="00F64317">
                <w:rPr>
                  <w:rStyle w:val="Hyperlink"/>
                  <w:rFonts w:asciiTheme="majorHAnsi" w:hAnsiTheme="majorHAnsi" w:cstheme="majorHAnsi"/>
                  <w:shd w:val="clear" w:color="auto" w:fill="FFFFFF"/>
                </w:rPr>
                <w:t>Independent Strategic Review of Innovation for Indonesia's School Children Phase 2 and Rural and Remote Education Initiative for Papua Provinces Phase 3</w:t>
              </w:r>
            </w:hyperlink>
          </w:p>
        </w:tc>
      </w:tr>
      <w:tr w:rsidR="00A75AA2" w:rsidRPr="00030679" w14:paraId="3AC66865" w14:textId="77777777" w:rsidTr="00DB2B26">
        <w:tc>
          <w:tcPr>
            <w:tcW w:w="1980" w:type="dxa"/>
          </w:tcPr>
          <w:p w14:paraId="125BEAE1" w14:textId="77777777" w:rsidR="00A75AA2" w:rsidRPr="00F64317" w:rsidRDefault="00A75AA2" w:rsidP="00D44FCD">
            <w:pPr>
              <w:pStyle w:val="TableBodyCopy"/>
              <w:rPr>
                <w:rFonts w:asciiTheme="majorHAnsi" w:hAnsiTheme="majorHAnsi" w:cstheme="majorHAnsi"/>
              </w:rPr>
            </w:pPr>
            <w:r w:rsidRPr="00525D2C">
              <w:t>Indonesia</w:t>
            </w:r>
          </w:p>
        </w:tc>
        <w:tc>
          <w:tcPr>
            <w:tcW w:w="8505" w:type="dxa"/>
          </w:tcPr>
          <w:p w14:paraId="6B4E6D5D" w14:textId="77777777" w:rsidR="00A75AA2" w:rsidRPr="00F64317" w:rsidRDefault="00E451E7" w:rsidP="00D44FCD">
            <w:pPr>
              <w:pStyle w:val="TableBodyCopy"/>
              <w:rPr>
                <w:rFonts w:asciiTheme="majorHAnsi" w:hAnsiTheme="majorHAnsi" w:cstheme="majorHAnsi"/>
              </w:rPr>
            </w:pPr>
            <w:hyperlink r:id="rId34" w:history="1">
              <w:proofErr w:type="spellStart"/>
              <w:r w:rsidR="00A75AA2" w:rsidRPr="00F64317">
                <w:rPr>
                  <w:rStyle w:val="Hyperlink"/>
                  <w:rFonts w:asciiTheme="majorHAnsi" w:hAnsiTheme="majorHAnsi" w:cstheme="majorHAnsi"/>
                </w:rPr>
                <w:t>Penyediaan</w:t>
              </w:r>
              <w:proofErr w:type="spellEnd"/>
              <w:r w:rsidR="00A75AA2" w:rsidRPr="00F64317">
                <w:rPr>
                  <w:rStyle w:val="Hyperlink"/>
                  <w:rFonts w:asciiTheme="majorHAnsi" w:hAnsiTheme="majorHAnsi" w:cstheme="majorHAnsi"/>
                </w:rPr>
                <w:t xml:space="preserve"> Air </w:t>
              </w:r>
              <w:proofErr w:type="spellStart"/>
              <w:r w:rsidR="00A75AA2" w:rsidRPr="00F64317">
                <w:rPr>
                  <w:rStyle w:val="Hyperlink"/>
                  <w:rFonts w:asciiTheme="majorHAnsi" w:hAnsiTheme="majorHAnsi" w:cstheme="majorHAnsi"/>
                </w:rPr>
                <w:t>Minum</w:t>
              </w:r>
              <w:proofErr w:type="spellEnd"/>
              <w:r w:rsidR="00A75AA2" w:rsidRPr="00F64317">
                <w:rPr>
                  <w:rStyle w:val="Hyperlink"/>
                  <w:rFonts w:asciiTheme="majorHAnsi" w:hAnsiTheme="majorHAnsi" w:cstheme="majorHAnsi"/>
                </w:rPr>
                <w:t xml:space="preserve"> dan </w:t>
              </w:r>
              <w:proofErr w:type="spellStart"/>
              <w:r w:rsidR="00A75AA2" w:rsidRPr="00F64317">
                <w:rPr>
                  <w:rStyle w:val="Hyperlink"/>
                  <w:rFonts w:asciiTheme="majorHAnsi" w:hAnsiTheme="majorHAnsi" w:cstheme="majorHAnsi"/>
                </w:rPr>
                <w:t>Sanitasi</w:t>
              </w:r>
              <w:proofErr w:type="spellEnd"/>
              <w:r w:rsidR="00A75AA2" w:rsidRPr="00F64317">
                <w:rPr>
                  <w:rStyle w:val="Hyperlink"/>
                  <w:rFonts w:asciiTheme="majorHAnsi" w:hAnsiTheme="majorHAnsi" w:cstheme="majorHAnsi"/>
                </w:rPr>
                <w:t xml:space="preserve"> </w:t>
              </w:r>
              <w:proofErr w:type="spellStart"/>
              <w:r w:rsidR="00A75AA2" w:rsidRPr="00F64317">
                <w:rPr>
                  <w:rStyle w:val="Hyperlink"/>
                  <w:rFonts w:asciiTheme="majorHAnsi" w:hAnsiTheme="majorHAnsi" w:cstheme="majorHAnsi"/>
                </w:rPr>
                <w:t>Berbasis</w:t>
              </w:r>
              <w:proofErr w:type="spellEnd"/>
              <w:r w:rsidR="00A75AA2" w:rsidRPr="00F64317">
                <w:rPr>
                  <w:rStyle w:val="Hyperlink"/>
                  <w:rFonts w:asciiTheme="majorHAnsi" w:hAnsiTheme="majorHAnsi" w:cstheme="majorHAnsi"/>
                </w:rPr>
                <w:t xml:space="preserve"> Masyarakat (PAMSIMAS) Final Independent Evaluation</w:t>
              </w:r>
            </w:hyperlink>
          </w:p>
        </w:tc>
      </w:tr>
      <w:tr w:rsidR="00A75AA2" w:rsidRPr="00030679" w14:paraId="40EE4857" w14:textId="77777777" w:rsidTr="00DB2B26">
        <w:tc>
          <w:tcPr>
            <w:tcW w:w="1980" w:type="dxa"/>
          </w:tcPr>
          <w:p w14:paraId="689FBBD6" w14:textId="77777777" w:rsidR="00A75AA2" w:rsidRPr="00F64317" w:rsidRDefault="00A75AA2" w:rsidP="00D44FCD">
            <w:pPr>
              <w:pStyle w:val="TableBodyCopy"/>
              <w:rPr>
                <w:rFonts w:asciiTheme="majorHAnsi" w:hAnsiTheme="majorHAnsi" w:cstheme="majorHAnsi"/>
              </w:rPr>
            </w:pPr>
            <w:r w:rsidRPr="00217C0C">
              <w:t>Indonesia</w:t>
            </w:r>
          </w:p>
        </w:tc>
        <w:tc>
          <w:tcPr>
            <w:tcW w:w="8505" w:type="dxa"/>
          </w:tcPr>
          <w:p w14:paraId="52F5F614" w14:textId="77777777" w:rsidR="00A75AA2" w:rsidRPr="00F64317" w:rsidRDefault="00E451E7" w:rsidP="00D44FCD">
            <w:pPr>
              <w:pStyle w:val="TableBodyCopy"/>
              <w:rPr>
                <w:rFonts w:asciiTheme="majorHAnsi" w:hAnsiTheme="majorHAnsi" w:cstheme="majorHAnsi"/>
              </w:rPr>
            </w:pPr>
            <w:hyperlink r:id="rId35" w:history="1">
              <w:r w:rsidR="00A75AA2" w:rsidRPr="00F64317">
                <w:rPr>
                  <w:rStyle w:val="Hyperlink"/>
                  <w:rFonts w:asciiTheme="majorHAnsi" w:hAnsiTheme="majorHAnsi" w:cstheme="majorHAnsi"/>
                </w:rPr>
                <w:t>Australia-World Bank Indonesia Partnership Independent Mid-Term Review</w:t>
              </w:r>
            </w:hyperlink>
          </w:p>
        </w:tc>
      </w:tr>
      <w:tr w:rsidR="00A75AA2" w:rsidRPr="00030679" w14:paraId="5BB275C3" w14:textId="77777777" w:rsidTr="00DB2B26">
        <w:tc>
          <w:tcPr>
            <w:tcW w:w="1980" w:type="dxa"/>
          </w:tcPr>
          <w:p w14:paraId="1059FABD" w14:textId="77777777" w:rsidR="00A75AA2" w:rsidRPr="00F64317" w:rsidRDefault="00A75AA2" w:rsidP="00D44FCD">
            <w:pPr>
              <w:pStyle w:val="TableBodyCopy"/>
              <w:rPr>
                <w:rFonts w:asciiTheme="majorHAnsi" w:hAnsiTheme="majorHAnsi" w:cstheme="majorHAnsi"/>
              </w:rPr>
            </w:pPr>
            <w:r>
              <w:t>Timor-Leste</w:t>
            </w:r>
          </w:p>
        </w:tc>
        <w:tc>
          <w:tcPr>
            <w:tcW w:w="8505" w:type="dxa"/>
          </w:tcPr>
          <w:p w14:paraId="66F4E2EC" w14:textId="77777777" w:rsidR="00A75AA2" w:rsidRPr="00F64317" w:rsidRDefault="00E451E7" w:rsidP="00D44FCD">
            <w:pPr>
              <w:pStyle w:val="TableBodyCopy"/>
              <w:rPr>
                <w:rFonts w:asciiTheme="majorHAnsi" w:hAnsiTheme="majorHAnsi" w:cstheme="majorHAnsi"/>
              </w:rPr>
            </w:pPr>
            <w:hyperlink r:id="rId36" w:history="1">
              <w:r w:rsidR="00A75AA2" w:rsidRPr="00F64317">
                <w:rPr>
                  <w:rStyle w:val="Hyperlink"/>
                  <w:rFonts w:asciiTheme="majorHAnsi" w:hAnsiTheme="majorHAnsi" w:cstheme="majorHAnsi"/>
                </w:rPr>
                <w:t>Joint Independent Evaluation - Timor-Leste Police Development Program</w:t>
              </w:r>
            </w:hyperlink>
          </w:p>
        </w:tc>
      </w:tr>
      <w:tr w:rsidR="00A75AA2" w:rsidRPr="00030679" w14:paraId="4987FD68" w14:textId="77777777" w:rsidTr="00DB2B26">
        <w:tc>
          <w:tcPr>
            <w:tcW w:w="1980" w:type="dxa"/>
          </w:tcPr>
          <w:p w14:paraId="685CA79C" w14:textId="77777777" w:rsidR="00A75AA2" w:rsidRPr="00F64317" w:rsidRDefault="00A75AA2" w:rsidP="00D44FCD">
            <w:pPr>
              <w:pStyle w:val="TableBodyCopy"/>
              <w:rPr>
                <w:rFonts w:asciiTheme="majorHAnsi" w:hAnsiTheme="majorHAnsi" w:cstheme="majorHAnsi"/>
              </w:rPr>
            </w:pPr>
            <w:r>
              <w:t>Timor-Leste</w:t>
            </w:r>
          </w:p>
        </w:tc>
        <w:tc>
          <w:tcPr>
            <w:tcW w:w="8505" w:type="dxa"/>
          </w:tcPr>
          <w:p w14:paraId="4596E97B" w14:textId="77777777" w:rsidR="00A75AA2" w:rsidRPr="00F64317" w:rsidRDefault="00E451E7" w:rsidP="00D44FCD">
            <w:pPr>
              <w:pStyle w:val="TableBodyCopy"/>
              <w:rPr>
                <w:rFonts w:asciiTheme="majorHAnsi" w:hAnsiTheme="majorHAnsi" w:cstheme="majorHAnsi"/>
              </w:rPr>
            </w:pPr>
            <w:hyperlink r:id="rId37" w:history="1">
              <w:r w:rsidR="00A75AA2" w:rsidRPr="00F64317">
                <w:rPr>
                  <w:rStyle w:val="Hyperlink"/>
                  <w:rFonts w:asciiTheme="majorHAnsi" w:hAnsiTheme="majorHAnsi" w:cstheme="majorHAnsi"/>
                </w:rPr>
                <w:t>Partnership for Human Development Mid-Term Review</w:t>
              </w:r>
            </w:hyperlink>
          </w:p>
        </w:tc>
      </w:tr>
      <w:tr w:rsidR="00A75AA2" w:rsidRPr="00030679" w14:paraId="4009FA35" w14:textId="77777777" w:rsidTr="00DB2B26">
        <w:tc>
          <w:tcPr>
            <w:tcW w:w="1980" w:type="dxa"/>
          </w:tcPr>
          <w:p w14:paraId="011163F0" w14:textId="77777777" w:rsidR="00A75AA2" w:rsidRPr="00F64317" w:rsidRDefault="00A75AA2" w:rsidP="00D44FCD">
            <w:pPr>
              <w:pStyle w:val="TableBodyCopy"/>
              <w:rPr>
                <w:rFonts w:asciiTheme="majorHAnsi" w:hAnsiTheme="majorHAnsi" w:cstheme="majorHAnsi"/>
              </w:rPr>
            </w:pPr>
            <w:r w:rsidRPr="000F3F8D">
              <w:t>Vietnam</w:t>
            </w:r>
          </w:p>
        </w:tc>
        <w:tc>
          <w:tcPr>
            <w:tcW w:w="8505" w:type="dxa"/>
          </w:tcPr>
          <w:p w14:paraId="1333A9E9" w14:textId="77777777" w:rsidR="00A75AA2" w:rsidRPr="00F64317" w:rsidRDefault="00E451E7" w:rsidP="00D44FCD">
            <w:pPr>
              <w:pStyle w:val="TableBodyCopy"/>
              <w:rPr>
                <w:rFonts w:asciiTheme="majorHAnsi" w:hAnsiTheme="majorHAnsi" w:cstheme="majorHAnsi"/>
              </w:rPr>
            </w:pPr>
            <w:hyperlink r:id="rId38" w:history="1">
              <w:r w:rsidR="00A75AA2" w:rsidRPr="00F64317">
                <w:rPr>
                  <w:rStyle w:val="Hyperlink"/>
                  <w:rFonts w:asciiTheme="majorHAnsi" w:hAnsiTheme="majorHAnsi" w:cstheme="majorHAnsi"/>
                </w:rPr>
                <w:t>Aus4Reform Review</w:t>
              </w:r>
            </w:hyperlink>
          </w:p>
        </w:tc>
      </w:tr>
      <w:tr w:rsidR="00A75AA2" w:rsidRPr="00030679" w14:paraId="061D293B" w14:textId="77777777" w:rsidTr="00DB2B26">
        <w:tc>
          <w:tcPr>
            <w:tcW w:w="1980" w:type="dxa"/>
          </w:tcPr>
          <w:p w14:paraId="59D088D3" w14:textId="77777777" w:rsidR="00A75AA2" w:rsidRPr="00F64317" w:rsidRDefault="00A75AA2" w:rsidP="00D44FCD">
            <w:pPr>
              <w:pStyle w:val="TableBodyCopy"/>
              <w:rPr>
                <w:rFonts w:asciiTheme="majorHAnsi" w:hAnsiTheme="majorHAnsi" w:cstheme="majorHAnsi"/>
              </w:rPr>
            </w:pPr>
            <w:r>
              <w:t>Vietnam</w:t>
            </w:r>
          </w:p>
        </w:tc>
        <w:tc>
          <w:tcPr>
            <w:tcW w:w="8505" w:type="dxa"/>
          </w:tcPr>
          <w:p w14:paraId="301DE669" w14:textId="77777777" w:rsidR="00A75AA2" w:rsidRPr="00F64317" w:rsidRDefault="00E451E7" w:rsidP="00D44FCD">
            <w:pPr>
              <w:pStyle w:val="TableBodyCopy"/>
              <w:rPr>
                <w:rFonts w:asciiTheme="majorHAnsi" w:hAnsiTheme="majorHAnsi" w:cstheme="majorHAnsi"/>
              </w:rPr>
            </w:pPr>
            <w:hyperlink r:id="rId39" w:history="1">
              <w:r w:rsidR="00A75AA2" w:rsidRPr="00F64317">
                <w:rPr>
                  <w:rStyle w:val="Hyperlink"/>
                  <w:rFonts w:asciiTheme="majorHAnsi" w:hAnsiTheme="majorHAnsi" w:cstheme="majorHAnsi"/>
                </w:rPr>
                <w:t>Aus4Innovation Mid-term Review</w:t>
              </w:r>
            </w:hyperlink>
          </w:p>
        </w:tc>
      </w:tr>
      <w:tr w:rsidR="00A75AA2" w:rsidRPr="00030679" w14:paraId="186DBDB8" w14:textId="77777777" w:rsidTr="00DB2B26">
        <w:tc>
          <w:tcPr>
            <w:tcW w:w="1980" w:type="dxa"/>
          </w:tcPr>
          <w:p w14:paraId="27C3832B" w14:textId="77777777" w:rsidR="00A75AA2" w:rsidRPr="00F64317" w:rsidRDefault="00A75AA2" w:rsidP="00D44FCD">
            <w:pPr>
              <w:pStyle w:val="TableBodyCopy"/>
              <w:rPr>
                <w:rFonts w:asciiTheme="majorHAnsi" w:hAnsiTheme="majorHAnsi" w:cstheme="majorHAnsi"/>
              </w:rPr>
            </w:pPr>
            <w:r>
              <w:t>Cambodia</w:t>
            </w:r>
          </w:p>
        </w:tc>
        <w:tc>
          <w:tcPr>
            <w:tcW w:w="8505" w:type="dxa"/>
          </w:tcPr>
          <w:p w14:paraId="128BCE15" w14:textId="77777777" w:rsidR="00A75AA2" w:rsidRPr="00F64317" w:rsidRDefault="00E451E7" w:rsidP="00D44FCD">
            <w:pPr>
              <w:pStyle w:val="TableBodyCopy"/>
              <w:rPr>
                <w:rFonts w:asciiTheme="majorHAnsi" w:hAnsiTheme="majorHAnsi" w:cstheme="majorHAnsi"/>
              </w:rPr>
            </w:pPr>
            <w:hyperlink r:id="rId40" w:history="1">
              <w:r w:rsidR="00A75AA2" w:rsidRPr="00F64317">
                <w:rPr>
                  <w:rStyle w:val="Hyperlink"/>
                  <w:rFonts w:asciiTheme="majorHAnsi" w:hAnsiTheme="majorHAnsi" w:cstheme="majorHAnsi"/>
                </w:rPr>
                <w:t>Australia-Cambodia Cooperation for Equitable Sustainable Services (ACCESS) End of program evaluation</w:t>
              </w:r>
            </w:hyperlink>
          </w:p>
        </w:tc>
      </w:tr>
      <w:tr w:rsidR="00A75AA2" w:rsidRPr="00030679" w14:paraId="1B80D6AB" w14:textId="77777777" w:rsidTr="00DB2B26">
        <w:tc>
          <w:tcPr>
            <w:tcW w:w="1980" w:type="dxa"/>
          </w:tcPr>
          <w:p w14:paraId="4513F743" w14:textId="77777777" w:rsidR="00A75AA2" w:rsidRPr="00F64317" w:rsidRDefault="00A75AA2" w:rsidP="00D44FCD">
            <w:pPr>
              <w:pStyle w:val="TableBodyCopy"/>
              <w:rPr>
                <w:rFonts w:asciiTheme="majorHAnsi" w:hAnsiTheme="majorHAnsi" w:cstheme="majorHAnsi"/>
              </w:rPr>
            </w:pPr>
            <w:r>
              <w:t>Cambodia</w:t>
            </w:r>
          </w:p>
        </w:tc>
        <w:tc>
          <w:tcPr>
            <w:tcW w:w="8505" w:type="dxa"/>
          </w:tcPr>
          <w:p w14:paraId="2A01A0C1" w14:textId="77777777" w:rsidR="00A75AA2" w:rsidRPr="00F64317" w:rsidRDefault="00E451E7" w:rsidP="00D44FCD">
            <w:pPr>
              <w:pStyle w:val="TableBodyCopy"/>
              <w:rPr>
                <w:rFonts w:asciiTheme="majorHAnsi" w:hAnsiTheme="majorHAnsi" w:cstheme="majorHAnsi"/>
              </w:rPr>
            </w:pPr>
            <w:hyperlink r:id="rId41" w:history="1">
              <w:proofErr w:type="spellStart"/>
              <w:r w:rsidR="00A75AA2" w:rsidRPr="00F64317">
                <w:rPr>
                  <w:rStyle w:val="Hyperlink"/>
                  <w:rFonts w:asciiTheme="majorHAnsi" w:hAnsiTheme="majorHAnsi" w:cstheme="majorHAnsi"/>
                </w:rPr>
                <w:t>Ponlok</w:t>
              </w:r>
              <w:proofErr w:type="spellEnd"/>
              <w:r w:rsidR="00A75AA2" w:rsidRPr="00F64317">
                <w:rPr>
                  <w:rStyle w:val="Hyperlink"/>
                  <w:rFonts w:asciiTheme="majorHAnsi" w:hAnsiTheme="majorHAnsi" w:cstheme="majorHAnsi"/>
                </w:rPr>
                <w:t xml:space="preserve"> </w:t>
              </w:r>
              <w:proofErr w:type="spellStart"/>
              <w:r w:rsidR="00A75AA2" w:rsidRPr="00F64317">
                <w:rPr>
                  <w:rStyle w:val="Hyperlink"/>
                  <w:rFonts w:asciiTheme="majorHAnsi" w:hAnsiTheme="majorHAnsi" w:cstheme="majorHAnsi"/>
                </w:rPr>
                <w:t>Chomnes</w:t>
              </w:r>
              <w:proofErr w:type="spellEnd"/>
              <w:r w:rsidR="00A75AA2" w:rsidRPr="00F64317">
                <w:rPr>
                  <w:rStyle w:val="Hyperlink"/>
                  <w:rFonts w:asciiTheme="majorHAnsi" w:hAnsiTheme="majorHAnsi" w:cstheme="majorHAnsi"/>
                </w:rPr>
                <w:t xml:space="preserve"> Independent Strategic Review</w:t>
              </w:r>
            </w:hyperlink>
          </w:p>
        </w:tc>
      </w:tr>
      <w:tr w:rsidR="00A75AA2" w:rsidRPr="00030679" w14:paraId="6AA47000" w14:textId="77777777" w:rsidTr="00DB2B26">
        <w:tc>
          <w:tcPr>
            <w:tcW w:w="1980" w:type="dxa"/>
          </w:tcPr>
          <w:p w14:paraId="38B82DB2" w14:textId="77777777" w:rsidR="00A75AA2" w:rsidRPr="00F64317" w:rsidRDefault="00A75AA2" w:rsidP="00D44FCD">
            <w:pPr>
              <w:pStyle w:val="TableBodyCopy"/>
              <w:rPr>
                <w:rFonts w:asciiTheme="majorHAnsi" w:hAnsiTheme="majorHAnsi" w:cstheme="majorHAnsi"/>
              </w:rPr>
            </w:pPr>
            <w:r>
              <w:t>Laos</w:t>
            </w:r>
          </w:p>
        </w:tc>
        <w:tc>
          <w:tcPr>
            <w:tcW w:w="8505" w:type="dxa"/>
          </w:tcPr>
          <w:p w14:paraId="0CBDDBC3" w14:textId="77777777" w:rsidR="00A75AA2" w:rsidRPr="00F64317" w:rsidRDefault="00E451E7" w:rsidP="00D44FCD">
            <w:pPr>
              <w:pStyle w:val="TableBodyCopy"/>
              <w:rPr>
                <w:rFonts w:asciiTheme="majorHAnsi" w:hAnsiTheme="majorHAnsi" w:cstheme="majorHAnsi"/>
              </w:rPr>
            </w:pPr>
            <w:hyperlink r:id="rId42" w:history="1">
              <w:r w:rsidR="00A75AA2" w:rsidRPr="00F64317">
                <w:rPr>
                  <w:rStyle w:val="Hyperlink"/>
                  <w:rFonts w:asciiTheme="majorHAnsi" w:hAnsiTheme="majorHAnsi" w:cstheme="majorHAnsi"/>
                </w:rPr>
                <w:t>BEQUAL Phase 1 Independent End of Program Review</w:t>
              </w:r>
            </w:hyperlink>
          </w:p>
        </w:tc>
      </w:tr>
      <w:tr w:rsidR="00A75AA2" w:rsidRPr="00030679" w14:paraId="697A9D90" w14:textId="77777777" w:rsidTr="00DB2B26">
        <w:tc>
          <w:tcPr>
            <w:tcW w:w="1980" w:type="dxa"/>
          </w:tcPr>
          <w:p w14:paraId="416997A0" w14:textId="77777777" w:rsidR="00A75AA2" w:rsidRPr="00F64317" w:rsidRDefault="00A75AA2" w:rsidP="00D44FCD">
            <w:pPr>
              <w:pStyle w:val="TableBodyCopy"/>
              <w:rPr>
                <w:rFonts w:asciiTheme="majorHAnsi" w:hAnsiTheme="majorHAnsi" w:cstheme="majorHAnsi"/>
              </w:rPr>
            </w:pPr>
            <w:r>
              <w:t>ASEAN and Mekong</w:t>
            </w:r>
          </w:p>
        </w:tc>
        <w:tc>
          <w:tcPr>
            <w:tcW w:w="8505" w:type="dxa"/>
          </w:tcPr>
          <w:p w14:paraId="0AEAB6FC" w14:textId="77777777" w:rsidR="00A75AA2" w:rsidRPr="00F64317" w:rsidRDefault="00E451E7" w:rsidP="00D44FCD">
            <w:pPr>
              <w:pStyle w:val="TableBodyCopy"/>
              <w:rPr>
                <w:rFonts w:asciiTheme="majorHAnsi" w:hAnsiTheme="majorHAnsi" w:cstheme="majorHAnsi"/>
              </w:rPr>
            </w:pPr>
            <w:hyperlink r:id="rId43" w:anchor=":~:text=A%20Mid%2DTerm%20Review%20of,in%20early%202022%20by%20an" w:history="1">
              <w:r w:rsidR="00A75AA2" w:rsidRPr="00F64317">
                <w:rPr>
                  <w:rStyle w:val="Hyperlink"/>
                  <w:rFonts w:asciiTheme="majorHAnsi" w:hAnsiTheme="majorHAnsi" w:cstheme="majorHAnsi"/>
                </w:rPr>
                <w:t>ASEAN-Australia Digital Trade Standards Initiative Mid-Term Review</w:t>
              </w:r>
            </w:hyperlink>
          </w:p>
        </w:tc>
      </w:tr>
      <w:tr w:rsidR="00A75AA2" w:rsidRPr="00030679" w14:paraId="3DEC8BD5" w14:textId="77777777" w:rsidTr="00DB2B26">
        <w:tc>
          <w:tcPr>
            <w:tcW w:w="1980" w:type="dxa"/>
          </w:tcPr>
          <w:p w14:paraId="1FFB8A1C" w14:textId="77777777" w:rsidR="00A75AA2" w:rsidRPr="00F64317" w:rsidRDefault="00A75AA2" w:rsidP="00D44FCD">
            <w:pPr>
              <w:pStyle w:val="TableBodyCopy"/>
              <w:rPr>
                <w:rFonts w:asciiTheme="majorHAnsi" w:hAnsiTheme="majorHAnsi" w:cstheme="majorHAnsi"/>
              </w:rPr>
            </w:pPr>
            <w:r>
              <w:t>ASEAN and Mekong</w:t>
            </w:r>
          </w:p>
        </w:tc>
        <w:tc>
          <w:tcPr>
            <w:tcW w:w="8505" w:type="dxa"/>
          </w:tcPr>
          <w:p w14:paraId="0FEE2420" w14:textId="77777777" w:rsidR="00A75AA2" w:rsidRPr="00F64317" w:rsidRDefault="00E451E7" w:rsidP="00D44FCD">
            <w:pPr>
              <w:pStyle w:val="TableBodyCopy"/>
              <w:rPr>
                <w:rFonts w:asciiTheme="majorHAnsi" w:hAnsiTheme="majorHAnsi" w:cstheme="majorHAnsi"/>
              </w:rPr>
            </w:pPr>
            <w:hyperlink r:id="rId44" w:history="1">
              <w:r w:rsidR="00A75AA2" w:rsidRPr="00F64317">
                <w:rPr>
                  <w:rStyle w:val="Hyperlink"/>
                  <w:rFonts w:asciiTheme="majorHAnsi" w:hAnsiTheme="majorHAnsi" w:cstheme="majorHAnsi"/>
                </w:rPr>
                <w:t>Mid-Term Review: ASEAN Australia Smart Cities Trust Fund (AASCTF)</w:t>
              </w:r>
            </w:hyperlink>
          </w:p>
        </w:tc>
      </w:tr>
      <w:tr w:rsidR="00A75AA2" w:rsidRPr="00030679" w14:paraId="153C0771" w14:textId="77777777" w:rsidTr="00DB2B26">
        <w:tc>
          <w:tcPr>
            <w:tcW w:w="1980" w:type="dxa"/>
          </w:tcPr>
          <w:p w14:paraId="36BD4AAA" w14:textId="77777777" w:rsidR="00A75AA2" w:rsidRPr="00F64317" w:rsidRDefault="00A75AA2" w:rsidP="00D44FCD">
            <w:pPr>
              <w:pStyle w:val="TableBodyCopy"/>
              <w:rPr>
                <w:rFonts w:asciiTheme="majorHAnsi" w:hAnsiTheme="majorHAnsi" w:cstheme="majorHAnsi"/>
              </w:rPr>
            </w:pPr>
            <w:r w:rsidRPr="00D30EC2">
              <w:t>ASEAN and Mekong</w:t>
            </w:r>
          </w:p>
        </w:tc>
        <w:tc>
          <w:tcPr>
            <w:tcW w:w="8505" w:type="dxa"/>
          </w:tcPr>
          <w:p w14:paraId="16E61EE5" w14:textId="77777777" w:rsidR="00A75AA2" w:rsidRPr="00F64317" w:rsidRDefault="00E451E7" w:rsidP="00D44FCD">
            <w:pPr>
              <w:pStyle w:val="TableBodyCopy"/>
              <w:rPr>
                <w:rFonts w:asciiTheme="majorHAnsi" w:hAnsiTheme="majorHAnsi" w:cstheme="majorHAnsi"/>
              </w:rPr>
            </w:pPr>
            <w:hyperlink r:id="rId45" w:history="1">
              <w:r w:rsidR="00A75AA2" w:rsidRPr="00F64317">
                <w:rPr>
                  <w:rStyle w:val="Hyperlink"/>
                  <w:rFonts w:asciiTheme="majorHAnsi" w:hAnsiTheme="majorHAnsi" w:cstheme="majorHAnsi"/>
                </w:rPr>
                <w:t>ASEAN-Australia Counter-Trafficking Program Mid-Term Review (MTR)</w:t>
              </w:r>
            </w:hyperlink>
          </w:p>
        </w:tc>
      </w:tr>
    </w:tbl>
    <w:p w14:paraId="0AC82577" w14:textId="3E70EDDA" w:rsidR="00A75AA2" w:rsidRDefault="00A75AA2" w:rsidP="00A75AA2">
      <w:pPr>
        <w:spacing w:after="0" w:line="240" w:lineRule="auto"/>
        <w:rPr>
          <w:rFonts w:asciiTheme="minorHAnsi" w:eastAsiaTheme="majorEastAsia" w:hAnsiTheme="minorHAnsi" w:cstheme="minorHAnsi"/>
          <w:b/>
          <w:bCs/>
          <w:color w:val="313E48"/>
          <w:sz w:val="28"/>
          <w:szCs w:val="28"/>
        </w:rPr>
      </w:pPr>
    </w:p>
    <w:p w14:paraId="3B51FE21" w14:textId="77777777" w:rsidR="00A75AA2" w:rsidRDefault="00A75AA2" w:rsidP="00A75AA2">
      <w:pPr>
        <w:pStyle w:val="H3-Heading3"/>
      </w:pPr>
      <w:r>
        <w:lastRenderedPageBreak/>
        <w:t>SOUTH AND WEST ASIA</w:t>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Pr>
      <w:tblGrid>
        <w:gridCol w:w="1980"/>
        <w:gridCol w:w="8505"/>
      </w:tblGrid>
      <w:tr w:rsidR="00A75AA2" w14:paraId="18A2001A" w14:textId="77777777" w:rsidTr="00DB2B26">
        <w:trPr>
          <w:trHeight w:val="70"/>
          <w:tblHeader/>
        </w:trPr>
        <w:tc>
          <w:tcPr>
            <w:tcW w:w="1980" w:type="dxa"/>
            <w:shd w:val="clear" w:color="auto" w:fill="E7E6E6" w:themeFill="background2"/>
          </w:tcPr>
          <w:p w14:paraId="538EFECB" w14:textId="77777777" w:rsidR="00A75AA2" w:rsidRPr="0079728E" w:rsidRDefault="00A75AA2" w:rsidP="00D44FCD">
            <w:pPr>
              <w:pStyle w:val="TableHeading"/>
            </w:pPr>
            <w:r w:rsidRPr="00635366">
              <w:t>Country/Region</w:t>
            </w:r>
          </w:p>
        </w:tc>
        <w:tc>
          <w:tcPr>
            <w:tcW w:w="8505" w:type="dxa"/>
            <w:shd w:val="clear" w:color="auto" w:fill="E7E6E6" w:themeFill="background2"/>
          </w:tcPr>
          <w:p w14:paraId="2FD1A48A" w14:textId="77777777" w:rsidR="00A75AA2" w:rsidRDefault="00A75AA2" w:rsidP="00D44FCD">
            <w:pPr>
              <w:pStyle w:val="TableHeading"/>
            </w:pPr>
            <w:r w:rsidRPr="00635366">
              <w:t>Evaluation</w:t>
            </w:r>
          </w:p>
        </w:tc>
      </w:tr>
      <w:tr w:rsidR="00A75AA2" w:rsidRPr="00030679" w14:paraId="6688C408" w14:textId="77777777" w:rsidTr="00DB2B26">
        <w:tc>
          <w:tcPr>
            <w:tcW w:w="1980" w:type="dxa"/>
          </w:tcPr>
          <w:p w14:paraId="19EAA13E" w14:textId="77777777" w:rsidR="00A75AA2" w:rsidRPr="00F64317" w:rsidRDefault="00A75AA2" w:rsidP="00D44FCD">
            <w:pPr>
              <w:pStyle w:val="TableBodyCopy"/>
              <w:rPr>
                <w:rFonts w:asciiTheme="majorHAnsi" w:hAnsiTheme="majorHAnsi" w:cstheme="majorHAnsi"/>
              </w:rPr>
            </w:pPr>
            <w:r>
              <w:t>Bangladesh</w:t>
            </w:r>
          </w:p>
        </w:tc>
        <w:tc>
          <w:tcPr>
            <w:tcW w:w="8505" w:type="dxa"/>
          </w:tcPr>
          <w:p w14:paraId="5938790D" w14:textId="77777777" w:rsidR="00A75AA2" w:rsidRPr="00F64317" w:rsidRDefault="00E451E7" w:rsidP="00D44FCD">
            <w:pPr>
              <w:pStyle w:val="TableBodyCopy"/>
              <w:rPr>
                <w:rFonts w:asciiTheme="majorHAnsi" w:hAnsiTheme="majorHAnsi" w:cstheme="majorHAnsi"/>
              </w:rPr>
            </w:pPr>
            <w:hyperlink r:id="rId46" w:history="1">
              <w:r w:rsidR="00A75AA2" w:rsidRPr="00F64317">
                <w:rPr>
                  <w:rStyle w:val="Hyperlink"/>
                  <w:rFonts w:asciiTheme="majorHAnsi" w:hAnsiTheme="majorHAnsi" w:cstheme="majorHAnsi"/>
                </w:rPr>
                <w:t>Program Completion Review of the Strategic Partnership Arrangement (SPA) Phase 2 in Bangladesh between DFAT, FCDO and BRAC</w:t>
              </w:r>
            </w:hyperlink>
          </w:p>
        </w:tc>
      </w:tr>
      <w:tr w:rsidR="00A75AA2" w:rsidRPr="00030679" w14:paraId="6497DA1A" w14:textId="77777777" w:rsidTr="00DB2B26">
        <w:tc>
          <w:tcPr>
            <w:tcW w:w="1980" w:type="dxa"/>
          </w:tcPr>
          <w:p w14:paraId="27D55EB8" w14:textId="77777777" w:rsidR="00A75AA2" w:rsidRPr="00F64317" w:rsidRDefault="00A75AA2" w:rsidP="00D44FCD">
            <w:pPr>
              <w:pStyle w:val="TableBodyCopy"/>
              <w:rPr>
                <w:rFonts w:asciiTheme="majorHAnsi" w:hAnsiTheme="majorHAnsi" w:cstheme="majorHAnsi"/>
              </w:rPr>
            </w:pPr>
            <w:r>
              <w:t>Sri Lanka</w:t>
            </w:r>
          </w:p>
        </w:tc>
        <w:tc>
          <w:tcPr>
            <w:tcW w:w="8505" w:type="dxa"/>
          </w:tcPr>
          <w:p w14:paraId="3F9F7D54" w14:textId="77777777" w:rsidR="00A75AA2" w:rsidRPr="00F64317" w:rsidRDefault="00E451E7" w:rsidP="00D44FCD">
            <w:pPr>
              <w:pStyle w:val="TableBodyCopy"/>
              <w:rPr>
                <w:rFonts w:asciiTheme="majorHAnsi" w:hAnsiTheme="majorHAnsi" w:cstheme="majorHAnsi"/>
              </w:rPr>
            </w:pPr>
            <w:hyperlink r:id="rId47" w:history="1">
              <w:r w:rsidR="00A75AA2" w:rsidRPr="00F64317">
                <w:rPr>
                  <w:rStyle w:val="Hyperlink"/>
                  <w:rFonts w:asciiTheme="majorHAnsi" w:hAnsiTheme="majorHAnsi" w:cstheme="majorHAnsi"/>
                </w:rPr>
                <w:t>Independent Evaluation of Women in Work (WIW) Program, Sri Lanka</w:t>
              </w:r>
            </w:hyperlink>
          </w:p>
        </w:tc>
      </w:tr>
    </w:tbl>
    <w:p w14:paraId="30970870" w14:textId="77777777" w:rsidR="00A75AA2" w:rsidRDefault="00A75AA2" w:rsidP="00A75AA2">
      <w:pPr>
        <w:pStyle w:val="H3-Heading3"/>
      </w:pPr>
    </w:p>
    <w:p w14:paraId="2D2B873B" w14:textId="77777777" w:rsidR="00A75AA2" w:rsidRDefault="00A75AA2" w:rsidP="00A75AA2">
      <w:pPr>
        <w:pStyle w:val="H3-Heading3"/>
      </w:pPr>
      <w:r>
        <w:t>EAST ASIA</w:t>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Pr>
      <w:tblGrid>
        <w:gridCol w:w="1980"/>
        <w:gridCol w:w="8505"/>
      </w:tblGrid>
      <w:tr w:rsidR="00A75AA2" w14:paraId="2C679F64" w14:textId="77777777" w:rsidTr="00DB2B26">
        <w:trPr>
          <w:trHeight w:val="70"/>
          <w:tblHeader/>
        </w:trPr>
        <w:tc>
          <w:tcPr>
            <w:tcW w:w="1980" w:type="dxa"/>
            <w:shd w:val="clear" w:color="auto" w:fill="E7E6E6" w:themeFill="background2"/>
          </w:tcPr>
          <w:p w14:paraId="79EFB467" w14:textId="77777777" w:rsidR="00A75AA2" w:rsidRPr="0079728E" w:rsidRDefault="00A75AA2" w:rsidP="00D44FCD">
            <w:pPr>
              <w:pStyle w:val="TableHeading"/>
            </w:pPr>
            <w:r w:rsidRPr="00635366">
              <w:t>Country/Region</w:t>
            </w:r>
          </w:p>
        </w:tc>
        <w:tc>
          <w:tcPr>
            <w:tcW w:w="8505" w:type="dxa"/>
            <w:shd w:val="clear" w:color="auto" w:fill="E7E6E6" w:themeFill="background2"/>
          </w:tcPr>
          <w:p w14:paraId="7BE8C8AD" w14:textId="77777777" w:rsidR="00A75AA2" w:rsidRDefault="00A75AA2" w:rsidP="00D44FCD">
            <w:pPr>
              <w:pStyle w:val="TableHeading"/>
            </w:pPr>
            <w:r w:rsidRPr="00635366">
              <w:t>Evaluation</w:t>
            </w:r>
          </w:p>
        </w:tc>
      </w:tr>
      <w:tr w:rsidR="00A75AA2" w:rsidRPr="00030679" w14:paraId="4BC5F2BA" w14:textId="77777777" w:rsidTr="00DB2B26">
        <w:tc>
          <w:tcPr>
            <w:tcW w:w="1980" w:type="dxa"/>
          </w:tcPr>
          <w:p w14:paraId="1E5A93A0" w14:textId="77777777" w:rsidR="00A75AA2" w:rsidRPr="00F64317" w:rsidRDefault="00A75AA2" w:rsidP="00D44FCD">
            <w:pPr>
              <w:pStyle w:val="TableBodyCopy"/>
              <w:rPr>
                <w:rFonts w:asciiTheme="majorHAnsi" w:hAnsiTheme="majorHAnsi" w:cstheme="majorHAnsi"/>
              </w:rPr>
            </w:pPr>
            <w:r>
              <w:t>Mongolia</w:t>
            </w:r>
          </w:p>
        </w:tc>
        <w:tc>
          <w:tcPr>
            <w:tcW w:w="8505" w:type="dxa"/>
          </w:tcPr>
          <w:p w14:paraId="13DE21DE" w14:textId="77777777" w:rsidR="00A75AA2" w:rsidRPr="00F64317" w:rsidRDefault="00E451E7" w:rsidP="00D44FCD">
            <w:pPr>
              <w:pStyle w:val="TableBodyCopy"/>
              <w:rPr>
                <w:rFonts w:asciiTheme="majorHAnsi" w:hAnsiTheme="majorHAnsi" w:cstheme="majorHAnsi"/>
              </w:rPr>
            </w:pPr>
            <w:hyperlink r:id="rId48" w:history="1">
              <w:r w:rsidR="00A75AA2" w:rsidRPr="00726B27">
                <w:rPr>
                  <w:rStyle w:val="Hyperlink"/>
                </w:rPr>
                <w:t>Australia Mongolia Extractives Program (AMEP) II Mid - Term Review</w:t>
              </w:r>
            </w:hyperlink>
          </w:p>
        </w:tc>
      </w:tr>
    </w:tbl>
    <w:p w14:paraId="03FDA270" w14:textId="77777777" w:rsidR="00A75AA2" w:rsidRDefault="00A75AA2" w:rsidP="00A75AA2">
      <w:pPr>
        <w:pStyle w:val="Heading3"/>
      </w:pPr>
    </w:p>
    <w:p w14:paraId="344D6680" w14:textId="77777777" w:rsidR="00A75AA2" w:rsidRDefault="00A75AA2" w:rsidP="00A75AA2">
      <w:pPr>
        <w:pStyle w:val="H3-Heading3"/>
      </w:pPr>
      <w:r>
        <w:t>CROSS REGIONAL AND GLOBAL</w:t>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Pr>
      <w:tblGrid>
        <w:gridCol w:w="1980"/>
        <w:gridCol w:w="8505"/>
      </w:tblGrid>
      <w:tr w:rsidR="00A75AA2" w14:paraId="129B06A0" w14:textId="77777777" w:rsidTr="00DB2B26">
        <w:trPr>
          <w:trHeight w:val="70"/>
          <w:tblHeader/>
        </w:trPr>
        <w:tc>
          <w:tcPr>
            <w:tcW w:w="1980" w:type="dxa"/>
            <w:shd w:val="clear" w:color="auto" w:fill="E7E6E6" w:themeFill="background2"/>
          </w:tcPr>
          <w:p w14:paraId="1861FEBD" w14:textId="77777777" w:rsidR="00A75AA2" w:rsidRPr="0079728E" w:rsidRDefault="00A75AA2" w:rsidP="00D44FCD">
            <w:pPr>
              <w:pStyle w:val="TableHeading"/>
            </w:pPr>
            <w:r w:rsidRPr="00635366">
              <w:t>Country/Region</w:t>
            </w:r>
          </w:p>
        </w:tc>
        <w:tc>
          <w:tcPr>
            <w:tcW w:w="8505" w:type="dxa"/>
            <w:shd w:val="clear" w:color="auto" w:fill="E7E6E6" w:themeFill="background2"/>
          </w:tcPr>
          <w:p w14:paraId="02766205" w14:textId="77777777" w:rsidR="00A75AA2" w:rsidRDefault="00A75AA2" w:rsidP="00D44FCD">
            <w:pPr>
              <w:pStyle w:val="TableHeading"/>
            </w:pPr>
            <w:r w:rsidRPr="00635366">
              <w:t>Evaluation</w:t>
            </w:r>
          </w:p>
        </w:tc>
      </w:tr>
      <w:tr w:rsidR="00A75AA2" w:rsidRPr="00030679" w14:paraId="2C52AC51" w14:textId="77777777" w:rsidTr="00DB2B26">
        <w:tc>
          <w:tcPr>
            <w:tcW w:w="1980" w:type="dxa"/>
          </w:tcPr>
          <w:p w14:paraId="6059F36E" w14:textId="77777777" w:rsidR="00A75AA2" w:rsidRPr="00F64317" w:rsidRDefault="00A75AA2" w:rsidP="00D44FCD">
            <w:pPr>
              <w:pStyle w:val="TableBodyCopy"/>
              <w:rPr>
                <w:rFonts w:asciiTheme="majorHAnsi" w:hAnsiTheme="majorHAnsi" w:cstheme="majorHAnsi"/>
              </w:rPr>
            </w:pPr>
            <w:r w:rsidRPr="00525D2C">
              <w:t>Humanitarian</w:t>
            </w:r>
          </w:p>
        </w:tc>
        <w:tc>
          <w:tcPr>
            <w:tcW w:w="8505" w:type="dxa"/>
          </w:tcPr>
          <w:p w14:paraId="75DCA27E" w14:textId="77777777" w:rsidR="00A75AA2" w:rsidRPr="00F64317" w:rsidRDefault="00E451E7" w:rsidP="00D44FCD">
            <w:pPr>
              <w:pStyle w:val="TableBodyCopy"/>
              <w:rPr>
                <w:rFonts w:asciiTheme="majorHAnsi" w:hAnsiTheme="majorHAnsi" w:cstheme="majorHAnsi"/>
                <w:color w:val="0563C1" w:themeColor="hyperlink"/>
                <w:u w:val="single"/>
              </w:rPr>
            </w:pPr>
            <w:hyperlink r:id="rId49" w:history="1">
              <w:r w:rsidR="00A75AA2" w:rsidRPr="00F64317">
                <w:rPr>
                  <w:rStyle w:val="Hyperlink"/>
                  <w:rFonts w:asciiTheme="majorHAnsi" w:hAnsiTheme="majorHAnsi" w:cstheme="majorHAnsi"/>
                </w:rPr>
                <w:t>Australia Assists End of Program Evaluation</w:t>
              </w:r>
            </w:hyperlink>
          </w:p>
        </w:tc>
      </w:tr>
      <w:tr w:rsidR="00A75AA2" w:rsidRPr="00030679" w14:paraId="28F3910A" w14:textId="77777777" w:rsidTr="00DB2B26">
        <w:tc>
          <w:tcPr>
            <w:tcW w:w="1980" w:type="dxa"/>
          </w:tcPr>
          <w:p w14:paraId="7AA972AB" w14:textId="77777777" w:rsidR="00A75AA2" w:rsidRPr="00F64317" w:rsidRDefault="00A75AA2" w:rsidP="00D44FCD">
            <w:pPr>
              <w:pStyle w:val="TableBodyCopy"/>
              <w:rPr>
                <w:rFonts w:asciiTheme="majorHAnsi" w:hAnsiTheme="majorHAnsi" w:cstheme="majorHAnsi"/>
              </w:rPr>
            </w:pPr>
            <w:r w:rsidRPr="00525D2C">
              <w:t>Humanitarian</w:t>
            </w:r>
          </w:p>
        </w:tc>
        <w:tc>
          <w:tcPr>
            <w:tcW w:w="8505" w:type="dxa"/>
          </w:tcPr>
          <w:p w14:paraId="51A102C1" w14:textId="77777777" w:rsidR="00A75AA2" w:rsidRPr="00F64317" w:rsidRDefault="00E451E7" w:rsidP="00D44FCD">
            <w:pPr>
              <w:pStyle w:val="TableBodyCopy"/>
              <w:rPr>
                <w:rFonts w:asciiTheme="majorHAnsi" w:hAnsiTheme="majorHAnsi" w:cstheme="majorHAnsi"/>
              </w:rPr>
            </w:pPr>
            <w:hyperlink r:id="rId50" w:history="1">
              <w:r w:rsidR="00A75AA2" w:rsidRPr="00F64317">
                <w:rPr>
                  <w:rStyle w:val="Hyperlink"/>
                  <w:rFonts w:asciiTheme="majorHAnsi" w:eastAsia="Times New Roman" w:hAnsiTheme="majorHAnsi" w:cstheme="majorHAnsi"/>
                </w:rPr>
                <w:t>Review of the Humanitarian Logistics Capability</w:t>
              </w:r>
            </w:hyperlink>
          </w:p>
        </w:tc>
      </w:tr>
      <w:tr w:rsidR="00A75AA2" w:rsidRPr="00030679" w14:paraId="475AC108" w14:textId="77777777" w:rsidTr="00DB2B26">
        <w:tc>
          <w:tcPr>
            <w:tcW w:w="1980" w:type="dxa"/>
          </w:tcPr>
          <w:p w14:paraId="230FE7D4" w14:textId="77777777" w:rsidR="00A75AA2" w:rsidRPr="00525D2C" w:rsidRDefault="00A75AA2" w:rsidP="00D44FCD">
            <w:pPr>
              <w:pStyle w:val="TableBodyCopy"/>
            </w:pPr>
            <w:r>
              <w:t>Australia-NGO Cooperation Program</w:t>
            </w:r>
          </w:p>
        </w:tc>
        <w:tc>
          <w:tcPr>
            <w:tcW w:w="8505" w:type="dxa"/>
          </w:tcPr>
          <w:p w14:paraId="343D7686" w14:textId="77777777" w:rsidR="00A75AA2" w:rsidRPr="00F64317" w:rsidRDefault="00E451E7" w:rsidP="00D44FCD">
            <w:pPr>
              <w:pStyle w:val="BodyCopy"/>
              <w:rPr>
                <w:rFonts w:asciiTheme="majorHAnsi" w:hAnsiTheme="majorHAnsi" w:cstheme="majorHAnsi"/>
              </w:rPr>
            </w:pPr>
            <w:hyperlink r:id="rId51" w:history="1">
              <w:r w:rsidR="00A75AA2" w:rsidRPr="00F64317">
                <w:rPr>
                  <w:rStyle w:val="Hyperlink"/>
                  <w:rFonts w:asciiTheme="majorHAnsi" w:hAnsiTheme="majorHAnsi" w:cstheme="majorHAnsi"/>
                </w:rPr>
                <w:t>Independent Evaluation of the Australian NGO Cooperation Program (ANCP)</w:t>
              </w:r>
            </w:hyperlink>
          </w:p>
          <w:p w14:paraId="34F8C999" w14:textId="77777777" w:rsidR="00A75AA2" w:rsidRPr="00F64317" w:rsidRDefault="00A75AA2" w:rsidP="00D44FCD">
            <w:pPr>
              <w:pStyle w:val="TableBodyCopy"/>
              <w:rPr>
                <w:rFonts w:asciiTheme="majorHAnsi" w:hAnsiTheme="majorHAnsi" w:cstheme="majorHAnsi"/>
              </w:rPr>
            </w:pPr>
          </w:p>
        </w:tc>
      </w:tr>
      <w:tr w:rsidR="00A75AA2" w:rsidRPr="00030679" w14:paraId="425BFAF7" w14:textId="77777777" w:rsidTr="00DB2B26">
        <w:tc>
          <w:tcPr>
            <w:tcW w:w="1980" w:type="dxa"/>
          </w:tcPr>
          <w:p w14:paraId="7FAC308F" w14:textId="77777777" w:rsidR="00A75AA2" w:rsidRPr="00525D2C" w:rsidRDefault="00A75AA2" w:rsidP="00D44FCD">
            <w:pPr>
              <w:pStyle w:val="TableBodyCopy"/>
            </w:pPr>
            <w:r w:rsidRPr="00AC2A50">
              <w:t>Health</w:t>
            </w:r>
          </w:p>
        </w:tc>
        <w:tc>
          <w:tcPr>
            <w:tcW w:w="8505" w:type="dxa"/>
          </w:tcPr>
          <w:p w14:paraId="0BCFEA4B" w14:textId="77777777" w:rsidR="00A75AA2" w:rsidRPr="00F64317" w:rsidRDefault="00E451E7" w:rsidP="00D44FCD">
            <w:pPr>
              <w:pStyle w:val="TableBodyCopy"/>
              <w:rPr>
                <w:rFonts w:asciiTheme="majorHAnsi" w:hAnsiTheme="majorHAnsi" w:cstheme="majorHAnsi"/>
              </w:rPr>
            </w:pPr>
            <w:hyperlink r:id="rId52" w:history="1">
              <w:r w:rsidR="00A75AA2" w:rsidRPr="00F64317">
                <w:rPr>
                  <w:rStyle w:val="Hyperlink"/>
                  <w:rFonts w:asciiTheme="majorHAnsi" w:hAnsiTheme="majorHAnsi" w:cstheme="majorHAnsi"/>
                </w:rPr>
                <w:t>Evaluation and Forward Scoping for the Therapeutic Goods Administration’s Regulatory Strengthening Program and the Australian Expert Technical Assistance Program- Regulatory Support and Safety Monitoring</w:t>
              </w:r>
            </w:hyperlink>
          </w:p>
        </w:tc>
      </w:tr>
      <w:tr w:rsidR="00A75AA2" w:rsidRPr="00030679" w14:paraId="1CDEF785" w14:textId="77777777" w:rsidTr="00DB2B26">
        <w:tc>
          <w:tcPr>
            <w:tcW w:w="1980" w:type="dxa"/>
          </w:tcPr>
          <w:p w14:paraId="5DB7A6A7" w14:textId="77777777" w:rsidR="00A75AA2" w:rsidRPr="00525D2C" w:rsidRDefault="00A75AA2" w:rsidP="00D44FCD">
            <w:pPr>
              <w:pStyle w:val="TableBodyCopy"/>
            </w:pPr>
            <w:r w:rsidRPr="00AC2A50">
              <w:t>Education</w:t>
            </w:r>
          </w:p>
        </w:tc>
        <w:tc>
          <w:tcPr>
            <w:tcW w:w="8505" w:type="dxa"/>
          </w:tcPr>
          <w:p w14:paraId="69813519" w14:textId="77777777" w:rsidR="00A75AA2" w:rsidRPr="00F64317" w:rsidRDefault="00E451E7" w:rsidP="00D44FCD">
            <w:pPr>
              <w:pStyle w:val="TableBodyCopy"/>
              <w:rPr>
                <w:rFonts w:asciiTheme="majorHAnsi" w:hAnsiTheme="majorHAnsi" w:cstheme="majorHAnsi"/>
              </w:rPr>
            </w:pPr>
            <w:hyperlink r:id="rId53" w:history="1">
              <w:r w:rsidR="00A75AA2" w:rsidRPr="00F64317">
                <w:rPr>
                  <w:rStyle w:val="Hyperlink"/>
                  <w:rFonts w:asciiTheme="majorHAnsi" w:hAnsiTheme="majorHAnsi" w:cstheme="majorHAnsi"/>
                </w:rPr>
                <w:t>Mid-term evaluation of the Global Education Monitoring (GEM) Centre Phase 3</w:t>
              </w:r>
            </w:hyperlink>
          </w:p>
        </w:tc>
      </w:tr>
    </w:tbl>
    <w:p w14:paraId="30CA7153" w14:textId="77777777" w:rsidR="00A75AA2" w:rsidRDefault="00A75AA2" w:rsidP="00A75AA2">
      <w:pPr>
        <w:pStyle w:val="BodyCopyBullets"/>
        <w:numPr>
          <w:ilvl w:val="0"/>
          <w:numId w:val="0"/>
        </w:numPr>
        <w:ind w:left="340" w:hanging="340"/>
      </w:pPr>
    </w:p>
    <w:p w14:paraId="5089C57E" w14:textId="77777777" w:rsidR="00E76337" w:rsidRDefault="00E76337"/>
    <w:sectPr w:rsidR="00E76337" w:rsidSect="005336AC">
      <w:headerReference w:type="default" r:id="rId54"/>
      <w:footerReference w:type="default" r:id="rId55"/>
      <w:headerReference w:type="first" r:id="rId56"/>
      <w:pgSz w:w="11906" w:h="16838" w:code="9"/>
      <w:pgMar w:top="1418" w:right="851" w:bottom="851" w:left="851" w:header="340" w:footer="4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7BC0" w14:textId="77777777" w:rsidR="007D2095" w:rsidRDefault="007D2095" w:rsidP="00A75AA2">
      <w:pPr>
        <w:spacing w:after="0" w:line="240" w:lineRule="auto"/>
      </w:pPr>
      <w:r>
        <w:separator/>
      </w:r>
    </w:p>
  </w:endnote>
  <w:endnote w:type="continuationSeparator" w:id="0">
    <w:p w14:paraId="5835313F" w14:textId="77777777" w:rsidR="007D2095" w:rsidRDefault="007D2095" w:rsidP="00A7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color w:val="FFFFFF" w:themeColor="background1"/>
      </w:rPr>
    </w:sdtEndPr>
    <w:sdtContent>
      <w:p w14:paraId="2BD14896" w14:textId="77777777" w:rsidR="004D5918" w:rsidRPr="00EC3C2B" w:rsidRDefault="004D5918">
        <w:pPr>
          <w:pStyle w:val="Footer"/>
          <w:rPr>
            <w:color w:val="FFFFFF" w:themeColor="background1"/>
          </w:rPr>
        </w:pPr>
        <w:r w:rsidRPr="00EC3C2B">
          <w:rPr>
            <w:noProof/>
            <w:color w:val="FFFFFF" w:themeColor="background1"/>
          </w:rPr>
          <w:drawing>
            <wp:anchor distT="0" distB="0" distL="114300" distR="114300" simplePos="0" relativeHeight="251663360" behindDoc="1" locked="0" layoutInCell="1" allowOverlap="1" wp14:anchorId="21E457B0" wp14:editId="5004BFF2">
              <wp:simplePos x="0" y="0"/>
              <wp:positionH relativeFrom="margin">
                <wp:align>center</wp:align>
              </wp:positionH>
              <wp:positionV relativeFrom="paragraph">
                <wp:posOffset>-78105</wp:posOffset>
              </wp:positionV>
              <wp:extent cx="7105650" cy="373249"/>
              <wp:effectExtent l="0" t="0" r="0" b="825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EC3C2B">
          <w:rPr>
            <w:color w:val="FFFFFF" w:themeColor="background1"/>
          </w:rPr>
          <w:fldChar w:fldCharType="begin"/>
        </w:r>
        <w:r w:rsidRPr="00EC3C2B">
          <w:rPr>
            <w:color w:val="FFFFFF" w:themeColor="background1"/>
          </w:rPr>
          <w:instrText xml:space="preserve"> PAGE   \* MERGEFORMAT </w:instrText>
        </w:r>
        <w:r w:rsidRPr="00EC3C2B">
          <w:rPr>
            <w:color w:val="FFFFFF" w:themeColor="background1"/>
          </w:rPr>
          <w:fldChar w:fldCharType="separate"/>
        </w:r>
        <w:r w:rsidRPr="00EC3C2B">
          <w:rPr>
            <w:noProof/>
            <w:color w:val="FFFFFF" w:themeColor="background1"/>
          </w:rPr>
          <w:t>2</w:t>
        </w:r>
        <w:r w:rsidRPr="00EC3C2B">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99DF" w14:textId="77777777" w:rsidR="007D2095" w:rsidRDefault="007D2095" w:rsidP="00A75AA2">
      <w:pPr>
        <w:spacing w:after="0" w:line="240" w:lineRule="auto"/>
      </w:pPr>
      <w:r>
        <w:separator/>
      </w:r>
    </w:p>
  </w:footnote>
  <w:footnote w:type="continuationSeparator" w:id="0">
    <w:p w14:paraId="05E4859A" w14:textId="77777777" w:rsidR="007D2095" w:rsidRDefault="007D2095" w:rsidP="00A75AA2">
      <w:pPr>
        <w:spacing w:after="0" w:line="240" w:lineRule="auto"/>
      </w:pPr>
      <w:r>
        <w:continuationSeparator/>
      </w:r>
    </w:p>
  </w:footnote>
  <w:footnote w:id="1">
    <w:p w14:paraId="1AB6C453" w14:textId="77777777" w:rsidR="00A75AA2" w:rsidRDefault="00A75AA2" w:rsidP="00A75AA2">
      <w:pPr>
        <w:pStyle w:val="FootnoteText"/>
      </w:pPr>
      <w:r>
        <w:rPr>
          <w:rStyle w:val="FootnoteReference"/>
        </w:rPr>
        <w:footnoteRef/>
      </w:r>
      <w:r>
        <w:t xml:space="preserve"> Australia’s International Development Policy and Delivery Framework, August 2023 </w:t>
      </w:r>
      <w:hyperlink r:id="rId1" w:history="1">
        <w:r>
          <w:rPr>
            <w:rStyle w:val="Hyperlink"/>
          </w:rPr>
          <w:t>Australia’s development policy - performance and delivery framework | Australian Government Department of Foreign Affairs and Trade (dfat.gov.au)</w:t>
        </w:r>
      </w:hyperlink>
    </w:p>
  </w:footnote>
  <w:footnote w:id="2">
    <w:p w14:paraId="70966902" w14:textId="77777777" w:rsidR="00A75AA2" w:rsidRDefault="00A75AA2" w:rsidP="00A75AA2">
      <w:pPr>
        <w:pStyle w:val="FootnoteText"/>
      </w:pPr>
      <w:r>
        <w:rPr>
          <w:rStyle w:val="FootnoteReference"/>
        </w:rPr>
        <w:footnoteRef/>
      </w:r>
      <w:r>
        <w:t xml:space="preserve"> Table 1: Australian ODA allocations by country, regional and global programs (2022-23 Budget Estimates), </w:t>
      </w:r>
      <w:r w:rsidRPr="000F32F6">
        <w:rPr>
          <w:i/>
          <w:iCs/>
        </w:rPr>
        <w:t xml:space="preserve">Australia’s Official Development Assistance Development </w:t>
      </w:r>
      <w:proofErr w:type="gramStart"/>
      <w:r w:rsidRPr="000F32F6">
        <w:rPr>
          <w:i/>
          <w:iCs/>
        </w:rPr>
        <w:t>budget</w:t>
      </w:r>
      <w:proofErr w:type="gramEnd"/>
      <w:r w:rsidRPr="000F32F6">
        <w:rPr>
          <w:i/>
          <w:iCs/>
        </w:rPr>
        <w:t xml:space="preserve"> Summary 2023-24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93C2" w14:textId="77777777" w:rsidR="004D5918" w:rsidRPr="00B63B50" w:rsidRDefault="004D5918" w:rsidP="002305CC">
    <w:pPr>
      <w:pStyle w:val="SECCLASSIFICATION"/>
      <w:rPr>
        <w:color w:val="FFFFFF" w:themeColor="background1"/>
      </w:rPr>
    </w:pPr>
    <w:r>
      <w:rPr>
        <w:color w:val="FFFFFF" w:themeColor="background1"/>
      </w:rPr>
      <mc:AlternateContent>
        <mc:Choice Requires="wps">
          <w:drawing>
            <wp:anchor distT="0" distB="0" distL="114300" distR="114300" simplePos="0" relativeHeight="251660288" behindDoc="0" locked="1" layoutInCell="0" allowOverlap="1" wp14:anchorId="0CB1AB2E" wp14:editId="1700C606">
              <wp:simplePos x="0" y="0"/>
              <wp:positionH relativeFrom="margin">
                <wp:align>center</wp:align>
              </wp:positionH>
              <wp:positionV relativeFrom="topMargin">
                <wp:align>center</wp:align>
              </wp:positionV>
              <wp:extent cx="892800" cy="388800"/>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800" cy="38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76F28" w14:textId="775E92C1" w:rsidR="004D5918" w:rsidRPr="008765CA" w:rsidRDefault="00A75AA2" w:rsidP="000A4881">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84696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B1AB2E" id="_x0000_t202" coordsize="21600,21600" o:spt="202" path="m,l,21600r21600,l21600,xe">
              <v:stroke joinstyle="miter"/>
              <v:path gradientshapeok="t" o:connecttype="rect"/>
            </v:shapetype>
            <v:shape id="Text Box 19" o:spid="_x0000_s1026" type="#_x0000_t202" alt="&quot;&quot;" style="position:absolute;left:0;text-align:left;margin-left:0;margin-top:0;width:70.3pt;height:30.6pt;z-index:251660288;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" o:allowincell="f" filled="f" stroked="f" strokeweight=".5pt">
              <v:textbox style="mso-fit-shape-to-text:t">
                <w:txbxContent>
                  <w:p w14:paraId="55476F28" w14:textId="775E92C1" w:rsidR="004D5918" w:rsidRPr="008765CA" w:rsidRDefault="00A75AA2" w:rsidP="000A4881">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84696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Pr="00B63B50">
      <w:rPr>
        <w:color w:val="FFFFFF" w:themeColor="background1"/>
      </w:rPr>
      <w:drawing>
        <wp:anchor distT="0" distB="0" distL="114300" distR="114300" simplePos="0" relativeHeight="251659264" behindDoc="1" locked="1" layoutInCell="1" allowOverlap="1" wp14:anchorId="13B9A481" wp14:editId="53E8B7E9">
          <wp:simplePos x="0" y="0"/>
          <wp:positionH relativeFrom="margin">
            <wp:align>center</wp:align>
          </wp:positionH>
          <wp:positionV relativeFrom="page">
            <wp:align>top</wp:align>
          </wp:positionV>
          <wp:extent cx="7837805" cy="82105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Pr="00B63B50">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5E6E" w14:textId="77777777" w:rsidR="004D5918" w:rsidRDefault="004D5918">
    <w:pPr>
      <w:pStyle w:val="Header"/>
    </w:pPr>
    <w:r>
      <w:rPr>
        <w:noProof/>
      </w:rPr>
      <w:drawing>
        <wp:anchor distT="0" distB="0" distL="114300" distR="114300" simplePos="0" relativeHeight="251662336" behindDoc="1" locked="0" layoutInCell="1" allowOverlap="1" wp14:anchorId="61448BEA" wp14:editId="1DB88A85">
          <wp:simplePos x="0" y="0"/>
          <wp:positionH relativeFrom="margin">
            <wp:posOffset>-325755</wp:posOffset>
          </wp:positionH>
          <wp:positionV relativeFrom="paragraph">
            <wp:posOffset>-6985</wp:posOffset>
          </wp:positionV>
          <wp:extent cx="7131917" cy="1023937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1" layoutInCell="0" allowOverlap="1" wp14:anchorId="4BA6C31E" wp14:editId="57983595">
              <wp:simplePos x="0" y="0"/>
              <wp:positionH relativeFrom="margin">
                <wp:align>center</wp:align>
              </wp:positionH>
              <wp:positionV relativeFrom="topMargin">
                <wp:align>center</wp:align>
              </wp:positionV>
              <wp:extent cx="892175" cy="28702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42887" w14:textId="27A91E51" w:rsidR="004D5918" w:rsidRPr="008765CA" w:rsidRDefault="00A75AA2" w:rsidP="000A4881">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84696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A6C31E" id="_x0000_t202" coordsize="21600,21600" o:spt="202" path="m,l,21600r21600,l21600,xe">
              <v:stroke joinstyle="miter"/>
              <v:path gradientshapeok="t" o:connecttype="rect"/>
            </v:shapetype>
            <v:shape id="Text Box 20" o:spid="_x0000_s1027" type="#_x0000_t202" alt="&quot;&quot;" style="position:absolute;margin-left:0;margin-top:0;width:70.25pt;height:22.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40742887" w14:textId="27A91E51" w:rsidR="004D5918" w:rsidRPr="008765CA" w:rsidRDefault="00A75AA2" w:rsidP="000A4881">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84696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988"/>
    <w:multiLevelType w:val="multilevel"/>
    <w:tmpl w:val="0962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297536"/>
    <w:multiLevelType w:val="hybridMultilevel"/>
    <w:tmpl w:val="D342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891399">
    <w:abstractNumId w:val="1"/>
  </w:num>
  <w:num w:numId="2" w16cid:durableId="662204905">
    <w:abstractNumId w:val="2"/>
  </w:num>
  <w:num w:numId="3" w16cid:durableId="921455100">
    <w:abstractNumId w:val="3"/>
  </w:num>
  <w:num w:numId="4" w16cid:durableId="4078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A2"/>
    <w:rsid w:val="0000182B"/>
    <w:rsid w:val="001766B5"/>
    <w:rsid w:val="001A40B6"/>
    <w:rsid w:val="0034208C"/>
    <w:rsid w:val="003A56E2"/>
    <w:rsid w:val="004D5918"/>
    <w:rsid w:val="004E3B50"/>
    <w:rsid w:val="004E725D"/>
    <w:rsid w:val="005143DA"/>
    <w:rsid w:val="005931A9"/>
    <w:rsid w:val="005F4A7C"/>
    <w:rsid w:val="007B1D11"/>
    <w:rsid w:val="007D2095"/>
    <w:rsid w:val="007F7063"/>
    <w:rsid w:val="00846963"/>
    <w:rsid w:val="00934080"/>
    <w:rsid w:val="009960EB"/>
    <w:rsid w:val="00A75AA2"/>
    <w:rsid w:val="00BE48CA"/>
    <w:rsid w:val="00CF0A45"/>
    <w:rsid w:val="00CF6452"/>
    <w:rsid w:val="00D24948"/>
    <w:rsid w:val="00DB2B26"/>
    <w:rsid w:val="00E451E7"/>
    <w:rsid w:val="00E76337"/>
    <w:rsid w:val="00EA7A40"/>
    <w:rsid w:val="00EB4D45"/>
    <w:rsid w:val="00F10E42"/>
    <w:rsid w:val="00F4507B"/>
    <w:rsid w:val="00FC2A59"/>
    <w:rsid w:val="00FC3FEF"/>
    <w:rsid w:val="00FC7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8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A2"/>
    <w:rPr>
      <w:rFonts w:ascii="Calibri" w:eastAsia="Calibri" w:hAnsi="Calibri" w:cs="Times New Roman"/>
      <w:kern w:val="0"/>
      <w14:ligatures w14:val="none"/>
    </w:rPr>
  </w:style>
  <w:style w:type="paragraph" w:styleId="Heading2">
    <w:name w:val="heading 2"/>
    <w:basedOn w:val="Normal"/>
    <w:next w:val="Normal"/>
    <w:link w:val="Heading2Char"/>
    <w:uiPriority w:val="9"/>
    <w:semiHidden/>
    <w:unhideWhenUsed/>
    <w:qFormat/>
    <w:rsid w:val="00A75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5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5A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AA2"/>
    <w:rPr>
      <w:rFonts w:asciiTheme="majorHAnsi" w:eastAsiaTheme="majorEastAsia" w:hAnsiTheme="majorHAnsi" w:cstheme="majorBidi"/>
      <w:color w:val="1F3763" w:themeColor="accent1" w:themeShade="7F"/>
      <w:kern w:val="0"/>
      <w:sz w:val="24"/>
      <w:szCs w:val="24"/>
      <w14:ligatures w14:val="none"/>
    </w:rPr>
  </w:style>
  <w:style w:type="paragraph" w:customStyle="1" w:styleId="BodyCopy">
    <w:name w:val="Body Copy"/>
    <w:qFormat/>
    <w:rsid w:val="00A75AA2"/>
    <w:pPr>
      <w:spacing w:before="40" w:after="120" w:line="240" w:lineRule="auto"/>
    </w:pPr>
    <w:rPr>
      <w:rFonts w:ascii="Calibri Light" w:eastAsia="Calibri" w:hAnsi="Calibri Light" w:cs="Calibri Light"/>
      <w:color w:val="313E48"/>
      <w:kern w:val="0"/>
      <w:szCs w:val="21"/>
      <w14:ligatures w14:val="none"/>
    </w:rPr>
  </w:style>
  <w:style w:type="paragraph" w:customStyle="1" w:styleId="H2-Heading2">
    <w:name w:val="H2 - Heading 2"/>
    <w:basedOn w:val="Heading2"/>
    <w:qFormat/>
    <w:rsid w:val="00A75AA2"/>
    <w:pPr>
      <w:spacing w:before="240" w:after="120"/>
    </w:pPr>
    <w:rPr>
      <w:rFonts w:asciiTheme="minorHAnsi" w:hAnsiTheme="minorHAnsi" w:cstheme="minorHAnsi"/>
      <w:b/>
      <w:bCs/>
      <w:caps/>
      <w:color w:val="313E48"/>
      <w:sz w:val="32"/>
      <w:szCs w:val="32"/>
    </w:rPr>
  </w:style>
  <w:style w:type="paragraph" w:customStyle="1" w:styleId="H4-Heading4">
    <w:name w:val="H4 - Heading 4"/>
    <w:basedOn w:val="Heading4"/>
    <w:next w:val="BodyCopy"/>
    <w:qFormat/>
    <w:rsid w:val="00A75AA2"/>
    <w:pPr>
      <w:spacing w:before="160" w:after="120"/>
    </w:pPr>
    <w:rPr>
      <w:rFonts w:cstheme="minorHAnsi"/>
      <w:b/>
      <w:bCs/>
      <w:i w:val="0"/>
      <w:color w:val="313E48"/>
      <w:sz w:val="24"/>
      <w:szCs w:val="24"/>
    </w:rPr>
  </w:style>
  <w:style w:type="paragraph" w:customStyle="1" w:styleId="H3-Heading3">
    <w:name w:val="H3 - Heading 3"/>
    <w:basedOn w:val="Heading3"/>
    <w:qFormat/>
    <w:rsid w:val="00A75AA2"/>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A75AA2"/>
    <w:pPr>
      <w:numPr>
        <w:numId w:val="1"/>
      </w:numPr>
    </w:pPr>
  </w:style>
  <w:style w:type="paragraph" w:customStyle="1" w:styleId="BodyCopyBullets">
    <w:name w:val="Body Copy Bullets"/>
    <w:basedOn w:val="BodyCopy"/>
    <w:qFormat/>
    <w:rsid w:val="00A75AA2"/>
    <w:pPr>
      <w:numPr>
        <w:numId w:val="2"/>
      </w:numPr>
      <w:ind w:left="340" w:hanging="340"/>
    </w:pPr>
  </w:style>
  <w:style w:type="table" w:styleId="TableGrid">
    <w:name w:val="Table Grid"/>
    <w:basedOn w:val="TableNormal"/>
    <w:uiPriority w:val="39"/>
    <w:rsid w:val="00A75AA2"/>
    <w:pPr>
      <w:spacing w:after="0" w:line="240" w:lineRule="auto"/>
    </w:pPr>
    <w:rPr>
      <w:rFonts w:ascii="Calibri" w:eastAsia="Calibri"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A75AA2"/>
    <w:pPr>
      <w:spacing w:after="40"/>
    </w:pPr>
    <w:rPr>
      <w:rFonts w:asciiTheme="minorHAnsi" w:hAnsiTheme="minorHAnsi" w:cstheme="minorHAnsi"/>
      <w:b/>
      <w:bCs/>
    </w:rPr>
  </w:style>
  <w:style w:type="paragraph" w:customStyle="1" w:styleId="TableBodyCopy">
    <w:name w:val="Table Body Copy"/>
    <w:basedOn w:val="BodyCopy"/>
    <w:qFormat/>
    <w:rsid w:val="00A75AA2"/>
    <w:pPr>
      <w:spacing w:after="40"/>
    </w:pPr>
  </w:style>
  <w:style w:type="paragraph" w:styleId="Header">
    <w:name w:val="header"/>
    <w:basedOn w:val="Normal"/>
    <w:link w:val="HeaderChar"/>
    <w:uiPriority w:val="99"/>
    <w:unhideWhenUsed/>
    <w:rsid w:val="00A75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AA2"/>
    <w:rPr>
      <w:rFonts w:ascii="Calibri" w:eastAsia="Calibri" w:hAnsi="Calibri" w:cs="Times New Roman"/>
      <w:kern w:val="0"/>
      <w14:ligatures w14:val="none"/>
    </w:rPr>
  </w:style>
  <w:style w:type="paragraph" w:styleId="Footer">
    <w:name w:val="footer"/>
    <w:basedOn w:val="Normal"/>
    <w:link w:val="FooterChar"/>
    <w:uiPriority w:val="99"/>
    <w:unhideWhenUsed/>
    <w:rsid w:val="00A75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AA2"/>
    <w:rPr>
      <w:rFonts w:ascii="Calibri" w:eastAsia="Calibri" w:hAnsi="Calibri" w:cs="Times New Roman"/>
      <w:kern w:val="0"/>
      <w14:ligatures w14:val="none"/>
    </w:rPr>
  </w:style>
  <w:style w:type="paragraph" w:customStyle="1" w:styleId="TitleCover">
    <w:name w:val="Title Cover"/>
    <w:basedOn w:val="Normal"/>
    <w:link w:val="TitleCoverChar"/>
    <w:qFormat/>
    <w:rsid w:val="00A75AA2"/>
    <w:pPr>
      <w:keepNext/>
      <w:keepLines/>
      <w:spacing w:before="4440" w:after="0" w:line="240" w:lineRule="auto"/>
      <w:outlineLvl w:val="0"/>
    </w:pPr>
    <w:rPr>
      <w:rFonts w:asciiTheme="minorHAnsi" w:eastAsiaTheme="majorEastAsia" w:hAnsiTheme="minorHAnsi" w:cstheme="minorHAnsi"/>
      <w:b/>
      <w:bCs/>
      <w:caps/>
      <w:color w:val="FFFFFF" w:themeColor="background1"/>
      <w:sz w:val="48"/>
      <w:szCs w:val="40"/>
    </w:rPr>
  </w:style>
  <w:style w:type="paragraph" w:customStyle="1" w:styleId="SECCLASSIFICATION">
    <w:name w:val="SEC CLASSIFICATION"/>
    <w:basedOn w:val="Header"/>
    <w:qFormat/>
    <w:rsid w:val="00A75AA2"/>
    <w:pPr>
      <w:jc w:val="center"/>
    </w:pPr>
    <w:rPr>
      <w:b/>
      <w:caps/>
      <w:noProof/>
      <w:color w:val="FF0000"/>
    </w:rPr>
  </w:style>
  <w:style w:type="character" w:customStyle="1" w:styleId="TitleCoverChar">
    <w:name w:val="Title Cover Char"/>
    <w:basedOn w:val="DefaultParagraphFont"/>
    <w:link w:val="TitleCover"/>
    <w:rsid w:val="00A75AA2"/>
    <w:rPr>
      <w:rFonts w:eastAsiaTheme="majorEastAsia" w:cstheme="minorHAnsi"/>
      <w:b/>
      <w:bCs/>
      <w:caps/>
      <w:color w:val="FFFFFF" w:themeColor="background1"/>
      <w:kern w:val="0"/>
      <w:sz w:val="48"/>
      <w:szCs w:val="40"/>
      <w14:ligatures w14:val="none"/>
    </w:rPr>
  </w:style>
  <w:style w:type="paragraph" w:customStyle="1" w:styleId="Subtitlecover">
    <w:name w:val="Subtitle cover"/>
    <w:basedOn w:val="TitleCover"/>
    <w:link w:val="SubtitlecoverChar"/>
    <w:qFormat/>
    <w:rsid w:val="00A75AA2"/>
    <w:pPr>
      <w:spacing w:before="360"/>
    </w:pPr>
    <w:rPr>
      <w:sz w:val="36"/>
    </w:rPr>
  </w:style>
  <w:style w:type="character" w:customStyle="1" w:styleId="SubtitlecoverChar">
    <w:name w:val="Subtitle cover Char"/>
    <w:basedOn w:val="TitleCoverChar"/>
    <w:link w:val="Subtitlecover"/>
    <w:rsid w:val="00A75AA2"/>
    <w:rPr>
      <w:rFonts w:eastAsiaTheme="majorEastAsia" w:cstheme="minorHAnsi"/>
      <w:b/>
      <w:bCs/>
      <w:caps/>
      <w:color w:val="FFFFFF" w:themeColor="background1"/>
      <w:kern w:val="0"/>
      <w:sz w:val="36"/>
      <w:szCs w:val="40"/>
      <w14:ligatures w14:val="none"/>
    </w:rPr>
  </w:style>
  <w:style w:type="character" w:styleId="Strong">
    <w:name w:val="Strong"/>
    <w:aliases w:val="Introduction"/>
    <w:basedOn w:val="DefaultParagraphFont"/>
    <w:uiPriority w:val="22"/>
    <w:qFormat/>
    <w:rsid w:val="00A75AA2"/>
    <w:rPr>
      <w:rFonts w:asciiTheme="minorHAnsi" w:hAnsiTheme="minorHAnsi"/>
      <w:b/>
      <w:bCs/>
    </w:rPr>
  </w:style>
  <w:style w:type="character" w:styleId="Hyperlink">
    <w:name w:val="Hyperlink"/>
    <w:basedOn w:val="DefaultParagraphFont"/>
    <w:uiPriority w:val="99"/>
    <w:unhideWhenUsed/>
    <w:rsid w:val="00A75AA2"/>
    <w:rPr>
      <w:color w:val="0563C1" w:themeColor="hyperlink"/>
      <w:u w:val="single"/>
    </w:rPr>
  </w:style>
  <w:style w:type="paragraph" w:styleId="FootnoteText">
    <w:name w:val="footnote text"/>
    <w:basedOn w:val="Normal"/>
    <w:link w:val="FootnoteTextChar"/>
    <w:uiPriority w:val="99"/>
    <w:semiHidden/>
    <w:unhideWhenUsed/>
    <w:rsid w:val="00A75AA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75AA2"/>
    <w:rPr>
      <w:kern w:val="0"/>
      <w:sz w:val="20"/>
      <w:szCs w:val="20"/>
      <w14:ligatures w14:val="none"/>
    </w:rPr>
  </w:style>
  <w:style w:type="character" w:styleId="FootnoteReference">
    <w:name w:val="footnote reference"/>
    <w:basedOn w:val="DefaultParagraphFont"/>
    <w:uiPriority w:val="99"/>
    <w:semiHidden/>
    <w:unhideWhenUsed/>
    <w:rsid w:val="00A75AA2"/>
    <w:rPr>
      <w:vertAlign w:val="superscript"/>
    </w:rPr>
  </w:style>
  <w:style w:type="character" w:styleId="CommentReference">
    <w:name w:val="annotation reference"/>
    <w:basedOn w:val="DefaultParagraphFont"/>
    <w:uiPriority w:val="99"/>
    <w:semiHidden/>
    <w:unhideWhenUsed/>
    <w:rsid w:val="00A75AA2"/>
    <w:rPr>
      <w:sz w:val="16"/>
      <w:szCs w:val="16"/>
    </w:rPr>
  </w:style>
  <w:style w:type="paragraph" w:styleId="CommentText">
    <w:name w:val="annotation text"/>
    <w:basedOn w:val="Normal"/>
    <w:link w:val="CommentTextChar"/>
    <w:uiPriority w:val="99"/>
    <w:unhideWhenUsed/>
    <w:rsid w:val="00A75AA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5AA2"/>
    <w:rPr>
      <w:kern w:val="0"/>
      <w:sz w:val="20"/>
      <w:szCs w:val="20"/>
      <w14:ligatures w14:val="none"/>
    </w:rPr>
  </w:style>
  <w:style w:type="character" w:customStyle="1" w:styleId="Heading2Char">
    <w:name w:val="Heading 2 Char"/>
    <w:basedOn w:val="DefaultParagraphFont"/>
    <w:link w:val="Heading2"/>
    <w:uiPriority w:val="9"/>
    <w:semiHidden/>
    <w:rsid w:val="00A75AA2"/>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A75AA2"/>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s://www.dfat.gov.au/about-us/publications/papua-new-guineas-education-emergency-response-and-recovery-plan-independent-evaluation-and-management-response" TargetMode="External"/><Relationship Id="rId26" Type="http://schemas.openxmlformats.org/officeDocument/2006/relationships/hyperlink" Target="https://www.dfat.gov.au/publications/development/mid-term-review-report-pacific-insurance-and-climate-adaptation-programme-picap" TargetMode="External"/><Relationship Id="rId39" Type="http://schemas.openxmlformats.org/officeDocument/2006/relationships/hyperlink" Target="https://www.dfat.gov.au/publications/development/aus4innovation-independent-review" TargetMode="External"/><Relationship Id="rId21" Type="http://schemas.openxmlformats.org/officeDocument/2006/relationships/hyperlink" Target="https://www.dfat.gov.au/publications/development/png-australia-transport-sector-support-program-review-2022" TargetMode="External"/><Relationship Id="rId34" Type="http://schemas.openxmlformats.org/officeDocument/2006/relationships/hyperlink" Target="https://www.dfat.gov.au/publications/development/independent-evaluation-community-based-rural-water-supply-and-sanitation-pamsimas-program" TargetMode="External"/><Relationship Id="rId42" Type="http://schemas.openxmlformats.org/officeDocument/2006/relationships/hyperlink" Target="https://www.dfat.gov.au/publications/development/bequal-phase-1-independent-end-program-review-report-and-management-response" TargetMode="External"/><Relationship Id="rId47" Type="http://schemas.openxmlformats.org/officeDocument/2006/relationships/hyperlink" Target="https://www.dfat.gov.au/publications/development/women-work-independent-evaluation-december-2022" TargetMode="External"/><Relationship Id="rId50" Type="http://schemas.openxmlformats.org/officeDocument/2006/relationships/hyperlink" Target="https://www.dfat.gov.au/publications/development/humanitarian-logistics-capability-mid-term-review-2022-and-management-response" TargetMode="External"/><Relationship Id="rId55" Type="http://schemas.openxmlformats.org/officeDocument/2006/relationships/footer" Target="footer1.xml"/><Relationship Id="rId7" Type="http://schemas.openxmlformats.org/officeDocument/2006/relationships/chart" Target="charts/chart1.xml"/><Relationship Id="rId17" Type="http://schemas.openxmlformats.org/officeDocument/2006/relationships/hyperlink" Target="https://www.dfat.gov.au/publications/development/final-review-papua-new-guinea-australia-governance-partnership" TargetMode="External"/><Relationship Id="rId25" Type="http://schemas.openxmlformats.org/officeDocument/2006/relationships/hyperlink" Target="https://www.dfat.gov.au/publications/development/australias-covid-19-response-package-pacific-and-timor-leste-independent-review-2020-2022" TargetMode="External"/><Relationship Id="rId33" Type="http://schemas.openxmlformats.org/officeDocument/2006/relationships/hyperlink" Target="https://www.dfat.gov.au/publications/development/independent-strategic-review-inovasi-phase-2-and-unicef-papua-phase-3-programs-indonesia-and-management-response" TargetMode="External"/><Relationship Id="rId38" Type="http://schemas.openxmlformats.org/officeDocument/2006/relationships/hyperlink" Target="https://www.dfat.gov.au/publications/development/aus4reform-review" TargetMode="External"/><Relationship Id="rId46" Type="http://schemas.openxmlformats.org/officeDocument/2006/relationships/hyperlink" Target="https://www.dfat.gov.au/publications/development/program-completion-review-pcr-strategic-partnership-arrangement-spa-phase-2-bangladesh-between-dfat-fcdo-and-brac" TargetMode="External"/><Relationship Id="rId2" Type="http://schemas.openxmlformats.org/officeDocument/2006/relationships/styles" Target="styles.xml"/><Relationship Id="rId16" Type="http://schemas.openxmlformats.org/officeDocument/2006/relationships/hyperlink" Target="https://www.dfat.gov.au/publications/development/final-review-papua-new-guinea-australia-governance-partnership" TargetMode="External"/><Relationship Id="rId20" Type="http://schemas.openxmlformats.org/officeDocument/2006/relationships/hyperlink" Target="https://www.dfat.gov.au/publications/development/review-markets-economic-recovery-and-inclusion-program" TargetMode="External"/><Relationship Id="rId29" Type="http://schemas.openxmlformats.org/officeDocument/2006/relationships/hyperlink" Target="https://www.dfat.gov.au/publications/development/solomon-islands-governance-program-independent-review-ombudsman-twinning-support-and-management-response" TargetMode="External"/><Relationship Id="rId41" Type="http://schemas.openxmlformats.org/officeDocument/2006/relationships/hyperlink" Target="https://www.dfat.gov.au/publications/development/ponlok-chomnes-data-and-dialogue-development-cambodia-implemented-asia-foundation-58-million-over-2019-202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4/relationships/chartEx" Target="charts/chartEx1.xml"/><Relationship Id="rId24" Type="http://schemas.openxmlformats.org/officeDocument/2006/relationships/hyperlink" Target="https://www.dfat.gov.au/publications/development/australian-infrastructure-financing-facility-pacific-two-year-system-wide-review-and-management-response" TargetMode="External"/><Relationship Id="rId32" Type="http://schemas.openxmlformats.org/officeDocument/2006/relationships/hyperlink" Target="https://www.dfat.gov.au/publications/development/review-dfat-health-investments-nauru" TargetMode="External"/><Relationship Id="rId37" Type="http://schemas.openxmlformats.org/officeDocument/2006/relationships/hyperlink" Target="https://www.dfat.gov.au/publications/development/timor-leste-partnership-human-development-mid-term-review" TargetMode="External"/><Relationship Id="rId40" Type="http://schemas.openxmlformats.org/officeDocument/2006/relationships/hyperlink" Target="https://www.dfat.gov.au/publications/development/australia-cambodia-cooperation-equitable-sustainable-services-end-program-evaluation" TargetMode="External"/><Relationship Id="rId45" Type="http://schemas.openxmlformats.org/officeDocument/2006/relationships/hyperlink" Target="https://www.dfat.gov.au/publications/development/asean-australia-counter-trafficking-program-mid-term-review" TargetMode="External"/><Relationship Id="rId53" Type="http://schemas.openxmlformats.org/officeDocument/2006/relationships/hyperlink" Target="https://www.dfat.gov.au/publications/development/global-education-and-monitoring-centre-mid-term-evaluation-report-phase-3-and-dfat-management-response"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dfat.gov.au/publications/development/australia-spc-partnership-evaluation-2022" TargetMode="External"/><Relationship Id="rId28" Type="http://schemas.openxmlformats.org/officeDocument/2006/relationships/hyperlink" Target="https://www.dfat.gov.au/publications/development/pdep-independent-mid-term-review-report" TargetMode="External"/><Relationship Id="rId36" Type="http://schemas.openxmlformats.org/officeDocument/2006/relationships/hyperlink" Target="https://www.dfat.gov.au/publications/development/timor-leste-police-development-program-joint-independent-evaluation-2021-and-management-response" TargetMode="External"/><Relationship Id="rId49" Type="http://schemas.openxmlformats.org/officeDocument/2006/relationships/hyperlink" Target="https://www.dfat.gov.au/publications/development/australia-assists-end-program-evaluation-and-management-response-2022" TargetMode="External"/><Relationship Id="rId57"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www.dfat.gov.au/publications/development/south-fly-resilience-plan-independent-review" TargetMode="External"/><Relationship Id="rId31" Type="http://schemas.openxmlformats.org/officeDocument/2006/relationships/hyperlink" Target="https://www.dfat.gov.au/publications/development/fiji-health-program-strategic-review" TargetMode="External"/><Relationship Id="rId44" Type="http://schemas.openxmlformats.org/officeDocument/2006/relationships/hyperlink" Target="https://www.dfat.gov.au/publications/development/asean-australia-smart-cities-trust-fund-mid-term-review-report-and-management-response" TargetMode="External"/><Relationship Id="rId52" Type="http://schemas.openxmlformats.org/officeDocument/2006/relationships/hyperlink" Target="https://www.dfat.gov.au/publications/development/evaluation-and-forward-scoping-therapeutic-goods-administrations-regulatory-strengthening-program" TargetMode="External"/><Relationship Id="rId4" Type="http://schemas.openxmlformats.org/officeDocument/2006/relationships/webSettings" Target="webSettings.xml"/><Relationship Id="rId9" Type="http://schemas.openxmlformats.org/officeDocument/2006/relationships/chart" Target="charts/chart3.xml"/><Relationship Id="rId22" Type="http://schemas.openxmlformats.org/officeDocument/2006/relationships/hyperlink" Target="https://www.dfat.gov.au/development/midterm-evaluation-aust-nz-ifc-png-partnership" TargetMode="External"/><Relationship Id="rId27" Type="http://schemas.openxmlformats.org/officeDocument/2006/relationships/hyperlink" Target="https://www.dfat.gov.au/publications/development/pacific-iuu-fishing-end-investment-evaluation" TargetMode="External"/><Relationship Id="rId30" Type="http://schemas.openxmlformats.org/officeDocument/2006/relationships/hyperlink" Target="https://www.dfat.gov.au/publications/development/review-and-evaluation-performance-sustainable-transport-infrastructure-improvement-program-and-national-transport-fund-solomon-islands" TargetMode="External"/><Relationship Id="rId35" Type="http://schemas.openxmlformats.org/officeDocument/2006/relationships/hyperlink" Target="https://www.dfat.gov.au/publications/development/australia-world-bank-indonesia-partnership-independent-mid-term-review-and-management-response" TargetMode="External"/><Relationship Id="rId43" Type="http://schemas.openxmlformats.org/officeDocument/2006/relationships/hyperlink" Target="https://www.dfat.gov.au/publications/trade-and-investment/asean-australia-digital-trade-standards-dts-initiative-mid-term-review-report-and-management-response" TargetMode="External"/><Relationship Id="rId48" Type="http://schemas.openxmlformats.org/officeDocument/2006/relationships/hyperlink" Target="https://www.dfat.gov.au/publications/development/australia-mongolia-extractives-program-mid-term-review" TargetMode="External"/><Relationship Id="rId56" Type="http://schemas.openxmlformats.org/officeDocument/2006/relationships/header" Target="header2.xml"/><Relationship Id="rId8" Type="http://schemas.openxmlformats.org/officeDocument/2006/relationships/chart" Target="charts/chart2.xml"/><Relationship Id="rId51" Type="http://schemas.openxmlformats.org/officeDocument/2006/relationships/hyperlink" Target="https://www.dfat.gov.au/publications/development/evaluation-australian-ngo-cooperation-progra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publications/development/australias-development-policy-performance-and-deliver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https://icnprod01.sharepoint.com/sites/CHCHPRDDevelopmentEvaluationandAssurance/Shared%20Documents/General/2.%20Evaluation%20Plans%20&amp;%20Performance/2.%20Evaluation%20Use/Review%20of%20use%20of%202022%20evaluations/Survey%20on%20use%20of%202022%20eval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cnprod01.sharepoint.com/sites/CHCHPRDDevelopmentEvaluationandAssurance/Shared%20Documents/General/2.%20Evaluation%20Plans%20&amp;%20Performance/2.%20Evaluation%20Use/Review%20of%20use%20of%202022%20evaluations/Survey%20on%20use%20of%202022%20eval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cnprod01.sharepoint.com/sites/CHCHPRDDevelopmentEvaluationandAssurance/Shared%20Documents/General/2.%20Evaluation%20Plans%20&amp;%20Performance/2.%20Evaluation%20Use/Review%20of%20use%20of%202022%20evaluations/Survey%20on%20use%20of%202022%20eval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cnprod01.sharepoint.com/sites/CHCHPRDDevelopmentEvaluationandAssurance/Shared%20Documents/General/2.%20Evaluation%20Plans%20&amp;%20Performance/2.%20Evaluation%20Use/Review%20of%20use%20of%202022%20evaluations/Survey%20on%20use%20of%202022%20evals.xlsx"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ttps://icnprod01.sharepoint.com/sites/CHCHPRDDevelopmentEvaluationandAssurance/Shared%20Documents/General/2.%20Evaluation%20Plans%20&amp;%20Performance/2.%20Evaluation%20Use/Review%20of%20use%20of%202022%20evaluations/Survey%20on%20use%20of%202022%20ev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[Survey on use of 2022 evals.xlsx]Pivot tables + graphs!PivotTable1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Evaluations by geographic region (number and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1"/>
        <c:spPr>
          <a:solidFill>
            <a:schemeClr val="accent6"/>
          </a:solidFill>
          <a:ln w="19050">
            <a:solidFill>
              <a:schemeClr val="lt1"/>
            </a:solidFill>
          </a:ln>
          <a:effectLst/>
        </c:spPr>
        <c:dLbl>
          <c:idx val="0"/>
          <c:layout>
            <c:manualLayout>
              <c:x val="-0.15874781277340333"/>
              <c:y val="2.74417970480962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2"/>
        <c:spPr>
          <a:solidFill>
            <a:schemeClr val="accent5"/>
          </a:solidFill>
          <a:ln w="19050">
            <a:solidFill>
              <a:schemeClr val="lt1"/>
            </a:solidFill>
          </a:ln>
          <a:effectLst/>
        </c:spPr>
        <c:dLbl>
          <c:idx val="0"/>
          <c:layout>
            <c:manualLayout>
              <c:x val="0.12353226058898602"/>
              <c:y val="-0.20461376149106281"/>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7371937682101665"/>
                  <c:h val="0.15569629335901358"/>
                </c:manualLayout>
              </c15:layout>
            </c:ext>
          </c:extLst>
        </c:dLbl>
      </c:pivotFmt>
      <c:pivotFmt>
        <c:idx val="3"/>
        <c:spPr>
          <a:solidFill>
            <a:schemeClr val="accent4"/>
          </a:solidFill>
          <a:ln w="19050">
            <a:solidFill>
              <a:schemeClr val="lt1"/>
            </a:solidFill>
          </a:ln>
          <a:effectLst/>
        </c:spPr>
        <c:dLbl>
          <c:idx val="0"/>
          <c:layout>
            <c:manualLayout>
              <c:x val="-5.1185021310409612E-2"/>
              <c:y val="0.1001435759052028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0179662404584745"/>
                  <c:h val="0.17520006042410166"/>
                </c:manualLayout>
              </c15:layout>
            </c:ext>
          </c:extLst>
        </c:dLbl>
      </c:pivotFmt>
      <c:pivotFmt>
        <c:idx val="4"/>
        <c:spPr>
          <a:solidFill>
            <a:schemeClr val="accent6">
              <a:lumMod val="50000"/>
            </a:schemeClr>
          </a:solidFill>
          <a:ln w="19050">
            <a:solidFill>
              <a:schemeClr val="lt1"/>
            </a:solidFill>
          </a:ln>
          <a:effectLst/>
        </c:spPr>
        <c:dLbl>
          <c:idx val="0"/>
          <c:layout>
            <c:manualLayout>
              <c:x val="-0.11801730015972774"/>
              <c:y val="7.278635665963598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4243762190276674"/>
                  <c:h val="0.15276874563341453"/>
                </c:manualLayout>
              </c15:layout>
            </c:ext>
          </c:extLst>
        </c:dLbl>
      </c:pivotFmt>
      <c:pivotFmt>
        <c:idx val="5"/>
        <c:spPr>
          <a:solidFill>
            <a:schemeClr val="accent3"/>
          </a:solidFill>
          <a:ln w="19050">
            <a:solidFill>
              <a:schemeClr val="lt1"/>
            </a:solidFill>
          </a:ln>
          <a:effectLst/>
        </c:spPr>
        <c:dLbl>
          <c:idx val="0"/>
          <c:layout>
            <c:manualLayout>
              <c:x val="0.15599759405074365"/>
              <c:y val="-2.4460578791287452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7"/>
        <c:spPr>
          <a:solidFill>
            <a:schemeClr val="accent6"/>
          </a:solidFill>
          <a:ln w="19050">
            <a:solidFill>
              <a:schemeClr val="lt1"/>
            </a:solidFill>
          </a:ln>
          <a:effectLst/>
        </c:spPr>
        <c:dLbl>
          <c:idx val="0"/>
          <c:layout>
            <c:manualLayout>
              <c:x val="-0.15874781277340333"/>
              <c:y val="2.74417970480962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8"/>
        <c:spPr>
          <a:solidFill>
            <a:schemeClr val="accent5"/>
          </a:solidFill>
          <a:ln w="19050">
            <a:solidFill>
              <a:schemeClr val="lt1"/>
            </a:solidFill>
          </a:ln>
          <a:effectLst/>
        </c:spPr>
        <c:dLbl>
          <c:idx val="0"/>
          <c:layout>
            <c:manualLayout>
              <c:x val="0.12353226058898602"/>
              <c:y val="-0.20461376149106281"/>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7371937682101665"/>
                  <c:h val="0.15569629335901358"/>
                </c:manualLayout>
              </c15:layout>
            </c:ext>
          </c:extLst>
        </c:dLbl>
      </c:pivotFmt>
      <c:pivotFmt>
        <c:idx val="9"/>
        <c:spPr>
          <a:solidFill>
            <a:schemeClr val="accent4"/>
          </a:solidFill>
          <a:ln w="19050">
            <a:solidFill>
              <a:schemeClr val="lt1"/>
            </a:solidFill>
          </a:ln>
          <a:effectLst/>
        </c:spPr>
        <c:dLbl>
          <c:idx val="0"/>
          <c:layout>
            <c:manualLayout>
              <c:x val="-5.1185021310409612E-2"/>
              <c:y val="0.1001435759052028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0179662404584745"/>
                  <c:h val="0.17520006042410166"/>
                </c:manualLayout>
              </c15:layout>
            </c:ext>
          </c:extLst>
        </c:dLbl>
      </c:pivotFmt>
      <c:pivotFmt>
        <c:idx val="10"/>
        <c:spPr>
          <a:solidFill>
            <a:schemeClr val="accent6">
              <a:lumMod val="50000"/>
            </a:schemeClr>
          </a:solidFill>
          <a:ln w="19050">
            <a:solidFill>
              <a:schemeClr val="lt1"/>
            </a:solidFill>
          </a:ln>
          <a:effectLst/>
        </c:spPr>
        <c:dLbl>
          <c:idx val="0"/>
          <c:layout>
            <c:manualLayout>
              <c:x val="-0.11801730015972774"/>
              <c:y val="7.278635665963598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4243762190276674"/>
                  <c:h val="0.15276874563341453"/>
                </c:manualLayout>
              </c15:layout>
            </c:ext>
          </c:extLst>
        </c:dLbl>
      </c:pivotFmt>
      <c:pivotFmt>
        <c:idx val="11"/>
        <c:spPr>
          <a:solidFill>
            <a:schemeClr val="accent3"/>
          </a:solidFill>
          <a:ln w="19050">
            <a:solidFill>
              <a:schemeClr val="lt1"/>
            </a:solidFill>
          </a:ln>
          <a:effectLst/>
        </c:spPr>
        <c:dLbl>
          <c:idx val="0"/>
          <c:layout>
            <c:manualLayout>
              <c:x val="0.15599759405074365"/>
              <c:y val="-2.4460578791287452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13"/>
        <c:spPr>
          <a:solidFill>
            <a:schemeClr val="accent6"/>
          </a:solidFill>
          <a:ln w="19050">
            <a:solidFill>
              <a:schemeClr val="lt1"/>
            </a:solidFill>
          </a:ln>
          <a:effectLst/>
        </c:spPr>
        <c:dLbl>
          <c:idx val="0"/>
          <c:layout>
            <c:manualLayout>
              <c:x val="-0.15874781277340333"/>
              <c:y val="2.74417970480962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
        <c:idx val="14"/>
        <c:spPr>
          <a:solidFill>
            <a:schemeClr val="accent5"/>
          </a:solidFill>
          <a:ln w="19050">
            <a:solidFill>
              <a:schemeClr val="lt1"/>
            </a:solidFill>
          </a:ln>
          <a:effectLst/>
        </c:spPr>
        <c:dLbl>
          <c:idx val="0"/>
          <c:layout>
            <c:manualLayout>
              <c:x val="0.12353226058898602"/>
              <c:y val="-0.20461376149106281"/>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7371937682101665"/>
                  <c:h val="0.15569629335901358"/>
                </c:manualLayout>
              </c15:layout>
            </c:ext>
          </c:extLst>
        </c:dLbl>
      </c:pivotFmt>
      <c:pivotFmt>
        <c:idx val="15"/>
        <c:spPr>
          <a:solidFill>
            <a:schemeClr val="accent4"/>
          </a:solidFill>
          <a:ln w="19050">
            <a:solidFill>
              <a:schemeClr val="lt1"/>
            </a:solidFill>
          </a:ln>
          <a:effectLst/>
        </c:spPr>
        <c:dLbl>
          <c:idx val="0"/>
          <c:layout>
            <c:manualLayout>
              <c:x val="-5.1185021310409612E-2"/>
              <c:y val="0.1001435759052028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0179662404584745"/>
                  <c:h val="0.17520006042410166"/>
                </c:manualLayout>
              </c15:layout>
            </c:ext>
          </c:extLst>
        </c:dLbl>
      </c:pivotFmt>
      <c:pivotFmt>
        <c:idx val="16"/>
        <c:spPr>
          <a:solidFill>
            <a:schemeClr val="accent6">
              <a:lumMod val="50000"/>
            </a:schemeClr>
          </a:solidFill>
          <a:ln w="19050">
            <a:solidFill>
              <a:schemeClr val="lt1"/>
            </a:solidFill>
          </a:ln>
          <a:effectLst/>
        </c:spPr>
        <c:dLbl>
          <c:idx val="0"/>
          <c:layout>
            <c:manualLayout>
              <c:x val="-0.11801730015972774"/>
              <c:y val="7.278635665963598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4243762190276674"/>
                  <c:h val="0.15276874563341453"/>
                </c:manualLayout>
              </c15:layout>
            </c:ext>
          </c:extLst>
        </c:dLbl>
      </c:pivotFmt>
      <c:pivotFmt>
        <c:idx val="17"/>
        <c:spPr>
          <a:solidFill>
            <a:schemeClr val="accent3"/>
          </a:solidFill>
          <a:ln w="19050">
            <a:solidFill>
              <a:schemeClr val="lt1"/>
            </a:solidFill>
          </a:ln>
          <a:effectLst/>
        </c:spPr>
        <c:dLbl>
          <c:idx val="0"/>
          <c:layout>
            <c:manualLayout>
              <c:x val="0.15599759405074365"/>
              <c:y val="-2.4460578791287452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3042304751276169"/>
          <c:y val="0.300838801399825"/>
          <c:w val="0.37852398371463403"/>
          <c:h val="0.66767424905220174"/>
        </c:manualLayout>
      </c:layout>
      <c:pieChart>
        <c:varyColors val="1"/>
        <c:ser>
          <c:idx val="0"/>
          <c:order val="0"/>
          <c:tx>
            <c:strRef>
              <c:f>'Pivot tables + graphs'!$B$5</c:f>
              <c:strCache>
                <c:ptCount val="1"/>
                <c:pt idx="0">
                  <c:v>Total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28D-4798-B0B9-600D9D06D87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28D-4798-B0B9-600D9D06D87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28D-4798-B0B9-600D9D06D87E}"/>
              </c:ext>
            </c:extLst>
          </c:dPt>
          <c:dPt>
            <c:idx val="3"/>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7-528D-4798-B0B9-600D9D06D87E}"/>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528D-4798-B0B9-600D9D06D87E}"/>
              </c:ext>
            </c:extLst>
          </c:dPt>
          <c:dLbls>
            <c:dLbl>
              <c:idx val="0"/>
              <c:layout>
                <c:manualLayout>
                  <c:x val="-0.15874781277340333"/>
                  <c:y val="2.744179704809626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8D-4798-B0B9-600D9D06D87E}"/>
                </c:ext>
              </c:extLst>
            </c:dLbl>
            <c:dLbl>
              <c:idx val="1"/>
              <c:layout>
                <c:manualLayout>
                  <c:x val="0.12353226058898602"/>
                  <c:y val="-0.20461376149106281"/>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7371937682101665"/>
                      <c:h val="0.15569629335901358"/>
                    </c:manualLayout>
                  </c15:layout>
                </c:ext>
                <c:ext xmlns:c16="http://schemas.microsoft.com/office/drawing/2014/chart" uri="{C3380CC4-5D6E-409C-BE32-E72D297353CC}">
                  <c16:uniqueId val="{00000003-528D-4798-B0B9-600D9D06D87E}"/>
                </c:ext>
              </c:extLst>
            </c:dLbl>
            <c:dLbl>
              <c:idx val="2"/>
              <c:layout>
                <c:manualLayout>
                  <c:x val="-5.1185021310409612E-2"/>
                  <c:y val="0.1001435759052028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0179662404584745"/>
                      <c:h val="0.17520006042410166"/>
                    </c:manualLayout>
                  </c15:layout>
                </c:ext>
                <c:ext xmlns:c16="http://schemas.microsoft.com/office/drawing/2014/chart" uri="{C3380CC4-5D6E-409C-BE32-E72D297353CC}">
                  <c16:uniqueId val="{00000005-528D-4798-B0B9-600D9D06D87E}"/>
                </c:ext>
              </c:extLst>
            </c:dLbl>
            <c:dLbl>
              <c:idx val="3"/>
              <c:layout>
                <c:manualLayout>
                  <c:x val="-0.11801730015972774"/>
                  <c:y val="7.278635665963598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4243762190276674"/>
                      <c:h val="0.15276874563341453"/>
                    </c:manualLayout>
                  </c15:layout>
                </c:ext>
                <c:ext xmlns:c16="http://schemas.microsoft.com/office/drawing/2014/chart" uri="{C3380CC4-5D6E-409C-BE32-E72D297353CC}">
                  <c16:uniqueId val="{00000007-528D-4798-B0B9-600D9D06D87E}"/>
                </c:ext>
              </c:extLst>
            </c:dLbl>
            <c:dLbl>
              <c:idx val="4"/>
              <c:layout>
                <c:manualLayout>
                  <c:x val="0.15599759405074365"/>
                  <c:y val="-2.4460578791287452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28D-4798-B0B9-600D9D06D87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 tables + graphs'!$A$6:$A$11</c:f>
              <c:strCache>
                <c:ptCount val="5"/>
                <c:pt idx="0">
                  <c:v>Pacific</c:v>
                </c:pt>
                <c:pt idx="1">
                  <c:v>Southeast Asia</c:v>
                </c:pt>
                <c:pt idx="2">
                  <c:v>Cross Regional and Global</c:v>
                </c:pt>
                <c:pt idx="3">
                  <c:v>South and West Asia</c:v>
                </c:pt>
                <c:pt idx="4">
                  <c:v>East Asia</c:v>
                </c:pt>
              </c:strCache>
            </c:strRef>
          </c:cat>
          <c:val>
            <c:numRef>
              <c:f>'Pivot tables + graphs'!$B$6:$B$11</c:f>
              <c:numCache>
                <c:formatCode>General</c:formatCode>
                <c:ptCount val="5"/>
                <c:pt idx="0">
                  <c:v>18</c:v>
                </c:pt>
                <c:pt idx="1">
                  <c:v>13</c:v>
                </c:pt>
                <c:pt idx="2">
                  <c:v>5</c:v>
                </c:pt>
                <c:pt idx="3">
                  <c:v>3</c:v>
                </c:pt>
                <c:pt idx="4">
                  <c:v>1</c:v>
                </c:pt>
              </c:numCache>
            </c:numRef>
          </c:val>
          <c:extLst>
            <c:ext xmlns:c16="http://schemas.microsoft.com/office/drawing/2014/chart" uri="{C3380CC4-5D6E-409C-BE32-E72D297353CC}">
              <c16:uniqueId val="{0000000A-528D-4798-B0B9-600D9D06D8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Type of evaluation (DFAT-led or Partner-led/joint)</a:t>
            </a:r>
          </a:p>
        </c:rich>
      </c:tx>
      <c:layout>
        <c:manualLayout>
          <c:xMode val="edge"/>
          <c:yMode val="edge"/>
          <c:x val="0.21292929292929294"/>
          <c:y val="4.20420420420420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914260717410323E-2"/>
          <c:y val="0.18452736318407961"/>
          <c:w val="0.849592738407699"/>
          <c:h val="0.62501899949073536"/>
        </c:manualLayout>
      </c:layout>
      <c:barChart>
        <c:barDir val="bar"/>
        <c:grouping val="percentStacked"/>
        <c:varyColors val="0"/>
        <c:ser>
          <c:idx val="0"/>
          <c:order val="0"/>
          <c:tx>
            <c:strRef>
              <c:f>'Pivot tables + graphs'!$B$28</c:f>
              <c:strCache>
                <c:ptCount val="1"/>
                <c:pt idx="0">
                  <c:v>DFAT-led</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'Pivot tables + graphs'!$A$29:$A$33</c:f>
              <c:numCache>
                <c:formatCode>General</c:formatCode>
                <c:ptCount val="5"/>
                <c:pt idx="0">
                  <c:v>2022</c:v>
                </c:pt>
                <c:pt idx="1">
                  <c:v>2021</c:v>
                </c:pt>
                <c:pt idx="2">
                  <c:v>2017</c:v>
                </c:pt>
                <c:pt idx="3">
                  <c:v>2014</c:v>
                </c:pt>
                <c:pt idx="4">
                  <c:v>2012</c:v>
                </c:pt>
              </c:numCache>
            </c:numRef>
          </c:cat>
          <c:val>
            <c:numRef>
              <c:f>'Pivot tables + graphs'!$B$29:$B$33</c:f>
              <c:numCache>
                <c:formatCode>General</c:formatCode>
                <c:ptCount val="5"/>
                <c:pt idx="0">
                  <c:v>31</c:v>
                </c:pt>
                <c:pt idx="1">
                  <c:v>35</c:v>
                </c:pt>
                <c:pt idx="2">
                  <c:v>27</c:v>
                </c:pt>
                <c:pt idx="3">
                  <c:v>23</c:v>
                </c:pt>
                <c:pt idx="4">
                  <c:v>72</c:v>
                </c:pt>
              </c:numCache>
            </c:numRef>
          </c:val>
          <c:extLst>
            <c:ext xmlns:c16="http://schemas.microsoft.com/office/drawing/2014/chart" uri="{C3380CC4-5D6E-409C-BE32-E72D297353CC}">
              <c16:uniqueId val="{00000000-D7AA-4759-84E0-1A758EDD2452}"/>
            </c:ext>
          </c:extLst>
        </c:ser>
        <c:ser>
          <c:idx val="1"/>
          <c:order val="1"/>
          <c:tx>
            <c:strRef>
              <c:f>'Pivot tables + graphs'!$C$28</c:f>
              <c:strCache>
                <c:ptCount val="1"/>
                <c:pt idx="0">
                  <c:v>Partner-led/Joint</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'Pivot tables + graphs'!$A$29:$A$33</c:f>
              <c:numCache>
                <c:formatCode>General</c:formatCode>
                <c:ptCount val="5"/>
                <c:pt idx="0">
                  <c:v>2022</c:v>
                </c:pt>
                <c:pt idx="1">
                  <c:v>2021</c:v>
                </c:pt>
                <c:pt idx="2">
                  <c:v>2017</c:v>
                </c:pt>
                <c:pt idx="3">
                  <c:v>2014</c:v>
                </c:pt>
                <c:pt idx="4">
                  <c:v>2012</c:v>
                </c:pt>
              </c:numCache>
            </c:numRef>
          </c:cat>
          <c:val>
            <c:numRef>
              <c:f>'Pivot tables + graphs'!$C$29:$C$33</c:f>
              <c:numCache>
                <c:formatCode>General</c:formatCode>
                <c:ptCount val="5"/>
                <c:pt idx="0">
                  <c:v>9</c:v>
                </c:pt>
                <c:pt idx="1">
                  <c:v>7</c:v>
                </c:pt>
                <c:pt idx="2">
                  <c:v>7</c:v>
                </c:pt>
                <c:pt idx="3">
                  <c:v>12</c:v>
                </c:pt>
                <c:pt idx="4">
                  <c:v>15</c:v>
                </c:pt>
              </c:numCache>
            </c:numRef>
          </c:val>
          <c:extLst>
            <c:ext xmlns:c16="http://schemas.microsoft.com/office/drawing/2014/chart" uri="{C3380CC4-5D6E-409C-BE32-E72D297353CC}">
              <c16:uniqueId val="{00000001-D7AA-4759-84E0-1A758EDD2452}"/>
            </c:ext>
          </c:extLst>
        </c:ser>
        <c:dLbls>
          <c:showLegendKey val="0"/>
          <c:showVal val="0"/>
          <c:showCatName val="0"/>
          <c:showSerName val="0"/>
          <c:showPercent val="0"/>
          <c:showBubbleSize val="0"/>
        </c:dLbls>
        <c:gapWidth val="140"/>
        <c:overlap val="100"/>
        <c:axId val="1113023608"/>
        <c:axId val="1113018928"/>
      </c:barChart>
      <c:catAx>
        <c:axId val="1113023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018928"/>
        <c:crosses val="autoZero"/>
        <c:auto val="1"/>
        <c:lblAlgn val="ctr"/>
        <c:lblOffset val="100"/>
        <c:noMultiLvlLbl val="0"/>
      </c:catAx>
      <c:valAx>
        <c:axId val="1113018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023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Recommendations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958707716007597"/>
          <c:y val="0.19200110294620834"/>
          <c:w val="0.74831057725455397"/>
          <c:h val="0.74917487672806871"/>
        </c:manualLayout>
      </c:layout>
      <c:barChart>
        <c:barDir val="bar"/>
        <c:grouping val="clustered"/>
        <c:varyColors val="0"/>
        <c:ser>
          <c:idx val="0"/>
          <c:order val="0"/>
          <c:tx>
            <c:strRef>
              <c:f>'Pivot tables + graphs'!$A$48</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graphs'!$B$47:$E$47</c:f>
              <c:strCache>
                <c:ptCount val="4"/>
                <c:pt idx="0">
                  <c:v>ACCEPTED</c:v>
                </c:pt>
                <c:pt idx="1">
                  <c:v>PARTIALLY ACCEPTED</c:v>
                </c:pt>
                <c:pt idx="2">
                  <c:v>NOT ACCEPTED</c:v>
                </c:pt>
                <c:pt idx="3">
                  <c:v>UNCLEAR</c:v>
                </c:pt>
              </c:strCache>
            </c:strRef>
          </c:cat>
          <c:val>
            <c:numRef>
              <c:f>'Pivot tables + graphs'!$B$48:$E$48</c:f>
              <c:numCache>
                <c:formatCode>0%</c:formatCode>
                <c:ptCount val="4"/>
                <c:pt idx="0">
                  <c:v>0.73557692307692313</c:v>
                </c:pt>
                <c:pt idx="1">
                  <c:v>0.24519230769230768</c:v>
                </c:pt>
                <c:pt idx="2">
                  <c:v>1.9230769230769232E-2</c:v>
                </c:pt>
              </c:numCache>
            </c:numRef>
          </c:val>
          <c:extLst>
            <c:ext xmlns:c16="http://schemas.microsoft.com/office/drawing/2014/chart" uri="{C3380CC4-5D6E-409C-BE32-E72D297353CC}">
              <c16:uniqueId val="{00000000-F70D-4985-BCB7-C54B34B2F7D8}"/>
            </c:ext>
          </c:extLst>
        </c:ser>
        <c:ser>
          <c:idx val="1"/>
          <c:order val="1"/>
          <c:tx>
            <c:strRef>
              <c:f>'Pivot tables + graphs'!$A$49</c:f>
              <c:strCache>
                <c:ptCount val="1"/>
                <c:pt idx="0">
                  <c:v>2021</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graphs'!$B$47:$E$47</c:f>
              <c:strCache>
                <c:ptCount val="4"/>
                <c:pt idx="0">
                  <c:v>ACCEPTED</c:v>
                </c:pt>
                <c:pt idx="1">
                  <c:v>PARTIALLY ACCEPTED</c:v>
                </c:pt>
                <c:pt idx="2">
                  <c:v>NOT ACCEPTED</c:v>
                </c:pt>
                <c:pt idx="3">
                  <c:v>UNCLEAR</c:v>
                </c:pt>
              </c:strCache>
            </c:strRef>
          </c:cat>
          <c:val>
            <c:numRef>
              <c:f>'Pivot tables + graphs'!$B$49:$E$49</c:f>
              <c:numCache>
                <c:formatCode>0%</c:formatCode>
                <c:ptCount val="4"/>
                <c:pt idx="0">
                  <c:v>0.82653061224489799</c:v>
                </c:pt>
                <c:pt idx="1">
                  <c:v>0.19132653061224489</c:v>
                </c:pt>
                <c:pt idx="2">
                  <c:v>5.1020408163265302E-3</c:v>
                </c:pt>
              </c:numCache>
            </c:numRef>
          </c:val>
          <c:extLst>
            <c:ext xmlns:c16="http://schemas.microsoft.com/office/drawing/2014/chart" uri="{C3380CC4-5D6E-409C-BE32-E72D297353CC}">
              <c16:uniqueId val="{00000001-F70D-4985-BCB7-C54B34B2F7D8}"/>
            </c:ext>
          </c:extLst>
        </c:ser>
        <c:ser>
          <c:idx val="2"/>
          <c:order val="2"/>
          <c:tx>
            <c:strRef>
              <c:f>'Pivot tables + graphs'!$A$50</c:f>
              <c:strCache>
                <c:ptCount val="1"/>
                <c:pt idx="0">
                  <c:v>2017</c:v>
                </c:pt>
              </c:strCache>
            </c:strRef>
          </c:tx>
          <c:spPr>
            <a:solidFill>
              <a:schemeClr val="accent3"/>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3-F70D-4985-BCB7-C54B34B2F7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graphs'!$B$47:$E$47</c:f>
              <c:strCache>
                <c:ptCount val="4"/>
                <c:pt idx="0">
                  <c:v>ACCEPTED</c:v>
                </c:pt>
                <c:pt idx="1">
                  <c:v>PARTIALLY ACCEPTED</c:v>
                </c:pt>
                <c:pt idx="2">
                  <c:v>NOT ACCEPTED</c:v>
                </c:pt>
                <c:pt idx="3">
                  <c:v>UNCLEAR</c:v>
                </c:pt>
              </c:strCache>
            </c:strRef>
          </c:cat>
          <c:val>
            <c:numRef>
              <c:f>'Pivot tables + graphs'!$B$50:$E$50</c:f>
              <c:numCache>
                <c:formatCode>0%</c:formatCode>
                <c:ptCount val="4"/>
                <c:pt idx="0">
                  <c:v>0.72</c:v>
                </c:pt>
                <c:pt idx="1">
                  <c:v>0.14000000000000001</c:v>
                </c:pt>
                <c:pt idx="2">
                  <c:v>0.14000000000000001</c:v>
                </c:pt>
              </c:numCache>
            </c:numRef>
          </c:val>
          <c:extLst>
            <c:ext xmlns:c16="http://schemas.microsoft.com/office/drawing/2014/chart" uri="{C3380CC4-5D6E-409C-BE32-E72D297353CC}">
              <c16:uniqueId val="{00000004-F70D-4985-BCB7-C54B34B2F7D8}"/>
            </c:ext>
          </c:extLst>
        </c:ser>
        <c:ser>
          <c:idx val="3"/>
          <c:order val="3"/>
          <c:tx>
            <c:strRef>
              <c:f>'Pivot tables + graphs'!$A$51</c:f>
              <c:strCache>
                <c:ptCount val="1"/>
                <c:pt idx="0">
                  <c:v>2014</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graphs'!$B$47:$E$47</c:f>
              <c:strCache>
                <c:ptCount val="4"/>
                <c:pt idx="0">
                  <c:v>ACCEPTED</c:v>
                </c:pt>
                <c:pt idx="1">
                  <c:v>PARTIALLY ACCEPTED</c:v>
                </c:pt>
                <c:pt idx="2">
                  <c:v>NOT ACCEPTED</c:v>
                </c:pt>
                <c:pt idx="3">
                  <c:v>UNCLEAR</c:v>
                </c:pt>
              </c:strCache>
            </c:strRef>
          </c:cat>
          <c:val>
            <c:numRef>
              <c:f>'Pivot tables + graphs'!$B$51:$E$51</c:f>
              <c:numCache>
                <c:formatCode>0%</c:formatCode>
                <c:ptCount val="4"/>
                <c:pt idx="0">
                  <c:v>0.71</c:v>
                </c:pt>
                <c:pt idx="1">
                  <c:v>0.12</c:v>
                </c:pt>
                <c:pt idx="2">
                  <c:v>0.02</c:v>
                </c:pt>
                <c:pt idx="3">
                  <c:v>0.15</c:v>
                </c:pt>
              </c:numCache>
            </c:numRef>
          </c:val>
          <c:extLst>
            <c:ext xmlns:c16="http://schemas.microsoft.com/office/drawing/2014/chart" uri="{C3380CC4-5D6E-409C-BE32-E72D297353CC}">
              <c16:uniqueId val="{00000005-F70D-4985-BCB7-C54B34B2F7D8}"/>
            </c:ext>
          </c:extLst>
        </c:ser>
        <c:dLbls>
          <c:showLegendKey val="0"/>
          <c:showVal val="0"/>
          <c:showCatName val="0"/>
          <c:showSerName val="0"/>
          <c:showPercent val="0"/>
          <c:showBubbleSize val="0"/>
        </c:dLbls>
        <c:gapWidth val="111"/>
        <c:axId val="1092703448"/>
        <c:axId val="1092703808"/>
      </c:barChart>
      <c:catAx>
        <c:axId val="1092703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703808"/>
        <c:crosses val="autoZero"/>
        <c:auto val="1"/>
        <c:lblAlgn val="ctr"/>
        <c:lblOffset val="100"/>
        <c:noMultiLvlLbl val="0"/>
      </c:catAx>
      <c:valAx>
        <c:axId val="109270380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703448"/>
        <c:crosses val="autoZero"/>
        <c:crossBetween val="between"/>
      </c:valAx>
      <c:spPr>
        <a:noFill/>
        <a:ln>
          <a:noFill/>
        </a:ln>
        <a:effectLst/>
      </c:spPr>
    </c:plotArea>
    <c:legend>
      <c:legendPos val="r"/>
      <c:layout>
        <c:manualLayout>
          <c:xMode val="edge"/>
          <c:yMode val="edge"/>
          <c:x val="0.81940408272097864"/>
          <c:y val="0.37830320538734474"/>
          <c:w val="8.9307229008761396E-2"/>
          <c:h val="0.37520066844415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evaluations are used for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061783395496611E-2"/>
          <c:y val="0.23769060607130174"/>
          <c:w val="0.90920137449924021"/>
          <c:h val="0.56028154485910153"/>
        </c:manualLayout>
      </c:layout>
      <c:barChart>
        <c:barDir val="col"/>
        <c:grouping val="clustered"/>
        <c:varyColors val="0"/>
        <c:ser>
          <c:idx val="0"/>
          <c:order val="0"/>
          <c:tx>
            <c:strRef>
              <c:f>'Pivot tables + graphs'!$D$56</c:f>
              <c:strCache>
                <c:ptCount val="1"/>
                <c:pt idx="0">
                  <c:v>2021</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graphs'!$E$55:$H$55</c:f>
              <c:strCache>
                <c:ptCount val="4"/>
                <c:pt idx="0">
                  <c:v>Inform policy decision, new design/phase</c:v>
                </c:pt>
                <c:pt idx="1">
                  <c:v>use in performance reporting</c:v>
                </c:pt>
                <c:pt idx="2">
                  <c:v>continuous improvement and improve existing programs</c:v>
                </c:pt>
                <c:pt idx="3">
                  <c:v>thematic learning</c:v>
                </c:pt>
              </c:strCache>
            </c:strRef>
          </c:cat>
          <c:val>
            <c:numRef>
              <c:f>'Pivot tables + graphs'!$E$56:$H$56</c:f>
              <c:numCache>
                <c:formatCode>General</c:formatCode>
                <c:ptCount val="4"/>
                <c:pt idx="0" formatCode="0%">
                  <c:v>0.76</c:v>
                </c:pt>
                <c:pt idx="2" formatCode="0%">
                  <c:v>0.5</c:v>
                </c:pt>
                <c:pt idx="3" formatCode="0%">
                  <c:v>0.13</c:v>
                </c:pt>
              </c:numCache>
            </c:numRef>
          </c:val>
          <c:extLst>
            <c:ext xmlns:c16="http://schemas.microsoft.com/office/drawing/2014/chart" uri="{C3380CC4-5D6E-409C-BE32-E72D297353CC}">
              <c16:uniqueId val="{00000000-35E2-45E8-89BA-0E86F109ED09}"/>
            </c:ext>
          </c:extLst>
        </c:ser>
        <c:ser>
          <c:idx val="1"/>
          <c:order val="1"/>
          <c:tx>
            <c:strRef>
              <c:f>'Pivot tables + graphs'!$D$57</c:f>
              <c:strCache>
                <c:ptCount val="1"/>
                <c:pt idx="0">
                  <c:v>2022</c:v>
                </c:pt>
              </c:strCache>
            </c:strRef>
          </c:tx>
          <c:spPr>
            <a:solidFill>
              <a:schemeClr val="accent6">
                <a:lumMod val="75000"/>
              </a:schemeClr>
            </a:solidFill>
            <a:ln>
              <a:noFill/>
            </a:ln>
            <a:effectLst/>
          </c:spPr>
          <c:invertIfNegative val="0"/>
          <c:dLbls>
            <c:dLbl>
              <c:idx val="1"/>
              <c:layout>
                <c:manualLayout>
                  <c:x val="0"/>
                  <c:y val="6.56412374682672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E2-45E8-89BA-0E86F109ED0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tables + graphs'!$E$55:$H$55</c:f>
              <c:strCache>
                <c:ptCount val="4"/>
                <c:pt idx="0">
                  <c:v>Inform policy decision, new design/phase</c:v>
                </c:pt>
                <c:pt idx="1">
                  <c:v>use in performance reporting</c:v>
                </c:pt>
                <c:pt idx="2">
                  <c:v>continuous improvement and improve existing programs</c:v>
                </c:pt>
                <c:pt idx="3">
                  <c:v>thematic learning</c:v>
                </c:pt>
              </c:strCache>
            </c:strRef>
          </c:cat>
          <c:val>
            <c:numRef>
              <c:f>'Pivot tables + graphs'!$E$57:$H$57</c:f>
              <c:numCache>
                <c:formatCode>0%</c:formatCode>
                <c:ptCount val="4"/>
                <c:pt idx="0">
                  <c:v>0.6</c:v>
                </c:pt>
                <c:pt idx="1">
                  <c:v>7.4999999999999997E-2</c:v>
                </c:pt>
                <c:pt idx="2">
                  <c:v>0.57499999999999996</c:v>
                </c:pt>
                <c:pt idx="3">
                  <c:v>0.15</c:v>
                </c:pt>
              </c:numCache>
            </c:numRef>
          </c:val>
          <c:extLst>
            <c:ext xmlns:c16="http://schemas.microsoft.com/office/drawing/2014/chart" uri="{C3380CC4-5D6E-409C-BE32-E72D297353CC}">
              <c16:uniqueId val="{00000002-35E2-45E8-89BA-0E86F109ED09}"/>
            </c:ext>
          </c:extLst>
        </c:ser>
        <c:dLbls>
          <c:showLegendKey val="0"/>
          <c:showVal val="0"/>
          <c:showCatName val="0"/>
          <c:showSerName val="0"/>
          <c:showPercent val="0"/>
          <c:showBubbleSize val="0"/>
        </c:dLbls>
        <c:gapWidth val="219"/>
        <c:overlap val="-27"/>
        <c:axId val="1088911720"/>
        <c:axId val="1088908840"/>
      </c:barChart>
      <c:catAx>
        <c:axId val="108891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908840"/>
        <c:crosses val="autoZero"/>
        <c:auto val="1"/>
        <c:lblAlgn val="ctr"/>
        <c:lblOffset val="100"/>
        <c:noMultiLvlLbl val="0"/>
      </c:catAx>
      <c:valAx>
        <c:axId val="1088908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88911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'Pivot tables + graphs'!$D$109:$D$114</cx:f>
        <cx:lvl ptCount="6">
          <cx:pt idx="0">GEDSI</cx:pt>
          <cx:pt idx="1">M&amp;E</cx:pt>
          <cx:pt idx="2">Efficiency</cx:pt>
          <cx:pt idx="3">Sustainability</cx:pt>
          <cx:pt idx="4">Thematic and Technical Areas</cx:pt>
          <cx:pt idx="5">Risk and Safeguards</cx:pt>
        </cx:lvl>
      </cx:strDim>
      <cx:numDim type="val">
        <cx:f>'Pivot tables + graphs'!$E$109:$E$114</cx:f>
        <cx:lvl ptCount="6" formatCode="General">
          <cx:pt idx="0">21</cx:pt>
          <cx:pt idx="1">18</cx:pt>
          <cx:pt idx="2">16</cx:pt>
          <cx:pt idx="3">5</cx:pt>
          <cx:pt idx="4">5</cx:pt>
          <cx:pt idx="5">3</cx:pt>
        </cx:lvl>
      </cx:numDim>
    </cx:data>
  </cx:chartData>
  <cx:chart>
    <cx:title pos="t" align="ctr" overlay="0">
      <cx:tx>
        <cx:txData>
          <cx:v>Number of examples of areas where evaluations have contributed to improvement</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Number of examples of areas where evaluations have contributed to improvement</a:t>
          </a:r>
        </a:p>
      </cx:txPr>
    </cx:title>
    <cx:plotArea>
      <cx:plotAreaRegion>
        <cx:series layoutId="funnel" uniqueId="{EA5947A3-6DF9-42CE-9498-ADDA8A5E7EE4}">
          <cx:spPr>
            <a:solidFill>
              <a:schemeClr val="accent6">
                <a:lumMod val="75000"/>
              </a:schemeClr>
            </a:solidFill>
          </cx:spPr>
          <cx:dataLabels>
            <cx:txPr>
              <a:bodyPr spcFirstLastPara="1" vertOverflow="ellipsis" horzOverflow="overflow" wrap="square" lIns="0" tIns="0" rIns="0" bIns="0" anchor="ctr" anchorCtr="1"/>
              <a:lstStyle/>
              <a:p>
                <a:pPr algn="ctr" rtl="0">
                  <a:defRPr sz="1000">
                    <a:solidFill>
                      <a:schemeClr val="bg1"/>
                    </a:solidFill>
                  </a:defRPr>
                </a:pPr>
                <a:endParaRPr lang="en-US" sz="1000" b="0" i="0" u="none" strike="noStrike" kern="1200" baseline="0">
                  <a:solidFill>
                    <a:schemeClr val="bg1"/>
                  </a:solidFill>
                  <a:latin typeface="Calibri" panose="020F0502020204030204"/>
                </a:endParaRPr>
              </a:p>
            </cx:txPr>
          </cx:dataLabels>
          <cx:dataId val="0"/>
        </cx:series>
      </cx:plotAreaRegion>
      <cx:axis id="0">
        <cx:catScaling gapWidth="0.239999995"/>
        <cx:tickLabels/>
        <cx:txPr>
          <a:bodyPr spcFirstLastPara="1" vertOverflow="ellipsis" horzOverflow="overflow" wrap="square" lIns="0" tIns="0" rIns="0" bIns="0" anchor="ctr" anchorCtr="1"/>
          <a:lstStyle/>
          <a:p>
            <a:pPr algn="ctr" rtl="0">
              <a:defRPr sz="1000"/>
            </a:pPr>
            <a:endParaRPr lang="en-US" sz="1000" b="0" i="0" u="none" strike="noStrike" kern="1200" baseline="0">
              <a:solidFill>
                <a:sysClr val="windowText" lastClr="000000">
                  <a:lumMod val="65000"/>
                  <a:lumOff val="35000"/>
                </a:sysClr>
              </a:solidFill>
              <a:latin typeface="Calibri" panose="020F0502020204030204"/>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2027</Words>
  <Characters>11951</Characters>
  <Application>Microsoft Office Word</Application>
  <DocSecurity>0</DocSecurity>
  <Lines>270</Lines>
  <Paragraphs>167</Paragraphs>
  <ScaleCrop>false</ScaleCrop>
  <HeadingPairs>
    <vt:vector size="2" baseType="variant">
      <vt:variant>
        <vt:lpstr>Title</vt:lpstr>
      </vt:variant>
      <vt:variant>
        <vt:i4>1</vt:i4>
      </vt:variant>
    </vt:vector>
  </HeadingPairs>
  <TitlesOfParts>
    <vt:vector size="1" baseType="lpstr">
      <vt:lpstr>Review of use of dfat development evaluations completed in 2022</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use of DFAT development evaluations completed in 2022</dc:title>
  <dc:subject/>
  <dc:creator/>
  <cp:keywords>[SEC=OFFICIAL]</cp:keywords>
  <dc:description/>
  <cp:lastModifiedBy/>
  <cp:revision>1</cp:revision>
  <dcterms:created xsi:type="dcterms:W3CDTF">2024-04-05T03:04:00Z</dcterms:created>
  <dcterms:modified xsi:type="dcterms:W3CDTF">2024-04-05T03:08:00Z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v=2022.1;a=SHA256;h=1101A2660DFC05D7B76A2654608C561B09B0AC55AC6BA40622B80B954F62CB09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2024-01-24T00:52:33Z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3B067BBC63E74C70AA088E9CEC04CA5C</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D79020109D5FF354B1C5289F43079339</vt:lpwstr>
  </property>
  <property fmtid="{D5CDD505-2E9C-101B-9397-08002B2CF9AE}" pid="24" name="PM_Hash_Salt">
    <vt:lpwstr>0A34C097A860F6A69F12B9C9F7D48152</vt:lpwstr>
  </property>
  <property fmtid="{D5CDD505-2E9C-101B-9397-08002B2CF9AE}" pid="25" name="PM_Hash_SHA1">
    <vt:lpwstr>15822E63A2F893415140C63FEC3D6F489F263E09</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PM_Caveats_Count">
    <vt:lpwstr>0</vt:lpwstr>
  </property>
</Properties>
</file>