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DFFBA" w14:textId="6F061605" w:rsidR="00376032" w:rsidRDefault="00B914F4" w:rsidP="00C869E6">
      <w:pPr>
        <w:pStyle w:val="Heading1"/>
        <w:spacing w:before="240" w:after="240"/>
      </w:pPr>
      <w:r w:rsidRPr="00C869E6">
        <w:t>REVIEW OF DFAT’S HEALTH ADVISORY SERVICES</w:t>
      </w:r>
      <w:r w:rsidR="00523391" w:rsidRPr="00C869E6">
        <w:t xml:space="preserve"> – SPECIALIST HEALTH SERVICE</w:t>
      </w:r>
    </w:p>
    <w:p w14:paraId="197DAD12" w14:textId="6AC6FDDE" w:rsidR="00376032" w:rsidRDefault="00B914F4" w:rsidP="00C869E6">
      <w:pPr>
        <w:pStyle w:val="Heading2"/>
        <w:spacing w:before="240" w:after="240"/>
      </w:pPr>
      <w:r w:rsidRPr="00C869E6">
        <w:t>Summary of Management response:</w:t>
      </w:r>
    </w:p>
    <w:p w14:paraId="575BBBDC" w14:textId="57B4A67F" w:rsidR="009E20C3" w:rsidRPr="0064330D" w:rsidRDefault="00376032" w:rsidP="00C869E6">
      <w:pPr>
        <w:pStyle w:val="Default"/>
        <w:spacing w:after="240"/>
        <w:jc w:val="both"/>
        <w:rPr>
          <w:sz w:val="22"/>
          <w:szCs w:val="22"/>
        </w:rPr>
      </w:pPr>
      <w:r w:rsidRPr="0064330D">
        <w:rPr>
          <w:sz w:val="22"/>
          <w:szCs w:val="22"/>
        </w:rPr>
        <w:t xml:space="preserve">DFAT welcomes this timely and important </w:t>
      </w:r>
      <w:r w:rsidR="00523391" w:rsidRPr="0064330D">
        <w:rPr>
          <w:sz w:val="22"/>
          <w:szCs w:val="22"/>
        </w:rPr>
        <w:t>r</w:t>
      </w:r>
      <w:r w:rsidRPr="0064330D">
        <w:rPr>
          <w:sz w:val="22"/>
          <w:szCs w:val="22"/>
        </w:rPr>
        <w:t>eview of the Specialist Health Services (SHS). The review was undertaken to satisfy accountability requirements</w:t>
      </w:r>
      <w:r w:rsidR="009E20C3" w:rsidRPr="0064330D">
        <w:rPr>
          <w:sz w:val="22"/>
          <w:szCs w:val="22"/>
        </w:rPr>
        <w:t xml:space="preserve"> </w:t>
      </w:r>
      <w:r w:rsidR="00D83E19" w:rsidRPr="0064330D">
        <w:rPr>
          <w:sz w:val="22"/>
          <w:szCs w:val="22"/>
        </w:rPr>
        <w:t>in</w:t>
      </w:r>
      <w:r w:rsidR="009E20C3" w:rsidRPr="0064330D">
        <w:rPr>
          <w:sz w:val="22"/>
          <w:szCs w:val="22"/>
        </w:rPr>
        <w:t xml:space="preserve"> determin</w:t>
      </w:r>
      <w:r w:rsidR="00D83E19" w:rsidRPr="0064330D">
        <w:rPr>
          <w:sz w:val="22"/>
          <w:szCs w:val="22"/>
        </w:rPr>
        <w:t>ing</w:t>
      </w:r>
      <w:r w:rsidR="009E20C3" w:rsidRPr="0064330D">
        <w:rPr>
          <w:sz w:val="22"/>
          <w:szCs w:val="22"/>
        </w:rPr>
        <w:t xml:space="preserve"> whether the SHS </w:t>
      </w:r>
      <w:r w:rsidR="000479D4">
        <w:rPr>
          <w:sz w:val="22"/>
          <w:szCs w:val="22"/>
        </w:rPr>
        <w:t>contract</w:t>
      </w:r>
      <w:r w:rsidR="009E20C3" w:rsidRPr="0064330D">
        <w:rPr>
          <w:sz w:val="22"/>
          <w:szCs w:val="22"/>
        </w:rPr>
        <w:t xml:space="preserve"> </w:t>
      </w:r>
      <w:r w:rsidR="00D83E19" w:rsidRPr="0064330D">
        <w:rPr>
          <w:sz w:val="22"/>
          <w:szCs w:val="22"/>
        </w:rPr>
        <w:t xml:space="preserve">had </w:t>
      </w:r>
      <w:r w:rsidR="009E20C3" w:rsidRPr="0064330D">
        <w:rPr>
          <w:sz w:val="22"/>
          <w:szCs w:val="22"/>
        </w:rPr>
        <w:t>met its objectives</w:t>
      </w:r>
      <w:r w:rsidR="00D83E19" w:rsidRPr="0064330D">
        <w:rPr>
          <w:sz w:val="22"/>
          <w:szCs w:val="22"/>
        </w:rPr>
        <w:t>,</w:t>
      </w:r>
      <w:r w:rsidR="009E20C3" w:rsidRPr="0064330D">
        <w:rPr>
          <w:sz w:val="22"/>
          <w:szCs w:val="22"/>
        </w:rPr>
        <w:t xml:space="preserve"> and to inform </w:t>
      </w:r>
      <w:r w:rsidR="00D83E19" w:rsidRPr="0064330D">
        <w:rPr>
          <w:sz w:val="22"/>
          <w:szCs w:val="22"/>
        </w:rPr>
        <w:t>the</w:t>
      </w:r>
      <w:r w:rsidR="009E20C3" w:rsidRPr="0064330D">
        <w:rPr>
          <w:sz w:val="22"/>
          <w:szCs w:val="22"/>
        </w:rPr>
        <w:t xml:space="preserve"> </w:t>
      </w:r>
      <w:r w:rsidR="00523391" w:rsidRPr="0064330D">
        <w:rPr>
          <w:sz w:val="22"/>
          <w:szCs w:val="22"/>
        </w:rPr>
        <w:t>model</w:t>
      </w:r>
      <w:r w:rsidR="009E20C3" w:rsidRPr="0064330D">
        <w:rPr>
          <w:sz w:val="22"/>
          <w:szCs w:val="22"/>
        </w:rPr>
        <w:t xml:space="preserve"> </w:t>
      </w:r>
      <w:r w:rsidR="00D83E19" w:rsidRPr="0064330D">
        <w:rPr>
          <w:sz w:val="22"/>
          <w:szCs w:val="22"/>
        </w:rPr>
        <w:t>of</w:t>
      </w:r>
      <w:r w:rsidR="009E20C3" w:rsidRPr="0064330D">
        <w:rPr>
          <w:sz w:val="22"/>
          <w:szCs w:val="22"/>
        </w:rPr>
        <w:t xml:space="preserve"> health advisory support in the future</w:t>
      </w:r>
      <w:r w:rsidRPr="0064330D">
        <w:rPr>
          <w:sz w:val="22"/>
          <w:szCs w:val="22"/>
        </w:rPr>
        <w:t>.</w:t>
      </w:r>
    </w:p>
    <w:p w14:paraId="05671546" w14:textId="383B26C8" w:rsidR="00C05023" w:rsidRPr="0064330D" w:rsidRDefault="009B331F" w:rsidP="00911988">
      <w:pPr>
        <w:jc w:val="both"/>
        <w:rPr>
          <w:rFonts w:ascii="Calibri" w:hAnsi="Calibri" w:cs="Calibri"/>
          <w:color w:val="000000"/>
        </w:rPr>
      </w:pPr>
      <w:r w:rsidRPr="0064330D">
        <w:rPr>
          <w:rFonts w:ascii="Calibri" w:hAnsi="Calibri" w:cs="Calibri"/>
          <w:color w:val="000000"/>
        </w:rPr>
        <w:t xml:space="preserve">The review provided a </w:t>
      </w:r>
      <w:r w:rsidR="00D83E19" w:rsidRPr="0064330D">
        <w:rPr>
          <w:rFonts w:ascii="Calibri" w:hAnsi="Calibri" w:cs="Calibri"/>
          <w:color w:val="000000"/>
        </w:rPr>
        <w:t>considered analysis of</w:t>
      </w:r>
      <w:r w:rsidR="0064330D" w:rsidRPr="0064330D">
        <w:rPr>
          <w:rFonts w:ascii="Calibri" w:hAnsi="Calibri" w:cs="Calibri"/>
          <w:color w:val="000000"/>
        </w:rPr>
        <w:t xml:space="preserve"> the</w:t>
      </w:r>
      <w:r w:rsidR="00D83E19" w:rsidRPr="0064330D">
        <w:rPr>
          <w:rFonts w:ascii="Calibri" w:hAnsi="Calibri" w:cs="Calibri"/>
          <w:color w:val="000000"/>
        </w:rPr>
        <w:t xml:space="preserve"> </w:t>
      </w:r>
      <w:r w:rsidR="0064330D" w:rsidRPr="0064330D">
        <w:rPr>
          <w:rFonts w:ascii="Calibri" w:hAnsi="Calibri" w:cs="Calibri"/>
          <w:color w:val="000000"/>
        </w:rPr>
        <w:t xml:space="preserve">relevance, effectiveness, efficiency, and sustainability of </w:t>
      </w:r>
      <w:r w:rsidRPr="0064330D">
        <w:rPr>
          <w:rFonts w:ascii="Calibri" w:hAnsi="Calibri" w:cs="Calibri"/>
          <w:color w:val="000000"/>
        </w:rPr>
        <w:t xml:space="preserve">services </w:t>
      </w:r>
      <w:r w:rsidR="00D83E19" w:rsidRPr="0064330D">
        <w:rPr>
          <w:rFonts w:ascii="Calibri" w:hAnsi="Calibri" w:cs="Calibri"/>
          <w:color w:val="000000"/>
        </w:rPr>
        <w:t xml:space="preserve">provided </w:t>
      </w:r>
      <w:r w:rsidRPr="0064330D">
        <w:rPr>
          <w:rFonts w:ascii="Calibri" w:hAnsi="Calibri" w:cs="Calibri"/>
          <w:color w:val="000000"/>
        </w:rPr>
        <w:t xml:space="preserve">under the SHS program </w:t>
      </w:r>
      <w:r w:rsidR="00D83E19" w:rsidRPr="0064330D">
        <w:rPr>
          <w:rFonts w:ascii="Calibri" w:hAnsi="Calibri" w:cs="Calibri"/>
          <w:color w:val="000000"/>
        </w:rPr>
        <w:t>to-date</w:t>
      </w:r>
      <w:r w:rsidR="0064330D" w:rsidRPr="0064330D">
        <w:rPr>
          <w:rFonts w:ascii="Calibri" w:hAnsi="Calibri" w:cs="Calibri"/>
          <w:color w:val="000000"/>
        </w:rPr>
        <w:t xml:space="preserve"> and recommends some</w:t>
      </w:r>
      <w:r w:rsidR="00D83E19" w:rsidRPr="0064330D">
        <w:rPr>
          <w:rFonts w:ascii="Calibri" w:hAnsi="Calibri" w:cs="Calibri"/>
          <w:color w:val="000000"/>
        </w:rPr>
        <w:t xml:space="preserve"> modifications </w:t>
      </w:r>
      <w:r w:rsidR="0064330D" w:rsidRPr="0064330D">
        <w:rPr>
          <w:rFonts w:ascii="Calibri" w:hAnsi="Calibri" w:cs="Calibri"/>
          <w:color w:val="000000"/>
        </w:rPr>
        <w:t>to</w:t>
      </w:r>
      <w:r w:rsidR="00D83E19" w:rsidRPr="0064330D">
        <w:rPr>
          <w:rFonts w:ascii="Calibri" w:hAnsi="Calibri" w:cs="Calibri"/>
          <w:color w:val="000000"/>
        </w:rPr>
        <w:t xml:space="preserve"> facilitate a robust model of health advisory support</w:t>
      </w:r>
      <w:r w:rsidR="0064330D" w:rsidRPr="0064330D">
        <w:rPr>
          <w:rFonts w:ascii="Calibri" w:hAnsi="Calibri" w:cs="Calibri"/>
          <w:color w:val="000000"/>
        </w:rPr>
        <w:t xml:space="preserve"> </w:t>
      </w:r>
      <w:r w:rsidR="000479D4">
        <w:rPr>
          <w:rFonts w:ascii="Calibri" w:hAnsi="Calibri" w:cs="Calibri"/>
          <w:color w:val="000000"/>
        </w:rPr>
        <w:t>going forward</w:t>
      </w:r>
      <w:r w:rsidR="0064330D" w:rsidRPr="0064330D">
        <w:rPr>
          <w:rFonts w:ascii="Calibri" w:hAnsi="Calibri" w:cs="Calibri"/>
          <w:color w:val="000000"/>
        </w:rPr>
        <w:t>.</w:t>
      </w:r>
      <w:r w:rsidR="00D83E19" w:rsidRPr="0064330D">
        <w:rPr>
          <w:rFonts w:ascii="Calibri" w:hAnsi="Calibri" w:cs="Calibri"/>
          <w:color w:val="000000"/>
        </w:rPr>
        <w:t xml:space="preserve">   </w:t>
      </w:r>
    </w:p>
    <w:p w14:paraId="48DBDC91" w14:textId="3DB032E2" w:rsidR="002319D2" w:rsidRPr="00C869E6" w:rsidRDefault="004614F5" w:rsidP="00C869E6">
      <w:pPr>
        <w:jc w:val="both"/>
        <w:rPr>
          <w:rFonts w:ascii="Calibri" w:hAnsi="Calibri" w:cs="Calibri"/>
          <w:color w:val="000000"/>
        </w:rPr>
        <w:sectPr w:rsidR="002319D2" w:rsidRPr="00C869E6" w:rsidSect="003D1FF5">
          <w:footerReference w:type="default" r:id="rId8"/>
          <w:pgSz w:w="11906" w:h="16838"/>
          <w:pgMar w:top="426" w:right="424" w:bottom="568" w:left="709" w:header="708" w:footer="708" w:gutter="0"/>
          <w:cols w:space="708"/>
          <w:docGrid w:linePitch="360"/>
        </w:sectPr>
      </w:pPr>
      <w:r w:rsidRPr="0064330D">
        <w:rPr>
          <w:rFonts w:ascii="Calibri" w:hAnsi="Calibri" w:cs="Calibri"/>
          <w:color w:val="000000"/>
        </w:rPr>
        <w:t xml:space="preserve">DFAT </w:t>
      </w:r>
      <w:r>
        <w:rPr>
          <w:rFonts w:ascii="Calibri" w:hAnsi="Calibri" w:cs="Calibri"/>
          <w:color w:val="000000"/>
        </w:rPr>
        <w:t xml:space="preserve">notes </w:t>
      </w:r>
      <w:r w:rsidRPr="0064330D">
        <w:rPr>
          <w:rFonts w:ascii="Calibri" w:hAnsi="Calibri" w:cs="Calibri"/>
          <w:color w:val="000000"/>
        </w:rPr>
        <w:t xml:space="preserve">the conclusion that SHS has performed extremely well and, overall, provided a quality service. However, the review also notes that the overall contribution could have been magnified through improved DFAT processes for monitoring impact, sharing information and cross-Departmental learning. </w:t>
      </w:r>
      <w:r w:rsidR="00AA102E" w:rsidRPr="0064330D">
        <w:t xml:space="preserve">DFAT commits to continue </w:t>
      </w:r>
      <w:r w:rsidR="0025499E">
        <w:t xml:space="preserve">to </w:t>
      </w:r>
      <w:r w:rsidR="0025499E" w:rsidRPr="0064330D">
        <w:t>explor</w:t>
      </w:r>
      <w:r w:rsidR="0025499E">
        <w:t xml:space="preserve">e </w:t>
      </w:r>
      <w:r w:rsidR="00AA102E" w:rsidRPr="0064330D">
        <w:t>opportunities to address these constraints in a</w:t>
      </w:r>
      <w:r w:rsidR="00456F57" w:rsidRPr="0064330D">
        <w:t xml:space="preserve"> </w:t>
      </w:r>
      <w:r>
        <w:t>practical</w:t>
      </w:r>
      <w:r w:rsidR="00456F57" w:rsidRPr="0064330D">
        <w:t xml:space="preserve"> and sustainable </w:t>
      </w:r>
      <w:r w:rsidR="00AA102E" w:rsidRPr="0064330D">
        <w:t>manner.</w:t>
      </w:r>
    </w:p>
    <w:p w14:paraId="3FEC0BDD" w14:textId="29B5672F" w:rsidR="003D1FF5" w:rsidRPr="00C869E6" w:rsidRDefault="003D1FF5" w:rsidP="00C869E6">
      <w:pPr>
        <w:pStyle w:val="Heading2"/>
        <w:spacing w:before="120" w:after="120"/>
        <w:rPr>
          <w:b w:val="0"/>
          <w:bCs w:val="0"/>
        </w:rPr>
      </w:pPr>
      <w:r w:rsidRPr="00C869E6">
        <w:rPr>
          <w:b w:val="0"/>
          <w:bCs w:val="0"/>
        </w:rPr>
        <w:lastRenderedPageBreak/>
        <w:t>Individual management responses to the recommendations:</w:t>
      </w:r>
    </w:p>
    <w:tbl>
      <w:tblPr>
        <w:tblStyle w:val="TableGrid"/>
        <w:tblW w:w="0" w:type="auto"/>
        <w:tblLayout w:type="fixed"/>
        <w:tblLook w:val="04A0" w:firstRow="1" w:lastRow="0" w:firstColumn="1" w:lastColumn="0" w:noHBand="0" w:noVBand="1"/>
      </w:tblPr>
      <w:tblGrid>
        <w:gridCol w:w="6374"/>
        <w:gridCol w:w="1276"/>
        <w:gridCol w:w="6237"/>
        <w:gridCol w:w="1417"/>
      </w:tblGrid>
      <w:tr w:rsidR="0014187F" w:rsidRPr="008E5ECF" w14:paraId="48231216" w14:textId="026899F2" w:rsidTr="00C869E6">
        <w:trPr>
          <w:tblHeader/>
        </w:trPr>
        <w:tc>
          <w:tcPr>
            <w:tcW w:w="6374" w:type="dxa"/>
            <w:tcBorders>
              <w:bottom w:val="single" w:sz="4" w:space="0" w:color="auto"/>
            </w:tcBorders>
            <w:shd w:val="clear" w:color="auto" w:fill="FBE4D5" w:themeFill="accent2" w:themeFillTint="33"/>
          </w:tcPr>
          <w:p w14:paraId="28A11671" w14:textId="1CD1EDFB" w:rsidR="00A33446" w:rsidRPr="008E5ECF" w:rsidRDefault="00A33446" w:rsidP="00376032">
            <w:pPr>
              <w:rPr>
                <w:rFonts w:asciiTheme="majorHAnsi" w:hAnsiTheme="majorHAnsi" w:cstheme="majorHAnsi"/>
                <w:b/>
                <w:bCs/>
              </w:rPr>
            </w:pPr>
            <w:r w:rsidRPr="008E5ECF">
              <w:rPr>
                <w:rFonts w:asciiTheme="majorHAnsi" w:hAnsiTheme="majorHAnsi" w:cstheme="majorHAnsi"/>
                <w:b/>
                <w:bCs/>
              </w:rPr>
              <w:t>Recommendation</w:t>
            </w:r>
          </w:p>
        </w:tc>
        <w:tc>
          <w:tcPr>
            <w:tcW w:w="1276" w:type="dxa"/>
            <w:tcBorders>
              <w:bottom w:val="single" w:sz="4" w:space="0" w:color="auto"/>
            </w:tcBorders>
            <w:shd w:val="clear" w:color="auto" w:fill="FBE4D5" w:themeFill="accent2" w:themeFillTint="33"/>
          </w:tcPr>
          <w:p w14:paraId="46E6B7AE" w14:textId="157FDC02" w:rsidR="00A33446" w:rsidRPr="008E5ECF" w:rsidRDefault="00A33446" w:rsidP="00376032">
            <w:pPr>
              <w:rPr>
                <w:rFonts w:asciiTheme="majorHAnsi" w:hAnsiTheme="majorHAnsi" w:cstheme="majorHAnsi"/>
                <w:b/>
                <w:bCs/>
              </w:rPr>
            </w:pPr>
            <w:r w:rsidRPr="008E5ECF">
              <w:rPr>
                <w:rFonts w:asciiTheme="majorHAnsi" w:hAnsiTheme="majorHAnsi" w:cstheme="majorHAnsi"/>
                <w:b/>
                <w:bCs/>
              </w:rPr>
              <w:t>Response</w:t>
            </w:r>
          </w:p>
        </w:tc>
        <w:tc>
          <w:tcPr>
            <w:tcW w:w="6237" w:type="dxa"/>
            <w:tcBorders>
              <w:bottom w:val="single" w:sz="4" w:space="0" w:color="auto"/>
            </w:tcBorders>
            <w:shd w:val="clear" w:color="auto" w:fill="FBE4D5" w:themeFill="accent2" w:themeFillTint="33"/>
          </w:tcPr>
          <w:p w14:paraId="17912743" w14:textId="7E704229" w:rsidR="00A33446" w:rsidRPr="008E5ECF" w:rsidRDefault="00A33446" w:rsidP="00376032">
            <w:pPr>
              <w:rPr>
                <w:rFonts w:asciiTheme="majorHAnsi" w:hAnsiTheme="majorHAnsi" w:cstheme="majorHAnsi"/>
                <w:b/>
                <w:bCs/>
              </w:rPr>
            </w:pPr>
            <w:r w:rsidRPr="008E5ECF">
              <w:rPr>
                <w:rFonts w:asciiTheme="majorHAnsi" w:hAnsiTheme="majorHAnsi" w:cstheme="majorHAnsi"/>
                <w:b/>
                <w:bCs/>
              </w:rPr>
              <w:t>Action Plan</w:t>
            </w:r>
          </w:p>
        </w:tc>
        <w:tc>
          <w:tcPr>
            <w:tcW w:w="1417" w:type="dxa"/>
            <w:tcBorders>
              <w:bottom w:val="single" w:sz="4" w:space="0" w:color="auto"/>
            </w:tcBorders>
            <w:shd w:val="clear" w:color="auto" w:fill="FBE4D5" w:themeFill="accent2" w:themeFillTint="33"/>
          </w:tcPr>
          <w:p w14:paraId="01E68679" w14:textId="28018285" w:rsidR="00A33446" w:rsidRPr="008E5ECF" w:rsidRDefault="00A33446" w:rsidP="00376032">
            <w:pPr>
              <w:rPr>
                <w:rFonts w:asciiTheme="majorHAnsi" w:hAnsiTheme="majorHAnsi" w:cstheme="majorHAnsi"/>
                <w:b/>
                <w:bCs/>
              </w:rPr>
            </w:pPr>
            <w:r w:rsidRPr="008E5ECF">
              <w:rPr>
                <w:rFonts w:asciiTheme="majorHAnsi" w:hAnsiTheme="majorHAnsi" w:cstheme="majorHAnsi"/>
                <w:b/>
                <w:bCs/>
              </w:rPr>
              <w:t>Timeframe</w:t>
            </w:r>
          </w:p>
        </w:tc>
      </w:tr>
      <w:tr w:rsidR="0014187F" w14:paraId="04F55529" w14:textId="62ADA3D7" w:rsidTr="00C869E6">
        <w:tc>
          <w:tcPr>
            <w:tcW w:w="6374" w:type="dxa"/>
            <w:tcBorders>
              <w:top w:val="single" w:sz="4" w:space="0" w:color="auto"/>
            </w:tcBorders>
          </w:tcPr>
          <w:p w14:paraId="0479A4E5" w14:textId="54D93989" w:rsidR="00A33446" w:rsidRDefault="00A33446" w:rsidP="00376032">
            <w:r w:rsidRPr="008E5ECF">
              <w:rPr>
                <w:rFonts w:asciiTheme="majorHAnsi" w:hAnsiTheme="majorHAnsi" w:cstheme="majorHAnsi"/>
                <w:b/>
              </w:rPr>
              <w:t xml:space="preserve">Recommendation </w:t>
            </w:r>
            <w:r w:rsidRPr="008E5ECF">
              <w:rPr>
                <w:rFonts w:asciiTheme="majorHAnsi" w:hAnsiTheme="majorHAnsi" w:cstheme="majorHAnsi"/>
                <w:b/>
              </w:rPr>
              <w:fldChar w:fldCharType="begin"/>
            </w:r>
            <w:r w:rsidRPr="008E5ECF">
              <w:rPr>
                <w:rFonts w:asciiTheme="majorHAnsi" w:hAnsiTheme="majorHAnsi" w:cstheme="majorHAnsi"/>
                <w:b/>
              </w:rPr>
              <w:instrText xml:space="preserve"> SEQ Recommendation \* ARABIC </w:instrText>
            </w:r>
            <w:r w:rsidRPr="008E5ECF">
              <w:rPr>
                <w:rFonts w:asciiTheme="majorHAnsi" w:hAnsiTheme="majorHAnsi" w:cstheme="majorHAnsi"/>
                <w:b/>
              </w:rPr>
              <w:fldChar w:fldCharType="separate"/>
            </w:r>
            <w:r w:rsidRPr="008E5ECF">
              <w:rPr>
                <w:rFonts w:asciiTheme="majorHAnsi" w:hAnsiTheme="majorHAnsi" w:cstheme="majorHAnsi"/>
                <w:b/>
                <w:noProof/>
              </w:rPr>
              <w:t>1</w:t>
            </w:r>
            <w:r w:rsidRPr="008E5ECF">
              <w:rPr>
                <w:rFonts w:asciiTheme="majorHAnsi" w:hAnsiTheme="majorHAnsi" w:cstheme="majorHAnsi"/>
                <w:b/>
                <w:noProof/>
              </w:rPr>
              <w:fldChar w:fldCharType="end"/>
            </w:r>
            <w:r w:rsidRPr="008E5ECF">
              <w:rPr>
                <w:rFonts w:asciiTheme="majorHAnsi" w:hAnsiTheme="majorHAnsi" w:cstheme="majorHAnsi"/>
                <w:b/>
                <w:noProof/>
              </w:rPr>
              <w:t>:</w:t>
            </w:r>
            <w:r w:rsidRPr="006529FE">
              <w:rPr>
                <w:bCs/>
              </w:rPr>
              <w:t xml:space="preserve"> </w:t>
            </w:r>
            <w:r>
              <w:rPr>
                <w:bCs/>
              </w:rPr>
              <w:br/>
            </w:r>
            <w:r w:rsidRPr="00456F57">
              <w:rPr>
                <w:sz w:val="20"/>
                <w:szCs w:val="20"/>
              </w:rPr>
              <w:t>A central mechanism to provide DFAT with health specialist support be continued following SHS. This should include a function for recruitment and management of consultants to support the health sector as well as for quick turnaround health advice.</w:t>
            </w:r>
          </w:p>
        </w:tc>
        <w:tc>
          <w:tcPr>
            <w:tcW w:w="1276" w:type="dxa"/>
            <w:tcBorders>
              <w:top w:val="single" w:sz="4" w:space="0" w:color="auto"/>
            </w:tcBorders>
          </w:tcPr>
          <w:p w14:paraId="49B7A2EF" w14:textId="124A6D0F" w:rsidR="00A33446" w:rsidRDefault="00A33446" w:rsidP="00376032">
            <w:r>
              <w:t>Agree</w:t>
            </w:r>
          </w:p>
        </w:tc>
        <w:tc>
          <w:tcPr>
            <w:tcW w:w="6237" w:type="dxa"/>
            <w:tcBorders>
              <w:top w:val="single" w:sz="4" w:space="0" w:color="auto"/>
            </w:tcBorders>
          </w:tcPr>
          <w:p w14:paraId="77E88114" w14:textId="0A6DC4F1" w:rsidR="00A33446" w:rsidRDefault="00A33446" w:rsidP="008B6233">
            <w:pPr>
              <w:jc w:val="both"/>
            </w:pPr>
            <w:r w:rsidRPr="00456F57">
              <w:rPr>
                <w:sz w:val="20"/>
                <w:szCs w:val="20"/>
              </w:rPr>
              <w:t xml:space="preserve">DFAT will </w:t>
            </w:r>
            <w:r>
              <w:rPr>
                <w:sz w:val="20"/>
                <w:szCs w:val="20"/>
              </w:rPr>
              <w:t xml:space="preserve">proceed with a </w:t>
            </w:r>
            <w:r w:rsidRPr="00456F57">
              <w:rPr>
                <w:sz w:val="20"/>
                <w:szCs w:val="20"/>
              </w:rPr>
              <w:t xml:space="preserve">next phase of the SHS </w:t>
            </w:r>
            <w:r>
              <w:rPr>
                <w:sz w:val="20"/>
                <w:szCs w:val="20"/>
              </w:rPr>
              <w:t>which includes functionality</w:t>
            </w:r>
            <w:r w:rsidRPr="00456F57">
              <w:rPr>
                <w:sz w:val="20"/>
                <w:szCs w:val="20"/>
              </w:rPr>
              <w:t xml:space="preserve"> </w:t>
            </w:r>
            <w:r>
              <w:rPr>
                <w:sz w:val="20"/>
                <w:szCs w:val="20"/>
              </w:rPr>
              <w:t xml:space="preserve">to </w:t>
            </w:r>
            <w:r w:rsidRPr="00456F57">
              <w:rPr>
                <w:sz w:val="20"/>
                <w:szCs w:val="20"/>
              </w:rPr>
              <w:t>provide DFAT with</w:t>
            </w:r>
            <w:r>
              <w:rPr>
                <w:sz w:val="20"/>
                <w:szCs w:val="20"/>
              </w:rPr>
              <w:t xml:space="preserve"> access to quality health specialists</w:t>
            </w:r>
            <w:r w:rsidR="0025499E">
              <w:rPr>
                <w:sz w:val="20"/>
                <w:szCs w:val="20"/>
              </w:rPr>
              <w:t xml:space="preserve"> (including </w:t>
            </w:r>
            <w:r w:rsidR="0025499E" w:rsidRPr="008D268C">
              <w:rPr>
                <w:sz w:val="20"/>
                <w:szCs w:val="20"/>
              </w:rPr>
              <w:t>recruitment, management and in-country support</w:t>
            </w:r>
            <w:r w:rsidR="0025499E">
              <w:rPr>
                <w:sz w:val="20"/>
                <w:szCs w:val="20"/>
              </w:rPr>
              <w:t>) and</w:t>
            </w:r>
            <w:r w:rsidR="00127277">
              <w:rPr>
                <w:sz w:val="20"/>
                <w:szCs w:val="20"/>
              </w:rPr>
              <w:t xml:space="preserve"> </w:t>
            </w:r>
            <w:r>
              <w:rPr>
                <w:sz w:val="20"/>
                <w:szCs w:val="20"/>
              </w:rPr>
              <w:t>quick turnaround advice</w:t>
            </w:r>
            <w:r w:rsidR="0025499E">
              <w:rPr>
                <w:sz w:val="20"/>
                <w:szCs w:val="20"/>
              </w:rPr>
              <w:t>.</w:t>
            </w:r>
          </w:p>
        </w:tc>
        <w:tc>
          <w:tcPr>
            <w:tcW w:w="1417" w:type="dxa"/>
            <w:tcBorders>
              <w:top w:val="single" w:sz="4" w:space="0" w:color="auto"/>
            </w:tcBorders>
          </w:tcPr>
          <w:p w14:paraId="3A734802" w14:textId="5FCF3E8B" w:rsidR="00A33446" w:rsidRPr="000479D4" w:rsidRDefault="00A33446" w:rsidP="00376032">
            <w:pPr>
              <w:rPr>
                <w:sz w:val="20"/>
                <w:szCs w:val="20"/>
              </w:rPr>
            </w:pPr>
            <w:r w:rsidRPr="000479D4">
              <w:rPr>
                <w:sz w:val="20"/>
                <w:szCs w:val="20"/>
              </w:rPr>
              <w:t>September 2021 and ongoing</w:t>
            </w:r>
          </w:p>
        </w:tc>
      </w:tr>
      <w:tr w:rsidR="0014187F" w14:paraId="7DBDB61A" w14:textId="50CA02D0" w:rsidTr="00C869E6">
        <w:tc>
          <w:tcPr>
            <w:tcW w:w="6374" w:type="dxa"/>
          </w:tcPr>
          <w:p w14:paraId="52D0BAB8" w14:textId="18B47BB3" w:rsidR="00A33446" w:rsidRDefault="00A33446" w:rsidP="00376032">
            <w:r w:rsidRPr="008E5ECF">
              <w:rPr>
                <w:rFonts w:asciiTheme="majorHAnsi" w:hAnsiTheme="majorHAnsi" w:cstheme="majorHAnsi"/>
                <w:b/>
              </w:rPr>
              <w:t xml:space="preserve">Recommendation </w:t>
            </w:r>
            <w:r w:rsidRPr="008E5ECF">
              <w:rPr>
                <w:rFonts w:asciiTheme="majorHAnsi" w:hAnsiTheme="majorHAnsi" w:cstheme="majorHAnsi"/>
                <w:b/>
              </w:rPr>
              <w:fldChar w:fldCharType="begin"/>
            </w:r>
            <w:r w:rsidRPr="008E5ECF">
              <w:rPr>
                <w:rFonts w:asciiTheme="majorHAnsi" w:hAnsiTheme="majorHAnsi" w:cstheme="majorHAnsi"/>
                <w:b/>
              </w:rPr>
              <w:instrText xml:space="preserve"> SEQ Recommendation \* ARABIC </w:instrText>
            </w:r>
            <w:r w:rsidRPr="008E5ECF">
              <w:rPr>
                <w:rFonts w:asciiTheme="majorHAnsi" w:hAnsiTheme="majorHAnsi" w:cstheme="majorHAnsi"/>
                <w:b/>
              </w:rPr>
              <w:fldChar w:fldCharType="separate"/>
            </w:r>
            <w:r w:rsidRPr="008E5ECF">
              <w:rPr>
                <w:rFonts w:asciiTheme="majorHAnsi" w:hAnsiTheme="majorHAnsi" w:cstheme="majorHAnsi"/>
                <w:b/>
              </w:rPr>
              <w:t>2</w:t>
            </w:r>
            <w:r w:rsidRPr="008E5ECF">
              <w:rPr>
                <w:rFonts w:asciiTheme="majorHAnsi" w:hAnsiTheme="majorHAnsi" w:cstheme="majorHAnsi"/>
                <w:b/>
              </w:rPr>
              <w:fldChar w:fldCharType="end"/>
            </w:r>
            <w:r w:rsidRPr="008E5ECF">
              <w:rPr>
                <w:rFonts w:asciiTheme="majorHAnsi" w:hAnsiTheme="majorHAnsi" w:cstheme="majorHAnsi"/>
                <w:b/>
              </w:rPr>
              <w:t>:</w:t>
            </w:r>
            <w:r w:rsidRPr="006529FE">
              <w:rPr>
                <w:bCs/>
              </w:rPr>
              <w:t xml:space="preserve"> </w:t>
            </w:r>
            <w:r>
              <w:rPr>
                <w:bCs/>
              </w:rPr>
              <w:br/>
            </w:r>
            <w:r w:rsidRPr="00456F57">
              <w:rPr>
                <w:sz w:val="20"/>
                <w:szCs w:val="20"/>
              </w:rPr>
              <w:t>DFAT look to avoid duplication and overlap between mechanisms which provide health sector expertise.</w:t>
            </w:r>
          </w:p>
        </w:tc>
        <w:tc>
          <w:tcPr>
            <w:tcW w:w="1276" w:type="dxa"/>
          </w:tcPr>
          <w:p w14:paraId="2C9800DB" w14:textId="0C7767F9" w:rsidR="00A33446" w:rsidRDefault="00A33446" w:rsidP="00376032">
            <w:r>
              <w:t>Agree</w:t>
            </w:r>
          </w:p>
        </w:tc>
        <w:tc>
          <w:tcPr>
            <w:tcW w:w="6237" w:type="dxa"/>
          </w:tcPr>
          <w:p w14:paraId="24F08CFB" w14:textId="4D4649FC" w:rsidR="00A33446" w:rsidRDefault="00A33446" w:rsidP="00E427E6">
            <w:pPr>
              <w:pStyle w:val="Default"/>
              <w:jc w:val="both"/>
            </w:pPr>
            <w:r w:rsidRPr="00456F57">
              <w:rPr>
                <w:sz w:val="20"/>
                <w:szCs w:val="20"/>
              </w:rPr>
              <w:t xml:space="preserve">The procurement for the next phase will be broad and flexible to meet </w:t>
            </w:r>
            <w:r w:rsidRPr="00E427E6">
              <w:rPr>
                <w:rFonts w:asciiTheme="minorHAnsi" w:hAnsiTheme="minorHAnsi" w:cstheme="minorBidi"/>
                <w:color w:val="auto"/>
                <w:sz w:val="20"/>
                <w:szCs w:val="20"/>
              </w:rPr>
              <w:t xml:space="preserve">future health sector expertise needs.  </w:t>
            </w:r>
            <w:r w:rsidR="00E427E6" w:rsidRPr="00E427E6">
              <w:rPr>
                <w:rFonts w:asciiTheme="minorHAnsi" w:hAnsiTheme="minorHAnsi" w:cstheme="minorBidi"/>
                <w:color w:val="auto"/>
                <w:sz w:val="20"/>
                <w:szCs w:val="20"/>
              </w:rPr>
              <w:t>Every effort will be made to remove overlap with existing mechanisms within DFAT going forward.</w:t>
            </w:r>
          </w:p>
        </w:tc>
        <w:tc>
          <w:tcPr>
            <w:tcW w:w="1417" w:type="dxa"/>
          </w:tcPr>
          <w:p w14:paraId="70DABE20" w14:textId="41296072" w:rsidR="00A33446" w:rsidRPr="000479D4" w:rsidRDefault="00A33446" w:rsidP="00376032">
            <w:pPr>
              <w:rPr>
                <w:sz w:val="20"/>
                <w:szCs w:val="20"/>
              </w:rPr>
            </w:pPr>
            <w:r w:rsidRPr="000479D4">
              <w:rPr>
                <w:sz w:val="20"/>
                <w:szCs w:val="20"/>
              </w:rPr>
              <w:t>September 2021 ongoing</w:t>
            </w:r>
          </w:p>
        </w:tc>
      </w:tr>
      <w:tr w:rsidR="0014187F" w14:paraId="0DC704BA" w14:textId="77777777" w:rsidTr="00C869E6">
        <w:tc>
          <w:tcPr>
            <w:tcW w:w="6374" w:type="dxa"/>
          </w:tcPr>
          <w:p w14:paraId="2C9AEDC7" w14:textId="1B2116DD" w:rsidR="00A33446" w:rsidRDefault="00A33446" w:rsidP="00376032">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3</w:t>
            </w:r>
            <w:r w:rsidRPr="00E918DB">
              <w:rPr>
                <w:rFonts w:asciiTheme="majorHAnsi" w:hAnsiTheme="majorHAnsi" w:cstheme="majorHAnsi"/>
                <w:b/>
              </w:rPr>
              <w:fldChar w:fldCharType="end"/>
            </w:r>
            <w:r w:rsidRPr="00E918DB">
              <w:rPr>
                <w:rFonts w:asciiTheme="majorHAnsi" w:hAnsiTheme="majorHAnsi" w:cstheme="majorHAnsi"/>
                <w:b/>
              </w:rPr>
              <w:t>:</w:t>
            </w:r>
            <w:r w:rsidRPr="00E918DB">
              <w:rPr>
                <w:rFonts w:asciiTheme="majorHAnsi" w:hAnsiTheme="majorHAnsi" w:cstheme="majorHAnsi"/>
                <w:b/>
              </w:rPr>
              <w:br/>
            </w:r>
            <w:r w:rsidRPr="00456F57">
              <w:rPr>
                <w:sz w:val="20"/>
                <w:szCs w:val="20"/>
              </w:rPr>
              <w:t>Future support be designed to focus on core areas of health specialist advice, i.e., Universal Health Coverage (health in development) and health security to provide flexibility in terms of the range of technical areas in which support can be provided.</w:t>
            </w:r>
          </w:p>
        </w:tc>
        <w:tc>
          <w:tcPr>
            <w:tcW w:w="1276" w:type="dxa"/>
          </w:tcPr>
          <w:p w14:paraId="4EA0AE6E" w14:textId="5554B313" w:rsidR="00A33446" w:rsidRDefault="00A33446" w:rsidP="00376032">
            <w:r>
              <w:t>Agree</w:t>
            </w:r>
          </w:p>
        </w:tc>
        <w:tc>
          <w:tcPr>
            <w:tcW w:w="6237" w:type="dxa"/>
          </w:tcPr>
          <w:p w14:paraId="7CA019B2" w14:textId="20F52439" w:rsidR="00A33446" w:rsidRDefault="00A33446" w:rsidP="008B6233">
            <w:pPr>
              <w:jc w:val="both"/>
            </w:pPr>
            <w:r w:rsidRPr="00456F57">
              <w:rPr>
                <w:sz w:val="20"/>
                <w:szCs w:val="20"/>
              </w:rPr>
              <w:t>Discussions with the</w:t>
            </w:r>
            <w:r>
              <w:rPr>
                <w:sz w:val="20"/>
                <w:szCs w:val="20"/>
              </w:rPr>
              <w:t xml:space="preserve"> future</w:t>
            </w:r>
            <w:r w:rsidRPr="00456F57">
              <w:rPr>
                <w:sz w:val="20"/>
                <w:szCs w:val="20"/>
              </w:rPr>
              <w:t xml:space="preserve"> provider to ensure this process remains flexible will </w:t>
            </w:r>
            <w:r w:rsidR="005B641F">
              <w:rPr>
                <w:sz w:val="20"/>
                <w:szCs w:val="20"/>
              </w:rPr>
              <w:t>be included in</w:t>
            </w:r>
            <w:r w:rsidRPr="00456F57">
              <w:rPr>
                <w:sz w:val="20"/>
                <w:szCs w:val="20"/>
              </w:rPr>
              <w:t xml:space="preserve"> contract negotiation and </w:t>
            </w:r>
            <w:r>
              <w:rPr>
                <w:sz w:val="20"/>
                <w:szCs w:val="20"/>
              </w:rPr>
              <w:t>ongoing review as part of</w:t>
            </w:r>
            <w:r w:rsidRPr="00456F57">
              <w:rPr>
                <w:sz w:val="20"/>
                <w:szCs w:val="20"/>
              </w:rPr>
              <w:t xml:space="preserve"> the Steering Committee’s process.</w:t>
            </w:r>
          </w:p>
        </w:tc>
        <w:tc>
          <w:tcPr>
            <w:tcW w:w="1417" w:type="dxa"/>
          </w:tcPr>
          <w:p w14:paraId="2506B7D4" w14:textId="037D9B96" w:rsidR="00A33446" w:rsidRPr="000479D4" w:rsidRDefault="00A33446" w:rsidP="00376032">
            <w:pPr>
              <w:rPr>
                <w:sz w:val="20"/>
                <w:szCs w:val="20"/>
              </w:rPr>
            </w:pPr>
            <w:r w:rsidRPr="000479D4">
              <w:rPr>
                <w:sz w:val="20"/>
                <w:szCs w:val="20"/>
              </w:rPr>
              <w:t>June 2022 ongoing</w:t>
            </w:r>
          </w:p>
        </w:tc>
      </w:tr>
      <w:tr w:rsidR="0014187F" w14:paraId="53827263" w14:textId="77777777" w:rsidTr="00C869E6">
        <w:tc>
          <w:tcPr>
            <w:tcW w:w="6374" w:type="dxa"/>
          </w:tcPr>
          <w:p w14:paraId="12584855" w14:textId="0AB31637" w:rsidR="00A33446" w:rsidRDefault="00A33446" w:rsidP="00376032">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4</w:t>
            </w:r>
            <w:r w:rsidRPr="00E918DB">
              <w:rPr>
                <w:rFonts w:asciiTheme="majorHAnsi" w:hAnsiTheme="majorHAnsi" w:cstheme="majorHAnsi"/>
                <w:b/>
              </w:rPr>
              <w:fldChar w:fldCharType="end"/>
            </w:r>
            <w:r w:rsidRPr="00E918DB">
              <w:rPr>
                <w:rFonts w:asciiTheme="majorHAnsi" w:hAnsiTheme="majorHAnsi" w:cstheme="majorHAnsi"/>
                <w:b/>
              </w:rPr>
              <w:t>:</w:t>
            </w:r>
            <w:r w:rsidRPr="00E918DB">
              <w:rPr>
                <w:rFonts w:asciiTheme="majorHAnsi" w:hAnsiTheme="majorHAnsi" w:cstheme="majorHAnsi"/>
                <w:b/>
              </w:rPr>
              <w:br/>
            </w:r>
            <w:r w:rsidRPr="00456F57">
              <w:rPr>
                <w:sz w:val="20"/>
                <w:szCs w:val="20"/>
              </w:rPr>
              <w:t>DFAT to encourage open recruitments for technical assignments where it is appropriate to do so and where time is not a critical factor.</w:t>
            </w:r>
          </w:p>
        </w:tc>
        <w:tc>
          <w:tcPr>
            <w:tcW w:w="1276" w:type="dxa"/>
          </w:tcPr>
          <w:p w14:paraId="5FDB94FB" w14:textId="5A8115E0" w:rsidR="00A33446" w:rsidRDefault="00A33446" w:rsidP="00376032">
            <w:r>
              <w:t>Agree</w:t>
            </w:r>
          </w:p>
        </w:tc>
        <w:tc>
          <w:tcPr>
            <w:tcW w:w="6237" w:type="dxa"/>
          </w:tcPr>
          <w:p w14:paraId="493EBE3E" w14:textId="1122BD6E" w:rsidR="00A33446" w:rsidRDefault="00A33446" w:rsidP="008B6233">
            <w:pPr>
              <w:jc w:val="both"/>
            </w:pPr>
            <w:r>
              <w:rPr>
                <w:sz w:val="20"/>
                <w:szCs w:val="20"/>
              </w:rPr>
              <w:t>DFAT will work with the future provider to ensure processes are both</w:t>
            </w:r>
            <w:r w:rsidRPr="00456F57">
              <w:rPr>
                <w:sz w:val="20"/>
                <w:szCs w:val="20"/>
              </w:rPr>
              <w:t xml:space="preserve"> flexib</w:t>
            </w:r>
            <w:r>
              <w:rPr>
                <w:sz w:val="20"/>
                <w:szCs w:val="20"/>
              </w:rPr>
              <w:t>le</w:t>
            </w:r>
            <w:r w:rsidRPr="00456F57">
              <w:rPr>
                <w:sz w:val="20"/>
                <w:szCs w:val="20"/>
              </w:rPr>
              <w:t xml:space="preserve"> and </w:t>
            </w:r>
            <w:r>
              <w:rPr>
                <w:sz w:val="20"/>
                <w:szCs w:val="20"/>
              </w:rPr>
              <w:t>transparent, to yield the most appropriate candidates for the support required.</w:t>
            </w:r>
          </w:p>
        </w:tc>
        <w:tc>
          <w:tcPr>
            <w:tcW w:w="1417" w:type="dxa"/>
          </w:tcPr>
          <w:p w14:paraId="07153442" w14:textId="640E11EA" w:rsidR="00A33446" w:rsidRPr="000479D4" w:rsidRDefault="00A33446" w:rsidP="00376032">
            <w:pPr>
              <w:rPr>
                <w:sz w:val="20"/>
                <w:szCs w:val="20"/>
              </w:rPr>
            </w:pPr>
            <w:r w:rsidRPr="000479D4">
              <w:rPr>
                <w:sz w:val="20"/>
                <w:szCs w:val="20"/>
              </w:rPr>
              <w:t>June 2022 ongoing</w:t>
            </w:r>
          </w:p>
        </w:tc>
      </w:tr>
      <w:tr w:rsidR="0014187F" w14:paraId="3EDA857A" w14:textId="77777777" w:rsidTr="00C869E6">
        <w:tc>
          <w:tcPr>
            <w:tcW w:w="6374" w:type="dxa"/>
          </w:tcPr>
          <w:p w14:paraId="4840EB17" w14:textId="3FE1480F" w:rsidR="00A33446" w:rsidRDefault="00A33446" w:rsidP="00376032">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5</w:t>
            </w:r>
            <w:r w:rsidRPr="00E918DB">
              <w:rPr>
                <w:rFonts w:asciiTheme="majorHAnsi" w:hAnsiTheme="majorHAnsi" w:cstheme="majorHAnsi"/>
                <w:b/>
              </w:rPr>
              <w:fldChar w:fldCharType="end"/>
            </w:r>
            <w:r>
              <w:rPr>
                <w:bCs/>
                <w:noProof/>
              </w:rPr>
              <w:t>:</w:t>
            </w:r>
            <w:r>
              <w:rPr>
                <w:bCs/>
              </w:rPr>
              <w:br/>
            </w:r>
            <w:r w:rsidRPr="00456F57">
              <w:rPr>
                <w:sz w:val="20"/>
                <w:szCs w:val="20"/>
              </w:rPr>
              <w:t>Access to a diverse consultant pool should be a key selection criterion in the tender process for the successor to SHS.</w:t>
            </w:r>
          </w:p>
        </w:tc>
        <w:tc>
          <w:tcPr>
            <w:tcW w:w="1276" w:type="dxa"/>
          </w:tcPr>
          <w:p w14:paraId="7D879F6D" w14:textId="68AD44DB" w:rsidR="00A33446" w:rsidRDefault="00A33446" w:rsidP="00376032">
            <w:r>
              <w:t>Agree</w:t>
            </w:r>
          </w:p>
        </w:tc>
        <w:tc>
          <w:tcPr>
            <w:tcW w:w="6237" w:type="dxa"/>
          </w:tcPr>
          <w:p w14:paraId="21DCF060" w14:textId="6E8E4FDB" w:rsidR="00A33446" w:rsidRDefault="00A33446" w:rsidP="008B6233">
            <w:pPr>
              <w:jc w:val="both"/>
            </w:pPr>
            <w:r w:rsidRPr="00456F57">
              <w:rPr>
                <w:sz w:val="20"/>
                <w:szCs w:val="20"/>
              </w:rPr>
              <w:t xml:space="preserve">The procurement process </w:t>
            </w:r>
            <w:r w:rsidR="005B641F">
              <w:rPr>
                <w:sz w:val="20"/>
                <w:szCs w:val="20"/>
              </w:rPr>
              <w:t xml:space="preserve">will include a </w:t>
            </w:r>
            <w:r w:rsidRPr="00456F57">
              <w:rPr>
                <w:sz w:val="20"/>
                <w:szCs w:val="20"/>
              </w:rPr>
              <w:t>selection</w:t>
            </w:r>
            <w:r w:rsidR="005B641F">
              <w:rPr>
                <w:sz w:val="20"/>
                <w:szCs w:val="20"/>
              </w:rPr>
              <w:t xml:space="preserve"> </w:t>
            </w:r>
            <w:r w:rsidRPr="00456F57">
              <w:rPr>
                <w:sz w:val="20"/>
                <w:szCs w:val="20"/>
              </w:rPr>
              <w:t xml:space="preserve">criteria </w:t>
            </w:r>
            <w:r w:rsidR="005B641F">
              <w:rPr>
                <w:sz w:val="20"/>
                <w:szCs w:val="20"/>
              </w:rPr>
              <w:t xml:space="preserve">on </w:t>
            </w:r>
            <w:r w:rsidRPr="00456F57">
              <w:rPr>
                <w:sz w:val="20"/>
                <w:szCs w:val="20"/>
              </w:rPr>
              <w:t>the providers ability to demonstrate access to a diverse consultant pool</w:t>
            </w:r>
            <w:r w:rsidR="0025499E">
              <w:rPr>
                <w:sz w:val="20"/>
                <w:szCs w:val="20"/>
              </w:rPr>
              <w:t>.</w:t>
            </w:r>
          </w:p>
        </w:tc>
        <w:tc>
          <w:tcPr>
            <w:tcW w:w="1417" w:type="dxa"/>
          </w:tcPr>
          <w:p w14:paraId="33FE539D" w14:textId="35F25CF1" w:rsidR="00A33446" w:rsidRPr="000479D4" w:rsidRDefault="00A33446" w:rsidP="00376032">
            <w:pPr>
              <w:rPr>
                <w:sz w:val="20"/>
                <w:szCs w:val="20"/>
              </w:rPr>
            </w:pPr>
            <w:r w:rsidRPr="000479D4">
              <w:rPr>
                <w:sz w:val="20"/>
                <w:szCs w:val="20"/>
              </w:rPr>
              <w:t>September 2021 – March 2022</w:t>
            </w:r>
          </w:p>
        </w:tc>
      </w:tr>
      <w:tr w:rsidR="0014187F" w14:paraId="2A272594" w14:textId="4DD1FD09" w:rsidTr="00C869E6">
        <w:tc>
          <w:tcPr>
            <w:tcW w:w="6374" w:type="dxa"/>
          </w:tcPr>
          <w:p w14:paraId="720002E5" w14:textId="43B84D6D" w:rsidR="00A33446" w:rsidRDefault="00A33446" w:rsidP="00376032">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6</w:t>
            </w:r>
            <w:r w:rsidRPr="00E918DB">
              <w:rPr>
                <w:rFonts w:asciiTheme="majorHAnsi" w:hAnsiTheme="majorHAnsi" w:cstheme="majorHAnsi"/>
                <w:b/>
              </w:rPr>
              <w:fldChar w:fldCharType="end"/>
            </w:r>
            <w:r w:rsidRPr="00E918DB">
              <w:rPr>
                <w:rFonts w:asciiTheme="majorHAnsi" w:hAnsiTheme="majorHAnsi" w:cstheme="majorHAnsi"/>
                <w:b/>
              </w:rPr>
              <w:t>:</w:t>
            </w:r>
            <w:r w:rsidRPr="00E918DB">
              <w:rPr>
                <w:rFonts w:asciiTheme="majorHAnsi" w:hAnsiTheme="majorHAnsi" w:cstheme="majorHAnsi"/>
                <w:b/>
              </w:rPr>
              <w:br/>
            </w:r>
            <w:r w:rsidRPr="00456F57">
              <w:rPr>
                <w:sz w:val="20"/>
                <w:szCs w:val="20"/>
              </w:rPr>
              <w:t>The next phase support a formal mentoring program to expand the pool of technical experts with DFAT and Pacific Island nation experience.</w:t>
            </w:r>
          </w:p>
        </w:tc>
        <w:tc>
          <w:tcPr>
            <w:tcW w:w="1276" w:type="dxa"/>
          </w:tcPr>
          <w:p w14:paraId="057C0A59" w14:textId="642041E6" w:rsidR="00A33446" w:rsidRDefault="00A33446" w:rsidP="00376032">
            <w:r>
              <w:t>Agree</w:t>
            </w:r>
          </w:p>
        </w:tc>
        <w:tc>
          <w:tcPr>
            <w:tcW w:w="6237" w:type="dxa"/>
          </w:tcPr>
          <w:p w14:paraId="3BD3CDDF" w14:textId="4A344C5A" w:rsidR="00A33446" w:rsidRPr="00A622E0" w:rsidRDefault="00A33446" w:rsidP="00A622E0">
            <w:pPr>
              <w:pStyle w:val="Default"/>
              <w:jc w:val="both"/>
              <w:rPr>
                <w:sz w:val="20"/>
                <w:szCs w:val="20"/>
              </w:rPr>
            </w:pPr>
            <w:r w:rsidRPr="00456F57">
              <w:rPr>
                <w:sz w:val="20"/>
                <w:szCs w:val="20"/>
              </w:rPr>
              <w:t>The preferences for a formal mentoring program will be includ</w:t>
            </w:r>
            <w:r>
              <w:rPr>
                <w:sz w:val="20"/>
                <w:szCs w:val="20"/>
              </w:rPr>
              <w:t>ed</w:t>
            </w:r>
            <w:r w:rsidRPr="00456F57">
              <w:rPr>
                <w:sz w:val="20"/>
                <w:szCs w:val="20"/>
              </w:rPr>
              <w:t xml:space="preserve"> in the S</w:t>
            </w:r>
            <w:r>
              <w:rPr>
                <w:sz w:val="20"/>
                <w:szCs w:val="20"/>
              </w:rPr>
              <w:t xml:space="preserve">tatement of </w:t>
            </w:r>
            <w:r w:rsidRPr="00456F57">
              <w:rPr>
                <w:sz w:val="20"/>
                <w:szCs w:val="20"/>
              </w:rPr>
              <w:t>R</w:t>
            </w:r>
            <w:r>
              <w:rPr>
                <w:sz w:val="20"/>
                <w:szCs w:val="20"/>
              </w:rPr>
              <w:t>equirement for the new service request</w:t>
            </w:r>
            <w:r w:rsidR="005B641F">
              <w:rPr>
                <w:sz w:val="20"/>
                <w:szCs w:val="20"/>
              </w:rPr>
              <w:t>,</w:t>
            </w:r>
            <w:r w:rsidR="00127277">
              <w:rPr>
                <w:sz w:val="20"/>
                <w:szCs w:val="20"/>
              </w:rPr>
              <w:t xml:space="preserve"> </w:t>
            </w:r>
            <w:r>
              <w:rPr>
                <w:sz w:val="20"/>
                <w:szCs w:val="20"/>
              </w:rPr>
              <w:t>with subsequent strategic oversight by</w:t>
            </w:r>
            <w:r w:rsidRPr="00456F57">
              <w:rPr>
                <w:sz w:val="20"/>
                <w:szCs w:val="20"/>
              </w:rPr>
              <w:t xml:space="preserve"> the </w:t>
            </w:r>
            <w:r w:rsidRPr="00456F57">
              <w:rPr>
                <w:color w:val="auto"/>
                <w:sz w:val="20"/>
                <w:szCs w:val="20"/>
              </w:rPr>
              <w:t>Steering Committee.</w:t>
            </w:r>
          </w:p>
        </w:tc>
        <w:tc>
          <w:tcPr>
            <w:tcW w:w="1417" w:type="dxa"/>
          </w:tcPr>
          <w:p w14:paraId="0BE51F69" w14:textId="2C169866" w:rsidR="00A33446" w:rsidRPr="000479D4" w:rsidRDefault="00A33446" w:rsidP="00376032">
            <w:pPr>
              <w:rPr>
                <w:sz w:val="20"/>
                <w:szCs w:val="20"/>
              </w:rPr>
            </w:pPr>
            <w:r w:rsidRPr="000479D4">
              <w:rPr>
                <w:sz w:val="20"/>
                <w:szCs w:val="20"/>
              </w:rPr>
              <w:t>June 2022 ongoing</w:t>
            </w:r>
          </w:p>
        </w:tc>
      </w:tr>
      <w:tr w:rsidR="0014187F" w14:paraId="51701EDE" w14:textId="77777777" w:rsidTr="00C869E6">
        <w:tc>
          <w:tcPr>
            <w:tcW w:w="6374" w:type="dxa"/>
          </w:tcPr>
          <w:p w14:paraId="28DC1FAB" w14:textId="7D40DE46" w:rsidR="00A33446" w:rsidRPr="00E918DB" w:rsidRDefault="00A33446" w:rsidP="00376032">
            <w:pPr>
              <w:rPr>
                <w:rFonts w:asciiTheme="majorHAnsi" w:hAnsiTheme="majorHAnsi" w:cstheme="majorHAnsi"/>
                <w:b/>
              </w:rPr>
            </w:pPr>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7</w:t>
            </w:r>
            <w:r w:rsidRPr="00E918DB">
              <w:rPr>
                <w:rFonts w:asciiTheme="majorHAnsi" w:hAnsiTheme="majorHAnsi" w:cstheme="majorHAnsi"/>
                <w:b/>
              </w:rPr>
              <w:fldChar w:fldCharType="end"/>
            </w:r>
            <w:r>
              <w:rPr>
                <w:bCs/>
                <w:noProof/>
              </w:rPr>
              <w:t>:</w:t>
            </w:r>
            <w:r>
              <w:rPr>
                <w:bCs/>
                <w:noProof/>
              </w:rPr>
              <w:br/>
            </w:r>
            <w:r w:rsidRPr="00456F57">
              <w:rPr>
                <w:sz w:val="20"/>
                <w:szCs w:val="20"/>
              </w:rPr>
              <w:t>DFAT increase internal capacity to support strategic health sector engagement, including coherence of policy and programs and of DFAT officers’ capacity to effectively participate in health policy dialogue and manage health investments.</w:t>
            </w:r>
          </w:p>
        </w:tc>
        <w:tc>
          <w:tcPr>
            <w:tcW w:w="1276" w:type="dxa"/>
          </w:tcPr>
          <w:p w14:paraId="1FB7AAC1" w14:textId="7DA2EC1F" w:rsidR="00A33446" w:rsidRDefault="00A33446" w:rsidP="00376032">
            <w:r>
              <w:t>Agree in principle</w:t>
            </w:r>
          </w:p>
        </w:tc>
        <w:tc>
          <w:tcPr>
            <w:tcW w:w="6237" w:type="dxa"/>
          </w:tcPr>
          <w:p w14:paraId="004D0498" w14:textId="35039092" w:rsidR="00A33446" w:rsidRPr="003F7DA0" w:rsidRDefault="00A33446" w:rsidP="003F7DA0">
            <w:pPr>
              <w:pStyle w:val="Default"/>
              <w:jc w:val="both"/>
              <w:rPr>
                <w:rFonts w:asciiTheme="minorHAnsi" w:hAnsiTheme="minorHAnsi" w:cstheme="minorHAnsi"/>
                <w:color w:val="auto"/>
                <w:sz w:val="20"/>
                <w:szCs w:val="20"/>
              </w:rPr>
            </w:pPr>
            <w:r w:rsidRPr="00456F57">
              <w:rPr>
                <w:rFonts w:asciiTheme="minorHAnsi" w:hAnsiTheme="minorHAnsi" w:cstheme="minorHAnsi"/>
                <w:sz w:val="20"/>
                <w:szCs w:val="20"/>
              </w:rPr>
              <w:t xml:space="preserve">The department will </w:t>
            </w:r>
            <w:r w:rsidR="005B641F">
              <w:rPr>
                <w:rFonts w:asciiTheme="minorHAnsi" w:hAnsiTheme="minorHAnsi" w:cstheme="minorHAnsi"/>
                <w:sz w:val="20"/>
                <w:szCs w:val="20"/>
              </w:rPr>
              <w:t>consider</w:t>
            </w:r>
            <w:r w:rsidRPr="00456F57">
              <w:rPr>
                <w:rFonts w:asciiTheme="minorHAnsi" w:hAnsiTheme="minorHAnsi" w:cstheme="minorHAnsi"/>
                <w:sz w:val="20"/>
                <w:szCs w:val="20"/>
              </w:rPr>
              <w:t xml:space="preserve"> way</w:t>
            </w:r>
            <w:r>
              <w:rPr>
                <w:rFonts w:asciiTheme="minorHAnsi" w:hAnsiTheme="minorHAnsi" w:cstheme="minorHAnsi"/>
                <w:sz w:val="20"/>
                <w:szCs w:val="20"/>
              </w:rPr>
              <w:t>s</w:t>
            </w:r>
            <w:r w:rsidRPr="00456F57">
              <w:rPr>
                <w:rFonts w:asciiTheme="minorHAnsi" w:hAnsiTheme="minorHAnsi" w:cstheme="minorHAnsi"/>
                <w:sz w:val="20"/>
                <w:szCs w:val="20"/>
              </w:rPr>
              <w:t xml:space="preserve"> it can support </w:t>
            </w:r>
            <w:r w:rsidRPr="00456F57">
              <w:rPr>
                <w:rFonts w:asciiTheme="minorHAnsi" w:hAnsiTheme="minorHAnsi" w:cstheme="minorHAnsi"/>
                <w:color w:val="auto"/>
                <w:sz w:val="20"/>
                <w:szCs w:val="20"/>
              </w:rPr>
              <w:t xml:space="preserve">strategic health sector </w:t>
            </w:r>
            <w:r>
              <w:rPr>
                <w:rFonts w:asciiTheme="minorHAnsi" w:hAnsiTheme="minorHAnsi" w:cstheme="minorHAnsi"/>
                <w:color w:val="auto"/>
                <w:sz w:val="20"/>
                <w:szCs w:val="20"/>
              </w:rPr>
              <w:t xml:space="preserve">programming and policy </w:t>
            </w:r>
            <w:r w:rsidRPr="00456F57">
              <w:rPr>
                <w:rFonts w:asciiTheme="minorHAnsi" w:hAnsiTheme="minorHAnsi" w:cstheme="minorHAnsi"/>
                <w:color w:val="auto"/>
                <w:sz w:val="20"/>
                <w:szCs w:val="20"/>
              </w:rPr>
              <w:t xml:space="preserve">coherence </w:t>
            </w:r>
            <w:r>
              <w:rPr>
                <w:rFonts w:asciiTheme="minorHAnsi" w:hAnsiTheme="minorHAnsi" w:cstheme="minorHAnsi"/>
                <w:color w:val="auto"/>
                <w:sz w:val="20"/>
                <w:szCs w:val="20"/>
              </w:rPr>
              <w:t>by aiming for</w:t>
            </w:r>
            <w:r w:rsidRPr="00456F57">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relevant </w:t>
            </w:r>
            <w:r w:rsidRPr="00456F57">
              <w:rPr>
                <w:rFonts w:asciiTheme="minorHAnsi" w:hAnsiTheme="minorHAnsi" w:cstheme="minorHAnsi"/>
                <w:color w:val="auto"/>
                <w:sz w:val="20"/>
                <w:szCs w:val="20"/>
              </w:rPr>
              <w:t xml:space="preserve">DFAT officers </w:t>
            </w:r>
            <w:r>
              <w:rPr>
                <w:rFonts w:asciiTheme="minorHAnsi" w:hAnsiTheme="minorHAnsi" w:cstheme="minorHAnsi"/>
                <w:color w:val="auto"/>
                <w:sz w:val="20"/>
                <w:szCs w:val="20"/>
              </w:rPr>
              <w:t xml:space="preserve">to </w:t>
            </w:r>
            <w:r w:rsidRPr="00456F57">
              <w:rPr>
                <w:rFonts w:asciiTheme="minorHAnsi" w:hAnsiTheme="minorHAnsi" w:cstheme="minorHAnsi"/>
                <w:color w:val="auto"/>
                <w:sz w:val="20"/>
                <w:szCs w:val="20"/>
              </w:rPr>
              <w:t xml:space="preserve">have the </w:t>
            </w:r>
            <w:r>
              <w:rPr>
                <w:rFonts w:asciiTheme="minorHAnsi" w:hAnsiTheme="minorHAnsi" w:cstheme="minorHAnsi"/>
                <w:color w:val="auto"/>
                <w:sz w:val="20"/>
                <w:szCs w:val="20"/>
              </w:rPr>
              <w:t>necessary</w:t>
            </w:r>
            <w:r w:rsidRPr="00456F57">
              <w:rPr>
                <w:rFonts w:asciiTheme="minorHAnsi" w:hAnsiTheme="minorHAnsi" w:cstheme="minorHAnsi"/>
                <w:color w:val="auto"/>
                <w:sz w:val="20"/>
                <w:szCs w:val="20"/>
              </w:rPr>
              <w:t xml:space="preserve"> capabilities (or training to gain the capabilities) to effectively participate health policy dialogue and manage health investments.</w:t>
            </w:r>
            <w:r w:rsidR="00E427E6">
              <w:rPr>
                <w:rFonts w:asciiTheme="minorHAnsi" w:hAnsiTheme="minorHAnsi" w:cstheme="minorHAnsi"/>
                <w:color w:val="auto"/>
                <w:sz w:val="20"/>
                <w:szCs w:val="20"/>
              </w:rPr>
              <w:t xml:space="preserve"> </w:t>
            </w:r>
            <w:r w:rsidR="00E427E6" w:rsidRPr="00E427E6">
              <w:rPr>
                <w:rFonts w:asciiTheme="minorHAnsi" w:hAnsiTheme="minorHAnsi" w:cstheme="minorHAnsi"/>
                <w:color w:val="auto"/>
                <w:sz w:val="20"/>
                <w:szCs w:val="20"/>
              </w:rPr>
              <w:t>The procurement for the next phase of the SHS will include a knowledge building component to support internal capacity</w:t>
            </w:r>
            <w:r w:rsidR="00E427E6">
              <w:rPr>
                <w:rFonts w:asciiTheme="minorHAnsi" w:hAnsiTheme="minorHAnsi" w:cstheme="minorHAnsi"/>
                <w:color w:val="auto"/>
                <w:sz w:val="20"/>
                <w:szCs w:val="20"/>
              </w:rPr>
              <w:t>.</w:t>
            </w:r>
          </w:p>
        </w:tc>
        <w:tc>
          <w:tcPr>
            <w:tcW w:w="1417" w:type="dxa"/>
          </w:tcPr>
          <w:p w14:paraId="25B5FB22" w14:textId="55FE4E23" w:rsidR="00A33446" w:rsidRPr="000479D4" w:rsidRDefault="00A33446" w:rsidP="00376032">
            <w:pPr>
              <w:rPr>
                <w:sz w:val="20"/>
                <w:szCs w:val="20"/>
              </w:rPr>
            </w:pPr>
            <w:r w:rsidRPr="000479D4">
              <w:rPr>
                <w:sz w:val="20"/>
                <w:szCs w:val="20"/>
              </w:rPr>
              <w:t>September 2021 and ongoing</w:t>
            </w:r>
          </w:p>
        </w:tc>
      </w:tr>
      <w:tr w:rsidR="0014187F" w14:paraId="2C680936" w14:textId="77777777" w:rsidTr="00C869E6">
        <w:tc>
          <w:tcPr>
            <w:tcW w:w="6374" w:type="dxa"/>
          </w:tcPr>
          <w:p w14:paraId="3872A1C2" w14:textId="1D090151" w:rsidR="00A33446" w:rsidRPr="00E918DB" w:rsidRDefault="00A33446" w:rsidP="00376032">
            <w:pPr>
              <w:rPr>
                <w:rFonts w:asciiTheme="majorHAnsi" w:hAnsiTheme="majorHAnsi" w:cstheme="majorHAnsi"/>
                <w:b/>
              </w:rPr>
            </w:pPr>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8</w:t>
            </w:r>
            <w:r w:rsidRPr="00E918DB">
              <w:rPr>
                <w:rFonts w:asciiTheme="majorHAnsi" w:hAnsiTheme="majorHAnsi" w:cstheme="majorHAnsi"/>
                <w:b/>
              </w:rPr>
              <w:fldChar w:fldCharType="end"/>
            </w:r>
            <w:r>
              <w:rPr>
                <w:bCs/>
                <w:noProof/>
              </w:rPr>
              <w:t>:</w:t>
            </w:r>
            <w:r>
              <w:rPr>
                <w:bCs/>
                <w:noProof/>
              </w:rPr>
              <w:br/>
            </w:r>
            <w:r w:rsidRPr="00456F57">
              <w:rPr>
                <w:sz w:val="20"/>
                <w:szCs w:val="20"/>
              </w:rPr>
              <w:t>Implement strategies within DFAT to increase awareness and use of any future Facility.</w:t>
            </w:r>
          </w:p>
        </w:tc>
        <w:tc>
          <w:tcPr>
            <w:tcW w:w="1276" w:type="dxa"/>
          </w:tcPr>
          <w:p w14:paraId="20B46486" w14:textId="709779C4" w:rsidR="00A33446" w:rsidRDefault="00A33446" w:rsidP="00376032">
            <w:r>
              <w:t>Agree</w:t>
            </w:r>
          </w:p>
        </w:tc>
        <w:tc>
          <w:tcPr>
            <w:tcW w:w="6237" w:type="dxa"/>
          </w:tcPr>
          <w:p w14:paraId="4C109178" w14:textId="3CA37B45" w:rsidR="00A33446" w:rsidRPr="00A91943" w:rsidRDefault="00A33446" w:rsidP="00A91943">
            <w:pPr>
              <w:pStyle w:val="Default"/>
              <w:jc w:val="both"/>
              <w:rPr>
                <w:rFonts w:asciiTheme="minorHAnsi" w:hAnsiTheme="minorHAnsi" w:cstheme="minorHAnsi"/>
                <w:sz w:val="20"/>
                <w:szCs w:val="20"/>
              </w:rPr>
            </w:pPr>
            <w:r>
              <w:rPr>
                <w:rFonts w:asciiTheme="minorHAnsi" w:hAnsiTheme="minorHAnsi" w:cstheme="minorHAnsi"/>
                <w:sz w:val="20"/>
                <w:szCs w:val="20"/>
              </w:rPr>
              <w:t xml:space="preserve">Health Policy Branch </w:t>
            </w:r>
            <w:r w:rsidR="00DC35D1">
              <w:rPr>
                <w:rFonts w:asciiTheme="minorHAnsi" w:hAnsiTheme="minorHAnsi" w:cstheme="minorHAnsi"/>
                <w:sz w:val="20"/>
                <w:szCs w:val="20"/>
              </w:rPr>
              <w:t xml:space="preserve">will continue </w:t>
            </w:r>
            <w:r>
              <w:rPr>
                <w:rFonts w:asciiTheme="minorHAnsi" w:hAnsiTheme="minorHAnsi" w:cstheme="minorHAnsi"/>
                <w:sz w:val="20"/>
                <w:szCs w:val="20"/>
              </w:rPr>
              <w:t xml:space="preserve">to promote </w:t>
            </w:r>
            <w:r w:rsidR="00DC35D1">
              <w:rPr>
                <w:rFonts w:asciiTheme="minorHAnsi" w:hAnsiTheme="minorHAnsi" w:cstheme="minorHAnsi"/>
                <w:sz w:val="20"/>
                <w:szCs w:val="20"/>
              </w:rPr>
              <w:t>SHS</w:t>
            </w:r>
            <w:r>
              <w:rPr>
                <w:rFonts w:asciiTheme="minorHAnsi" w:hAnsiTheme="minorHAnsi" w:cstheme="minorHAnsi"/>
                <w:sz w:val="20"/>
                <w:szCs w:val="20"/>
              </w:rPr>
              <w:t xml:space="preserve"> within </w:t>
            </w:r>
            <w:r w:rsidRPr="00456F57">
              <w:rPr>
                <w:rFonts w:asciiTheme="minorHAnsi" w:hAnsiTheme="minorHAnsi" w:cstheme="minorHAnsi"/>
                <w:sz w:val="20"/>
                <w:szCs w:val="20"/>
              </w:rPr>
              <w:t>DFAT</w:t>
            </w:r>
            <w:r w:rsidR="00DC35D1">
              <w:rPr>
                <w:rFonts w:asciiTheme="minorHAnsi" w:hAnsiTheme="minorHAnsi" w:cstheme="minorHAnsi"/>
                <w:sz w:val="20"/>
                <w:szCs w:val="20"/>
              </w:rPr>
              <w:t xml:space="preserve">.  The </w:t>
            </w:r>
            <w:r w:rsidR="005B641F">
              <w:rPr>
                <w:rFonts w:asciiTheme="minorHAnsi" w:hAnsiTheme="minorHAnsi" w:cstheme="minorHAnsi"/>
                <w:sz w:val="20"/>
                <w:szCs w:val="20"/>
              </w:rPr>
              <w:t>structure of the next phase of technical support</w:t>
            </w:r>
            <w:r w:rsidR="00DC35D1">
              <w:rPr>
                <w:rFonts w:asciiTheme="minorHAnsi" w:hAnsiTheme="minorHAnsi" w:cstheme="minorHAnsi"/>
                <w:sz w:val="20"/>
                <w:szCs w:val="20"/>
              </w:rPr>
              <w:t xml:space="preserve"> will include a specific focus on this</w:t>
            </w:r>
            <w:r>
              <w:rPr>
                <w:rFonts w:asciiTheme="minorHAnsi" w:hAnsiTheme="minorHAnsi" w:cstheme="minorHAnsi"/>
                <w:sz w:val="20"/>
                <w:szCs w:val="20"/>
              </w:rPr>
              <w:t>.</w:t>
            </w:r>
          </w:p>
        </w:tc>
        <w:tc>
          <w:tcPr>
            <w:tcW w:w="1417" w:type="dxa"/>
          </w:tcPr>
          <w:p w14:paraId="32A98535" w14:textId="18DBF45C" w:rsidR="00A33446" w:rsidRPr="000479D4" w:rsidRDefault="00A33446" w:rsidP="00376032">
            <w:pPr>
              <w:rPr>
                <w:sz w:val="20"/>
                <w:szCs w:val="20"/>
              </w:rPr>
            </w:pPr>
            <w:r w:rsidRPr="000479D4">
              <w:rPr>
                <w:sz w:val="20"/>
                <w:szCs w:val="20"/>
              </w:rPr>
              <w:t>September 2021 and ongoing</w:t>
            </w:r>
          </w:p>
        </w:tc>
      </w:tr>
      <w:tr w:rsidR="0014187F" w14:paraId="0C0D9F6F" w14:textId="77777777" w:rsidTr="00C869E6">
        <w:tc>
          <w:tcPr>
            <w:tcW w:w="6374" w:type="dxa"/>
          </w:tcPr>
          <w:p w14:paraId="2B66F7D5" w14:textId="659A2F19" w:rsidR="00A33446" w:rsidRPr="00E918DB" w:rsidRDefault="00A33446" w:rsidP="00376032">
            <w:pPr>
              <w:rPr>
                <w:rFonts w:asciiTheme="majorHAnsi" w:hAnsiTheme="majorHAnsi" w:cstheme="majorHAnsi"/>
                <w:b/>
              </w:rPr>
            </w:pPr>
            <w:r w:rsidRPr="00E918DB">
              <w:rPr>
                <w:rFonts w:asciiTheme="majorHAnsi" w:hAnsiTheme="majorHAnsi" w:cstheme="majorHAnsi"/>
                <w:b/>
              </w:rPr>
              <w:t xml:space="preserve">Recommendation </w:t>
            </w:r>
            <w:r w:rsidRPr="00E918DB">
              <w:rPr>
                <w:rFonts w:asciiTheme="majorHAnsi" w:hAnsiTheme="majorHAnsi" w:cstheme="majorHAnsi"/>
                <w:b/>
              </w:rPr>
              <w:fldChar w:fldCharType="begin"/>
            </w:r>
            <w:r w:rsidRPr="00E918DB">
              <w:rPr>
                <w:rFonts w:asciiTheme="majorHAnsi" w:hAnsiTheme="majorHAnsi" w:cstheme="majorHAnsi"/>
                <w:b/>
              </w:rPr>
              <w:instrText xml:space="preserve"> SEQ Recommendation \* ARABIC </w:instrText>
            </w:r>
            <w:r w:rsidRPr="00E918DB">
              <w:rPr>
                <w:rFonts w:asciiTheme="majorHAnsi" w:hAnsiTheme="majorHAnsi" w:cstheme="majorHAnsi"/>
                <w:b/>
              </w:rPr>
              <w:fldChar w:fldCharType="separate"/>
            </w:r>
            <w:r w:rsidRPr="00E918DB">
              <w:rPr>
                <w:rFonts w:asciiTheme="majorHAnsi" w:hAnsiTheme="majorHAnsi" w:cstheme="majorHAnsi"/>
                <w:b/>
              </w:rPr>
              <w:t>9</w:t>
            </w:r>
            <w:r w:rsidRPr="00E918DB">
              <w:rPr>
                <w:rFonts w:asciiTheme="majorHAnsi" w:hAnsiTheme="majorHAnsi" w:cstheme="majorHAnsi"/>
                <w:b/>
              </w:rPr>
              <w:fldChar w:fldCharType="end"/>
            </w:r>
            <w:r>
              <w:rPr>
                <w:bCs/>
                <w:noProof/>
              </w:rPr>
              <w:t>:</w:t>
            </w:r>
            <w:r>
              <w:rPr>
                <w:bCs/>
                <w:noProof/>
              </w:rPr>
              <w:br/>
            </w:r>
            <w:r w:rsidRPr="00456F57">
              <w:rPr>
                <w:sz w:val="20"/>
                <w:szCs w:val="20"/>
              </w:rPr>
              <w:t>The Steering Committee’s ToR for the next phase have a greater strategic focus, including monitoring results against a results framework (including implementation of all approved recommendations from this evaluation), and be reviewed annually.</w:t>
            </w:r>
          </w:p>
        </w:tc>
        <w:tc>
          <w:tcPr>
            <w:tcW w:w="1276" w:type="dxa"/>
          </w:tcPr>
          <w:p w14:paraId="283E635F" w14:textId="62A6677E" w:rsidR="00A33446" w:rsidRDefault="00A33446" w:rsidP="00376032">
            <w:r>
              <w:t>Agree</w:t>
            </w:r>
          </w:p>
        </w:tc>
        <w:tc>
          <w:tcPr>
            <w:tcW w:w="6237" w:type="dxa"/>
          </w:tcPr>
          <w:p w14:paraId="7D7350EF" w14:textId="037F7E69" w:rsidR="00A33446" w:rsidRDefault="00A33446" w:rsidP="00A622E0">
            <w:pPr>
              <w:jc w:val="both"/>
            </w:pPr>
            <w:r w:rsidRPr="00456F57">
              <w:rPr>
                <w:sz w:val="20"/>
                <w:szCs w:val="20"/>
              </w:rPr>
              <w:t>The Development of Steering Committee’s T</w:t>
            </w:r>
            <w:r>
              <w:rPr>
                <w:sz w:val="20"/>
                <w:szCs w:val="20"/>
              </w:rPr>
              <w:t xml:space="preserve">erms </w:t>
            </w:r>
            <w:r w:rsidRPr="00456F57">
              <w:rPr>
                <w:sz w:val="20"/>
                <w:szCs w:val="20"/>
              </w:rPr>
              <w:t>o</w:t>
            </w:r>
            <w:r>
              <w:rPr>
                <w:sz w:val="20"/>
                <w:szCs w:val="20"/>
              </w:rPr>
              <w:t xml:space="preserve">f </w:t>
            </w:r>
            <w:r w:rsidRPr="00456F57">
              <w:rPr>
                <w:sz w:val="20"/>
                <w:szCs w:val="20"/>
              </w:rPr>
              <w:t>R</w:t>
            </w:r>
            <w:r>
              <w:rPr>
                <w:sz w:val="20"/>
                <w:szCs w:val="20"/>
              </w:rPr>
              <w:t>eference</w:t>
            </w:r>
            <w:r w:rsidRPr="00456F57">
              <w:rPr>
                <w:sz w:val="20"/>
                <w:szCs w:val="20"/>
              </w:rPr>
              <w:t xml:space="preserve"> </w:t>
            </w:r>
            <w:r>
              <w:rPr>
                <w:sz w:val="20"/>
                <w:szCs w:val="20"/>
              </w:rPr>
              <w:t>will include</w:t>
            </w:r>
            <w:r w:rsidRPr="00456F57">
              <w:rPr>
                <w:sz w:val="20"/>
                <w:szCs w:val="20"/>
              </w:rPr>
              <w:t xml:space="preserve"> </w:t>
            </w:r>
            <w:r w:rsidR="00DC35D1">
              <w:rPr>
                <w:sz w:val="20"/>
                <w:szCs w:val="20"/>
              </w:rPr>
              <w:t xml:space="preserve">oversight of </w:t>
            </w:r>
            <w:r w:rsidR="005B641F">
              <w:rPr>
                <w:sz w:val="20"/>
                <w:szCs w:val="20"/>
              </w:rPr>
              <w:t>the technical advisory service</w:t>
            </w:r>
            <w:r w:rsidR="00DC35D1">
              <w:rPr>
                <w:sz w:val="20"/>
                <w:szCs w:val="20"/>
              </w:rPr>
              <w:t>s</w:t>
            </w:r>
            <w:r w:rsidR="005B641F">
              <w:rPr>
                <w:sz w:val="20"/>
                <w:szCs w:val="20"/>
              </w:rPr>
              <w:t>’</w:t>
            </w:r>
            <w:r w:rsidR="00DC35D1">
              <w:rPr>
                <w:sz w:val="20"/>
                <w:szCs w:val="20"/>
              </w:rPr>
              <w:t xml:space="preserve"> progress against</w:t>
            </w:r>
            <w:r w:rsidRPr="00456F57">
              <w:rPr>
                <w:sz w:val="20"/>
                <w:szCs w:val="20"/>
              </w:rPr>
              <w:t xml:space="preserve"> a results framework (including implementation of all approved recommendations from this evaluation)</w:t>
            </w:r>
            <w:r>
              <w:rPr>
                <w:sz w:val="20"/>
                <w:szCs w:val="20"/>
              </w:rPr>
              <w:t xml:space="preserve"> </w:t>
            </w:r>
            <w:r w:rsidRPr="00456F57">
              <w:rPr>
                <w:sz w:val="20"/>
                <w:szCs w:val="20"/>
              </w:rPr>
              <w:t>and be reviewed annually</w:t>
            </w:r>
            <w:r>
              <w:rPr>
                <w:sz w:val="20"/>
                <w:szCs w:val="20"/>
              </w:rPr>
              <w:t>.</w:t>
            </w:r>
          </w:p>
        </w:tc>
        <w:tc>
          <w:tcPr>
            <w:tcW w:w="1417" w:type="dxa"/>
          </w:tcPr>
          <w:p w14:paraId="4BF4DEA1" w14:textId="59C17E8C" w:rsidR="00A33446" w:rsidRPr="000479D4" w:rsidRDefault="00A33446" w:rsidP="00376032">
            <w:pPr>
              <w:rPr>
                <w:sz w:val="20"/>
                <w:szCs w:val="20"/>
              </w:rPr>
            </w:pPr>
            <w:r w:rsidRPr="000479D4">
              <w:rPr>
                <w:sz w:val="20"/>
                <w:szCs w:val="20"/>
              </w:rPr>
              <w:t>June 2022 ongoing</w:t>
            </w:r>
          </w:p>
        </w:tc>
      </w:tr>
    </w:tbl>
    <w:p w14:paraId="15AB13FC" w14:textId="5F2A6D4E" w:rsidR="00376032" w:rsidRDefault="00376032" w:rsidP="00C26A76">
      <w:pPr>
        <w:pStyle w:val="Default"/>
        <w:rPr>
          <w:sz w:val="23"/>
          <w:szCs w:val="23"/>
        </w:rPr>
      </w:pPr>
    </w:p>
    <w:sectPr w:rsidR="00376032" w:rsidSect="002319D2">
      <w:pgSz w:w="16838" w:h="11906" w:orient="landscape"/>
      <w:pgMar w:top="709" w:right="425"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2E53" w14:textId="77777777" w:rsidR="00FB1135" w:rsidRDefault="00FB1135" w:rsidP="000F255F">
      <w:pPr>
        <w:spacing w:after="0" w:line="240" w:lineRule="auto"/>
      </w:pPr>
      <w:r>
        <w:separator/>
      </w:r>
    </w:p>
  </w:endnote>
  <w:endnote w:type="continuationSeparator" w:id="0">
    <w:p w14:paraId="282DE176" w14:textId="77777777" w:rsidR="00FB1135" w:rsidRDefault="00FB1135" w:rsidP="000F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296407"/>
      <w:docPartObj>
        <w:docPartGallery w:val="Page Numbers (Bottom of Page)"/>
        <w:docPartUnique/>
      </w:docPartObj>
    </w:sdtPr>
    <w:sdtEndPr>
      <w:rPr>
        <w:noProof/>
      </w:rPr>
    </w:sdtEndPr>
    <w:sdtContent>
      <w:p w14:paraId="744867FE" w14:textId="27B9AE0E" w:rsidR="00433216" w:rsidRDefault="00433216">
        <w:pPr>
          <w:pStyle w:val="Footer"/>
        </w:pPr>
        <w:r>
          <w:fldChar w:fldCharType="begin"/>
        </w:r>
        <w:r>
          <w:instrText xml:space="preserve"> PAGE   \* MERGEFORMAT </w:instrText>
        </w:r>
        <w:r>
          <w:fldChar w:fldCharType="separate"/>
        </w:r>
        <w:r>
          <w:rPr>
            <w:noProof/>
          </w:rPr>
          <w:t>2</w:t>
        </w:r>
        <w:r>
          <w:rPr>
            <w:noProof/>
          </w:rPr>
          <w:fldChar w:fldCharType="end"/>
        </w:r>
      </w:p>
    </w:sdtContent>
  </w:sdt>
  <w:p w14:paraId="723F0781" w14:textId="77777777" w:rsidR="00523391" w:rsidRDefault="0052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BE303" w14:textId="77777777" w:rsidR="00FB1135" w:rsidRDefault="00FB1135" w:rsidP="000F255F">
      <w:pPr>
        <w:spacing w:after="0" w:line="240" w:lineRule="auto"/>
      </w:pPr>
      <w:r>
        <w:separator/>
      </w:r>
    </w:p>
  </w:footnote>
  <w:footnote w:type="continuationSeparator" w:id="0">
    <w:p w14:paraId="7BDE098F" w14:textId="77777777" w:rsidR="00FB1135" w:rsidRDefault="00FB1135" w:rsidP="000F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5579E"/>
    <w:multiLevelType w:val="multilevel"/>
    <w:tmpl w:val="1F1609C4"/>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4472C4" w:themeColor="accent1"/>
      </w:rPr>
    </w:lvl>
    <w:lvl w:ilvl="2">
      <w:start w:val="1"/>
      <w:numFmt w:val="lowerLetter"/>
      <w:lvlText w:val="%3."/>
      <w:lvlJc w:val="left"/>
      <w:pPr>
        <w:ind w:left="864" w:hanging="432"/>
      </w:pPr>
      <w:rPr>
        <w:rFonts w:asciiTheme="minorHAnsi" w:hAnsiTheme="minorHAnsi"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76"/>
    <w:rsid w:val="000479D4"/>
    <w:rsid w:val="0005337E"/>
    <w:rsid w:val="00080E05"/>
    <w:rsid w:val="000A1C58"/>
    <w:rsid w:val="000F255F"/>
    <w:rsid w:val="00100303"/>
    <w:rsid w:val="00102816"/>
    <w:rsid w:val="00122435"/>
    <w:rsid w:val="0012615F"/>
    <w:rsid w:val="00127277"/>
    <w:rsid w:val="0014187F"/>
    <w:rsid w:val="002217CF"/>
    <w:rsid w:val="002319D2"/>
    <w:rsid w:val="0025499E"/>
    <w:rsid w:val="003125F8"/>
    <w:rsid w:val="003214DA"/>
    <w:rsid w:val="0034228A"/>
    <w:rsid w:val="00376032"/>
    <w:rsid w:val="0038509A"/>
    <w:rsid w:val="003A0983"/>
    <w:rsid w:val="003B539F"/>
    <w:rsid w:val="003D1FF5"/>
    <w:rsid w:val="003F7DA0"/>
    <w:rsid w:val="00433216"/>
    <w:rsid w:val="0044574D"/>
    <w:rsid w:val="00456F57"/>
    <w:rsid w:val="004614F5"/>
    <w:rsid w:val="004A6D42"/>
    <w:rsid w:val="004E6981"/>
    <w:rsid w:val="00523391"/>
    <w:rsid w:val="00573C8E"/>
    <w:rsid w:val="00586016"/>
    <w:rsid w:val="005B641F"/>
    <w:rsid w:val="005B7E83"/>
    <w:rsid w:val="0064330D"/>
    <w:rsid w:val="006529FE"/>
    <w:rsid w:val="00701F89"/>
    <w:rsid w:val="00743C13"/>
    <w:rsid w:val="007A2F7F"/>
    <w:rsid w:val="008813F8"/>
    <w:rsid w:val="00881D7D"/>
    <w:rsid w:val="008955C1"/>
    <w:rsid w:val="008B6233"/>
    <w:rsid w:val="008E5ECF"/>
    <w:rsid w:val="00911988"/>
    <w:rsid w:val="00954048"/>
    <w:rsid w:val="009575E7"/>
    <w:rsid w:val="009A6DDB"/>
    <w:rsid w:val="009B331F"/>
    <w:rsid w:val="009C1DCA"/>
    <w:rsid w:val="009E19A6"/>
    <w:rsid w:val="009E20C3"/>
    <w:rsid w:val="00A33446"/>
    <w:rsid w:val="00A41BCE"/>
    <w:rsid w:val="00A622E0"/>
    <w:rsid w:val="00A91943"/>
    <w:rsid w:val="00AA102E"/>
    <w:rsid w:val="00AA5FE2"/>
    <w:rsid w:val="00AC6143"/>
    <w:rsid w:val="00B914F4"/>
    <w:rsid w:val="00B94571"/>
    <w:rsid w:val="00C05023"/>
    <w:rsid w:val="00C26A76"/>
    <w:rsid w:val="00C54E68"/>
    <w:rsid w:val="00C72C7D"/>
    <w:rsid w:val="00C869E6"/>
    <w:rsid w:val="00CC0FF1"/>
    <w:rsid w:val="00CC42AF"/>
    <w:rsid w:val="00D83E19"/>
    <w:rsid w:val="00DA2FCD"/>
    <w:rsid w:val="00DC35D1"/>
    <w:rsid w:val="00E3489C"/>
    <w:rsid w:val="00E427E6"/>
    <w:rsid w:val="00E57AAD"/>
    <w:rsid w:val="00E8456E"/>
    <w:rsid w:val="00E918DB"/>
    <w:rsid w:val="00ED7DB2"/>
    <w:rsid w:val="00F139E1"/>
    <w:rsid w:val="00F375ED"/>
    <w:rsid w:val="00F66911"/>
    <w:rsid w:val="00F86854"/>
    <w:rsid w:val="00FB1135"/>
    <w:rsid w:val="00FD2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7C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C869E6"/>
    <w:pPr>
      <w:outlineLvl w:val="0"/>
    </w:pPr>
    <w:rPr>
      <w:sz w:val="23"/>
      <w:szCs w:val="23"/>
      <w:u w:val="single"/>
    </w:rPr>
  </w:style>
  <w:style w:type="paragraph" w:styleId="Heading2">
    <w:name w:val="heading 2"/>
    <w:basedOn w:val="Default"/>
    <w:next w:val="Normal"/>
    <w:link w:val="Heading2Char"/>
    <w:uiPriority w:val="9"/>
    <w:unhideWhenUsed/>
    <w:qFormat/>
    <w:rsid w:val="00C869E6"/>
    <w:pP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A7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376032"/>
    <w:pPr>
      <w:keepNext/>
      <w:spacing w:after="200" w:line="240" w:lineRule="auto"/>
    </w:pPr>
    <w:rPr>
      <w:rFonts w:cs="Times New Roman"/>
      <w:b/>
      <w:iCs/>
      <w:color w:val="44546A" w:themeColor="text2"/>
      <w:sz w:val="21"/>
      <w:szCs w:val="18"/>
    </w:rPr>
  </w:style>
  <w:style w:type="paragraph" w:styleId="ListNumber">
    <w:name w:val="List Number"/>
    <w:basedOn w:val="Normal"/>
    <w:uiPriority w:val="99"/>
    <w:qFormat/>
    <w:rsid w:val="00C05023"/>
    <w:pPr>
      <w:spacing w:after="210" w:line="276" w:lineRule="auto"/>
      <w:ind w:left="432" w:hanging="432"/>
    </w:pPr>
    <w:rPr>
      <w:rFonts w:cs="Times New Roman"/>
      <w:color w:val="000000" w:themeColor="text1"/>
      <w:sz w:val="21"/>
      <w:szCs w:val="21"/>
    </w:rPr>
  </w:style>
  <w:style w:type="paragraph" w:styleId="ListNumber2">
    <w:name w:val="List Number 2"/>
    <w:basedOn w:val="Normal"/>
    <w:uiPriority w:val="99"/>
    <w:qFormat/>
    <w:rsid w:val="00C05023"/>
    <w:pPr>
      <w:spacing w:after="210" w:line="276" w:lineRule="auto"/>
      <w:ind w:left="864" w:hanging="432"/>
      <w:contextualSpacing/>
    </w:pPr>
    <w:rPr>
      <w:rFonts w:cs="Times New Roman"/>
      <w:color w:val="000000" w:themeColor="text1"/>
      <w:sz w:val="21"/>
      <w:szCs w:val="21"/>
    </w:rPr>
  </w:style>
  <w:style w:type="paragraph" w:styleId="ListNumber3">
    <w:name w:val="List Number 3"/>
    <w:basedOn w:val="Normal"/>
    <w:uiPriority w:val="99"/>
    <w:semiHidden/>
    <w:unhideWhenUsed/>
    <w:rsid w:val="00C05023"/>
    <w:pPr>
      <w:spacing w:after="210" w:line="276" w:lineRule="auto"/>
      <w:ind w:left="720" w:hanging="720"/>
      <w:contextualSpacing/>
    </w:pPr>
    <w:rPr>
      <w:rFonts w:cs="Times New Roman"/>
      <w:color w:val="000000" w:themeColor="text1"/>
      <w:sz w:val="21"/>
      <w:szCs w:val="21"/>
    </w:rPr>
  </w:style>
  <w:style w:type="paragraph" w:styleId="ListNumber4">
    <w:name w:val="List Number 4"/>
    <w:basedOn w:val="Normal"/>
    <w:uiPriority w:val="99"/>
    <w:semiHidden/>
    <w:unhideWhenUsed/>
    <w:rsid w:val="00C05023"/>
    <w:pPr>
      <w:spacing w:after="210" w:line="276" w:lineRule="auto"/>
      <w:ind w:left="720" w:hanging="720"/>
      <w:contextualSpacing/>
    </w:pPr>
    <w:rPr>
      <w:rFonts w:cs="Times New Roman"/>
      <w:color w:val="000000" w:themeColor="text1"/>
      <w:sz w:val="21"/>
      <w:szCs w:val="21"/>
    </w:rPr>
  </w:style>
  <w:style w:type="paragraph" w:styleId="ListNumber5">
    <w:name w:val="List Number 5"/>
    <w:basedOn w:val="Normal"/>
    <w:uiPriority w:val="99"/>
    <w:semiHidden/>
    <w:unhideWhenUsed/>
    <w:rsid w:val="00C05023"/>
    <w:pPr>
      <w:spacing w:after="210" w:line="276" w:lineRule="auto"/>
      <w:ind w:left="1080" w:hanging="1080"/>
      <w:contextualSpacing/>
    </w:pPr>
    <w:rPr>
      <w:rFonts w:cs="Times New Roman"/>
      <w:color w:val="000000" w:themeColor="text1"/>
      <w:sz w:val="21"/>
      <w:szCs w:val="21"/>
    </w:rPr>
  </w:style>
  <w:style w:type="character" w:styleId="CommentReference">
    <w:name w:val="annotation reference"/>
    <w:basedOn w:val="DefaultParagraphFont"/>
    <w:uiPriority w:val="99"/>
    <w:semiHidden/>
    <w:unhideWhenUsed/>
    <w:rsid w:val="00C05023"/>
    <w:rPr>
      <w:sz w:val="16"/>
      <w:szCs w:val="16"/>
    </w:rPr>
  </w:style>
  <w:style w:type="paragraph" w:styleId="CommentText">
    <w:name w:val="annotation text"/>
    <w:basedOn w:val="Normal"/>
    <w:link w:val="CommentTextChar"/>
    <w:uiPriority w:val="99"/>
    <w:unhideWhenUsed/>
    <w:rsid w:val="00C05023"/>
    <w:pPr>
      <w:spacing w:line="240" w:lineRule="auto"/>
    </w:pPr>
    <w:rPr>
      <w:sz w:val="20"/>
      <w:szCs w:val="20"/>
      <w:lang w:val="en-US"/>
    </w:rPr>
  </w:style>
  <w:style w:type="character" w:customStyle="1" w:styleId="CommentTextChar">
    <w:name w:val="Comment Text Char"/>
    <w:basedOn w:val="DefaultParagraphFont"/>
    <w:link w:val="CommentText"/>
    <w:uiPriority w:val="99"/>
    <w:rsid w:val="00C05023"/>
    <w:rPr>
      <w:sz w:val="20"/>
      <w:szCs w:val="20"/>
      <w:lang w:val="en-US"/>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n,FOOTNOTES,ADB,f"/>
    <w:basedOn w:val="Normal"/>
    <w:link w:val="FootnoteTextChar"/>
    <w:uiPriority w:val="99"/>
    <w:unhideWhenUsed/>
    <w:qFormat/>
    <w:rsid w:val="000F255F"/>
    <w:pPr>
      <w:spacing w:after="0" w:line="240" w:lineRule="auto"/>
    </w:pPr>
    <w:rPr>
      <w:sz w:val="20"/>
      <w:szCs w:val="20"/>
      <w:lang w:val="en-US"/>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0F255F"/>
    <w:rPr>
      <w:sz w:val="20"/>
      <w:szCs w:val="20"/>
      <w:lang w:val="en-US"/>
    </w:rPr>
  </w:style>
  <w:style w:type="character" w:styleId="FootnoteReference">
    <w:name w:val="footnote reference"/>
    <w:aliases w:val="ftref,footnote ref,16 Point,Superscript 6 Point,(NECG) Footnote Reference,Ref,de nota al pie,FnR-ANZDEC,Fußnotenzeichen DISS,fr,Footnote Ref in FtNote,SUPERS,BVI fnr,Normal + Font:9 Point,Superscript 3 Point Times,Footnote Reference1"/>
    <w:basedOn w:val="DefaultParagraphFont"/>
    <w:uiPriority w:val="99"/>
    <w:unhideWhenUsed/>
    <w:rsid w:val="000F255F"/>
    <w:rPr>
      <w:vertAlign w:val="superscript"/>
    </w:rPr>
  </w:style>
  <w:style w:type="paragraph" w:styleId="Header">
    <w:name w:val="header"/>
    <w:basedOn w:val="Normal"/>
    <w:link w:val="HeaderChar"/>
    <w:uiPriority w:val="99"/>
    <w:unhideWhenUsed/>
    <w:rsid w:val="00523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391"/>
  </w:style>
  <w:style w:type="paragraph" w:styleId="Footer">
    <w:name w:val="footer"/>
    <w:basedOn w:val="Normal"/>
    <w:link w:val="FooterChar"/>
    <w:uiPriority w:val="99"/>
    <w:unhideWhenUsed/>
    <w:rsid w:val="00523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391"/>
  </w:style>
  <w:style w:type="table" w:styleId="TableGrid">
    <w:name w:val="Table Grid"/>
    <w:basedOn w:val="TableNormal"/>
    <w:uiPriority w:val="39"/>
    <w:rsid w:val="008E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2C7D"/>
    <w:rPr>
      <w:i/>
      <w:iCs/>
    </w:rPr>
  </w:style>
  <w:style w:type="paragraph" w:styleId="CommentSubject">
    <w:name w:val="annotation subject"/>
    <w:basedOn w:val="CommentText"/>
    <w:next w:val="CommentText"/>
    <w:link w:val="CommentSubjectChar"/>
    <w:uiPriority w:val="99"/>
    <w:semiHidden/>
    <w:unhideWhenUsed/>
    <w:rsid w:val="00AA5FE2"/>
    <w:rPr>
      <w:b/>
      <w:bCs/>
      <w:lang w:val="en-AU"/>
    </w:rPr>
  </w:style>
  <w:style w:type="character" w:customStyle="1" w:styleId="CommentSubjectChar">
    <w:name w:val="Comment Subject Char"/>
    <w:basedOn w:val="CommentTextChar"/>
    <w:link w:val="CommentSubject"/>
    <w:uiPriority w:val="99"/>
    <w:semiHidden/>
    <w:rsid w:val="00AA5FE2"/>
    <w:rPr>
      <w:b/>
      <w:bCs/>
      <w:sz w:val="20"/>
      <w:szCs w:val="20"/>
      <w:lang w:val="en-US"/>
    </w:rPr>
  </w:style>
  <w:style w:type="character" w:customStyle="1" w:styleId="Heading1Char">
    <w:name w:val="Heading 1 Char"/>
    <w:basedOn w:val="DefaultParagraphFont"/>
    <w:link w:val="Heading1"/>
    <w:uiPriority w:val="9"/>
    <w:rsid w:val="00C869E6"/>
    <w:rPr>
      <w:rFonts w:ascii="Calibri" w:hAnsi="Calibri" w:cs="Calibri"/>
      <w:color w:val="000000"/>
      <w:sz w:val="23"/>
      <w:szCs w:val="23"/>
      <w:u w:val="single"/>
    </w:rPr>
  </w:style>
  <w:style w:type="character" w:customStyle="1" w:styleId="Heading2Char">
    <w:name w:val="Heading 2 Char"/>
    <w:basedOn w:val="DefaultParagraphFont"/>
    <w:link w:val="Heading2"/>
    <w:uiPriority w:val="9"/>
    <w:rsid w:val="00C869E6"/>
    <w:rPr>
      <w:rFonts w:ascii="Calibri" w:hAnsi="Calibri" w:cs="Calibri"/>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1C5E-C2AB-415D-ADF0-5621BCEB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4347</Characters>
  <Application>Microsoft Office Word</Application>
  <DocSecurity>0</DocSecurity>
  <Lines>116</Lines>
  <Paragraphs>46</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2021-10-20T04:24:00Z</dcterms:created>
  <dcterms:modified xsi:type="dcterms:W3CDTF">2021-10-20T04:24:00Z</dcterms:modified>
  <cp:category/>
</cp:coreProperties>
</file>