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D2BDE" w14:textId="45E4246B" w:rsidR="0050529F" w:rsidRPr="004B55FE" w:rsidRDefault="002C5F7C" w:rsidP="009145BA">
      <w:pPr>
        <w:pStyle w:val="Title"/>
        <w:ind w:right="-171"/>
      </w:pPr>
      <w:r w:rsidRPr="00CA6DB6">
        <w:t>Aid Program Performance Report 2012</w:t>
      </w:r>
      <w:r w:rsidRPr="00052BF3">
        <w:t>−</w:t>
      </w:r>
      <w:r w:rsidRPr="00CA6DB6">
        <w:t xml:space="preserve">13 </w:t>
      </w:r>
      <w:r w:rsidR="006670D8">
        <w:t>Samoa</w:t>
      </w:r>
    </w:p>
    <w:p w14:paraId="027EFFAF" w14:textId="67FD0D3D" w:rsidR="007737ED" w:rsidRPr="00A45A10" w:rsidRDefault="00602195" w:rsidP="00A45A10">
      <w:pPr>
        <w:pStyle w:val="BodyText"/>
      </w:pPr>
      <w:r>
        <w:t xml:space="preserve">This </w:t>
      </w:r>
      <w:r w:rsidR="00762307">
        <w:t>Aid</w:t>
      </w:r>
      <w:r w:rsidR="007737ED" w:rsidRPr="00A45A10">
        <w:t xml:space="preserve"> Program Performance Report</w:t>
      </w:r>
      <w:r w:rsidR="00412611" w:rsidRPr="00A45A10">
        <w:t xml:space="preserve"> (APPR)</w:t>
      </w:r>
      <w:r w:rsidR="007737ED" w:rsidRPr="00A45A10">
        <w:t xml:space="preserve"> summarises the Australian aid program’s progress in Samoa from </w:t>
      </w:r>
      <w:r w:rsidR="008C33CC" w:rsidRPr="00A45A10">
        <w:t>July</w:t>
      </w:r>
      <w:r w:rsidR="007737ED" w:rsidRPr="00A45A10">
        <w:t xml:space="preserve"> 2012 to June 2013. </w:t>
      </w:r>
      <w:r w:rsidR="008C33CC" w:rsidRPr="00A45A10">
        <w:t>Previous</w:t>
      </w:r>
      <w:r w:rsidR="00B9345C">
        <w:t xml:space="preserve"> Annual Program Performance Reports</w:t>
      </w:r>
      <w:r>
        <w:rPr>
          <w:rStyle w:val="FootnoteReference"/>
        </w:rPr>
        <w:footnoteReference w:id="1"/>
      </w:r>
      <w:r w:rsidR="008C33CC" w:rsidRPr="00A45A10">
        <w:t xml:space="preserve"> can be accessed on </w:t>
      </w:r>
      <w:r w:rsidR="00CC3540" w:rsidRPr="00A45A10">
        <w:t xml:space="preserve">the </w:t>
      </w:r>
      <w:r w:rsidR="00C00A8E">
        <w:t>Department of Foreign Affairs and Trade (DFAT)</w:t>
      </w:r>
      <w:r w:rsidR="008C33CC" w:rsidRPr="00A45A10">
        <w:t xml:space="preserve"> website: </w:t>
      </w:r>
      <w:r w:rsidR="00C00A8E" w:rsidRPr="00C00A8E">
        <w:t>http://aid.dfat.gov.au/Pages/home.aspx</w:t>
      </w:r>
    </w:p>
    <w:p w14:paraId="367D2C07" w14:textId="77777777" w:rsidR="00180B19" w:rsidRPr="00621B71" w:rsidRDefault="00180B19" w:rsidP="00621B71">
      <w:pPr>
        <w:pStyle w:val="Heading1"/>
      </w:pPr>
      <w:r w:rsidRPr="00621B71">
        <w:t xml:space="preserve">Context </w:t>
      </w:r>
    </w:p>
    <w:p w14:paraId="394F5FB3" w14:textId="749BBD0B" w:rsidR="00E2393A" w:rsidRDefault="00D55E33" w:rsidP="00621B71">
      <w:pPr>
        <w:pStyle w:val="BodyText"/>
      </w:pPr>
      <w:r w:rsidRPr="00D55E33">
        <w:t>2012</w:t>
      </w:r>
      <w:r w:rsidR="000F7F38">
        <w:t>–</w:t>
      </w:r>
      <w:r w:rsidRPr="00D55E33">
        <w:t xml:space="preserve">13 </w:t>
      </w:r>
      <w:r w:rsidR="00412611">
        <w:t>was</w:t>
      </w:r>
      <w:r w:rsidRPr="00D55E33">
        <w:t xml:space="preserve"> </w:t>
      </w:r>
      <w:r w:rsidR="005C01AB">
        <w:t>challenging</w:t>
      </w:r>
      <w:r w:rsidRPr="00D55E33">
        <w:t xml:space="preserve"> for Samoa. </w:t>
      </w:r>
      <w:r w:rsidR="00DD459C">
        <w:t>The year started buoyantly as</w:t>
      </w:r>
      <w:r w:rsidRPr="00D55E33">
        <w:t xml:space="preserve"> the country hosted extensive celebrations for the 50</w:t>
      </w:r>
      <w:r w:rsidRPr="00D55E33">
        <w:rPr>
          <w:vertAlign w:val="superscript"/>
        </w:rPr>
        <w:t>th</w:t>
      </w:r>
      <w:r w:rsidRPr="00D55E33">
        <w:t xml:space="preserve"> anniversary of independence</w:t>
      </w:r>
      <w:r w:rsidR="005C01AB">
        <w:t xml:space="preserve"> and</w:t>
      </w:r>
      <w:r w:rsidRPr="00D55E33">
        <w:t xml:space="preserve"> a second year of positive economic growth </w:t>
      </w:r>
      <w:r w:rsidR="003015FD">
        <w:t xml:space="preserve">was </w:t>
      </w:r>
      <w:r w:rsidRPr="00D55E33">
        <w:t>expected for the first time since the 2009 tsunami and global financial crisis</w:t>
      </w:r>
      <w:r w:rsidR="007737ED">
        <w:t>.</w:t>
      </w:r>
      <w:r w:rsidR="004F11E4">
        <w:rPr>
          <w:rStyle w:val="FootnoteReference"/>
        </w:rPr>
        <w:footnoteReference w:id="2"/>
      </w:r>
      <w:r w:rsidRPr="00D55E33">
        <w:t xml:space="preserve"> </w:t>
      </w:r>
      <w:r w:rsidR="00A96FAD">
        <w:t xml:space="preserve">However increasing </w:t>
      </w:r>
      <w:r w:rsidR="0080092E">
        <w:t xml:space="preserve">debt levels and a devastating cyclone </w:t>
      </w:r>
      <w:r w:rsidR="00625C98">
        <w:t xml:space="preserve">in December 2012 </w:t>
      </w:r>
      <w:r w:rsidR="0080092E">
        <w:t>have reduced Samoa’s ability to capitalise on th</w:t>
      </w:r>
      <w:r w:rsidR="00D000A5">
        <w:t>e</w:t>
      </w:r>
      <w:r w:rsidR="0080092E">
        <w:t xml:space="preserve"> </w:t>
      </w:r>
      <w:r w:rsidR="00C83A68">
        <w:t>good start to the year</w:t>
      </w:r>
      <w:r w:rsidR="0080092E">
        <w:t xml:space="preserve">. </w:t>
      </w:r>
    </w:p>
    <w:p w14:paraId="70FB6FDF" w14:textId="5C408255" w:rsidR="00CF2190" w:rsidRDefault="00835FB6" w:rsidP="00621B71">
      <w:pPr>
        <w:pStyle w:val="BodyText"/>
      </w:pPr>
      <w:r>
        <w:t xml:space="preserve">As outlined through this </w:t>
      </w:r>
      <w:r w:rsidR="00412611">
        <w:t>APPR</w:t>
      </w:r>
      <w:r>
        <w:t>, the Samoa</w:t>
      </w:r>
      <w:r w:rsidR="007737ED">
        <w:t xml:space="preserve"> – </w:t>
      </w:r>
      <w:r>
        <w:t xml:space="preserve">Australia Partnership for Development </w:t>
      </w:r>
      <w:r w:rsidR="008C33CC">
        <w:t xml:space="preserve">(the </w:t>
      </w:r>
      <w:r w:rsidR="00A96FAD">
        <w:t>p</w:t>
      </w:r>
      <w:r w:rsidR="008C33CC">
        <w:t xml:space="preserve">artnership) </w:t>
      </w:r>
      <w:r>
        <w:t xml:space="preserve">has enabled the Government of Samoa to respond to many challenges in the past year. </w:t>
      </w:r>
      <w:r w:rsidR="008C33CC">
        <w:t xml:space="preserve">The </w:t>
      </w:r>
      <w:r w:rsidR="00A96FAD">
        <w:t>p</w:t>
      </w:r>
      <w:r>
        <w:t>artnership, which runs from 2008</w:t>
      </w:r>
      <w:r w:rsidR="007737ED">
        <w:t xml:space="preserve"> to</w:t>
      </w:r>
      <w:r w:rsidR="00DB18D4">
        <w:t xml:space="preserve"> </w:t>
      </w:r>
      <w:r>
        <w:t>2015, outlines mutual commitments to improve the quality of life for all Samoans, particularly the most vulnerable.</w:t>
      </w:r>
      <w:r w:rsidR="00A96FAD">
        <w:t xml:space="preserve"> </w:t>
      </w:r>
      <w:r>
        <w:t xml:space="preserve">Partnership targets are drawn from </w:t>
      </w:r>
      <w:r w:rsidR="008C33CC">
        <w:t>Government of Samoa</w:t>
      </w:r>
      <w:r>
        <w:t xml:space="preserve"> national </w:t>
      </w:r>
      <w:r w:rsidR="00D000A5">
        <w:t xml:space="preserve">and sector </w:t>
      </w:r>
      <w:r>
        <w:t xml:space="preserve">targets and reflect Australian-funded inputs </w:t>
      </w:r>
      <w:r w:rsidR="00D000A5">
        <w:t>as well as</w:t>
      </w:r>
      <w:r>
        <w:t xml:space="preserve"> broader sector progress</w:t>
      </w:r>
      <w:r w:rsidR="00A04A2B">
        <w:t xml:space="preserve">. </w:t>
      </w:r>
    </w:p>
    <w:p w14:paraId="29FAC4D5" w14:textId="36B2D306" w:rsidR="00CF2190" w:rsidRPr="004F2077" w:rsidRDefault="00CF2190" w:rsidP="004F2077">
      <w:pPr>
        <w:pStyle w:val="Heading2"/>
      </w:pPr>
      <w:r w:rsidRPr="004F2077">
        <w:t xml:space="preserve">Economic </w:t>
      </w:r>
      <w:r w:rsidR="00CF7756" w:rsidRPr="004F2077">
        <w:t xml:space="preserve">and </w:t>
      </w:r>
      <w:r w:rsidR="007737ED" w:rsidRPr="004F2077">
        <w:t>p</w:t>
      </w:r>
      <w:r w:rsidR="00CF7756" w:rsidRPr="004F2077">
        <w:t xml:space="preserve">olitical </w:t>
      </w:r>
      <w:r w:rsidR="007737ED" w:rsidRPr="004F2077">
        <w:t>c</w:t>
      </w:r>
      <w:r w:rsidRPr="004F2077">
        <w:t>ontext</w:t>
      </w:r>
    </w:p>
    <w:p w14:paraId="3D9B3162" w14:textId="57D60A86" w:rsidR="00CF2190" w:rsidRDefault="00CF2190" w:rsidP="004F2077">
      <w:pPr>
        <w:pStyle w:val="BodyText"/>
      </w:pPr>
      <w:r w:rsidRPr="00CF2190">
        <w:t>Samoa’s economic growth has been slow over the past five years as a result of a series of shocks including the 2009 tsunami</w:t>
      </w:r>
      <w:r>
        <w:t xml:space="preserve">. </w:t>
      </w:r>
      <w:r w:rsidR="00DD58AC">
        <w:t>Following</w:t>
      </w:r>
      <w:r w:rsidR="00412611">
        <w:t xml:space="preserve"> Tropical</w:t>
      </w:r>
      <w:r>
        <w:t xml:space="preserve"> </w:t>
      </w:r>
      <w:r w:rsidR="00DD58AC">
        <w:t>Cyclone Evan, growth estimates for 2012</w:t>
      </w:r>
      <w:r w:rsidR="007737ED">
        <w:t>–</w:t>
      </w:r>
      <w:r w:rsidR="00DD58AC">
        <w:t xml:space="preserve">13 </w:t>
      </w:r>
      <w:r w:rsidR="003B66F5">
        <w:t xml:space="preserve">were </w:t>
      </w:r>
      <w:r w:rsidR="00DD58AC">
        <w:t xml:space="preserve">revised down from </w:t>
      </w:r>
      <w:r w:rsidR="00A62CE3">
        <w:t xml:space="preserve">2 </w:t>
      </w:r>
      <w:r w:rsidR="00DD58AC">
        <w:t xml:space="preserve">to 0.9 per cent. </w:t>
      </w:r>
      <w:r w:rsidR="00DD459C">
        <w:t xml:space="preserve">A modest recovery of </w:t>
      </w:r>
      <w:r w:rsidR="00A62CE3">
        <w:t xml:space="preserve">2 </w:t>
      </w:r>
      <w:r w:rsidR="00DD459C">
        <w:t>per cent</w:t>
      </w:r>
      <w:r w:rsidR="00DD58AC" w:rsidRPr="00DD58AC">
        <w:t xml:space="preserve"> growth is expected in 2013</w:t>
      </w:r>
      <w:r w:rsidR="007737ED">
        <w:t>–</w:t>
      </w:r>
      <w:r w:rsidR="00DD58AC" w:rsidRPr="00DD58AC">
        <w:t xml:space="preserve">14, fuelled in part by </w:t>
      </w:r>
      <w:r w:rsidR="008C33CC">
        <w:t>r</w:t>
      </w:r>
      <w:r w:rsidR="00DD58AC" w:rsidRPr="00DD58AC">
        <w:t>econstruction activity</w:t>
      </w:r>
      <w:r w:rsidR="007737ED">
        <w:t>.</w:t>
      </w:r>
      <w:r w:rsidR="004F11E4">
        <w:rPr>
          <w:rStyle w:val="FootnoteReference"/>
          <w:bCs/>
        </w:rPr>
        <w:footnoteReference w:id="3"/>
      </w:r>
      <w:r w:rsidR="00980D48">
        <w:t xml:space="preserve"> Tourism, </w:t>
      </w:r>
      <w:r w:rsidR="00DD58AC">
        <w:t xml:space="preserve">which </w:t>
      </w:r>
      <w:r w:rsidR="00DD58AC" w:rsidRPr="00DD58AC">
        <w:t>showed signs of</w:t>
      </w:r>
      <w:r w:rsidR="00DD58AC">
        <w:t xml:space="preserve"> post-tsunami recovery,</w:t>
      </w:r>
      <w:r w:rsidR="00DD58AC" w:rsidRPr="00DD58AC">
        <w:t xml:space="preserve"> </w:t>
      </w:r>
      <w:r w:rsidR="003B66F5">
        <w:t>was</w:t>
      </w:r>
      <w:r w:rsidR="00DD58AC" w:rsidRPr="00DD58AC">
        <w:t xml:space="preserve"> hit hard again following Cyclone Evan. </w:t>
      </w:r>
      <w:r w:rsidR="00DD58AC" w:rsidRPr="00EC2A0E">
        <w:t>Remittance</w:t>
      </w:r>
      <w:r w:rsidR="00EC2A0E" w:rsidRPr="00EC2A0E">
        <w:t>s</w:t>
      </w:r>
      <w:r w:rsidR="00EC2A0E">
        <w:t xml:space="preserve"> increased following the cyclone, but have generally slowed</w:t>
      </w:r>
      <w:r w:rsidR="00DD58AC" w:rsidRPr="00DD58AC">
        <w:t xml:space="preserve"> since the </w:t>
      </w:r>
      <w:r w:rsidR="00EC2A0E" w:rsidRPr="00D55E33">
        <w:t>global financial crisis</w:t>
      </w:r>
      <w:r w:rsidR="00A62CE3">
        <w:t>.</w:t>
      </w:r>
      <w:r w:rsidR="00980D48">
        <w:rPr>
          <w:rStyle w:val="FootnoteReference"/>
          <w:bCs/>
        </w:rPr>
        <w:footnoteReference w:id="4"/>
      </w:r>
      <w:r w:rsidR="00DD58AC" w:rsidRPr="00DD58AC">
        <w:t xml:space="preserve"> </w:t>
      </w:r>
      <w:r w:rsidR="00DD58AC">
        <w:t xml:space="preserve">Output has fallen in </w:t>
      </w:r>
      <w:r w:rsidR="00DD58AC" w:rsidRPr="00DD58AC">
        <w:t xml:space="preserve">agriculture </w:t>
      </w:r>
      <w:r w:rsidR="003B66F5">
        <w:t>with</w:t>
      </w:r>
      <w:r w:rsidR="00DD58AC" w:rsidRPr="00DD58AC">
        <w:t xml:space="preserve"> up to 100 per cent of subsistence crops</w:t>
      </w:r>
      <w:r w:rsidR="00A62CE3">
        <w:t>,</w:t>
      </w:r>
      <w:r w:rsidR="00DD58AC" w:rsidRPr="00DD58AC">
        <w:t xml:space="preserve"> such as banana and taro</w:t>
      </w:r>
      <w:r w:rsidR="00A62CE3">
        <w:t>,</w:t>
      </w:r>
      <w:r w:rsidR="00DD58AC" w:rsidRPr="00DD58AC">
        <w:t xml:space="preserve"> lost in some areas</w:t>
      </w:r>
      <w:r w:rsidR="007737ED">
        <w:t>.</w:t>
      </w:r>
      <w:r w:rsidR="00D31D07">
        <w:rPr>
          <w:rStyle w:val="FootnoteReference"/>
        </w:rPr>
        <w:footnoteReference w:id="5"/>
      </w:r>
    </w:p>
    <w:p w14:paraId="291D67DE" w14:textId="0B1A503F" w:rsidR="00980D48" w:rsidRDefault="00980D48" w:rsidP="004F2077">
      <w:pPr>
        <w:pStyle w:val="BodyText"/>
      </w:pPr>
      <w:r w:rsidRPr="00980D48">
        <w:t xml:space="preserve">Samoa’s debt levels have risen sharply from 30.3 per cent of </w:t>
      </w:r>
      <w:r w:rsidR="00A62CE3">
        <w:t>gross domestic product</w:t>
      </w:r>
      <w:r w:rsidRPr="00980D48">
        <w:t xml:space="preserve"> in 2007</w:t>
      </w:r>
      <w:r w:rsidR="007737ED">
        <w:t>–</w:t>
      </w:r>
      <w:r w:rsidRPr="00980D48">
        <w:t>08 to 5</w:t>
      </w:r>
      <w:r w:rsidR="00D000A5">
        <w:t>5.5</w:t>
      </w:r>
      <w:r w:rsidRPr="00980D48">
        <w:t xml:space="preserve"> </w:t>
      </w:r>
      <w:r w:rsidR="00D000A5">
        <w:t>by the end of</w:t>
      </w:r>
      <w:r w:rsidRPr="00980D48">
        <w:t xml:space="preserve"> 2011</w:t>
      </w:r>
      <w:r w:rsidR="007737ED">
        <w:t>–</w:t>
      </w:r>
      <w:r w:rsidRPr="00980D48">
        <w:t>12</w:t>
      </w:r>
      <w:r w:rsidR="007737ED">
        <w:t>.</w:t>
      </w:r>
      <w:r w:rsidR="00D31D07">
        <w:rPr>
          <w:rStyle w:val="FootnoteReference"/>
        </w:rPr>
        <w:footnoteReference w:id="6"/>
      </w:r>
      <w:r w:rsidRPr="00980D48">
        <w:t xml:space="preserve"> Given this and reduced growth prospects, in August</w:t>
      </w:r>
      <w:r w:rsidR="00CC12D1">
        <w:t> </w:t>
      </w:r>
      <w:r w:rsidRPr="00980D48">
        <w:t>2012 the I</w:t>
      </w:r>
      <w:r w:rsidR="00DD459C">
        <w:t>ntern</w:t>
      </w:r>
      <w:r w:rsidR="00720233">
        <w:t>ational M</w:t>
      </w:r>
      <w:r w:rsidR="00DD459C">
        <w:t>onetary Fund (IMF)</w:t>
      </w:r>
      <w:r w:rsidRPr="00980D48">
        <w:t xml:space="preserve"> raised Samoa’s debt distress risk</w:t>
      </w:r>
      <w:r w:rsidR="00DA103C">
        <w:t xml:space="preserve"> rating</w:t>
      </w:r>
      <w:r w:rsidRPr="00980D48">
        <w:t xml:space="preserve"> from low to moderate. </w:t>
      </w:r>
      <w:r>
        <w:t>In May 2013</w:t>
      </w:r>
      <w:r w:rsidR="005429B0">
        <w:t>,</w:t>
      </w:r>
      <w:r>
        <w:t xml:space="preserve"> this rating was upgraded to high risk given</w:t>
      </w:r>
      <w:r w:rsidR="00DD459C">
        <w:t xml:space="preserve"> lowered economic growth and</w:t>
      </w:r>
      <w:r>
        <w:t xml:space="preserve"> post-cyclone loan</w:t>
      </w:r>
      <w:r w:rsidR="00DD459C">
        <w:t>s</w:t>
      </w:r>
      <w:r>
        <w:t xml:space="preserve"> which will see debt rise to </w:t>
      </w:r>
      <w:r w:rsidR="005429B0">
        <w:t xml:space="preserve">more than </w:t>
      </w:r>
      <w:r w:rsidR="00D31D07">
        <w:t xml:space="preserve">58 per cent of </w:t>
      </w:r>
      <w:r w:rsidR="00A62CE3">
        <w:t xml:space="preserve">gross domestic </w:t>
      </w:r>
      <w:r w:rsidR="00A62CE3">
        <w:lastRenderedPageBreak/>
        <w:t>product</w:t>
      </w:r>
      <w:r w:rsidR="00D31D07">
        <w:t xml:space="preserve"> </w:t>
      </w:r>
      <w:r w:rsidR="00DD459C">
        <w:t>by</w:t>
      </w:r>
      <w:r w:rsidR="00D31D07">
        <w:t xml:space="preserve"> 2015</w:t>
      </w:r>
      <w:r w:rsidR="005429B0">
        <w:t>–</w:t>
      </w:r>
      <w:r>
        <w:t>16</w:t>
      </w:r>
      <w:r w:rsidR="007737ED">
        <w:t>.</w:t>
      </w:r>
      <w:r w:rsidR="00D31D07">
        <w:rPr>
          <w:rStyle w:val="FootnoteReference"/>
        </w:rPr>
        <w:footnoteReference w:id="7"/>
      </w:r>
      <w:r>
        <w:t xml:space="preserve"> </w:t>
      </w:r>
      <w:r w:rsidRPr="00980D48">
        <w:t>While these loans are helping fund essential recovery activities, they will increase the longer</w:t>
      </w:r>
      <w:r w:rsidR="005429B0">
        <w:t>-</w:t>
      </w:r>
      <w:r w:rsidRPr="00980D48">
        <w:t>term challenge of reducing public debt to a sustainable level</w:t>
      </w:r>
      <w:r>
        <w:t xml:space="preserve">. </w:t>
      </w:r>
    </w:p>
    <w:p w14:paraId="4FAD1E4E" w14:textId="116477E2" w:rsidR="00980D48" w:rsidRDefault="00980D48" w:rsidP="004F2077">
      <w:pPr>
        <w:pStyle w:val="BodyText"/>
      </w:pPr>
      <w:r w:rsidRPr="00980D48">
        <w:t>Samoa has undertaken substantial reforms in the last decade, which</w:t>
      </w:r>
      <w:r w:rsidR="00866C00">
        <w:t>, along with continued political stability,</w:t>
      </w:r>
      <w:r w:rsidRPr="00980D48">
        <w:t xml:space="preserve"> have contributed to</w:t>
      </w:r>
      <w:r w:rsidR="00866C00">
        <w:t xml:space="preserve"> ongoing</w:t>
      </w:r>
      <w:r w:rsidRPr="00980D48">
        <w:t xml:space="preserve"> </w:t>
      </w:r>
      <w:r>
        <w:t>macroeconomic stability</w:t>
      </w:r>
      <w:r w:rsidRPr="00980D48">
        <w:t>. However there is evidence that reform momentum is slowing</w:t>
      </w:r>
      <w:r w:rsidR="007737ED">
        <w:t xml:space="preserve">. </w:t>
      </w:r>
      <w:r w:rsidRPr="00980D48">
        <w:t xml:space="preserve">Restoring Samoa’s strong growth will require continued structural reforms especially in relation to </w:t>
      </w:r>
      <w:r w:rsidR="00DA103C">
        <w:t xml:space="preserve">under-performing </w:t>
      </w:r>
      <w:r w:rsidR="005429B0">
        <w:t>state-</w:t>
      </w:r>
      <w:r>
        <w:t>owned en</w:t>
      </w:r>
      <w:r w:rsidRPr="00980D48">
        <w:t xml:space="preserve">terprises, many of which </w:t>
      </w:r>
      <w:r>
        <w:t xml:space="preserve">require </w:t>
      </w:r>
      <w:r w:rsidR="00DD459C">
        <w:t xml:space="preserve">ongoing </w:t>
      </w:r>
      <w:r>
        <w:t xml:space="preserve">support from </w:t>
      </w:r>
      <w:r w:rsidRPr="00980D48">
        <w:t xml:space="preserve">public finances. </w:t>
      </w:r>
      <w:r w:rsidR="00F537DB">
        <w:t xml:space="preserve">Monitoring debts incurred by </w:t>
      </w:r>
      <w:r w:rsidR="005429B0">
        <w:t>these</w:t>
      </w:r>
      <w:r w:rsidR="00F00FA4">
        <w:t xml:space="preserve"> en</w:t>
      </w:r>
      <w:r w:rsidR="00F00FA4" w:rsidRPr="00980D48">
        <w:t>terprises</w:t>
      </w:r>
      <w:r w:rsidR="00F00FA4">
        <w:t xml:space="preserve"> </w:t>
      </w:r>
      <w:r w:rsidR="00F537DB">
        <w:t xml:space="preserve">and </w:t>
      </w:r>
      <w:r w:rsidR="00D000A5">
        <w:t xml:space="preserve">improvements to </w:t>
      </w:r>
      <w:r w:rsidR="00F537DB">
        <w:t xml:space="preserve">the operating environment for businesses need to be key priorities for </w:t>
      </w:r>
      <w:r w:rsidR="00A96FAD">
        <w:t xml:space="preserve">the </w:t>
      </w:r>
      <w:r w:rsidR="008C33CC">
        <w:t>Government of Samoa</w:t>
      </w:r>
      <w:r w:rsidR="00F537DB">
        <w:t xml:space="preserve"> in the coming year</w:t>
      </w:r>
      <w:r w:rsidR="00BC0AC7">
        <w:t>s</w:t>
      </w:r>
      <w:r w:rsidR="007737ED">
        <w:t>.</w:t>
      </w:r>
      <w:r w:rsidR="00D31D07">
        <w:rPr>
          <w:rStyle w:val="FootnoteReference"/>
        </w:rPr>
        <w:footnoteReference w:id="8"/>
      </w:r>
      <w:r w:rsidR="00F537DB">
        <w:t xml:space="preserve"> </w:t>
      </w:r>
    </w:p>
    <w:p w14:paraId="367B864E" w14:textId="40492C47" w:rsidR="00E2393A" w:rsidRDefault="00E2393A" w:rsidP="004F2077">
      <w:pPr>
        <w:pStyle w:val="BodyText"/>
      </w:pPr>
      <w:r w:rsidRPr="00D55E33">
        <w:t xml:space="preserve">Cyclone Evan struck </w:t>
      </w:r>
      <w:r w:rsidR="00D000A5">
        <w:t xml:space="preserve">Samoa </w:t>
      </w:r>
      <w:r w:rsidR="00625C98">
        <w:t>o</w:t>
      </w:r>
      <w:r w:rsidR="00625C98" w:rsidRPr="00D55E33">
        <w:t>n 13 December</w:t>
      </w:r>
      <w:r w:rsidR="00625C98">
        <w:t xml:space="preserve"> 2012</w:t>
      </w:r>
      <w:r w:rsidR="00DB18D4">
        <w:t xml:space="preserve"> </w:t>
      </w:r>
      <w:r w:rsidRPr="00D55E33">
        <w:t>causing widespread damage. Up to 14 people died, 253 houses were destroyed and 1</w:t>
      </w:r>
      <w:r w:rsidR="00DB18D4">
        <w:t xml:space="preserve"> </w:t>
      </w:r>
      <w:r w:rsidRPr="00D55E33">
        <w:t xml:space="preserve">835 </w:t>
      </w:r>
      <w:r w:rsidR="005429B0">
        <w:t>damaged</w:t>
      </w:r>
      <w:r w:rsidR="00A96FAD">
        <w:t>.</w:t>
      </w:r>
      <w:r w:rsidR="005429B0">
        <w:t xml:space="preserve"> </w:t>
      </w:r>
      <w:r w:rsidR="00BC0AC7">
        <w:t>M</w:t>
      </w:r>
      <w:r w:rsidR="005429B0">
        <w:t>ore than</w:t>
      </w:r>
      <w:r w:rsidR="00DB18D4">
        <w:t xml:space="preserve"> </w:t>
      </w:r>
      <w:r w:rsidRPr="00D55E33">
        <w:t>14</w:t>
      </w:r>
      <w:r w:rsidR="00CC12D1">
        <w:t> </w:t>
      </w:r>
      <w:r w:rsidRPr="00D55E33">
        <w:t>700 people</w:t>
      </w:r>
      <w:r w:rsidR="005429B0">
        <w:t xml:space="preserve"> were affected</w:t>
      </w:r>
      <w:r w:rsidRPr="00D55E33">
        <w:t xml:space="preserve">. </w:t>
      </w:r>
      <w:r w:rsidR="005429B0">
        <w:t>In addition, s</w:t>
      </w:r>
      <w:r w:rsidRPr="00D55E33">
        <w:t>even schools and two clinics were destroyed</w:t>
      </w:r>
      <w:r w:rsidR="005429B0">
        <w:t xml:space="preserve"> and</w:t>
      </w:r>
      <w:r w:rsidRPr="00D55E33">
        <w:t xml:space="preserve"> damage to water, electricity and road networks</w:t>
      </w:r>
      <w:r w:rsidR="005429B0">
        <w:t xml:space="preserve"> was extensive</w:t>
      </w:r>
      <w:r w:rsidRPr="00D55E33">
        <w:t xml:space="preserve">, particularly around the capital Apia. </w:t>
      </w:r>
      <w:r>
        <w:t>T</w:t>
      </w:r>
      <w:r w:rsidRPr="00D55E33">
        <w:t xml:space="preserve">he value of damage and losses </w:t>
      </w:r>
      <w:r>
        <w:t xml:space="preserve">is estimated </w:t>
      </w:r>
      <w:r w:rsidRPr="00D55E33">
        <w:t>at $200 million</w:t>
      </w:r>
      <w:r w:rsidR="00DB18D4">
        <w:rPr>
          <w:rStyle w:val="FootnoteReference"/>
        </w:rPr>
        <w:footnoteReference w:id="9"/>
      </w:r>
      <w:r w:rsidRPr="00D55E33">
        <w:t>, making it Samoa’s most expensive d</w:t>
      </w:r>
      <w:r>
        <w:t>isaster</w:t>
      </w:r>
      <w:r w:rsidR="00BC0AC7">
        <w:t>.</w:t>
      </w:r>
      <w:r>
        <w:rPr>
          <w:rStyle w:val="FootnoteReference"/>
        </w:rPr>
        <w:footnoteReference w:id="10"/>
      </w:r>
      <w:r>
        <w:t xml:space="preserve"> The </w:t>
      </w:r>
      <w:r w:rsidR="008C33CC">
        <w:t>Government of Samoa</w:t>
      </w:r>
      <w:r w:rsidRPr="00B8362D">
        <w:t xml:space="preserve"> led</w:t>
      </w:r>
      <w:r w:rsidRPr="00D55E33">
        <w:t xml:space="preserve"> a strong humanitarian response and recovery planning process</w:t>
      </w:r>
      <w:r>
        <w:t xml:space="preserve">. A </w:t>
      </w:r>
      <w:r w:rsidRPr="003F2620">
        <w:t xml:space="preserve">total </w:t>
      </w:r>
      <w:r w:rsidRPr="003B66F5">
        <w:t>of $101 million</w:t>
      </w:r>
      <w:r w:rsidRPr="003F2620">
        <w:t xml:space="preserve"> </w:t>
      </w:r>
      <w:r w:rsidR="003B66F5">
        <w:t>w</w:t>
      </w:r>
      <w:r w:rsidRPr="003F2620">
        <w:t xml:space="preserve">as committed by </w:t>
      </w:r>
      <w:r>
        <w:t>develo</w:t>
      </w:r>
      <w:r w:rsidRPr="003F2620">
        <w:t>pment partners to support recovery</w:t>
      </w:r>
      <w:r>
        <w:t xml:space="preserve"> (</w:t>
      </w:r>
      <w:r w:rsidRPr="00D55E33">
        <w:t>Box</w:t>
      </w:r>
      <w:r w:rsidR="00CC12D1">
        <w:t> </w:t>
      </w:r>
      <w:r>
        <w:t>1</w:t>
      </w:r>
      <w:r w:rsidRPr="00D55E33">
        <w:t>). Despite this, the impact on</w:t>
      </w:r>
      <w:r w:rsidR="005429B0">
        <w:t xml:space="preserve"> the country’s</w:t>
      </w:r>
      <w:r w:rsidRPr="00D55E33">
        <w:t xml:space="preserve"> economic growth</w:t>
      </w:r>
      <w:r>
        <w:t xml:space="preserve"> </w:t>
      </w:r>
      <w:r w:rsidRPr="00D55E33">
        <w:t xml:space="preserve">and the livelihoods of vulnerable groups </w:t>
      </w:r>
      <w:r w:rsidR="00BC0AC7">
        <w:t>was</w:t>
      </w:r>
      <w:r w:rsidRPr="00D55E33">
        <w:t xml:space="preserve"> substantial.</w:t>
      </w:r>
    </w:p>
    <w:p w14:paraId="03E74853" w14:textId="30160705" w:rsidR="0059277E" w:rsidRPr="004F2077" w:rsidRDefault="0059277E" w:rsidP="004F2077">
      <w:pPr>
        <w:pStyle w:val="Heading2"/>
      </w:pPr>
      <w:r w:rsidRPr="004F2077">
        <w:t xml:space="preserve">Development </w:t>
      </w:r>
      <w:r w:rsidR="00CF3785" w:rsidRPr="004F2077">
        <w:t>c</w:t>
      </w:r>
      <w:r w:rsidRPr="004F2077">
        <w:t>ontext</w:t>
      </w:r>
    </w:p>
    <w:p w14:paraId="5BD451F1" w14:textId="45BA22F7" w:rsidR="00BC0AC7" w:rsidRPr="004F2077" w:rsidRDefault="00BC0AC7" w:rsidP="004F2077">
      <w:pPr>
        <w:pStyle w:val="BodyText"/>
      </w:pPr>
      <w:r w:rsidRPr="004F2077">
        <w:t>While Samoa will meet a number of Millennium Development Goals (MDGs) by 2015</w:t>
      </w:r>
      <w:r w:rsidR="00CC3540" w:rsidRPr="004F2077">
        <w:t>, downward</w:t>
      </w:r>
      <w:r w:rsidRPr="004F2077">
        <w:t xml:space="preserve"> trends in some areas will be exacerbated by the impact of Cyclone Evan. While the proportion of women and men</w:t>
      </w:r>
      <w:r w:rsidRPr="004F2077">
        <w:rPr>
          <w:rStyle w:val="FootnoteReference"/>
          <w:position w:val="0"/>
          <w:sz w:val="22"/>
          <w:szCs w:val="24"/>
        </w:rPr>
        <w:footnoteReference w:id="11"/>
      </w:r>
      <w:r w:rsidRPr="004F2077">
        <w:t xml:space="preserve"> experiencing food poverty in Samoa halved in the past 10 years the proportion of people experiencing basic needs poverty increased to more than 26 per cent in the same period.</w:t>
      </w:r>
      <w:r w:rsidRPr="004F2077">
        <w:rPr>
          <w:rStyle w:val="FootnoteReference"/>
          <w:position w:val="0"/>
          <w:sz w:val="22"/>
          <w:szCs w:val="24"/>
        </w:rPr>
        <w:footnoteReference w:id="12"/>
      </w:r>
      <w:r w:rsidRPr="004F2077">
        <w:t xml:space="preserve"> Rates of sexually transmitted diseases such as chlamydia increased steadily from 27.5 per cent of pregnant women in 2008 to 31.3 per cent in 2011</w:t>
      </w:r>
      <w:r w:rsidR="00D000A5" w:rsidRPr="004F2077">
        <w:t>.</w:t>
      </w:r>
      <w:r w:rsidRPr="004F2077">
        <w:rPr>
          <w:rStyle w:val="FootnoteReference"/>
          <w:position w:val="0"/>
          <w:sz w:val="22"/>
          <w:szCs w:val="24"/>
        </w:rPr>
        <w:footnoteReference w:id="13"/>
      </w:r>
      <w:r w:rsidRPr="004F2077">
        <w:t xml:space="preserve"> School dropout rates remain high, especially among boys. Samoa has begun preparations to become a signatory to the Convention on Rights of People with a Disability but men and women with disabilities lack access to basic services and income opportunities.</w:t>
      </w:r>
      <w:r w:rsidRPr="004F2077">
        <w:rPr>
          <w:rStyle w:val="FootnoteReference"/>
          <w:position w:val="0"/>
          <w:sz w:val="22"/>
          <w:szCs w:val="24"/>
        </w:rPr>
        <w:footnoteReference w:id="14"/>
      </w:r>
      <w:r w:rsidRPr="004F2077">
        <w:t xml:space="preserve"> The large burden of non-communicable diseases continues to pose a major risk to public finances.</w:t>
      </w:r>
      <w:r w:rsidRPr="004F2077">
        <w:rPr>
          <w:rStyle w:val="FootnoteReference"/>
          <w:position w:val="0"/>
          <w:sz w:val="22"/>
          <w:szCs w:val="24"/>
        </w:rPr>
        <w:footnoteReference w:id="15"/>
      </w:r>
    </w:p>
    <w:p w14:paraId="22A4573E" w14:textId="77777777" w:rsidR="00384536" w:rsidRDefault="00384536">
      <w:pPr>
        <w:spacing w:after="200" w:line="276" w:lineRule="auto"/>
        <w:rPr>
          <w:rFonts w:ascii="Arial" w:eastAsia="Times New Roman" w:hAnsi="Arial" w:cs="Arial"/>
          <w:color w:val="7E6D5F"/>
          <w:szCs w:val="19"/>
        </w:rPr>
      </w:pPr>
      <w:r>
        <w:br w:type="page"/>
      </w:r>
    </w:p>
    <w:p w14:paraId="623B7B7D" w14:textId="0A636848" w:rsidR="00820807" w:rsidRPr="004F2077" w:rsidRDefault="00820807" w:rsidP="004F2077">
      <w:pPr>
        <w:pStyle w:val="Caption"/>
      </w:pPr>
      <w:r w:rsidRPr="004F2077">
        <w:lastRenderedPageBreak/>
        <w:t xml:space="preserve">Table </w:t>
      </w:r>
      <w:r w:rsidR="005F0CC5" w:rsidRPr="004F2077">
        <w:t>1</w:t>
      </w:r>
      <w:r w:rsidRPr="004F2077">
        <w:t>: Status of Millennium Development Goals progress in Samoa</w:t>
      </w:r>
    </w:p>
    <w:tbl>
      <w:tblPr>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2872"/>
        <w:gridCol w:w="2860"/>
        <w:gridCol w:w="2874"/>
      </w:tblGrid>
      <w:tr w:rsidR="00820807" w:rsidRPr="003C4742" w14:paraId="46A2AC77" w14:textId="77777777" w:rsidTr="004F2077">
        <w:trPr>
          <w:cantSplit/>
          <w:tblCellSpacing w:w="14" w:type="dxa"/>
        </w:trPr>
        <w:tc>
          <w:tcPr>
            <w:tcW w:w="2755" w:type="dxa"/>
            <w:tcBorders>
              <w:top w:val="nil"/>
              <w:bottom w:val="single" w:sz="12" w:space="0" w:color="000000"/>
            </w:tcBorders>
            <w:shd w:val="clear" w:color="auto" w:fill="auto"/>
          </w:tcPr>
          <w:p w14:paraId="1EFD429A" w14:textId="77777777" w:rsidR="00820807" w:rsidRPr="00CF3661" w:rsidRDefault="00820807" w:rsidP="003E3A7E">
            <w:pPr>
              <w:pStyle w:val="TableTextColumnHeading"/>
            </w:pPr>
            <w:r w:rsidRPr="00CF3661">
              <w:t>Millennium Development Goal</w:t>
            </w:r>
          </w:p>
        </w:tc>
        <w:tc>
          <w:tcPr>
            <w:tcW w:w="2756" w:type="dxa"/>
            <w:tcBorders>
              <w:top w:val="nil"/>
              <w:bottom w:val="single" w:sz="12" w:space="0" w:color="000000"/>
            </w:tcBorders>
            <w:shd w:val="clear" w:color="auto" w:fill="auto"/>
          </w:tcPr>
          <w:p w14:paraId="74F0DFC4" w14:textId="77777777" w:rsidR="00820807" w:rsidRPr="00CF3661" w:rsidRDefault="00820807" w:rsidP="003E3A7E">
            <w:pPr>
              <w:pStyle w:val="TableTextColumnHeading"/>
            </w:pPr>
            <w:r w:rsidRPr="00CF3661">
              <w:t>Indicator and status</w:t>
            </w:r>
          </w:p>
        </w:tc>
        <w:tc>
          <w:tcPr>
            <w:tcW w:w="2756" w:type="dxa"/>
            <w:tcBorders>
              <w:top w:val="nil"/>
              <w:bottom w:val="single" w:sz="12" w:space="0" w:color="000000"/>
            </w:tcBorders>
            <w:shd w:val="clear" w:color="auto" w:fill="auto"/>
          </w:tcPr>
          <w:p w14:paraId="57C54987" w14:textId="77777777" w:rsidR="00820807" w:rsidRPr="00CF3661" w:rsidRDefault="00820807" w:rsidP="003E3A7E">
            <w:pPr>
              <w:pStyle w:val="TableTextColumnHeading"/>
            </w:pPr>
            <w:r w:rsidRPr="00CF3661">
              <w:t>Indicator and status</w:t>
            </w:r>
          </w:p>
        </w:tc>
      </w:tr>
      <w:tr w:rsidR="00820807" w:rsidRPr="003C4742" w14:paraId="000E81B9" w14:textId="77777777" w:rsidTr="004F2077">
        <w:trPr>
          <w:cantSplit/>
          <w:tblCellSpacing w:w="14" w:type="dxa"/>
        </w:trPr>
        <w:tc>
          <w:tcPr>
            <w:tcW w:w="2755" w:type="dxa"/>
            <w:shd w:val="clear" w:color="auto" w:fill="auto"/>
          </w:tcPr>
          <w:p w14:paraId="69BF24B3" w14:textId="0811F35C" w:rsidR="00820807" w:rsidRPr="004F2077" w:rsidRDefault="00820807" w:rsidP="004F2077">
            <w:pPr>
              <w:pStyle w:val="TableListNumber"/>
            </w:pPr>
            <w:r w:rsidRPr="004F2077">
              <w:t>Eradicate extreme poverty and hunger</w:t>
            </w:r>
          </w:p>
        </w:tc>
        <w:tc>
          <w:tcPr>
            <w:tcW w:w="2756" w:type="dxa"/>
            <w:tcBorders>
              <w:top w:val="nil"/>
              <w:bottom w:val="nil"/>
            </w:tcBorders>
            <w:shd w:val="clear" w:color="auto" w:fill="92D050"/>
          </w:tcPr>
          <w:p w14:paraId="64EFCE34" w14:textId="50695DF0" w:rsidR="00820807" w:rsidRPr="004F2077" w:rsidRDefault="00820807" w:rsidP="004F2077">
            <w:pPr>
              <w:pStyle w:val="TableTextEntries"/>
            </w:pPr>
            <w:r w:rsidRPr="004F2077">
              <w:t>Population below food poverty line: 4.9% (2008)</w:t>
            </w:r>
            <w:r w:rsidR="004F2077" w:rsidRPr="004F2077">
              <w:t xml:space="preserve">. </w:t>
            </w:r>
            <w:r w:rsidR="004F2077" w:rsidRPr="004F2077">
              <w:br/>
              <w:t>Status: Green</w:t>
            </w:r>
          </w:p>
        </w:tc>
        <w:tc>
          <w:tcPr>
            <w:tcW w:w="2756" w:type="dxa"/>
            <w:tcBorders>
              <w:top w:val="nil"/>
              <w:bottom w:val="nil"/>
            </w:tcBorders>
            <w:shd w:val="clear" w:color="auto" w:fill="FF0000"/>
          </w:tcPr>
          <w:p w14:paraId="5EC67F4C" w14:textId="3777A26F" w:rsidR="00820807" w:rsidRPr="004F2077" w:rsidRDefault="00820807" w:rsidP="004F2077">
            <w:pPr>
              <w:pStyle w:val="TableTextEntries"/>
            </w:pPr>
            <w:r w:rsidRPr="004F2077">
              <w:t>Population below basic needs poverty line: 26.9% (2008)</w:t>
            </w:r>
            <w:r w:rsidR="004F2077" w:rsidRPr="004F2077">
              <w:br/>
              <w:t>Status: Red</w:t>
            </w:r>
          </w:p>
        </w:tc>
      </w:tr>
      <w:tr w:rsidR="00820807" w:rsidRPr="003C4742" w14:paraId="05C00209" w14:textId="77777777" w:rsidTr="004F2077">
        <w:trPr>
          <w:cantSplit/>
          <w:tblCellSpacing w:w="14" w:type="dxa"/>
        </w:trPr>
        <w:tc>
          <w:tcPr>
            <w:tcW w:w="2755" w:type="dxa"/>
            <w:shd w:val="clear" w:color="auto" w:fill="auto"/>
          </w:tcPr>
          <w:p w14:paraId="47933407" w14:textId="686DC414" w:rsidR="00820807" w:rsidRPr="004F2077" w:rsidRDefault="00820807" w:rsidP="004F2077">
            <w:pPr>
              <w:pStyle w:val="TableListNumber"/>
            </w:pPr>
            <w:r w:rsidRPr="004F2077">
              <w:t>Achieve universal primary education</w:t>
            </w:r>
          </w:p>
        </w:tc>
        <w:tc>
          <w:tcPr>
            <w:tcW w:w="2756" w:type="dxa"/>
            <w:tcBorders>
              <w:top w:val="nil"/>
              <w:bottom w:val="nil"/>
            </w:tcBorders>
            <w:shd w:val="clear" w:color="auto" w:fill="92D050"/>
          </w:tcPr>
          <w:p w14:paraId="753FD59F" w14:textId="4E6399FB" w:rsidR="00820807" w:rsidRPr="004F2077" w:rsidRDefault="00820807" w:rsidP="004F2077">
            <w:pPr>
              <w:pStyle w:val="TableTextEntries"/>
            </w:pPr>
            <w:r w:rsidRPr="004F2077">
              <w:t>Net enrolment rate in primary education: 97% (2012)</w:t>
            </w:r>
            <w:r w:rsidR="00E53359">
              <w:t xml:space="preserve"> </w:t>
            </w:r>
            <w:r w:rsidR="004F2077" w:rsidRPr="004F2077">
              <w:br/>
              <w:t>Status: Green</w:t>
            </w:r>
          </w:p>
        </w:tc>
        <w:tc>
          <w:tcPr>
            <w:tcW w:w="2756" w:type="dxa"/>
            <w:tcBorders>
              <w:top w:val="nil"/>
              <w:bottom w:val="nil"/>
            </w:tcBorders>
            <w:shd w:val="clear" w:color="auto" w:fill="92D050"/>
          </w:tcPr>
          <w:p w14:paraId="2CF31D83" w14:textId="12859D43" w:rsidR="00820807" w:rsidRPr="004F2077" w:rsidRDefault="00820807" w:rsidP="004F2077">
            <w:pPr>
              <w:pStyle w:val="TableTextEntries"/>
            </w:pPr>
            <w:r w:rsidRPr="004F2077">
              <w:t xml:space="preserve">Literacy rate of 15 to 24 year olds: 97.9% </w:t>
            </w:r>
            <w:r w:rsidR="000C424C" w:rsidRPr="004F2077">
              <w:t xml:space="preserve">male, 97.2% female </w:t>
            </w:r>
            <w:r w:rsidRPr="004F2077">
              <w:t>(2012)</w:t>
            </w:r>
            <w:r w:rsidR="004F2077" w:rsidRPr="004F2077">
              <w:br/>
              <w:t>Status: Green</w:t>
            </w:r>
          </w:p>
        </w:tc>
      </w:tr>
      <w:tr w:rsidR="00820807" w:rsidRPr="003C4742" w14:paraId="548542B2" w14:textId="77777777" w:rsidTr="004F2077">
        <w:trPr>
          <w:cantSplit/>
          <w:tblCellSpacing w:w="14" w:type="dxa"/>
        </w:trPr>
        <w:tc>
          <w:tcPr>
            <w:tcW w:w="2755" w:type="dxa"/>
            <w:shd w:val="clear" w:color="auto" w:fill="auto"/>
          </w:tcPr>
          <w:p w14:paraId="321AC5C6" w14:textId="6DF8392A" w:rsidR="00820807" w:rsidRPr="004F2077" w:rsidRDefault="00820807" w:rsidP="004F2077">
            <w:pPr>
              <w:pStyle w:val="TableListNumber"/>
            </w:pPr>
            <w:r w:rsidRPr="004F2077">
              <w:t>Promote gender equality</w:t>
            </w:r>
          </w:p>
        </w:tc>
        <w:tc>
          <w:tcPr>
            <w:tcW w:w="2756" w:type="dxa"/>
            <w:tcBorders>
              <w:top w:val="nil"/>
              <w:bottom w:val="nil"/>
            </w:tcBorders>
            <w:shd w:val="clear" w:color="auto" w:fill="92D050"/>
          </w:tcPr>
          <w:p w14:paraId="482200BD" w14:textId="4F98FE2D" w:rsidR="00820807" w:rsidRPr="004F2077" w:rsidRDefault="00820807" w:rsidP="004F2077">
            <w:pPr>
              <w:pStyle w:val="TableTextEntries"/>
            </w:pPr>
            <w:r w:rsidRPr="004F2077">
              <w:t>Ratio girls to boys in primary (1.02) and secondary (1.23) education</w:t>
            </w:r>
            <w:r w:rsidR="004F2077" w:rsidRPr="004F2077">
              <w:t xml:space="preserve"> Status: Green</w:t>
            </w:r>
          </w:p>
        </w:tc>
        <w:tc>
          <w:tcPr>
            <w:tcW w:w="2756" w:type="dxa"/>
            <w:tcBorders>
              <w:top w:val="nil"/>
              <w:bottom w:val="nil"/>
            </w:tcBorders>
            <w:shd w:val="clear" w:color="auto" w:fill="FF0000"/>
          </w:tcPr>
          <w:p w14:paraId="5B833B42" w14:textId="35EDF6A1" w:rsidR="00820807" w:rsidRPr="004F2077" w:rsidRDefault="00820807" w:rsidP="004F2077">
            <w:pPr>
              <w:pStyle w:val="TableTextEntries"/>
            </w:pPr>
            <w:r w:rsidRPr="004F2077">
              <w:t>Proportion of seats held by women in parliament: 6.1% (2011)</w:t>
            </w:r>
            <w:r w:rsidR="004F2077" w:rsidRPr="004F2077">
              <w:br/>
              <w:t>Status: Red</w:t>
            </w:r>
          </w:p>
        </w:tc>
      </w:tr>
      <w:tr w:rsidR="00820807" w:rsidRPr="003C4742" w14:paraId="602BA412" w14:textId="77777777" w:rsidTr="004F2077">
        <w:trPr>
          <w:cantSplit/>
          <w:tblCellSpacing w:w="14" w:type="dxa"/>
        </w:trPr>
        <w:tc>
          <w:tcPr>
            <w:tcW w:w="2755" w:type="dxa"/>
            <w:shd w:val="clear" w:color="auto" w:fill="auto"/>
          </w:tcPr>
          <w:p w14:paraId="175C79D6" w14:textId="032AE9BD" w:rsidR="00820807" w:rsidRPr="004F2077" w:rsidRDefault="00820807" w:rsidP="004F2077">
            <w:pPr>
              <w:pStyle w:val="TableListNumber"/>
            </w:pPr>
            <w:r w:rsidRPr="004F2077">
              <w:t>Reduce child mortality</w:t>
            </w:r>
          </w:p>
        </w:tc>
        <w:tc>
          <w:tcPr>
            <w:tcW w:w="2756" w:type="dxa"/>
            <w:tcBorders>
              <w:top w:val="nil"/>
              <w:bottom w:val="nil"/>
            </w:tcBorders>
            <w:shd w:val="clear" w:color="auto" w:fill="92D050"/>
          </w:tcPr>
          <w:p w14:paraId="51BAD20B" w14:textId="75459767" w:rsidR="00820807" w:rsidRPr="004F2077" w:rsidRDefault="00820807" w:rsidP="004F2077">
            <w:pPr>
              <w:pStyle w:val="TableTextEntries"/>
            </w:pPr>
            <w:r w:rsidRPr="004F2077">
              <w:t xml:space="preserve">Under-5 mortality per 1000 live births: 19.4 (2012) </w:t>
            </w:r>
            <w:r w:rsidR="004F2077" w:rsidRPr="004F2077">
              <w:br/>
              <w:t>Status: Green</w:t>
            </w:r>
          </w:p>
        </w:tc>
        <w:tc>
          <w:tcPr>
            <w:tcW w:w="2756" w:type="dxa"/>
            <w:tcBorders>
              <w:top w:val="nil"/>
              <w:bottom w:val="nil"/>
            </w:tcBorders>
            <w:shd w:val="clear" w:color="auto" w:fill="F79646"/>
          </w:tcPr>
          <w:p w14:paraId="0718DEE5" w14:textId="2CC6A687" w:rsidR="00820807" w:rsidRPr="004F2077" w:rsidRDefault="00820807" w:rsidP="004F2077">
            <w:pPr>
              <w:pStyle w:val="TableTextEntries"/>
            </w:pPr>
            <w:r w:rsidRPr="004F2077">
              <w:t>One</w:t>
            </w:r>
            <w:r w:rsidR="00CA2464" w:rsidRPr="004F2077">
              <w:t>-</w:t>
            </w:r>
            <w:r w:rsidRPr="004F2077">
              <w:t>year</w:t>
            </w:r>
            <w:r w:rsidR="00CA2464" w:rsidRPr="004F2077">
              <w:t>-</w:t>
            </w:r>
            <w:r w:rsidRPr="004F2077">
              <w:t>olds immunised against measles: 67% (2012)</w:t>
            </w:r>
            <w:r w:rsidR="004F2077" w:rsidRPr="004F2077">
              <w:br/>
              <w:t>Status: Amber</w:t>
            </w:r>
          </w:p>
        </w:tc>
      </w:tr>
      <w:tr w:rsidR="00820807" w:rsidRPr="003C4742" w14:paraId="213B68D5" w14:textId="77777777" w:rsidTr="004F2077">
        <w:trPr>
          <w:cantSplit/>
          <w:tblCellSpacing w:w="14" w:type="dxa"/>
        </w:trPr>
        <w:tc>
          <w:tcPr>
            <w:tcW w:w="2755" w:type="dxa"/>
            <w:shd w:val="clear" w:color="auto" w:fill="auto"/>
          </w:tcPr>
          <w:p w14:paraId="05423F2D" w14:textId="01DAD00D" w:rsidR="00820807" w:rsidRPr="004F2077" w:rsidRDefault="00820807" w:rsidP="004F2077">
            <w:pPr>
              <w:pStyle w:val="TableListNumber"/>
            </w:pPr>
            <w:r w:rsidRPr="004F2077">
              <w:t>Improve maternal health</w:t>
            </w:r>
          </w:p>
        </w:tc>
        <w:tc>
          <w:tcPr>
            <w:tcW w:w="2756" w:type="dxa"/>
            <w:tcBorders>
              <w:top w:val="nil"/>
              <w:bottom w:val="nil"/>
            </w:tcBorders>
            <w:shd w:val="clear" w:color="auto" w:fill="92D050"/>
          </w:tcPr>
          <w:p w14:paraId="597E65C2" w14:textId="46CA2D46" w:rsidR="00820807" w:rsidRPr="004F2077" w:rsidRDefault="00820807" w:rsidP="004F2077">
            <w:pPr>
              <w:pStyle w:val="TableTextEntries"/>
            </w:pPr>
            <w:r w:rsidRPr="004F2077">
              <w:t xml:space="preserve">Maternal mortality per 100 000 births: 40 (2012) </w:t>
            </w:r>
            <w:r w:rsidR="004F2077" w:rsidRPr="004F2077">
              <w:br/>
              <w:t>Status: Green</w:t>
            </w:r>
          </w:p>
        </w:tc>
        <w:tc>
          <w:tcPr>
            <w:tcW w:w="2756" w:type="dxa"/>
            <w:tcBorders>
              <w:top w:val="nil"/>
              <w:bottom w:val="nil"/>
            </w:tcBorders>
            <w:shd w:val="clear" w:color="auto" w:fill="FF0000"/>
          </w:tcPr>
          <w:p w14:paraId="61129718" w14:textId="01054DDF" w:rsidR="00820807" w:rsidRPr="004F2077" w:rsidRDefault="00820807" w:rsidP="004F2077">
            <w:pPr>
              <w:pStyle w:val="TableTextEntries"/>
            </w:pPr>
            <w:r w:rsidRPr="004F2077">
              <w:t>Women with unmet need</w:t>
            </w:r>
            <w:r w:rsidR="00CA2464" w:rsidRPr="004F2077">
              <w:t>s</w:t>
            </w:r>
            <w:r w:rsidRPr="004F2077">
              <w:t xml:space="preserve"> for family planning: 45.6% (2009)</w:t>
            </w:r>
            <w:r w:rsidR="004F2077" w:rsidRPr="004F2077">
              <w:br/>
              <w:t>Status: Red</w:t>
            </w:r>
          </w:p>
        </w:tc>
      </w:tr>
      <w:tr w:rsidR="00820807" w:rsidRPr="003C4742" w14:paraId="6C0843A0" w14:textId="77777777" w:rsidTr="004F2077">
        <w:trPr>
          <w:cantSplit/>
          <w:tblCellSpacing w:w="14" w:type="dxa"/>
        </w:trPr>
        <w:tc>
          <w:tcPr>
            <w:tcW w:w="2755" w:type="dxa"/>
            <w:shd w:val="clear" w:color="auto" w:fill="auto"/>
          </w:tcPr>
          <w:p w14:paraId="7F31898B" w14:textId="44728089" w:rsidR="00820807" w:rsidRPr="004F2077" w:rsidRDefault="00820807" w:rsidP="004F2077">
            <w:pPr>
              <w:pStyle w:val="TableListNumber"/>
            </w:pPr>
            <w:r w:rsidRPr="004F2077">
              <w:t>Combat HIV/AIDS and other diseases</w:t>
            </w:r>
          </w:p>
        </w:tc>
        <w:tc>
          <w:tcPr>
            <w:tcW w:w="2756" w:type="dxa"/>
            <w:tcBorders>
              <w:top w:val="nil"/>
              <w:bottom w:val="nil"/>
            </w:tcBorders>
            <w:shd w:val="clear" w:color="auto" w:fill="F79646"/>
          </w:tcPr>
          <w:p w14:paraId="2A76955B" w14:textId="38E3D74B" w:rsidR="00820807" w:rsidRPr="004F2077" w:rsidRDefault="00820807" w:rsidP="004F2077">
            <w:pPr>
              <w:pStyle w:val="TableTextEntries"/>
            </w:pPr>
            <w:r w:rsidRPr="004F2077">
              <w:t>Condom use at last high-risk sex: 14.7% (2009)</w:t>
            </w:r>
            <w:r w:rsidR="004F2077" w:rsidRPr="004F2077">
              <w:br/>
              <w:t>Status: Amber</w:t>
            </w:r>
          </w:p>
        </w:tc>
        <w:tc>
          <w:tcPr>
            <w:tcW w:w="2756" w:type="dxa"/>
            <w:tcBorders>
              <w:top w:val="nil"/>
              <w:bottom w:val="nil"/>
            </w:tcBorders>
            <w:shd w:val="clear" w:color="auto" w:fill="FF0000"/>
          </w:tcPr>
          <w:p w14:paraId="224C8147" w14:textId="7EC117C9" w:rsidR="00820807" w:rsidRPr="004F2077" w:rsidRDefault="00820807" w:rsidP="004F2077">
            <w:pPr>
              <w:pStyle w:val="TableTextEntries"/>
            </w:pPr>
            <w:r w:rsidRPr="004F2077">
              <w:t>Prevalence of diabetes and obesity: 21.5% (2002)</w:t>
            </w:r>
            <w:r w:rsidR="004F2077" w:rsidRPr="004F2077">
              <w:br/>
              <w:t>Status: Red</w:t>
            </w:r>
          </w:p>
        </w:tc>
      </w:tr>
      <w:tr w:rsidR="00820807" w:rsidRPr="003C4742" w14:paraId="00419E92" w14:textId="77777777" w:rsidTr="004F2077">
        <w:trPr>
          <w:cantSplit/>
          <w:tblCellSpacing w:w="14" w:type="dxa"/>
        </w:trPr>
        <w:tc>
          <w:tcPr>
            <w:tcW w:w="2755" w:type="dxa"/>
            <w:shd w:val="clear" w:color="auto" w:fill="auto"/>
          </w:tcPr>
          <w:p w14:paraId="1417523B" w14:textId="7B3D50AD" w:rsidR="00820807" w:rsidRPr="004F2077" w:rsidRDefault="00820807" w:rsidP="004F2077">
            <w:pPr>
              <w:pStyle w:val="TableListNumber"/>
            </w:pPr>
            <w:r w:rsidRPr="004F2077">
              <w:t>Ensure environmental sustainability</w:t>
            </w:r>
          </w:p>
        </w:tc>
        <w:tc>
          <w:tcPr>
            <w:tcW w:w="2756" w:type="dxa"/>
            <w:tcBorders>
              <w:top w:val="nil"/>
              <w:bottom w:val="nil"/>
            </w:tcBorders>
            <w:shd w:val="clear" w:color="auto" w:fill="92D050"/>
          </w:tcPr>
          <w:p w14:paraId="5DBA53B6" w14:textId="4C3311B2" w:rsidR="00820807" w:rsidRPr="004F2077" w:rsidRDefault="00820807" w:rsidP="004F2077">
            <w:pPr>
              <w:pStyle w:val="TableTextEntries"/>
            </w:pPr>
            <w:r w:rsidRPr="004F2077">
              <w:t>Proportion of land area covered by forest: 60.4% (2010)</w:t>
            </w:r>
            <w:r w:rsidR="004F2077" w:rsidRPr="004F2077">
              <w:br/>
              <w:t>Status: Green</w:t>
            </w:r>
          </w:p>
        </w:tc>
        <w:tc>
          <w:tcPr>
            <w:tcW w:w="2756" w:type="dxa"/>
            <w:tcBorders>
              <w:top w:val="nil"/>
              <w:bottom w:val="nil"/>
            </w:tcBorders>
            <w:shd w:val="clear" w:color="auto" w:fill="92D050"/>
          </w:tcPr>
          <w:p w14:paraId="502A4263" w14:textId="7FBB0975" w:rsidR="00820807" w:rsidRPr="004F2077" w:rsidRDefault="00820807" w:rsidP="004F2077">
            <w:pPr>
              <w:pStyle w:val="TableTextEntries"/>
            </w:pPr>
            <w:r w:rsidRPr="004F2077">
              <w:t>People using improved drinking water source: 97.7% (2009)</w:t>
            </w:r>
            <w:r w:rsidR="004F2077" w:rsidRPr="004F2077">
              <w:br/>
              <w:t>Status: Green</w:t>
            </w:r>
          </w:p>
        </w:tc>
      </w:tr>
    </w:tbl>
    <w:p w14:paraId="15416037" w14:textId="0C30EF16" w:rsidR="008C4443" w:rsidRPr="004F2077" w:rsidRDefault="008C4443" w:rsidP="004F2077">
      <w:pPr>
        <w:pStyle w:val="Note"/>
      </w:pPr>
      <w:r w:rsidRPr="004F2077">
        <w:t>S</w:t>
      </w:r>
      <w:r w:rsidR="00820807" w:rsidRPr="004F2077">
        <w:t>ource</w:t>
      </w:r>
      <w:r w:rsidR="005429B0" w:rsidRPr="004F2077">
        <w:t>s</w:t>
      </w:r>
      <w:r w:rsidR="00820807" w:rsidRPr="004F2077">
        <w:t xml:space="preserve">: Pacific Islands Forum Secretariat, </w:t>
      </w:r>
      <w:r w:rsidR="00820807" w:rsidRPr="004F2077">
        <w:rPr>
          <w:i/>
        </w:rPr>
        <w:t>2012 Pacific Regional MDGs Tracking Report</w:t>
      </w:r>
      <w:r w:rsidR="00820807" w:rsidRPr="004F2077">
        <w:t xml:space="preserve">, August 2012; </w:t>
      </w:r>
      <w:r w:rsidR="008C33CC" w:rsidRPr="004F2077">
        <w:t>Government of Samoa</w:t>
      </w:r>
      <w:r w:rsidR="00820807" w:rsidRPr="004F2077">
        <w:t xml:space="preserve"> Ministry of Education, Sports and Culture, </w:t>
      </w:r>
      <w:r w:rsidR="00820807" w:rsidRPr="004F2077">
        <w:rPr>
          <w:i/>
        </w:rPr>
        <w:t>Education Statistical Digest 2012</w:t>
      </w:r>
      <w:r w:rsidR="00820807" w:rsidRPr="004F2077">
        <w:t>, August 2012</w:t>
      </w:r>
      <w:r w:rsidR="005429B0" w:rsidRPr="004F2077">
        <w:t>;</w:t>
      </w:r>
      <w:r w:rsidR="00820807" w:rsidRPr="004F2077">
        <w:t xml:space="preserve"> </w:t>
      </w:r>
      <w:r w:rsidR="008C33CC" w:rsidRPr="004F2077">
        <w:t>Government of Samoa</w:t>
      </w:r>
      <w:r w:rsidR="00820807" w:rsidRPr="004F2077">
        <w:t xml:space="preserve"> Bureau of Statistics, </w:t>
      </w:r>
      <w:r w:rsidR="00820807" w:rsidRPr="004F2077">
        <w:rPr>
          <w:i/>
        </w:rPr>
        <w:t>Population and Housing Census 2011 Analytical Report</w:t>
      </w:r>
      <w:r w:rsidR="00820807" w:rsidRPr="004F2077">
        <w:t xml:space="preserve">, October 2012; Samoa Health </w:t>
      </w:r>
      <w:r w:rsidR="0083163D" w:rsidRPr="004F2077">
        <w:t>S</w:t>
      </w:r>
      <w:r w:rsidR="005429B0" w:rsidRPr="004F2077">
        <w:t xml:space="preserve">ector-wide approach </w:t>
      </w:r>
      <w:r w:rsidR="00882172" w:rsidRPr="004F2077">
        <w:t>(</w:t>
      </w:r>
      <w:proofErr w:type="spellStart"/>
      <w:r w:rsidR="00882172" w:rsidRPr="004F2077">
        <w:t>SWaP</w:t>
      </w:r>
      <w:proofErr w:type="spellEnd"/>
      <w:r w:rsidR="00882172" w:rsidRPr="004F2077">
        <w:t>) Program</w:t>
      </w:r>
      <w:r w:rsidR="00820807" w:rsidRPr="004F2077">
        <w:t xml:space="preserve">, </w:t>
      </w:r>
      <w:r w:rsidR="00820807" w:rsidRPr="004F2077">
        <w:rPr>
          <w:i/>
        </w:rPr>
        <w:t>Joint Review Mission Aide Memoire</w:t>
      </w:r>
      <w:r w:rsidR="00820807" w:rsidRPr="004F2077">
        <w:t>, April 2013</w:t>
      </w:r>
      <w:r w:rsidR="005429B0" w:rsidRPr="004F2077">
        <w:t>.</w:t>
      </w:r>
    </w:p>
    <w:p w14:paraId="450EB084" w14:textId="6DAE124B" w:rsidR="004B5E38" w:rsidRDefault="00820807" w:rsidP="00820807">
      <w:pPr>
        <w:pStyle w:val="Note"/>
        <w:rPr>
          <w:color w:val="92D050"/>
        </w:rPr>
      </w:pPr>
      <w:r w:rsidRPr="00030111">
        <w:t xml:space="preserve">Note: </w:t>
      </w:r>
    </w:p>
    <w:p w14:paraId="2D6B4682" w14:textId="38D2AA36" w:rsidR="00CC3540" w:rsidRPr="004F2077" w:rsidRDefault="00820807" w:rsidP="00820807">
      <w:pPr>
        <w:pStyle w:val="Note"/>
      </w:pPr>
      <w:r w:rsidRPr="000774FD">
        <w:rPr>
          <w:color w:val="92D050"/>
        </w:rPr>
        <w:sym w:font="Webdings" w:char="F067"/>
      </w:r>
      <w:r w:rsidRPr="000774FD">
        <w:rPr>
          <w:rFonts w:ascii="Times New Roman" w:eastAsia="Arial Unicode MS" w:hAnsi="Times New Roman"/>
        </w:rPr>
        <w:t> </w:t>
      </w:r>
      <w:r w:rsidR="004F2077" w:rsidRPr="004F2077">
        <w:rPr>
          <w:rFonts w:eastAsia="Arial Unicode MS"/>
        </w:rPr>
        <w:t>Green</w:t>
      </w:r>
      <w:r w:rsidR="004F2077">
        <w:rPr>
          <w:rFonts w:eastAsia="Arial Unicode MS"/>
        </w:rPr>
        <w:t xml:space="preserve"> =</w:t>
      </w:r>
      <w:r w:rsidR="004F2077" w:rsidRPr="004F2077">
        <w:rPr>
          <w:rFonts w:eastAsia="Arial Unicode MS"/>
        </w:rPr>
        <w:t xml:space="preserve"> </w:t>
      </w:r>
      <w:r w:rsidRPr="004F2077">
        <w:t>The MDG is on track (likely to meet the target)</w:t>
      </w:r>
      <w:r w:rsidR="007737ED" w:rsidRPr="004F2077">
        <w:t>.</w:t>
      </w:r>
      <w:r w:rsidR="00E53359">
        <w:t xml:space="preserve"> </w:t>
      </w:r>
    </w:p>
    <w:p w14:paraId="5779BEAD" w14:textId="04F40903" w:rsidR="00CC3540" w:rsidRDefault="00820807" w:rsidP="00820807">
      <w:pPr>
        <w:pStyle w:val="Note"/>
      </w:pPr>
      <w:r w:rsidRPr="003C4742">
        <w:rPr>
          <w:color w:val="F79646"/>
        </w:rPr>
        <w:sym w:font="Webdings" w:char="F067"/>
      </w:r>
      <w:r w:rsidRPr="000774FD">
        <w:rPr>
          <w:rFonts w:ascii="Times New Roman" w:eastAsia="Arial Unicode MS" w:hAnsi="Times New Roman"/>
        </w:rPr>
        <w:t> </w:t>
      </w:r>
      <w:r w:rsidR="004F2077" w:rsidRPr="004F2077">
        <w:rPr>
          <w:rFonts w:eastAsia="Arial Unicode MS"/>
        </w:rPr>
        <w:t>Amber</w:t>
      </w:r>
      <w:r w:rsidR="004F2077">
        <w:rPr>
          <w:rFonts w:eastAsia="Arial Unicode MS"/>
        </w:rPr>
        <w:t xml:space="preserve"> =</w:t>
      </w:r>
      <w:r w:rsidR="004F2077" w:rsidRPr="004F2077">
        <w:rPr>
          <w:rFonts w:eastAsia="Arial Unicode MS"/>
        </w:rPr>
        <w:t xml:space="preserve"> </w:t>
      </w:r>
      <w:r w:rsidRPr="004F2077">
        <w:t>The MDG is of concern (limited data/progressing too slowly but could reach target with extra effort and resources)</w:t>
      </w:r>
      <w:r w:rsidR="007737ED" w:rsidRPr="004F2077">
        <w:t>.</w:t>
      </w:r>
      <w:r w:rsidR="00E53359">
        <w:t xml:space="preserve"> </w:t>
      </w:r>
    </w:p>
    <w:p w14:paraId="420811A6" w14:textId="6C5DE42E" w:rsidR="00820807" w:rsidRPr="000774FD" w:rsidRDefault="00820807" w:rsidP="00820807">
      <w:pPr>
        <w:pStyle w:val="Note"/>
      </w:pPr>
      <w:r w:rsidRPr="000774FD">
        <w:rPr>
          <w:color w:val="FF0000"/>
        </w:rPr>
        <w:sym w:font="Webdings" w:char="F067"/>
      </w:r>
      <w:r w:rsidRPr="000774FD">
        <w:rPr>
          <w:rFonts w:ascii="Times New Roman" w:eastAsia="Arial Unicode MS" w:hAnsi="Times New Roman"/>
        </w:rPr>
        <w:t> </w:t>
      </w:r>
      <w:r w:rsidR="004F2077" w:rsidRPr="004F2077">
        <w:rPr>
          <w:rFonts w:eastAsia="Arial Unicode MS"/>
        </w:rPr>
        <w:t>Red</w:t>
      </w:r>
      <w:r w:rsidR="004F2077">
        <w:rPr>
          <w:rFonts w:eastAsia="Arial Unicode MS"/>
        </w:rPr>
        <w:t xml:space="preserve"> =</w:t>
      </w:r>
      <w:r w:rsidR="004F2077" w:rsidRPr="004F2077">
        <w:rPr>
          <w:rFonts w:eastAsia="Arial Unicode MS"/>
        </w:rPr>
        <w:t xml:space="preserve"> </w:t>
      </w:r>
      <w:r w:rsidRPr="004F2077">
        <w:t>The MDG is off track (highly unlikely to meet the target).</w:t>
      </w:r>
      <w:r w:rsidRPr="000774FD">
        <w:t xml:space="preserve"> </w:t>
      </w:r>
    </w:p>
    <w:p w14:paraId="3953E315" w14:textId="77777777" w:rsidR="00820807" w:rsidRDefault="00820807" w:rsidP="004F2077">
      <w:pPr>
        <w:pStyle w:val="BodyText"/>
      </w:pPr>
    </w:p>
    <w:p w14:paraId="6CB2DCF8" w14:textId="66EEA4FD" w:rsidR="00AC20E0" w:rsidRDefault="00AC20E0" w:rsidP="004F2077">
      <w:pPr>
        <w:pStyle w:val="BodyText"/>
      </w:pPr>
      <w:r w:rsidRPr="00D54E8C">
        <w:t>Although the</w:t>
      </w:r>
      <w:r w:rsidR="00D54E8C" w:rsidRPr="00D54E8C">
        <w:t xml:space="preserve"> MDG indicator for women in Parliament is currently off track, Samoa is the only member of the Pacific Islands Forum that has begun work to increase the number of female representatives. </w:t>
      </w:r>
      <w:r w:rsidR="008E461C">
        <w:t xml:space="preserve">The </w:t>
      </w:r>
      <w:r w:rsidR="008C33CC">
        <w:t xml:space="preserve">Government </w:t>
      </w:r>
      <w:r w:rsidR="00D54E8C" w:rsidRPr="00D54E8C">
        <w:t>has proposed legislation reserving up to five seats for female members. This enacts leaders’ commitments for special measures for women in parliament</w:t>
      </w:r>
      <w:r w:rsidR="00D54E8C">
        <w:t xml:space="preserve"> in the 2012 Gender Equality Declaration</w:t>
      </w:r>
      <w:r w:rsidR="00E30553">
        <w:t>.</w:t>
      </w:r>
      <w:r w:rsidR="00D54E8C">
        <w:rPr>
          <w:rStyle w:val="FootnoteReference"/>
        </w:rPr>
        <w:footnoteReference w:id="16"/>
      </w:r>
    </w:p>
    <w:p w14:paraId="233E4485" w14:textId="6C3C7139" w:rsidR="00E3485B" w:rsidRDefault="00E3485B" w:rsidP="004F2077">
      <w:pPr>
        <w:pStyle w:val="BodyText"/>
      </w:pPr>
      <w:r>
        <w:t xml:space="preserve">In July </w:t>
      </w:r>
      <w:r w:rsidR="00CC3540">
        <w:t>2012</w:t>
      </w:r>
      <w:r w:rsidR="008E461C">
        <w:t>,</w:t>
      </w:r>
      <w:r w:rsidR="00815D83">
        <w:t xml:space="preserve"> the</w:t>
      </w:r>
      <w:r w:rsidR="008E461C">
        <w:t xml:space="preserve"> </w:t>
      </w:r>
      <w:r w:rsidR="008C33CC">
        <w:t>Government of Samoa</w:t>
      </w:r>
      <w:r w:rsidRPr="00D55E33">
        <w:t xml:space="preserve"> released its new four</w:t>
      </w:r>
      <w:r w:rsidR="00E30553">
        <w:t>-y</w:t>
      </w:r>
      <w:r w:rsidRPr="00D55E33">
        <w:t>ear development plan</w:t>
      </w:r>
      <w:r>
        <w:t>,</w:t>
      </w:r>
      <w:r w:rsidRPr="00D55E33">
        <w:t xml:space="preserve"> the Strategy for the Development of Samoa (SDS) 2012</w:t>
      </w:r>
      <w:r w:rsidR="00CF3785">
        <w:t>–</w:t>
      </w:r>
      <w:r w:rsidRPr="00D55E33">
        <w:t>2016</w:t>
      </w:r>
      <w:r>
        <w:t>. The strategy</w:t>
      </w:r>
      <w:r w:rsidRPr="00D55E33">
        <w:t xml:space="preserve"> outline</w:t>
      </w:r>
      <w:r w:rsidR="008E461C">
        <w:t>s</w:t>
      </w:r>
      <w:r w:rsidRPr="00D55E33">
        <w:t xml:space="preserve"> the agenda for the transition following Samoa’s graduation from Least Developed Country status, </w:t>
      </w:r>
      <w:r>
        <w:t>due to</w:t>
      </w:r>
      <w:r w:rsidRPr="00D55E33">
        <w:t xml:space="preserve"> take place i</w:t>
      </w:r>
      <w:r>
        <w:t xml:space="preserve">n January 2014. </w:t>
      </w:r>
      <w:r w:rsidR="00E30553">
        <w:t>It</w:t>
      </w:r>
      <w:r>
        <w:t xml:space="preserve"> focuses</w:t>
      </w:r>
      <w:r w:rsidRPr="00D55E33">
        <w:t xml:space="preserve"> on</w:t>
      </w:r>
      <w:r>
        <w:t xml:space="preserve"> increasing investment in</w:t>
      </w:r>
      <w:r w:rsidRPr="00D55E33">
        <w:t xml:space="preserve"> the productive sectors of the economy, </w:t>
      </w:r>
      <w:r>
        <w:t>particularly agriculture and manufacturing. I</w:t>
      </w:r>
      <w:r w:rsidRPr="0059277E">
        <w:t xml:space="preserve">mplementation </w:t>
      </w:r>
      <w:r w:rsidR="00D000A5">
        <w:t xml:space="preserve">of the SDS </w:t>
      </w:r>
      <w:r>
        <w:t>will require substantial support from development partners</w:t>
      </w:r>
      <w:r w:rsidRPr="0059277E">
        <w:t>, particularly due to the difficult fiscal situation</w:t>
      </w:r>
      <w:r>
        <w:t>.</w:t>
      </w:r>
    </w:p>
    <w:p w14:paraId="367D2C0C" w14:textId="31D4D271" w:rsidR="00180B19" w:rsidRDefault="0054667E" w:rsidP="004F2077">
      <w:pPr>
        <w:pStyle w:val="BodyText"/>
      </w:pPr>
      <w:r w:rsidRPr="0054667E">
        <w:t xml:space="preserve">As outlined through this </w:t>
      </w:r>
      <w:r w:rsidR="00412611">
        <w:t>APPR</w:t>
      </w:r>
      <w:r w:rsidR="00412611" w:rsidRPr="0054667E">
        <w:t xml:space="preserve"> </w:t>
      </w:r>
      <w:r w:rsidRPr="0054667E">
        <w:t xml:space="preserve">and in Table </w:t>
      </w:r>
      <w:r w:rsidR="005F0CC5">
        <w:t>2</w:t>
      </w:r>
      <w:r w:rsidR="0059277E">
        <w:t xml:space="preserve">, Australia is providing significant support to </w:t>
      </w:r>
      <w:r w:rsidR="00477552">
        <w:t>p</w:t>
      </w:r>
      <w:r w:rsidR="0059277E">
        <w:t xml:space="preserve">artnership </w:t>
      </w:r>
      <w:r w:rsidR="00E3485B">
        <w:t>bilateral priority outcomes, enabling Samoa to meet current and emerging development challenges</w:t>
      </w:r>
      <w:r w:rsidR="007737ED">
        <w:t xml:space="preserve">. </w:t>
      </w:r>
      <w:r w:rsidR="00477552">
        <w:t xml:space="preserve">Australia </w:t>
      </w:r>
      <w:r w:rsidR="00CC3540">
        <w:t xml:space="preserve">also </w:t>
      </w:r>
      <w:r w:rsidR="00477552">
        <w:t>provides s</w:t>
      </w:r>
      <w:r w:rsidR="00E3485B">
        <w:t>i</w:t>
      </w:r>
      <w:r w:rsidR="00E3485B" w:rsidRPr="00E20E53">
        <w:t>gnificant support to Samoa through regional programs, a list of which</w:t>
      </w:r>
      <w:r w:rsidR="00E3485B">
        <w:t xml:space="preserve">, </w:t>
      </w:r>
      <w:r w:rsidR="00477552">
        <w:t>including</w:t>
      </w:r>
      <w:r w:rsidR="00D67831">
        <w:t xml:space="preserve"> </w:t>
      </w:r>
      <w:r w:rsidR="002205B3">
        <w:t xml:space="preserve">the </w:t>
      </w:r>
      <w:r w:rsidR="00D67831">
        <w:t>impact</w:t>
      </w:r>
      <w:r w:rsidR="002205B3">
        <w:t xml:space="preserve"> they had</w:t>
      </w:r>
      <w:r w:rsidR="00D67831">
        <w:t xml:space="preserve"> </w:t>
      </w:r>
      <w:r w:rsidR="00DD459C">
        <w:t>in 2012</w:t>
      </w:r>
      <w:r w:rsidR="009349C3">
        <w:t>–</w:t>
      </w:r>
      <w:r w:rsidR="00DD459C">
        <w:t>13</w:t>
      </w:r>
      <w:r w:rsidR="00477552">
        <w:t>,</w:t>
      </w:r>
      <w:r w:rsidR="00DD459C">
        <w:t xml:space="preserve"> </w:t>
      </w:r>
      <w:r w:rsidR="00D67831">
        <w:t xml:space="preserve">is at Annex A. </w:t>
      </w:r>
    </w:p>
    <w:p w14:paraId="34E98070" w14:textId="77777777" w:rsidR="00E3485B" w:rsidRDefault="00E3485B" w:rsidP="004F2077">
      <w:pPr>
        <w:pStyle w:val="BodyText"/>
      </w:pPr>
    </w:p>
    <w:p w14:paraId="008558B3" w14:textId="2F3E18F7" w:rsidR="0059277E" w:rsidRPr="00D17249" w:rsidRDefault="0059277E" w:rsidP="0059277E">
      <w:pPr>
        <w:pStyle w:val="Caption"/>
        <w:rPr>
          <w:highlight w:val="magenta"/>
        </w:rPr>
      </w:pPr>
      <w:r>
        <w:lastRenderedPageBreak/>
        <w:t xml:space="preserve">Table </w:t>
      </w:r>
      <w:r w:rsidR="005F0CC5">
        <w:t>2</w:t>
      </w:r>
      <w:r w:rsidRPr="00D17249">
        <w:t xml:space="preserve">: Estimated </w:t>
      </w:r>
      <w:r w:rsidR="00DD459C">
        <w:t>Aus</w:t>
      </w:r>
      <w:r w:rsidR="00C00A8E">
        <w:t>tralian aid</w:t>
      </w:r>
      <w:r w:rsidR="00DD459C">
        <w:t xml:space="preserve"> bilateral program </w:t>
      </w:r>
      <w:r w:rsidRPr="00D17249">
        <w:t>expenditure in 201</w:t>
      </w:r>
      <w:r>
        <w:t>2</w:t>
      </w:r>
      <w:r w:rsidRPr="00D17249">
        <w:t>–1</w:t>
      </w:r>
      <w:r>
        <w:t>3</w:t>
      </w:r>
      <w:r w:rsidRPr="00D17249">
        <w:t xml:space="preserve"> </w:t>
      </w:r>
    </w:p>
    <w:tbl>
      <w:tblPr>
        <w:tblStyle w:val="APPR"/>
        <w:tblW w:w="5000" w:type="pct"/>
        <w:tblLayout w:type="fixed"/>
        <w:tblLook w:val="0000" w:firstRow="0" w:lastRow="0" w:firstColumn="0" w:lastColumn="0" w:noHBand="0" w:noVBand="0"/>
      </w:tblPr>
      <w:tblGrid>
        <w:gridCol w:w="1610"/>
        <w:gridCol w:w="1082"/>
        <w:gridCol w:w="1214"/>
        <w:gridCol w:w="1334"/>
        <w:gridCol w:w="935"/>
        <w:gridCol w:w="1087"/>
        <w:gridCol w:w="1344"/>
      </w:tblGrid>
      <w:tr w:rsidR="0059277E" w:rsidRPr="003C4742" w14:paraId="11CF5C70" w14:textId="77777777" w:rsidTr="004F2077">
        <w:trPr>
          <w:cantSplit/>
          <w:tblHeader w:val="0"/>
        </w:trPr>
        <w:tc>
          <w:tcPr>
            <w:tcW w:w="1654" w:type="dxa"/>
          </w:tcPr>
          <w:p w14:paraId="16A872E4" w14:textId="08637FE0" w:rsidR="0059277E" w:rsidRDefault="0059277E" w:rsidP="004F2077">
            <w:pPr>
              <w:pStyle w:val="TableTextColumnHeading"/>
            </w:pPr>
            <w:r>
              <w:t>Priority outcome</w:t>
            </w:r>
          </w:p>
        </w:tc>
        <w:tc>
          <w:tcPr>
            <w:tcW w:w="1106" w:type="dxa"/>
          </w:tcPr>
          <w:p w14:paraId="574C6095" w14:textId="0BC2D59A" w:rsidR="0059277E" w:rsidRDefault="0059277E" w:rsidP="004F2077">
            <w:pPr>
              <w:pStyle w:val="TableTextColumnHeading"/>
            </w:pPr>
            <w:r>
              <w:t>A</w:t>
            </w:r>
            <w:r w:rsidR="000C04FD">
              <w:t>UD</w:t>
            </w:r>
            <w:r>
              <w:t xml:space="preserve"> </w:t>
            </w:r>
            <w:r w:rsidR="00D000A5">
              <w:t>million</w:t>
            </w:r>
          </w:p>
        </w:tc>
        <w:tc>
          <w:tcPr>
            <w:tcW w:w="1247" w:type="dxa"/>
          </w:tcPr>
          <w:p w14:paraId="28220B9C" w14:textId="77777777" w:rsidR="0059277E" w:rsidRDefault="0059277E" w:rsidP="004F2077">
            <w:pPr>
              <w:pStyle w:val="TableTextColumnHeading"/>
            </w:pPr>
            <w:r>
              <w:t>% of bilateral program</w:t>
            </w:r>
          </w:p>
        </w:tc>
        <w:tc>
          <w:tcPr>
            <w:tcW w:w="1375" w:type="dxa"/>
          </w:tcPr>
          <w:p w14:paraId="3D2428CD" w14:textId="59981502" w:rsidR="0059277E" w:rsidRDefault="0059277E" w:rsidP="004F2077">
            <w:pPr>
              <w:pStyle w:val="TableTextColumnHeading"/>
            </w:pPr>
            <w:r>
              <w:t>% development partner spend</w:t>
            </w:r>
            <w:r>
              <w:rPr>
                <w:rStyle w:val="FootnoteReference"/>
              </w:rPr>
              <w:t xml:space="preserve"> </w:t>
            </w:r>
          </w:p>
        </w:tc>
        <w:tc>
          <w:tcPr>
            <w:tcW w:w="950" w:type="dxa"/>
          </w:tcPr>
          <w:p w14:paraId="2F3E251A" w14:textId="77777777" w:rsidR="0059277E" w:rsidRDefault="0059277E" w:rsidP="004F2077">
            <w:pPr>
              <w:pStyle w:val="TableTextColumnHeading"/>
            </w:pPr>
            <w:r>
              <w:t>% sector budget</w:t>
            </w:r>
          </w:p>
        </w:tc>
        <w:tc>
          <w:tcPr>
            <w:tcW w:w="1112" w:type="dxa"/>
          </w:tcPr>
          <w:p w14:paraId="7E222E1C" w14:textId="717A2C3D" w:rsidR="0059277E" w:rsidRDefault="0059277E" w:rsidP="004F2077">
            <w:pPr>
              <w:pStyle w:val="TableTextColumnHeading"/>
            </w:pPr>
            <w:r w:rsidRPr="00D81B5B">
              <w:t>Rating</w:t>
            </w:r>
            <w:r>
              <w:t xml:space="preserve"> in 2012</w:t>
            </w:r>
            <w:r w:rsidR="00477552">
              <w:t>–</w:t>
            </w:r>
            <w:r>
              <w:t>13</w:t>
            </w:r>
          </w:p>
        </w:tc>
        <w:tc>
          <w:tcPr>
            <w:tcW w:w="1370" w:type="dxa"/>
          </w:tcPr>
          <w:p w14:paraId="004FD5F2" w14:textId="77777777" w:rsidR="0059277E" w:rsidRDefault="0059277E" w:rsidP="004F2077">
            <w:pPr>
              <w:pStyle w:val="TableTextColumnHeading"/>
            </w:pPr>
            <w:r>
              <w:t>Relative to</w:t>
            </w:r>
            <w:r w:rsidRPr="00D81B5B">
              <w:t xml:space="preserve"> previous rating</w:t>
            </w:r>
          </w:p>
        </w:tc>
      </w:tr>
      <w:tr w:rsidR="0059277E" w:rsidRPr="003C4742" w14:paraId="17DF5326" w14:textId="77777777" w:rsidTr="006B4FE5">
        <w:trPr>
          <w:cnfStyle w:val="000000010000" w:firstRow="0" w:lastRow="0" w:firstColumn="0" w:lastColumn="0" w:oddVBand="0" w:evenVBand="0" w:oddHBand="0" w:evenHBand="1" w:firstRowFirstColumn="0" w:firstRowLastColumn="0" w:lastRowFirstColumn="0" w:lastRowLastColumn="0"/>
          <w:cantSplit/>
          <w:tblHeader w:val="0"/>
        </w:trPr>
        <w:tc>
          <w:tcPr>
            <w:tcW w:w="1654" w:type="dxa"/>
            <w:vAlign w:val="center"/>
          </w:tcPr>
          <w:p w14:paraId="5B19FF04" w14:textId="77777777" w:rsidR="0059277E" w:rsidRPr="004F2077" w:rsidRDefault="0059277E" w:rsidP="006B4FE5">
            <w:pPr>
              <w:pStyle w:val="TableTextEntries"/>
            </w:pPr>
            <w:r w:rsidRPr="004F2077">
              <w:t>Education</w:t>
            </w:r>
          </w:p>
        </w:tc>
        <w:tc>
          <w:tcPr>
            <w:tcW w:w="1106" w:type="dxa"/>
            <w:vAlign w:val="center"/>
          </w:tcPr>
          <w:p w14:paraId="0F592BDB" w14:textId="4C893708" w:rsidR="0059277E" w:rsidRPr="004F2077" w:rsidRDefault="0059277E" w:rsidP="006B4FE5">
            <w:pPr>
              <w:pStyle w:val="TableTextEntries"/>
            </w:pPr>
            <w:r w:rsidRPr="004F2077">
              <w:t>$5.</w:t>
            </w:r>
            <w:r w:rsidR="00DB597F" w:rsidRPr="004F2077">
              <w:t>5</w:t>
            </w:r>
          </w:p>
        </w:tc>
        <w:tc>
          <w:tcPr>
            <w:tcW w:w="1247" w:type="dxa"/>
            <w:vAlign w:val="center"/>
          </w:tcPr>
          <w:p w14:paraId="6AF42FB9" w14:textId="134BB043" w:rsidR="0059277E" w:rsidRPr="004F2077" w:rsidRDefault="0059277E" w:rsidP="006B4FE5">
            <w:pPr>
              <w:pStyle w:val="TableTextEntries"/>
            </w:pPr>
            <w:r w:rsidRPr="004F2077">
              <w:t>2</w:t>
            </w:r>
            <w:r w:rsidR="00DB597F" w:rsidRPr="004F2077">
              <w:t>1</w:t>
            </w:r>
          </w:p>
        </w:tc>
        <w:tc>
          <w:tcPr>
            <w:tcW w:w="1375" w:type="dxa"/>
            <w:vAlign w:val="center"/>
          </w:tcPr>
          <w:p w14:paraId="34D7AAC4" w14:textId="77777777" w:rsidR="0059277E" w:rsidRPr="004F2077" w:rsidRDefault="0059277E" w:rsidP="006B4FE5">
            <w:pPr>
              <w:pStyle w:val="TableTextEntries"/>
            </w:pPr>
            <w:r w:rsidRPr="004F2077">
              <w:t>33</w:t>
            </w:r>
          </w:p>
        </w:tc>
        <w:tc>
          <w:tcPr>
            <w:tcW w:w="950" w:type="dxa"/>
            <w:vAlign w:val="center"/>
          </w:tcPr>
          <w:p w14:paraId="50BF0408" w14:textId="77777777" w:rsidR="0059277E" w:rsidRPr="004F2077" w:rsidRDefault="0059277E" w:rsidP="006B4FE5">
            <w:pPr>
              <w:pStyle w:val="TableTextEntries"/>
            </w:pPr>
            <w:r w:rsidRPr="004F2077">
              <w:t>11</w:t>
            </w:r>
          </w:p>
        </w:tc>
        <w:tc>
          <w:tcPr>
            <w:tcW w:w="1112" w:type="dxa"/>
            <w:shd w:val="clear" w:color="auto" w:fill="92D050"/>
            <w:vAlign w:val="center"/>
          </w:tcPr>
          <w:p w14:paraId="4B0A9726" w14:textId="797CD8EC" w:rsidR="0059277E" w:rsidRPr="00CF3661" w:rsidRDefault="004F2077" w:rsidP="006B4FE5">
            <w:pPr>
              <w:pStyle w:val="TableTextEntries"/>
              <w:jc w:val="center"/>
              <w:rPr>
                <w:bCs/>
              </w:rPr>
            </w:pPr>
            <w:r>
              <w:t>Green</w:t>
            </w:r>
          </w:p>
        </w:tc>
        <w:tc>
          <w:tcPr>
            <w:tcW w:w="1370" w:type="dxa"/>
            <w:vAlign w:val="center"/>
          </w:tcPr>
          <w:p w14:paraId="70556A63" w14:textId="77777777" w:rsidR="0059277E" w:rsidRPr="004F2077" w:rsidRDefault="0059277E" w:rsidP="006B4FE5">
            <w:pPr>
              <w:pStyle w:val="TableTextEntries"/>
            </w:pPr>
            <w:r w:rsidRPr="004F2077">
              <w:t>Unchanged</w:t>
            </w:r>
          </w:p>
        </w:tc>
      </w:tr>
      <w:tr w:rsidR="0059277E" w:rsidRPr="003C4742" w14:paraId="7054E0D3" w14:textId="77777777" w:rsidTr="006B4FE5">
        <w:trPr>
          <w:cantSplit/>
          <w:tblHeader w:val="0"/>
        </w:trPr>
        <w:tc>
          <w:tcPr>
            <w:tcW w:w="1654" w:type="dxa"/>
            <w:vAlign w:val="center"/>
          </w:tcPr>
          <w:p w14:paraId="6D85A3F5" w14:textId="77777777" w:rsidR="0059277E" w:rsidRPr="004F2077" w:rsidRDefault="0059277E" w:rsidP="006B4FE5">
            <w:pPr>
              <w:pStyle w:val="TableTextEntries"/>
            </w:pPr>
            <w:r w:rsidRPr="004F2077">
              <w:t>Health</w:t>
            </w:r>
          </w:p>
        </w:tc>
        <w:tc>
          <w:tcPr>
            <w:tcW w:w="1106" w:type="dxa"/>
            <w:vAlign w:val="center"/>
          </w:tcPr>
          <w:p w14:paraId="3AEFCEF6" w14:textId="47110FB0" w:rsidR="0059277E" w:rsidRPr="004F2077" w:rsidRDefault="00DB597F" w:rsidP="006B4FE5">
            <w:pPr>
              <w:pStyle w:val="TableTextEntries"/>
            </w:pPr>
            <w:r w:rsidRPr="004F2077">
              <w:t>$5.2</w:t>
            </w:r>
            <w:r w:rsidR="0059277E" w:rsidRPr="004F2077">
              <w:t xml:space="preserve"> </w:t>
            </w:r>
          </w:p>
        </w:tc>
        <w:tc>
          <w:tcPr>
            <w:tcW w:w="1247" w:type="dxa"/>
            <w:vAlign w:val="center"/>
          </w:tcPr>
          <w:p w14:paraId="1CE38F02" w14:textId="0D67B98B" w:rsidR="0059277E" w:rsidRPr="004F2077" w:rsidRDefault="00DB597F" w:rsidP="006B4FE5">
            <w:pPr>
              <w:pStyle w:val="TableTextEntries"/>
            </w:pPr>
            <w:r w:rsidRPr="004F2077">
              <w:t>20</w:t>
            </w:r>
          </w:p>
        </w:tc>
        <w:tc>
          <w:tcPr>
            <w:tcW w:w="1375" w:type="dxa"/>
            <w:vAlign w:val="center"/>
          </w:tcPr>
          <w:p w14:paraId="60F1F8D2" w14:textId="77777777" w:rsidR="0059277E" w:rsidRPr="004F2077" w:rsidRDefault="0059277E" w:rsidP="006B4FE5">
            <w:pPr>
              <w:pStyle w:val="TableTextEntries"/>
            </w:pPr>
            <w:r w:rsidRPr="004F2077">
              <w:t>17</w:t>
            </w:r>
          </w:p>
        </w:tc>
        <w:tc>
          <w:tcPr>
            <w:tcW w:w="950" w:type="dxa"/>
            <w:vAlign w:val="center"/>
          </w:tcPr>
          <w:p w14:paraId="3DE379DD" w14:textId="77777777" w:rsidR="0059277E" w:rsidRPr="004F2077" w:rsidRDefault="0059277E" w:rsidP="006B4FE5">
            <w:pPr>
              <w:pStyle w:val="TableTextEntries"/>
            </w:pPr>
            <w:r w:rsidRPr="004F2077">
              <w:t>8</w:t>
            </w:r>
          </w:p>
        </w:tc>
        <w:tc>
          <w:tcPr>
            <w:tcW w:w="1112" w:type="dxa"/>
            <w:tcBorders>
              <w:top w:val="nil"/>
              <w:bottom w:val="nil"/>
            </w:tcBorders>
            <w:shd w:val="clear" w:color="auto" w:fill="92D050"/>
            <w:vAlign w:val="center"/>
          </w:tcPr>
          <w:p w14:paraId="5AC6EA80" w14:textId="459ACB72" w:rsidR="0059277E" w:rsidRPr="00CF3661" w:rsidRDefault="004F2077" w:rsidP="006B4FE5">
            <w:pPr>
              <w:pStyle w:val="TableTextEntries"/>
              <w:jc w:val="center"/>
              <w:rPr>
                <w:bCs/>
              </w:rPr>
            </w:pPr>
            <w:r>
              <w:t>Green</w:t>
            </w:r>
          </w:p>
        </w:tc>
        <w:tc>
          <w:tcPr>
            <w:tcW w:w="1370" w:type="dxa"/>
            <w:vAlign w:val="center"/>
          </w:tcPr>
          <w:p w14:paraId="1C1F1AD3" w14:textId="77777777" w:rsidR="0059277E" w:rsidRPr="004F2077" w:rsidRDefault="0059277E" w:rsidP="006B4FE5">
            <w:pPr>
              <w:pStyle w:val="TableTextEntries"/>
            </w:pPr>
            <w:r w:rsidRPr="004F2077">
              <w:t>Improved</w:t>
            </w:r>
          </w:p>
        </w:tc>
      </w:tr>
      <w:tr w:rsidR="0059277E" w:rsidRPr="003C4742" w14:paraId="16883214" w14:textId="77777777" w:rsidTr="006B4FE5">
        <w:trPr>
          <w:cnfStyle w:val="000000010000" w:firstRow="0" w:lastRow="0" w:firstColumn="0" w:lastColumn="0" w:oddVBand="0" w:evenVBand="0" w:oddHBand="0" w:evenHBand="1" w:firstRowFirstColumn="0" w:firstRowLastColumn="0" w:lastRowFirstColumn="0" w:lastRowLastColumn="0"/>
          <w:cantSplit/>
          <w:tblHeader w:val="0"/>
        </w:trPr>
        <w:tc>
          <w:tcPr>
            <w:tcW w:w="1654" w:type="dxa"/>
            <w:vAlign w:val="center"/>
          </w:tcPr>
          <w:p w14:paraId="0341E622" w14:textId="5A3FA908" w:rsidR="0059277E" w:rsidRPr="004F2077" w:rsidRDefault="0059277E" w:rsidP="006B4FE5">
            <w:pPr>
              <w:pStyle w:val="TableTextEntries"/>
            </w:pPr>
            <w:r w:rsidRPr="004F2077">
              <w:t xml:space="preserve">Governance </w:t>
            </w:r>
            <w:r w:rsidR="00477552" w:rsidRPr="004F2077">
              <w:t xml:space="preserve">and </w:t>
            </w:r>
            <w:r w:rsidRPr="004F2077">
              <w:t>economic stability</w:t>
            </w:r>
            <w:r w:rsidRPr="004F2077">
              <w:rPr>
                <w:rStyle w:val="FootnoteReference"/>
                <w:rFonts w:ascii="Franklin Gothic Book" w:eastAsiaTheme="minorHAnsi" w:hAnsi="Franklin Gothic Book"/>
                <w:position w:val="0"/>
                <w:sz w:val="17"/>
                <w:szCs w:val="17"/>
                <w:vertAlign w:val="superscript"/>
              </w:rPr>
              <w:footnoteReference w:id="17"/>
            </w:r>
          </w:p>
        </w:tc>
        <w:tc>
          <w:tcPr>
            <w:tcW w:w="1106" w:type="dxa"/>
            <w:vAlign w:val="center"/>
          </w:tcPr>
          <w:p w14:paraId="122653FC" w14:textId="72AD4D0D" w:rsidR="0059277E" w:rsidRPr="004F2077" w:rsidRDefault="0059277E" w:rsidP="006B4FE5">
            <w:pPr>
              <w:pStyle w:val="TableTextEntries"/>
            </w:pPr>
            <w:r w:rsidRPr="004F2077">
              <w:t>$11.</w:t>
            </w:r>
            <w:r w:rsidR="00DB597F" w:rsidRPr="004F2077">
              <w:t>8</w:t>
            </w:r>
            <w:r w:rsidRPr="004F2077">
              <w:t xml:space="preserve"> </w:t>
            </w:r>
          </w:p>
        </w:tc>
        <w:tc>
          <w:tcPr>
            <w:tcW w:w="1247" w:type="dxa"/>
            <w:vAlign w:val="center"/>
          </w:tcPr>
          <w:p w14:paraId="6370B5C6" w14:textId="30E6C4BE" w:rsidR="0059277E" w:rsidRPr="004F2077" w:rsidRDefault="0059277E" w:rsidP="006B4FE5">
            <w:pPr>
              <w:pStyle w:val="TableTextEntries"/>
            </w:pPr>
            <w:r w:rsidRPr="004F2077">
              <w:t>4</w:t>
            </w:r>
            <w:r w:rsidR="00DB597F" w:rsidRPr="004F2077">
              <w:t>5</w:t>
            </w:r>
          </w:p>
        </w:tc>
        <w:tc>
          <w:tcPr>
            <w:tcW w:w="1375" w:type="dxa"/>
            <w:vAlign w:val="center"/>
          </w:tcPr>
          <w:p w14:paraId="75FA6BDB" w14:textId="77777777" w:rsidR="0059277E" w:rsidRPr="004F2077" w:rsidRDefault="0059277E" w:rsidP="006B4FE5">
            <w:pPr>
              <w:pStyle w:val="TableTextEntries"/>
            </w:pPr>
            <w:r w:rsidRPr="004F2077">
              <w:t>37</w:t>
            </w:r>
          </w:p>
        </w:tc>
        <w:tc>
          <w:tcPr>
            <w:tcW w:w="950" w:type="dxa"/>
            <w:vAlign w:val="center"/>
          </w:tcPr>
          <w:p w14:paraId="2308A539" w14:textId="77777777" w:rsidR="0059277E" w:rsidRPr="004F2077" w:rsidRDefault="0059277E" w:rsidP="006B4FE5">
            <w:pPr>
              <w:pStyle w:val="TableTextEntries"/>
            </w:pPr>
            <w:r w:rsidRPr="004F2077">
              <w:t>15</w:t>
            </w:r>
          </w:p>
        </w:tc>
        <w:tc>
          <w:tcPr>
            <w:tcW w:w="1112" w:type="dxa"/>
            <w:shd w:val="clear" w:color="auto" w:fill="F79646" w:themeFill="accent6"/>
            <w:vAlign w:val="center"/>
          </w:tcPr>
          <w:p w14:paraId="1DB74E81" w14:textId="5E7BBC0A" w:rsidR="0059277E" w:rsidRPr="00CF3661" w:rsidRDefault="004F2077" w:rsidP="006B4FE5">
            <w:pPr>
              <w:pStyle w:val="TableTextEntries"/>
              <w:jc w:val="center"/>
              <w:rPr>
                <w:bCs/>
              </w:rPr>
            </w:pPr>
            <w:r>
              <w:t>Amber</w:t>
            </w:r>
          </w:p>
        </w:tc>
        <w:tc>
          <w:tcPr>
            <w:tcW w:w="1370" w:type="dxa"/>
            <w:vAlign w:val="center"/>
          </w:tcPr>
          <w:p w14:paraId="1C4B79B1" w14:textId="77777777" w:rsidR="0059277E" w:rsidRPr="004F2077" w:rsidRDefault="0059277E" w:rsidP="006B4FE5">
            <w:pPr>
              <w:pStyle w:val="TableTextEntries"/>
            </w:pPr>
            <w:r w:rsidRPr="004F2077">
              <w:t>Declined</w:t>
            </w:r>
          </w:p>
        </w:tc>
      </w:tr>
      <w:tr w:rsidR="0059277E" w:rsidRPr="003C4742" w14:paraId="0030F3F8" w14:textId="77777777" w:rsidTr="006B4FE5">
        <w:trPr>
          <w:cantSplit/>
          <w:tblHeader w:val="0"/>
        </w:trPr>
        <w:tc>
          <w:tcPr>
            <w:tcW w:w="1654" w:type="dxa"/>
            <w:vAlign w:val="center"/>
          </w:tcPr>
          <w:p w14:paraId="01F5D447" w14:textId="77777777" w:rsidR="0059277E" w:rsidRPr="004F2077" w:rsidRDefault="0059277E" w:rsidP="006B4FE5">
            <w:pPr>
              <w:pStyle w:val="TableTextEntries"/>
            </w:pPr>
            <w:r w:rsidRPr="004F2077">
              <w:t>Law and justice</w:t>
            </w:r>
            <w:r w:rsidRPr="004F2077">
              <w:rPr>
                <w:rStyle w:val="FootnoteReference"/>
                <w:rFonts w:ascii="Franklin Gothic Book" w:eastAsiaTheme="minorHAnsi" w:hAnsi="Franklin Gothic Book"/>
                <w:position w:val="0"/>
                <w:sz w:val="17"/>
                <w:szCs w:val="17"/>
                <w:vertAlign w:val="superscript"/>
              </w:rPr>
              <w:footnoteReference w:id="18"/>
            </w:r>
          </w:p>
        </w:tc>
        <w:tc>
          <w:tcPr>
            <w:tcW w:w="1106" w:type="dxa"/>
            <w:vAlign w:val="center"/>
          </w:tcPr>
          <w:p w14:paraId="4EDD654F" w14:textId="7D71E5ED" w:rsidR="0059277E" w:rsidRPr="004F2077" w:rsidRDefault="0059277E" w:rsidP="006B4FE5">
            <w:pPr>
              <w:pStyle w:val="TableTextEntries"/>
            </w:pPr>
            <w:r w:rsidRPr="004F2077">
              <w:t xml:space="preserve">$0.27 </w:t>
            </w:r>
          </w:p>
        </w:tc>
        <w:tc>
          <w:tcPr>
            <w:tcW w:w="1247" w:type="dxa"/>
            <w:vAlign w:val="center"/>
          </w:tcPr>
          <w:p w14:paraId="1E84666A" w14:textId="77777777" w:rsidR="0059277E" w:rsidRPr="004F2077" w:rsidRDefault="0059277E" w:rsidP="006B4FE5">
            <w:pPr>
              <w:pStyle w:val="TableTextEntries"/>
            </w:pPr>
            <w:r w:rsidRPr="004F2077">
              <w:t>1</w:t>
            </w:r>
          </w:p>
        </w:tc>
        <w:tc>
          <w:tcPr>
            <w:tcW w:w="1375" w:type="dxa"/>
            <w:vAlign w:val="center"/>
          </w:tcPr>
          <w:p w14:paraId="5859AB66" w14:textId="1B96B81F" w:rsidR="0059277E" w:rsidRPr="004F2077" w:rsidRDefault="0059277E" w:rsidP="006B4FE5">
            <w:pPr>
              <w:pStyle w:val="TableTextEntries"/>
            </w:pPr>
            <w:r w:rsidRPr="004F2077">
              <w:t>100</w:t>
            </w:r>
            <w:r w:rsidR="00DB597F" w:rsidRPr="004F2077">
              <w:rPr>
                <w:rStyle w:val="FootnoteReference"/>
                <w:rFonts w:ascii="Franklin Gothic Book" w:hAnsi="Franklin Gothic Book"/>
                <w:position w:val="0"/>
                <w:sz w:val="17"/>
                <w:szCs w:val="17"/>
              </w:rPr>
              <w:footnoteReference w:id="19"/>
            </w:r>
          </w:p>
        </w:tc>
        <w:tc>
          <w:tcPr>
            <w:tcW w:w="950" w:type="dxa"/>
            <w:vAlign w:val="center"/>
          </w:tcPr>
          <w:p w14:paraId="03115F6B" w14:textId="77777777" w:rsidR="0059277E" w:rsidRPr="004F2077" w:rsidRDefault="0059277E" w:rsidP="006B4FE5">
            <w:pPr>
              <w:pStyle w:val="TableTextEntries"/>
            </w:pPr>
            <w:r w:rsidRPr="004F2077">
              <w:t>2.7</w:t>
            </w:r>
          </w:p>
        </w:tc>
        <w:tc>
          <w:tcPr>
            <w:tcW w:w="1112" w:type="dxa"/>
            <w:tcBorders>
              <w:top w:val="nil"/>
              <w:bottom w:val="nil"/>
            </w:tcBorders>
            <w:shd w:val="clear" w:color="auto" w:fill="F79646" w:themeFill="accent6"/>
            <w:vAlign w:val="center"/>
          </w:tcPr>
          <w:p w14:paraId="4C864CE9" w14:textId="4BE9AD7D" w:rsidR="0059277E" w:rsidRPr="00CF3661" w:rsidRDefault="004F2077" w:rsidP="006B4FE5">
            <w:pPr>
              <w:pStyle w:val="TableTextEntries"/>
              <w:jc w:val="center"/>
              <w:rPr>
                <w:bCs/>
              </w:rPr>
            </w:pPr>
            <w:r>
              <w:t>Amber</w:t>
            </w:r>
          </w:p>
        </w:tc>
        <w:tc>
          <w:tcPr>
            <w:tcW w:w="1370" w:type="dxa"/>
            <w:vAlign w:val="center"/>
          </w:tcPr>
          <w:p w14:paraId="57415399" w14:textId="77777777" w:rsidR="0059277E" w:rsidRPr="004F2077" w:rsidRDefault="0059277E" w:rsidP="006B4FE5">
            <w:pPr>
              <w:pStyle w:val="TableTextEntries"/>
            </w:pPr>
            <w:r w:rsidRPr="004F2077">
              <w:t>Declined</w:t>
            </w:r>
          </w:p>
        </w:tc>
      </w:tr>
      <w:tr w:rsidR="00DB597F" w:rsidRPr="003C4742" w14:paraId="7476DDA8" w14:textId="77777777" w:rsidTr="006B4FE5">
        <w:trPr>
          <w:cnfStyle w:val="000000010000" w:firstRow="0" w:lastRow="0" w:firstColumn="0" w:lastColumn="0" w:oddVBand="0" w:evenVBand="0" w:oddHBand="0" w:evenHBand="1" w:firstRowFirstColumn="0" w:firstRowLastColumn="0" w:lastRowFirstColumn="0" w:lastRowLastColumn="0"/>
          <w:cantSplit/>
          <w:tblHeader w:val="0"/>
        </w:trPr>
        <w:tc>
          <w:tcPr>
            <w:tcW w:w="1654" w:type="dxa"/>
            <w:vAlign w:val="center"/>
          </w:tcPr>
          <w:p w14:paraId="2F44FFEA" w14:textId="0F227689" w:rsidR="00DB597F" w:rsidRPr="004F2077" w:rsidRDefault="00DB597F" w:rsidP="006B4FE5">
            <w:pPr>
              <w:pStyle w:val="TableTextEntries"/>
            </w:pPr>
            <w:r w:rsidRPr="004F2077">
              <w:t>Disaster response</w:t>
            </w:r>
          </w:p>
        </w:tc>
        <w:tc>
          <w:tcPr>
            <w:tcW w:w="1106" w:type="dxa"/>
            <w:vAlign w:val="center"/>
          </w:tcPr>
          <w:p w14:paraId="051A83BC" w14:textId="158EBF32" w:rsidR="00DB597F" w:rsidRPr="004F2077" w:rsidRDefault="00DB597F" w:rsidP="006B4FE5">
            <w:pPr>
              <w:pStyle w:val="TableTextEntries"/>
            </w:pPr>
            <w:r w:rsidRPr="004F2077">
              <w:t xml:space="preserve">$3.5 </w:t>
            </w:r>
          </w:p>
        </w:tc>
        <w:tc>
          <w:tcPr>
            <w:tcW w:w="1247" w:type="dxa"/>
            <w:vAlign w:val="center"/>
          </w:tcPr>
          <w:p w14:paraId="653C80F6" w14:textId="450E356B" w:rsidR="00DB597F" w:rsidRPr="004F2077" w:rsidRDefault="00DB597F" w:rsidP="006B4FE5">
            <w:pPr>
              <w:pStyle w:val="TableTextEntries"/>
            </w:pPr>
            <w:r w:rsidRPr="004F2077">
              <w:t>13</w:t>
            </w:r>
          </w:p>
        </w:tc>
        <w:tc>
          <w:tcPr>
            <w:tcW w:w="1375" w:type="dxa"/>
            <w:vAlign w:val="center"/>
          </w:tcPr>
          <w:p w14:paraId="5D2C4A03" w14:textId="77001C03" w:rsidR="00DB597F" w:rsidRPr="004F2077" w:rsidRDefault="00DB597F" w:rsidP="006B4FE5">
            <w:pPr>
              <w:pStyle w:val="TableTextEntries"/>
            </w:pPr>
            <w:r w:rsidRPr="004F2077">
              <w:t>T</w:t>
            </w:r>
            <w:r w:rsidR="00477552" w:rsidRPr="004F2077">
              <w:t>o be confirmed</w:t>
            </w:r>
          </w:p>
        </w:tc>
        <w:tc>
          <w:tcPr>
            <w:tcW w:w="950" w:type="dxa"/>
            <w:vAlign w:val="center"/>
          </w:tcPr>
          <w:p w14:paraId="07203D78" w14:textId="4D241579" w:rsidR="00DB597F" w:rsidRPr="004F2077" w:rsidRDefault="00DB597F" w:rsidP="006B4FE5">
            <w:pPr>
              <w:pStyle w:val="TableTextEntries"/>
            </w:pPr>
            <w:r w:rsidRPr="004F2077">
              <w:t>N/A</w:t>
            </w:r>
          </w:p>
        </w:tc>
        <w:tc>
          <w:tcPr>
            <w:tcW w:w="1112" w:type="dxa"/>
            <w:vAlign w:val="center"/>
          </w:tcPr>
          <w:p w14:paraId="7AE2D90A" w14:textId="7C58A75C" w:rsidR="00DB597F" w:rsidRDefault="00DB597F" w:rsidP="006B4FE5">
            <w:pPr>
              <w:pStyle w:val="TableTextEntries"/>
              <w:jc w:val="center"/>
            </w:pPr>
            <w:r>
              <w:t>N/A</w:t>
            </w:r>
          </w:p>
        </w:tc>
        <w:tc>
          <w:tcPr>
            <w:tcW w:w="1370" w:type="dxa"/>
            <w:vAlign w:val="center"/>
          </w:tcPr>
          <w:p w14:paraId="6BAD5A87" w14:textId="70195D8B" w:rsidR="00DB597F" w:rsidRPr="004F2077" w:rsidRDefault="00DB597F" w:rsidP="006B4FE5">
            <w:pPr>
              <w:pStyle w:val="TableTextEntries"/>
            </w:pPr>
            <w:r w:rsidRPr="004F2077">
              <w:t>N/A</w:t>
            </w:r>
          </w:p>
        </w:tc>
      </w:tr>
    </w:tbl>
    <w:p w14:paraId="7706B74D" w14:textId="5A026384" w:rsidR="00E57AC1" w:rsidRDefault="00D15773" w:rsidP="0059277E">
      <w:pPr>
        <w:pStyle w:val="Note"/>
      </w:pPr>
      <w:r>
        <w:t>Source: A</w:t>
      </w:r>
      <w:r w:rsidR="008C2716">
        <w:t>ustralian aid program</w:t>
      </w:r>
      <w:r>
        <w:t xml:space="preserve"> financial r</w:t>
      </w:r>
      <w:r w:rsidR="00E57AC1">
        <w:t xml:space="preserve">eporting and </w:t>
      </w:r>
      <w:r w:rsidR="008C33CC">
        <w:rPr>
          <w:rFonts w:ascii="Times New Roman" w:hAnsi="Times New Roman"/>
        </w:rPr>
        <w:t>Government of Samoa</w:t>
      </w:r>
      <w:r w:rsidR="00E57AC1">
        <w:rPr>
          <w:rFonts w:ascii="Times New Roman" w:hAnsi="Times New Roman"/>
        </w:rPr>
        <w:t xml:space="preserve"> Legislative Assembly of Samoa, </w:t>
      </w:r>
      <w:r w:rsidR="00E57AC1">
        <w:rPr>
          <w:rFonts w:ascii="Times New Roman" w:hAnsi="Times New Roman"/>
          <w:i/>
        </w:rPr>
        <w:t xml:space="preserve">Approved Estimates of Receipts and Payments for the Financial Year ending 30 June 2013, </w:t>
      </w:r>
      <w:r w:rsidR="00E57AC1">
        <w:rPr>
          <w:rFonts w:ascii="Times New Roman" w:hAnsi="Times New Roman"/>
        </w:rPr>
        <w:t>May 2012</w:t>
      </w:r>
      <w:r w:rsidR="00477552">
        <w:rPr>
          <w:rFonts w:ascii="Times New Roman" w:hAnsi="Times New Roman"/>
        </w:rPr>
        <w:t>.</w:t>
      </w:r>
    </w:p>
    <w:p w14:paraId="3AF1F597" w14:textId="77777777" w:rsidR="000C04FD" w:rsidRDefault="0059277E" w:rsidP="0059277E">
      <w:pPr>
        <w:pStyle w:val="Note"/>
      </w:pPr>
      <w:r w:rsidRPr="00180B19">
        <w:t xml:space="preserve">Note: </w:t>
      </w:r>
    </w:p>
    <w:p w14:paraId="3DC93284" w14:textId="68D8381F" w:rsidR="00CC3540" w:rsidRDefault="0059277E" w:rsidP="0059277E">
      <w:pPr>
        <w:pStyle w:val="Note"/>
        <w:rPr>
          <w:color w:val="F79646" w:themeColor="accent6"/>
        </w:rPr>
      </w:pPr>
      <w:r w:rsidRPr="004C4A3E">
        <w:rPr>
          <w:color w:val="92D050"/>
        </w:rPr>
        <w:sym w:font="Webdings" w:char="F067"/>
      </w:r>
      <w:r w:rsidRPr="00180B19">
        <w:t> </w:t>
      </w:r>
      <w:r w:rsidR="004F2077">
        <w:t xml:space="preserve">Green = </w:t>
      </w:r>
      <w:r w:rsidRPr="00180B19">
        <w:t>Progress is as expected for this point in time and it is likely that the objective will be achieved. Standard program management practices are sufficient.</w:t>
      </w:r>
      <w:r w:rsidR="00260467">
        <w:rPr>
          <w:color w:val="F79646" w:themeColor="accent6"/>
        </w:rPr>
        <w:t xml:space="preserve"> </w:t>
      </w:r>
    </w:p>
    <w:p w14:paraId="085D714B" w14:textId="20BA26DA" w:rsidR="0059277E" w:rsidRPr="00180B19" w:rsidRDefault="0059277E" w:rsidP="0059277E">
      <w:pPr>
        <w:pStyle w:val="Note"/>
      </w:pPr>
      <w:r w:rsidRPr="004C4A3E">
        <w:rPr>
          <w:color w:val="F79646" w:themeColor="accent6"/>
        </w:rPr>
        <w:sym w:font="Webdings" w:char="F067"/>
      </w:r>
      <w:r w:rsidRPr="00180B19">
        <w:t> </w:t>
      </w:r>
      <w:r w:rsidR="004F2077">
        <w:t>Amber =</w:t>
      </w:r>
      <w:r>
        <w:t xml:space="preserve"> </w:t>
      </w:r>
      <w:r w:rsidRPr="00180B19">
        <w:t xml:space="preserve">Progress is somewhat less than expected for this point in time and restorative action will be necessary if the objective is to be achieved. Close performance monitoring is recommended. </w:t>
      </w:r>
    </w:p>
    <w:p w14:paraId="4FC62BA6" w14:textId="77777777" w:rsidR="0059277E" w:rsidRDefault="0059277E" w:rsidP="004F2077">
      <w:pPr>
        <w:pStyle w:val="BodyText"/>
      </w:pPr>
    </w:p>
    <w:p w14:paraId="241AE5BA" w14:textId="1B23AA79" w:rsidR="00E30553" w:rsidRDefault="00E3485B" w:rsidP="004F2077">
      <w:pPr>
        <w:pStyle w:val="BodyText"/>
      </w:pPr>
      <w:r w:rsidRPr="00F84951">
        <w:t xml:space="preserve">During the 2012 Partnership </w:t>
      </w:r>
      <w:r w:rsidR="008727FA">
        <w:t>T</w:t>
      </w:r>
      <w:r w:rsidRPr="00F84951">
        <w:t>alks, Samoa and Australia discussed the new SDS and</w:t>
      </w:r>
      <w:r>
        <w:t xml:space="preserve"> </w:t>
      </w:r>
      <w:r w:rsidRPr="007B235F">
        <w:t xml:space="preserve">reaffirmed </w:t>
      </w:r>
      <w:r w:rsidR="00D000A5">
        <w:t xml:space="preserve">their </w:t>
      </w:r>
      <w:r w:rsidRPr="007B235F">
        <w:t xml:space="preserve">commitment to </w:t>
      </w:r>
      <w:r>
        <w:t>reducing poverty and vulnerability. A</w:t>
      </w:r>
      <w:r w:rsidRPr="007B235F">
        <w:t xml:space="preserve">ustralia agreed to support the </w:t>
      </w:r>
      <w:r>
        <w:t>SDS’s</w:t>
      </w:r>
      <w:r w:rsidRPr="00F84951">
        <w:t xml:space="preserve"> focus on economically productive sectors</w:t>
      </w:r>
      <w:r>
        <w:t xml:space="preserve"> by expanding </w:t>
      </w:r>
      <w:r w:rsidRPr="00F84951">
        <w:t xml:space="preserve">support for economic infrastructure. Increased support in this sector will also </w:t>
      </w:r>
      <w:r>
        <w:t>assist</w:t>
      </w:r>
      <w:r w:rsidRPr="00F84951">
        <w:t xml:space="preserve"> Samoa’s recovery from Cyclone Evan, particularly in rehabilitating road and electricity networks</w:t>
      </w:r>
      <w:r w:rsidR="007737ED">
        <w:t xml:space="preserve">. </w:t>
      </w:r>
      <w:r w:rsidRPr="00F84951">
        <w:t xml:space="preserve">Australia’s investment will focus on ensuring infrastructure meets the needs of vulnerable </w:t>
      </w:r>
      <w:r>
        <w:t xml:space="preserve">groups </w:t>
      </w:r>
      <w:r w:rsidRPr="00F84951">
        <w:t xml:space="preserve">and maintenance of public </w:t>
      </w:r>
      <w:r>
        <w:t>assets</w:t>
      </w:r>
      <w:r w:rsidR="000C04FD">
        <w:t>.</w:t>
      </w:r>
      <w:r>
        <w:rPr>
          <w:rStyle w:val="FootnoteReference"/>
        </w:rPr>
        <w:footnoteReference w:id="20"/>
      </w:r>
      <w:r w:rsidRPr="00F84951">
        <w:t xml:space="preserve"> Australia will also design a new program to support gender equality in Samoa under the Pacific Women Shaping Pacific Development initiative</w:t>
      </w:r>
      <w:r w:rsidR="007737ED">
        <w:t xml:space="preserve">. </w:t>
      </w:r>
    </w:p>
    <w:p w14:paraId="0C8C7467" w14:textId="12155008" w:rsidR="00E3485B" w:rsidRDefault="00E3485B" w:rsidP="004F2077">
      <w:pPr>
        <w:pStyle w:val="BodyText"/>
      </w:pPr>
      <w:r>
        <w:t xml:space="preserve">Samoa remains active in regional and international </w:t>
      </w:r>
      <w:r w:rsidRPr="00477552">
        <w:t>affairs. In September 2014</w:t>
      </w:r>
      <w:r w:rsidR="00E20E53">
        <w:t>,</w:t>
      </w:r>
      <w:r w:rsidRPr="00477552">
        <w:t xml:space="preserve"> </w:t>
      </w:r>
      <w:r w:rsidRPr="00E20E53">
        <w:t>Samoa will host the U</w:t>
      </w:r>
      <w:r w:rsidR="00E20E53">
        <w:t>nited Nations (UN)</w:t>
      </w:r>
      <w:r w:rsidRPr="00E20E53">
        <w:t xml:space="preserve"> Small Islands Developing States Conference for which preparations have already begun. </w:t>
      </w:r>
      <w:r w:rsidR="000C04FD">
        <w:t xml:space="preserve">The </w:t>
      </w:r>
      <w:r w:rsidR="008C33CC">
        <w:t>Government of Samoa</w:t>
      </w:r>
      <w:r w:rsidRPr="00E20E53">
        <w:t xml:space="preserve"> has allocated $6.2</w:t>
      </w:r>
      <w:r w:rsidR="00CC12D1">
        <w:t> </w:t>
      </w:r>
      <w:r w:rsidRPr="00E20E53">
        <w:t>million to the conference</w:t>
      </w:r>
      <w:r>
        <w:t xml:space="preserve"> and </w:t>
      </w:r>
      <w:r w:rsidRPr="008615CC">
        <w:t>is likely to look to development partners for additional support in various areas.</w:t>
      </w:r>
    </w:p>
    <w:tbl>
      <w:tblPr>
        <w:tblW w:w="5000" w:type="pct"/>
        <w:tblInd w:w="57" w:type="dxa"/>
        <w:tblBorders>
          <w:bottom w:val="single" w:sz="12" w:space="0" w:color="auto"/>
          <w:insideH w:val="single" w:sz="12" w:space="0" w:color="auto"/>
          <w:insideV w:val="single" w:sz="12" w:space="0" w:color="auto"/>
        </w:tblBorders>
        <w:shd w:val="clear" w:color="auto" w:fill="C6D9F1" w:themeFill="text2" w:themeFillTint="33"/>
        <w:tblLayout w:type="fixed"/>
        <w:tblCellMar>
          <w:left w:w="57" w:type="dxa"/>
          <w:right w:w="57" w:type="dxa"/>
        </w:tblCellMar>
        <w:tblLook w:val="0000" w:firstRow="0" w:lastRow="0" w:firstColumn="0" w:lastColumn="0" w:noHBand="0" w:noVBand="0"/>
      </w:tblPr>
      <w:tblGrid>
        <w:gridCol w:w="8448"/>
      </w:tblGrid>
      <w:tr w:rsidR="009A62A1" w:rsidRPr="003C4742" w14:paraId="2AEA90C3" w14:textId="77777777" w:rsidTr="00384536">
        <w:trPr>
          <w:cantSplit/>
        </w:trPr>
        <w:tc>
          <w:tcPr>
            <w:tcW w:w="8392" w:type="dxa"/>
            <w:shd w:val="clear" w:color="auto" w:fill="C6D9F1" w:themeFill="text2" w:themeFillTint="33"/>
            <w:tcMar>
              <w:top w:w="0" w:type="dxa"/>
            </w:tcMar>
          </w:tcPr>
          <w:p w14:paraId="69779060" w14:textId="77777777" w:rsidR="009A62A1" w:rsidRPr="004F2077" w:rsidRDefault="009A62A1" w:rsidP="004F2077">
            <w:pPr>
              <w:pStyle w:val="Caption"/>
            </w:pPr>
            <w:r w:rsidRPr="004F2077">
              <w:t xml:space="preserve">Box </w:t>
            </w:r>
            <w:r w:rsidR="004D7A3C">
              <w:fldChar w:fldCharType="begin"/>
            </w:r>
            <w:r w:rsidR="004D7A3C">
              <w:instrText xml:space="preserve"> SEQ Box \* ARABIC </w:instrText>
            </w:r>
            <w:r w:rsidR="004D7A3C">
              <w:fldChar w:fldCharType="separate"/>
            </w:r>
            <w:r w:rsidR="004D7A3C">
              <w:rPr>
                <w:noProof/>
              </w:rPr>
              <w:t>1</w:t>
            </w:r>
            <w:r w:rsidR="004D7A3C">
              <w:fldChar w:fldCharType="end"/>
            </w:r>
            <w:r w:rsidRPr="004F2077">
              <w:t>: Australia’s response to Tropical Cyclone Evan</w:t>
            </w:r>
          </w:p>
        </w:tc>
      </w:tr>
      <w:tr w:rsidR="009A62A1" w:rsidRPr="003C4742" w14:paraId="0A7F249A" w14:textId="77777777" w:rsidTr="00384536">
        <w:trPr>
          <w:cantSplit/>
        </w:trPr>
        <w:tc>
          <w:tcPr>
            <w:tcW w:w="8392" w:type="dxa"/>
            <w:shd w:val="clear" w:color="auto" w:fill="C6D9F1" w:themeFill="text2" w:themeFillTint="33"/>
          </w:tcPr>
          <w:p w14:paraId="03C0532C" w14:textId="310CDCB9" w:rsidR="009A62A1" w:rsidRPr="004F2077" w:rsidRDefault="009A62A1" w:rsidP="004F2077">
            <w:pPr>
              <w:pStyle w:val="BoxText"/>
            </w:pPr>
            <w:r w:rsidRPr="004F2077">
              <w:t>Australia is providing a package of more than $9 million in response to the impact of Cyclone</w:t>
            </w:r>
            <w:r w:rsidR="00CC12D1" w:rsidRPr="004F2077">
              <w:t> </w:t>
            </w:r>
            <w:r w:rsidRPr="004F2077">
              <w:t>Evan. Of these funds, $2.05 million was provided in emergency relief and early recovery support, including the delivery of more than 16 000 relief items to meet the humanitarian needs of up to 4</w:t>
            </w:r>
            <w:r w:rsidR="00D000A5" w:rsidRPr="004F2077">
              <w:t xml:space="preserve"> </w:t>
            </w:r>
            <w:r w:rsidRPr="004F2077">
              <w:t xml:space="preserve">000 affected families. Funding was also provided to </w:t>
            </w:r>
            <w:r w:rsidR="000C04FD" w:rsidRPr="004F2077">
              <w:t xml:space="preserve">relief efforts led by the </w:t>
            </w:r>
            <w:r w:rsidRPr="004F2077">
              <w:t xml:space="preserve">Government of Samoa and Samoa Red Cross. </w:t>
            </w:r>
          </w:p>
          <w:p w14:paraId="044379A8" w14:textId="77777777" w:rsidR="009A62A1" w:rsidRPr="004F2077" w:rsidRDefault="009A62A1" w:rsidP="004F2077">
            <w:pPr>
              <w:pStyle w:val="BoxText"/>
            </w:pPr>
            <w:r w:rsidRPr="004F2077">
              <w:t xml:space="preserve">In addition to this package, five Australian Civilian Corps specialists were deployed to assist Samoa repair damaged water supply systems and bridges and develop the national recovery plan. </w:t>
            </w:r>
          </w:p>
          <w:p w14:paraId="2B9EDE20" w14:textId="77777777" w:rsidR="009A62A1" w:rsidRPr="004F2077" w:rsidRDefault="009A62A1" w:rsidP="004F2077">
            <w:pPr>
              <w:pStyle w:val="BoxText"/>
            </w:pPr>
            <w:r w:rsidRPr="004F2077">
              <w:t xml:space="preserve">In February 2013, Australia’s Senator and Foreign Affairs Minister announced Australia would provide an additional $7 million over two years to support Samoa’s recovery from Cyclone Evan: </w:t>
            </w:r>
          </w:p>
          <w:p w14:paraId="08BC3F08" w14:textId="5F075049" w:rsidR="009A62A1" w:rsidRPr="00E22084" w:rsidRDefault="009A62A1" w:rsidP="004F2077">
            <w:pPr>
              <w:pStyle w:val="BoxListBullet"/>
            </w:pPr>
            <w:r w:rsidRPr="002C3003">
              <w:t>$6.87 million for the</w:t>
            </w:r>
            <w:r w:rsidRPr="00E22084">
              <w:t xml:space="preserve"> </w:t>
            </w:r>
            <w:r>
              <w:t>Government of Samoa</w:t>
            </w:r>
            <w:r w:rsidRPr="00E22084">
              <w:t>’s national recovery plan</w:t>
            </w:r>
            <w:r>
              <w:t xml:space="preserve"> to fund repairing</w:t>
            </w:r>
            <w:r w:rsidRPr="00E22084">
              <w:t>, reconstructi</w:t>
            </w:r>
            <w:r>
              <w:t>ng</w:t>
            </w:r>
            <w:r w:rsidRPr="00E22084">
              <w:t xml:space="preserve"> and restocking the 18 schools and nine clinics which were damaged or destroyed. These facilities serve </w:t>
            </w:r>
            <w:r>
              <w:t>up to</w:t>
            </w:r>
            <w:r w:rsidRPr="00E22084">
              <w:t xml:space="preserve"> 5</w:t>
            </w:r>
            <w:r w:rsidR="00E61F4A">
              <w:t xml:space="preserve"> </w:t>
            </w:r>
            <w:r w:rsidRPr="00E22084">
              <w:t>300 students and 25</w:t>
            </w:r>
            <w:r>
              <w:t xml:space="preserve"> </w:t>
            </w:r>
            <w:r w:rsidRPr="00E22084">
              <w:t xml:space="preserve">000 residents respectively. </w:t>
            </w:r>
          </w:p>
          <w:p w14:paraId="38CABB5F" w14:textId="77777777" w:rsidR="009A62A1" w:rsidRPr="00E22084" w:rsidRDefault="009A62A1" w:rsidP="004F2077">
            <w:pPr>
              <w:pStyle w:val="BoxListBullet"/>
            </w:pPr>
            <w:r>
              <w:t>$150,000 to t</w:t>
            </w:r>
            <w:r w:rsidRPr="001D4545">
              <w:t>he Australia</w:t>
            </w:r>
            <w:r w:rsidRPr="009A62A1">
              <w:t>-</w:t>
            </w:r>
            <w:r w:rsidRPr="001D4545">
              <w:t>Pacific Technical</w:t>
            </w:r>
            <w:r w:rsidRPr="00E22084">
              <w:t xml:space="preserve"> College </w:t>
            </w:r>
            <w:r>
              <w:t>to</w:t>
            </w:r>
            <w:r w:rsidRPr="00E22084">
              <w:t xml:space="preserve"> conduct recovery training programs in carpentry </w:t>
            </w:r>
            <w:r>
              <w:t xml:space="preserve">and construction </w:t>
            </w:r>
            <w:r w:rsidRPr="00E22084">
              <w:t xml:space="preserve">to those affected to provide skills and income while homes and businesses are rebuilt. </w:t>
            </w:r>
          </w:p>
          <w:p w14:paraId="5482FE75" w14:textId="5E4EDE2E" w:rsidR="009A62A1" w:rsidRPr="00CF3661" w:rsidRDefault="009A62A1" w:rsidP="004F2077">
            <w:pPr>
              <w:pStyle w:val="BoxListBullet"/>
            </w:pPr>
            <w:r w:rsidRPr="00E22084">
              <w:t xml:space="preserve">Up to seven </w:t>
            </w:r>
            <w:r>
              <w:t>more</w:t>
            </w:r>
            <w:r w:rsidRPr="00E22084">
              <w:t xml:space="preserve"> Australian Civilian Corps </w:t>
            </w:r>
            <w:proofErr w:type="spellStart"/>
            <w:r w:rsidRPr="00E22084">
              <w:t>deployees</w:t>
            </w:r>
            <w:proofErr w:type="spellEnd"/>
            <w:r w:rsidRPr="00E22084">
              <w:t xml:space="preserve"> will be stationed in Samoa in 2013</w:t>
            </w:r>
            <w:r>
              <w:t>, working</w:t>
            </w:r>
            <w:r w:rsidRPr="00E22084">
              <w:t xml:space="preserve"> in</w:t>
            </w:r>
            <w:r>
              <w:t xml:space="preserve"> </w:t>
            </w:r>
            <w:r w:rsidRPr="00E22084">
              <w:t xml:space="preserve">line in </w:t>
            </w:r>
            <w:r>
              <w:t>Government of Samoa</w:t>
            </w:r>
            <w:r w:rsidRPr="00E22084">
              <w:t xml:space="preserve"> </w:t>
            </w:r>
            <w:r>
              <w:t>m</w:t>
            </w:r>
            <w:r w:rsidRPr="00E22084">
              <w:t xml:space="preserve">inistries to progress recovery in water, roads and education infrastructure. </w:t>
            </w:r>
          </w:p>
          <w:p w14:paraId="4068AB44" w14:textId="7C507BDE" w:rsidR="009A62A1" w:rsidRPr="004F2077" w:rsidRDefault="009A62A1" w:rsidP="00BF3906">
            <w:pPr>
              <w:pStyle w:val="BoxText"/>
            </w:pPr>
            <w:r w:rsidRPr="004F2077">
              <w:t xml:space="preserve">Australia’s use of Government of Samoa systems for disbursing humanitarian and recovery assistance is linked to the strength of Samoa’s financial and emergency management capabilities. Monitoring and supporting recovery plan implementation will be a priority for </w:t>
            </w:r>
            <w:r w:rsidR="00BF3906">
              <w:t xml:space="preserve">DFAT </w:t>
            </w:r>
            <w:r w:rsidRPr="004F2077">
              <w:t>in the coming year. An essential component will be building on the lessons learned from the tsunami recovery process, and monitoring the impact of the recovery on the most vulnerable.</w:t>
            </w:r>
            <w:r w:rsidRPr="004F2077">
              <w:rPr>
                <w:rStyle w:val="FootnoteReference"/>
                <w:rFonts w:ascii="Franklin Gothic Book" w:hAnsi="Franklin Gothic Book"/>
                <w:position w:val="0"/>
                <w:sz w:val="20"/>
                <w:szCs w:val="22"/>
              </w:rPr>
              <w:footnoteReference w:id="21"/>
            </w:r>
            <w:r w:rsidRPr="004F2077">
              <w:t xml:space="preserve"> Consultation and communicating recovery progress with recipients and civil society will be important.</w:t>
            </w:r>
            <w:r w:rsidRPr="004F2077">
              <w:rPr>
                <w:rStyle w:val="FootnoteReference"/>
                <w:rFonts w:ascii="Franklin Gothic Book" w:hAnsi="Franklin Gothic Book"/>
                <w:position w:val="0"/>
                <w:sz w:val="20"/>
                <w:szCs w:val="22"/>
                <w:vertAlign w:val="superscript"/>
              </w:rPr>
              <w:footnoteReference w:id="22"/>
            </w:r>
          </w:p>
        </w:tc>
      </w:tr>
    </w:tbl>
    <w:p w14:paraId="68D25E46" w14:textId="77777777" w:rsidR="009A62A1" w:rsidRDefault="009A62A1" w:rsidP="004F2077">
      <w:pPr>
        <w:pStyle w:val="BodyText"/>
      </w:pPr>
    </w:p>
    <w:p w14:paraId="455D66E1" w14:textId="211CE616" w:rsidR="00E3485B" w:rsidRDefault="00E3485B" w:rsidP="004F2077">
      <w:pPr>
        <w:pStyle w:val="BodyText"/>
      </w:pPr>
      <w:r w:rsidRPr="00F84951">
        <w:t xml:space="preserve">Australia is </w:t>
      </w:r>
      <w:r w:rsidR="00E20E53">
        <w:t xml:space="preserve">the </w:t>
      </w:r>
      <w:r w:rsidRPr="00F84951">
        <w:t xml:space="preserve">largest grant </w:t>
      </w:r>
      <w:r w:rsidR="00D000A5">
        <w:t>development partner</w:t>
      </w:r>
      <w:r w:rsidR="00E20E53">
        <w:t xml:space="preserve"> in Samoa (Table 3)</w:t>
      </w:r>
      <w:r>
        <w:t>. In 2012</w:t>
      </w:r>
      <w:r w:rsidR="009349C3">
        <w:t>–</w:t>
      </w:r>
      <w:r>
        <w:t xml:space="preserve">13, Australia’s aid </w:t>
      </w:r>
      <w:r w:rsidRPr="00E20E53">
        <w:t>of $43.5 million equ</w:t>
      </w:r>
      <w:r>
        <w:t xml:space="preserve">ated to </w:t>
      </w:r>
      <w:r w:rsidRPr="00F84951">
        <w:t xml:space="preserve">9.7 per cent of national revenue. </w:t>
      </w:r>
      <w:r>
        <w:t>Seventy four</w:t>
      </w:r>
      <w:r w:rsidRPr="00F84951">
        <w:t xml:space="preserve"> per cent of bilateral assistance was delivered using </w:t>
      </w:r>
      <w:r w:rsidR="008C33CC">
        <w:t>Government of Samoa</w:t>
      </w:r>
      <w:r w:rsidRPr="00F84951">
        <w:t xml:space="preserve"> systems in 2012</w:t>
      </w:r>
      <w:r w:rsidR="009349C3">
        <w:t>–</w:t>
      </w:r>
      <w:r>
        <w:t>13</w:t>
      </w:r>
      <w:r w:rsidR="00D000A5">
        <w:t>, coordinated through</w:t>
      </w:r>
      <w:r>
        <w:t xml:space="preserve"> the Ministry of Finance</w:t>
      </w:r>
      <w:r w:rsidRPr="00F84951">
        <w:t>. Through the year, strong relationships were maintained with core development partners: European Union,</w:t>
      </w:r>
      <w:r w:rsidR="00E20E53">
        <w:t xml:space="preserve"> New Zealand,</w:t>
      </w:r>
      <w:r w:rsidRPr="00F84951">
        <w:t xml:space="preserve"> Asian Development Bank (ADB)</w:t>
      </w:r>
      <w:r w:rsidR="00E20E53">
        <w:t xml:space="preserve"> and World Bank</w:t>
      </w:r>
      <w:r w:rsidRPr="00F84951">
        <w:t>. In 2012</w:t>
      </w:r>
      <w:r w:rsidR="009349C3">
        <w:t>–</w:t>
      </w:r>
      <w:r w:rsidRPr="00F84951">
        <w:t>13</w:t>
      </w:r>
      <w:r w:rsidR="00E20E53">
        <w:t>,</w:t>
      </w:r>
      <w:r w:rsidRPr="00F84951">
        <w:t xml:space="preserve"> 8</w:t>
      </w:r>
      <w:r>
        <w:t>0</w:t>
      </w:r>
      <w:r w:rsidRPr="00F84951">
        <w:t xml:space="preserve"> per cent of bilateral programs were jointly funded or coordinated with these </w:t>
      </w:r>
      <w:r>
        <w:t>development partners</w:t>
      </w:r>
      <w:r w:rsidRPr="00F84951">
        <w:t xml:space="preserve">. </w:t>
      </w:r>
      <w:r w:rsidR="00C00A8E">
        <w:t>DFAT</w:t>
      </w:r>
      <w:r w:rsidRPr="00F84951">
        <w:t xml:space="preserve"> </w:t>
      </w:r>
      <w:r>
        <w:t>collaborates with the</w:t>
      </w:r>
      <w:r w:rsidRPr="00F84951">
        <w:t xml:space="preserve"> Japanese International Cooperation Agency (JICA) </w:t>
      </w:r>
      <w:r>
        <w:t>on education and infrastructure programs</w:t>
      </w:r>
      <w:r w:rsidRPr="00F84951">
        <w:t xml:space="preserve">. </w:t>
      </w:r>
      <w:r w:rsidR="00E30553">
        <w:t xml:space="preserve">Officials from </w:t>
      </w:r>
      <w:r w:rsidR="00C00A8E">
        <w:t>DFAT</w:t>
      </w:r>
      <w:r w:rsidRPr="00F84951">
        <w:t xml:space="preserve"> and </w:t>
      </w:r>
      <w:r w:rsidR="00E30553">
        <w:t xml:space="preserve">the </w:t>
      </w:r>
      <w:r w:rsidRPr="00F84951">
        <w:t xml:space="preserve">Chinese </w:t>
      </w:r>
      <w:r w:rsidR="00E34089">
        <w:t>G</w:t>
      </w:r>
      <w:r w:rsidRPr="00F84951">
        <w:t>overnment also meet regularly to discuss respective programs</w:t>
      </w:r>
      <w:r>
        <w:t>.</w:t>
      </w:r>
    </w:p>
    <w:p w14:paraId="2B40B216" w14:textId="77777777" w:rsidR="00E3485B" w:rsidRDefault="00E3485B" w:rsidP="004F2077">
      <w:pPr>
        <w:pStyle w:val="BodyText"/>
      </w:pPr>
    </w:p>
    <w:p w14:paraId="6BFCC27E" w14:textId="163C35C2" w:rsidR="00E3485B" w:rsidRPr="00D17249" w:rsidRDefault="00E3485B" w:rsidP="00E3485B">
      <w:pPr>
        <w:pStyle w:val="Caption"/>
      </w:pPr>
      <w:r w:rsidRPr="00D17249">
        <w:t xml:space="preserve">Table </w:t>
      </w:r>
      <w:r>
        <w:t>3</w:t>
      </w:r>
      <w:r w:rsidRPr="00D17249">
        <w:t xml:space="preserve">: </w:t>
      </w:r>
      <w:r>
        <w:t>Planned development partner funding as recorded on 2012</w:t>
      </w:r>
      <w:r w:rsidR="009349C3">
        <w:t>–</w:t>
      </w:r>
      <w:r>
        <w:t xml:space="preserve">13 </w:t>
      </w:r>
      <w:r w:rsidR="008C33CC">
        <w:t>Government of Samoa</w:t>
      </w:r>
      <w:r>
        <w:t xml:space="preserve"> Budget </w:t>
      </w:r>
    </w:p>
    <w:tbl>
      <w:tblPr>
        <w:tblStyle w:val="APPR"/>
        <w:tblW w:w="5000" w:type="pct"/>
        <w:tblLayout w:type="fixed"/>
        <w:tblLook w:val="0000" w:firstRow="0" w:lastRow="0" w:firstColumn="0" w:lastColumn="0" w:noHBand="0" w:noVBand="0"/>
      </w:tblPr>
      <w:tblGrid>
        <w:gridCol w:w="1206"/>
        <w:gridCol w:w="1474"/>
        <w:gridCol w:w="1237"/>
        <w:gridCol w:w="2004"/>
        <w:gridCol w:w="1474"/>
        <w:gridCol w:w="1211"/>
      </w:tblGrid>
      <w:tr w:rsidR="00E3485B" w:rsidRPr="003C4742" w14:paraId="7EB02274" w14:textId="77777777" w:rsidTr="004F2077">
        <w:trPr>
          <w:cantSplit/>
          <w:tblHeader w:val="0"/>
        </w:trPr>
        <w:tc>
          <w:tcPr>
            <w:tcW w:w="1229" w:type="dxa"/>
          </w:tcPr>
          <w:p w14:paraId="5ABE4712" w14:textId="77777777" w:rsidR="00E3485B" w:rsidRDefault="00E3485B" w:rsidP="004F2077">
            <w:pPr>
              <w:pStyle w:val="TableTextColumnHeading"/>
            </w:pPr>
            <w:r>
              <w:t>Bilateral</w:t>
            </w:r>
          </w:p>
        </w:tc>
        <w:tc>
          <w:tcPr>
            <w:tcW w:w="1531" w:type="dxa"/>
          </w:tcPr>
          <w:p w14:paraId="50B95B93" w14:textId="73216B59" w:rsidR="00E3485B" w:rsidRDefault="00E3485B" w:rsidP="004F2077">
            <w:pPr>
              <w:pStyle w:val="TableTextColumnHeading"/>
            </w:pPr>
            <w:r>
              <w:t xml:space="preserve">Grants </w:t>
            </w:r>
            <w:r w:rsidR="00E20E53">
              <w:t>and i</w:t>
            </w:r>
            <w:r>
              <w:t>n</w:t>
            </w:r>
            <w:r w:rsidR="00E20E53">
              <w:t>-k</w:t>
            </w:r>
            <w:r>
              <w:t>ind</w:t>
            </w:r>
            <w:r w:rsidR="00D000A5">
              <w:t xml:space="preserve"> (AUD million)</w:t>
            </w:r>
          </w:p>
        </w:tc>
        <w:tc>
          <w:tcPr>
            <w:tcW w:w="1277" w:type="dxa"/>
          </w:tcPr>
          <w:p w14:paraId="71FAEEAA" w14:textId="6CD06A60" w:rsidR="00E3485B" w:rsidRDefault="00E3485B" w:rsidP="004F2077">
            <w:pPr>
              <w:pStyle w:val="TableTextColumnHeading"/>
            </w:pPr>
            <w:r>
              <w:t>Loan</w:t>
            </w:r>
            <w:r w:rsidR="00E53359">
              <w:t xml:space="preserve">    </w:t>
            </w:r>
            <w:r w:rsidR="00D000A5">
              <w:t xml:space="preserve"> (AUD million)</w:t>
            </w:r>
          </w:p>
        </w:tc>
        <w:tc>
          <w:tcPr>
            <w:tcW w:w="2098" w:type="dxa"/>
          </w:tcPr>
          <w:p w14:paraId="42A2EEE9" w14:textId="77777777" w:rsidR="00E3485B" w:rsidRDefault="00E3485B" w:rsidP="004F2077">
            <w:pPr>
              <w:pStyle w:val="TableTextColumnHeading"/>
            </w:pPr>
            <w:r>
              <w:t>Multilateral</w:t>
            </w:r>
          </w:p>
        </w:tc>
        <w:tc>
          <w:tcPr>
            <w:tcW w:w="1531" w:type="dxa"/>
          </w:tcPr>
          <w:p w14:paraId="7FB443EC" w14:textId="389750E1" w:rsidR="00E3485B" w:rsidRDefault="00E3485B" w:rsidP="004F2077">
            <w:pPr>
              <w:pStyle w:val="TableTextColumnHeading"/>
            </w:pPr>
            <w:r>
              <w:t xml:space="preserve">Grants </w:t>
            </w:r>
            <w:r w:rsidR="00E20E53">
              <w:t>and i</w:t>
            </w:r>
            <w:r>
              <w:t>n</w:t>
            </w:r>
            <w:r w:rsidR="00E20E53">
              <w:t>-k</w:t>
            </w:r>
            <w:r>
              <w:t>ind</w:t>
            </w:r>
            <w:r w:rsidR="00D000A5">
              <w:t xml:space="preserve"> (AUD million)</w:t>
            </w:r>
          </w:p>
        </w:tc>
        <w:tc>
          <w:tcPr>
            <w:tcW w:w="1234" w:type="dxa"/>
          </w:tcPr>
          <w:p w14:paraId="419EA86D" w14:textId="57548081" w:rsidR="00E3485B" w:rsidRDefault="00E3485B" w:rsidP="004F2077">
            <w:pPr>
              <w:pStyle w:val="TableTextColumnHeading"/>
            </w:pPr>
            <w:r>
              <w:t>Loan</w:t>
            </w:r>
            <w:r w:rsidR="00E53359">
              <w:t xml:space="preserve">    </w:t>
            </w:r>
            <w:r w:rsidR="00D000A5">
              <w:t>(AUD million)</w:t>
            </w:r>
          </w:p>
        </w:tc>
      </w:tr>
      <w:tr w:rsidR="00E3485B" w:rsidRPr="003C4742" w14:paraId="3F27ACF0" w14:textId="77777777" w:rsidTr="004F2077">
        <w:trPr>
          <w:cnfStyle w:val="000000010000" w:firstRow="0" w:lastRow="0" w:firstColumn="0" w:lastColumn="0" w:oddVBand="0" w:evenVBand="0" w:oddHBand="0" w:evenHBand="1" w:firstRowFirstColumn="0" w:firstRowLastColumn="0" w:lastRowFirstColumn="0" w:lastRowLastColumn="0"/>
          <w:cantSplit/>
          <w:tblHeader w:val="0"/>
        </w:trPr>
        <w:tc>
          <w:tcPr>
            <w:tcW w:w="1229" w:type="dxa"/>
          </w:tcPr>
          <w:p w14:paraId="4626B992" w14:textId="77777777" w:rsidR="00E3485B" w:rsidRDefault="00E3485B" w:rsidP="004F2077">
            <w:pPr>
              <w:pStyle w:val="TableTextEntries"/>
            </w:pPr>
            <w:r>
              <w:t>Australia</w:t>
            </w:r>
          </w:p>
        </w:tc>
        <w:tc>
          <w:tcPr>
            <w:tcW w:w="1531" w:type="dxa"/>
          </w:tcPr>
          <w:p w14:paraId="56A9F293" w14:textId="642030BD" w:rsidR="00E3485B" w:rsidRDefault="00E3485B" w:rsidP="004F2077">
            <w:pPr>
              <w:pStyle w:val="TableTextEntries"/>
            </w:pPr>
            <w:r>
              <w:t>$27.9</w:t>
            </w:r>
            <w:r>
              <w:rPr>
                <w:rStyle w:val="FootnoteReference"/>
              </w:rPr>
              <w:footnoteReference w:id="23"/>
            </w:r>
          </w:p>
        </w:tc>
        <w:tc>
          <w:tcPr>
            <w:tcW w:w="1277" w:type="dxa"/>
          </w:tcPr>
          <w:p w14:paraId="50CBD7C1" w14:textId="77777777" w:rsidR="00E3485B" w:rsidRDefault="00E3485B" w:rsidP="004F2077">
            <w:pPr>
              <w:pStyle w:val="TableTextEntries"/>
            </w:pPr>
            <w:r>
              <w:t>-</w:t>
            </w:r>
          </w:p>
        </w:tc>
        <w:tc>
          <w:tcPr>
            <w:tcW w:w="2098" w:type="dxa"/>
          </w:tcPr>
          <w:p w14:paraId="3720E599" w14:textId="77777777" w:rsidR="00E3485B" w:rsidRDefault="00E3485B" w:rsidP="004F2077">
            <w:pPr>
              <w:pStyle w:val="TableTextEntries"/>
            </w:pPr>
            <w:r>
              <w:t>Asian Development Bank</w:t>
            </w:r>
          </w:p>
        </w:tc>
        <w:tc>
          <w:tcPr>
            <w:tcW w:w="1531" w:type="dxa"/>
          </w:tcPr>
          <w:p w14:paraId="0414FA4C" w14:textId="1DDACBB9" w:rsidR="00E3485B" w:rsidRDefault="00E3485B" w:rsidP="004F2077">
            <w:pPr>
              <w:pStyle w:val="TableTextEntries"/>
            </w:pPr>
            <w:r>
              <w:t xml:space="preserve">$3.8 </w:t>
            </w:r>
          </w:p>
        </w:tc>
        <w:tc>
          <w:tcPr>
            <w:tcW w:w="1234" w:type="dxa"/>
          </w:tcPr>
          <w:p w14:paraId="33D2F5AD" w14:textId="16AB8E5A" w:rsidR="00E3485B" w:rsidRDefault="00E3485B" w:rsidP="004F2077">
            <w:pPr>
              <w:pStyle w:val="TableTextEntries"/>
            </w:pPr>
            <w:r>
              <w:t xml:space="preserve">$9.7 </w:t>
            </w:r>
          </w:p>
        </w:tc>
      </w:tr>
      <w:tr w:rsidR="00E3485B" w:rsidRPr="003C4742" w14:paraId="2D430993" w14:textId="77777777" w:rsidTr="004F2077">
        <w:trPr>
          <w:cantSplit/>
          <w:tblHeader w:val="0"/>
        </w:trPr>
        <w:tc>
          <w:tcPr>
            <w:tcW w:w="1229" w:type="dxa"/>
          </w:tcPr>
          <w:p w14:paraId="70224AC7" w14:textId="77777777" w:rsidR="00E3485B" w:rsidRDefault="00E3485B" w:rsidP="004F2077">
            <w:pPr>
              <w:pStyle w:val="TableTextEntries"/>
            </w:pPr>
            <w:r>
              <w:t>New Zealand</w:t>
            </w:r>
          </w:p>
        </w:tc>
        <w:tc>
          <w:tcPr>
            <w:tcW w:w="1531" w:type="dxa"/>
          </w:tcPr>
          <w:p w14:paraId="6E9B9B18" w14:textId="41FAA2CB" w:rsidR="00E3485B" w:rsidRDefault="00E3485B" w:rsidP="004F2077">
            <w:pPr>
              <w:pStyle w:val="TableTextEntries"/>
            </w:pPr>
            <w:r>
              <w:t xml:space="preserve">$13.7 </w:t>
            </w:r>
          </w:p>
        </w:tc>
        <w:tc>
          <w:tcPr>
            <w:tcW w:w="1277" w:type="dxa"/>
          </w:tcPr>
          <w:p w14:paraId="6299C9A6" w14:textId="77777777" w:rsidR="00E3485B" w:rsidRDefault="00E3485B" w:rsidP="004F2077">
            <w:pPr>
              <w:pStyle w:val="TableTextEntries"/>
            </w:pPr>
            <w:r>
              <w:t>-</w:t>
            </w:r>
          </w:p>
        </w:tc>
        <w:tc>
          <w:tcPr>
            <w:tcW w:w="2098" w:type="dxa"/>
          </w:tcPr>
          <w:p w14:paraId="40D9CEBB" w14:textId="77777777" w:rsidR="00E3485B" w:rsidRDefault="00E3485B" w:rsidP="004F2077">
            <w:pPr>
              <w:pStyle w:val="TableTextEntries"/>
            </w:pPr>
            <w:r>
              <w:t>World Bank</w:t>
            </w:r>
          </w:p>
        </w:tc>
        <w:tc>
          <w:tcPr>
            <w:tcW w:w="1531" w:type="dxa"/>
          </w:tcPr>
          <w:p w14:paraId="7EDCA536" w14:textId="6DC63D97" w:rsidR="00E3485B" w:rsidRDefault="00E3485B" w:rsidP="004F2077">
            <w:pPr>
              <w:pStyle w:val="TableTextEntries"/>
            </w:pPr>
            <w:r>
              <w:t xml:space="preserve">$6.9 </w:t>
            </w:r>
          </w:p>
        </w:tc>
        <w:tc>
          <w:tcPr>
            <w:tcW w:w="1234" w:type="dxa"/>
          </w:tcPr>
          <w:p w14:paraId="71BAFB2E" w14:textId="4E80DCA6" w:rsidR="00E3485B" w:rsidRDefault="00E3485B" w:rsidP="004F2077">
            <w:pPr>
              <w:pStyle w:val="TableTextEntries"/>
            </w:pPr>
            <w:r>
              <w:t>$10.7</w:t>
            </w:r>
            <w:r w:rsidR="00CC3540">
              <w:t xml:space="preserve"> </w:t>
            </w:r>
          </w:p>
        </w:tc>
      </w:tr>
      <w:tr w:rsidR="00E3485B" w:rsidRPr="003C4742" w14:paraId="37378E5E" w14:textId="77777777" w:rsidTr="004F2077">
        <w:trPr>
          <w:cnfStyle w:val="000000010000" w:firstRow="0" w:lastRow="0" w:firstColumn="0" w:lastColumn="0" w:oddVBand="0" w:evenVBand="0" w:oddHBand="0" w:evenHBand="1" w:firstRowFirstColumn="0" w:firstRowLastColumn="0" w:lastRowFirstColumn="0" w:lastRowLastColumn="0"/>
          <w:cantSplit/>
          <w:tblHeader w:val="0"/>
        </w:trPr>
        <w:tc>
          <w:tcPr>
            <w:tcW w:w="1229" w:type="dxa"/>
          </w:tcPr>
          <w:p w14:paraId="7FD31B99" w14:textId="77777777" w:rsidR="00E3485B" w:rsidRDefault="00E3485B" w:rsidP="004F2077">
            <w:pPr>
              <w:pStyle w:val="TableTextEntries"/>
            </w:pPr>
            <w:r>
              <w:t>China</w:t>
            </w:r>
          </w:p>
        </w:tc>
        <w:tc>
          <w:tcPr>
            <w:tcW w:w="1531" w:type="dxa"/>
          </w:tcPr>
          <w:p w14:paraId="60D6BC8F" w14:textId="4744214F" w:rsidR="00E3485B" w:rsidRDefault="00E3485B" w:rsidP="004F2077">
            <w:pPr>
              <w:pStyle w:val="TableTextEntries"/>
            </w:pPr>
            <w:r>
              <w:t xml:space="preserve">$6.2 </w:t>
            </w:r>
          </w:p>
        </w:tc>
        <w:tc>
          <w:tcPr>
            <w:tcW w:w="1277" w:type="dxa"/>
          </w:tcPr>
          <w:p w14:paraId="290C9D15" w14:textId="7CE09B21" w:rsidR="00E3485B" w:rsidRDefault="00E3485B" w:rsidP="004F2077">
            <w:pPr>
              <w:pStyle w:val="TableTextEntries"/>
            </w:pPr>
            <w:r>
              <w:t xml:space="preserve">$21.8 </w:t>
            </w:r>
          </w:p>
        </w:tc>
        <w:tc>
          <w:tcPr>
            <w:tcW w:w="2098" w:type="dxa"/>
          </w:tcPr>
          <w:p w14:paraId="63F2EE04" w14:textId="77777777" w:rsidR="00E3485B" w:rsidRDefault="00E3485B" w:rsidP="004F2077">
            <w:pPr>
              <w:pStyle w:val="TableTextEntries"/>
            </w:pPr>
            <w:r>
              <w:t>European Union</w:t>
            </w:r>
          </w:p>
        </w:tc>
        <w:tc>
          <w:tcPr>
            <w:tcW w:w="1531" w:type="dxa"/>
          </w:tcPr>
          <w:p w14:paraId="79A202EA" w14:textId="6935AB56" w:rsidR="00E3485B" w:rsidRDefault="00E3485B" w:rsidP="004F2077">
            <w:pPr>
              <w:pStyle w:val="TableTextEntries"/>
            </w:pPr>
            <w:r>
              <w:t xml:space="preserve">$13.3 </w:t>
            </w:r>
          </w:p>
        </w:tc>
        <w:tc>
          <w:tcPr>
            <w:tcW w:w="1234" w:type="dxa"/>
          </w:tcPr>
          <w:p w14:paraId="5756C7B0" w14:textId="77777777" w:rsidR="00E3485B" w:rsidRDefault="00E3485B" w:rsidP="004F2077">
            <w:pPr>
              <w:pStyle w:val="TableTextEntries"/>
            </w:pPr>
            <w:r>
              <w:t>-</w:t>
            </w:r>
          </w:p>
        </w:tc>
      </w:tr>
      <w:tr w:rsidR="00E3485B" w:rsidRPr="003C4742" w14:paraId="4DD3B0A1" w14:textId="77777777" w:rsidTr="004F2077">
        <w:trPr>
          <w:cantSplit/>
          <w:tblHeader w:val="0"/>
        </w:trPr>
        <w:tc>
          <w:tcPr>
            <w:tcW w:w="1229" w:type="dxa"/>
          </w:tcPr>
          <w:p w14:paraId="695D8769" w14:textId="77777777" w:rsidR="00E3485B" w:rsidRDefault="00E3485B" w:rsidP="004F2077">
            <w:pPr>
              <w:pStyle w:val="TableTextEntries"/>
            </w:pPr>
            <w:r>
              <w:t>Japan</w:t>
            </w:r>
          </w:p>
        </w:tc>
        <w:tc>
          <w:tcPr>
            <w:tcW w:w="1531" w:type="dxa"/>
          </w:tcPr>
          <w:p w14:paraId="4420AA20" w14:textId="1BBEAC31" w:rsidR="00E3485B" w:rsidRDefault="00E3485B" w:rsidP="004F2077">
            <w:pPr>
              <w:pStyle w:val="TableTextEntries"/>
            </w:pPr>
            <w:r>
              <w:t xml:space="preserve">$5.7 </w:t>
            </w:r>
          </w:p>
        </w:tc>
        <w:tc>
          <w:tcPr>
            <w:tcW w:w="1277" w:type="dxa"/>
          </w:tcPr>
          <w:p w14:paraId="342B6571" w14:textId="4FAC3E31" w:rsidR="00E3485B" w:rsidRDefault="00E3485B" w:rsidP="004F2077">
            <w:pPr>
              <w:pStyle w:val="TableTextEntries"/>
            </w:pPr>
            <w:r>
              <w:t xml:space="preserve">$6.7 </w:t>
            </w:r>
          </w:p>
        </w:tc>
        <w:tc>
          <w:tcPr>
            <w:tcW w:w="2098" w:type="dxa"/>
          </w:tcPr>
          <w:p w14:paraId="7FDF7564" w14:textId="46261B16" w:rsidR="00E3485B" w:rsidRDefault="00E3485B" w:rsidP="004F2077">
            <w:pPr>
              <w:pStyle w:val="TableTextEntries"/>
            </w:pPr>
            <w:r>
              <w:t>U</w:t>
            </w:r>
            <w:r w:rsidR="009A73C6">
              <w:t>nited Nations</w:t>
            </w:r>
            <w:r>
              <w:t xml:space="preserve"> agencies</w:t>
            </w:r>
          </w:p>
        </w:tc>
        <w:tc>
          <w:tcPr>
            <w:tcW w:w="1531" w:type="dxa"/>
          </w:tcPr>
          <w:p w14:paraId="3AA77943" w14:textId="4AFAE838" w:rsidR="00E3485B" w:rsidRDefault="00E3485B" w:rsidP="004F2077">
            <w:pPr>
              <w:pStyle w:val="TableTextEntries"/>
            </w:pPr>
            <w:r>
              <w:t xml:space="preserve">$2.3 </w:t>
            </w:r>
          </w:p>
        </w:tc>
        <w:tc>
          <w:tcPr>
            <w:tcW w:w="1234" w:type="dxa"/>
          </w:tcPr>
          <w:p w14:paraId="45E3C399" w14:textId="77777777" w:rsidR="00E3485B" w:rsidRDefault="00E3485B" w:rsidP="004F2077">
            <w:pPr>
              <w:pStyle w:val="TableTextEntries"/>
            </w:pPr>
            <w:r>
              <w:t>-</w:t>
            </w:r>
          </w:p>
        </w:tc>
      </w:tr>
    </w:tbl>
    <w:p w14:paraId="22F5A8E7" w14:textId="4CEB56BF" w:rsidR="00E3485B" w:rsidRPr="00CC3540" w:rsidRDefault="00E3485B" w:rsidP="00CC3540">
      <w:pPr>
        <w:pStyle w:val="Note"/>
      </w:pPr>
      <w:r w:rsidRPr="000774FD">
        <w:t xml:space="preserve">Source: </w:t>
      </w:r>
      <w:r w:rsidR="008C33CC" w:rsidRPr="00CC3540">
        <w:t>Government of Samoa</w:t>
      </w:r>
      <w:r w:rsidRPr="00CC3540">
        <w:t xml:space="preserve"> Legislative Assembly, </w:t>
      </w:r>
      <w:r w:rsidRPr="00CC3540">
        <w:rPr>
          <w:i/>
        </w:rPr>
        <w:t>Approved Estimates of Receipts and Payments for the Financial Year ending 30 June 2013</w:t>
      </w:r>
      <w:r w:rsidRPr="00CC3540">
        <w:t>, May 2012</w:t>
      </w:r>
    </w:p>
    <w:p w14:paraId="367D2C35" w14:textId="25449FD4" w:rsidR="00180B19" w:rsidRPr="004F2077" w:rsidRDefault="00180B19" w:rsidP="004F2077">
      <w:pPr>
        <w:pStyle w:val="Heading1"/>
      </w:pPr>
      <w:r w:rsidRPr="004F2077">
        <w:t xml:space="preserve">Progress towards </w:t>
      </w:r>
      <w:r w:rsidR="009A62A1" w:rsidRPr="004F2077">
        <w:t>priority outcomes</w:t>
      </w:r>
    </w:p>
    <w:p w14:paraId="66945E97" w14:textId="72974C7C" w:rsidR="00E22084" w:rsidRPr="004F2077" w:rsidRDefault="00E22084" w:rsidP="004F2077">
      <w:pPr>
        <w:pStyle w:val="Heading2"/>
      </w:pPr>
      <w:r w:rsidRPr="004F2077">
        <w:t>Improved education</w:t>
      </w:r>
    </w:p>
    <w:p w14:paraId="05ADB2CE" w14:textId="3B1F203C" w:rsidR="00E22084" w:rsidRPr="00D17249" w:rsidRDefault="008454DE" w:rsidP="004F2077">
      <w:pPr>
        <w:pStyle w:val="Heading3"/>
      </w:pPr>
      <w:r>
        <w:t>Overall r</w:t>
      </w:r>
      <w:r w:rsidR="00E22084" w:rsidRPr="00D17249">
        <w:t>ating and assessment</w:t>
      </w:r>
    </w:p>
    <w:p w14:paraId="73B13D48" w14:textId="4B2E3B54" w:rsidR="00E22084" w:rsidRPr="00B83F76" w:rsidRDefault="00E22084" w:rsidP="00E22084">
      <w:pPr>
        <w:pStyle w:val="BodyText"/>
      </w:pPr>
      <w:r w:rsidRPr="00F15F46">
        <w:rPr>
          <w:color w:val="99CC00"/>
          <w:sz w:val="28"/>
          <w:szCs w:val="28"/>
        </w:rPr>
        <w:sym w:font="Webdings" w:char="F067"/>
      </w:r>
      <w:r>
        <w:rPr>
          <w:rFonts w:eastAsia="Arial Unicode MS"/>
        </w:rPr>
        <w:t> </w:t>
      </w:r>
      <w:r w:rsidR="00B83F76" w:rsidRPr="00B83F76">
        <w:rPr>
          <w:rFonts w:eastAsia="Arial Unicode MS"/>
        </w:rPr>
        <w:t>Rating: Green.</w:t>
      </w:r>
      <w:r w:rsidRPr="00B83F76">
        <w:t xml:space="preserve"> Progress is as expected for this point in time and it is likely that the objective will be achieved. Standard program management practices are sufficient.</w:t>
      </w:r>
    </w:p>
    <w:p w14:paraId="7188F90D" w14:textId="56AFF5E1" w:rsidR="00E22084" w:rsidRPr="00D17249" w:rsidRDefault="00E22084" w:rsidP="00E22084">
      <w:pPr>
        <w:pStyle w:val="Caption"/>
      </w:pPr>
      <w:r w:rsidRPr="00D17249">
        <w:t xml:space="preserve">Table </w:t>
      </w:r>
      <w:r w:rsidR="005F0CC5">
        <w:t>4</w:t>
      </w:r>
      <w:r w:rsidRPr="00D17249">
        <w:t>: Partnership for Development</w:t>
      </w:r>
      <w:r w:rsidR="009349C3">
        <w:t>—</w:t>
      </w:r>
      <w:r w:rsidR="004077F9">
        <w:t xml:space="preserve">improved </w:t>
      </w:r>
      <w:r w:rsidRPr="00D17249">
        <w:t>education</w:t>
      </w:r>
    </w:p>
    <w:tbl>
      <w:tblPr>
        <w:tblStyle w:val="APPR"/>
        <w:tblW w:w="0" w:type="auto"/>
        <w:tblLayout w:type="fixed"/>
        <w:tblLook w:val="0000" w:firstRow="0" w:lastRow="0" w:firstColumn="0" w:lastColumn="0" w:noHBand="0" w:noVBand="0"/>
      </w:tblPr>
      <w:tblGrid>
        <w:gridCol w:w="6940"/>
        <w:gridCol w:w="1082"/>
      </w:tblGrid>
      <w:tr w:rsidR="00E22084" w:rsidRPr="003C4742" w14:paraId="3094DBBF" w14:textId="77777777" w:rsidTr="00B83F76">
        <w:trPr>
          <w:cnfStyle w:val="000000010000" w:firstRow="0" w:lastRow="0" w:firstColumn="0" w:lastColumn="0" w:oddVBand="0" w:evenVBand="0" w:oddHBand="0" w:evenHBand="1" w:firstRowFirstColumn="0" w:firstRowLastColumn="0" w:lastRowFirstColumn="0" w:lastRowLastColumn="0"/>
        </w:trPr>
        <w:tc>
          <w:tcPr>
            <w:tcW w:w="7966" w:type="dxa"/>
            <w:gridSpan w:val="2"/>
          </w:tcPr>
          <w:p w14:paraId="2EC75857" w14:textId="7A6D85B9" w:rsidR="00E22084" w:rsidRDefault="00E22084" w:rsidP="00B83F76">
            <w:pPr>
              <w:pStyle w:val="TableTextEntries"/>
            </w:pPr>
            <w:r w:rsidRPr="00AB2642">
              <w:t xml:space="preserve">Objective: </w:t>
            </w:r>
            <w:r w:rsidRPr="00674F59">
              <w:t>The partnership will support Samoa’s ambition to achieve and move beyond M</w:t>
            </w:r>
            <w:r w:rsidR="002D0BC1">
              <w:t>DG</w:t>
            </w:r>
            <w:r w:rsidRPr="00674F59">
              <w:t xml:space="preserve"> targets to address better quality and more equitable education for all.</w:t>
            </w:r>
          </w:p>
        </w:tc>
      </w:tr>
      <w:tr w:rsidR="00E22084" w:rsidRPr="00B83F76" w14:paraId="58ADD5A3" w14:textId="77777777" w:rsidTr="00B83F76">
        <w:trPr>
          <w:cnfStyle w:val="000000010000" w:firstRow="0" w:lastRow="0" w:firstColumn="0" w:lastColumn="0" w:oddVBand="0" w:evenVBand="0" w:oddHBand="0" w:evenHBand="1" w:firstRowFirstColumn="0" w:firstRowLastColumn="0" w:lastRowFirstColumn="0" w:lastRowLastColumn="0"/>
        </w:trPr>
        <w:tc>
          <w:tcPr>
            <w:tcW w:w="6898" w:type="dxa"/>
          </w:tcPr>
          <w:p w14:paraId="59BEF591" w14:textId="77777777" w:rsidR="00E22084" w:rsidRPr="00B83F76" w:rsidRDefault="00E22084" w:rsidP="00B83F76">
            <w:pPr>
              <w:pStyle w:val="TableTextColumnHeading"/>
            </w:pPr>
            <w:r w:rsidRPr="00B83F76">
              <w:t>Partnership targets for 2015</w:t>
            </w:r>
          </w:p>
        </w:tc>
        <w:tc>
          <w:tcPr>
            <w:tcW w:w="1040" w:type="dxa"/>
          </w:tcPr>
          <w:p w14:paraId="0DDFAAF3" w14:textId="77777777" w:rsidR="00E22084" w:rsidRPr="00B83F76" w:rsidRDefault="00E22084" w:rsidP="00B83F76">
            <w:pPr>
              <w:pStyle w:val="TableTextColumnHeading"/>
            </w:pPr>
            <w:r w:rsidRPr="00B83F76">
              <w:t>Progress</w:t>
            </w:r>
          </w:p>
        </w:tc>
      </w:tr>
      <w:tr w:rsidR="00E22084" w:rsidRPr="003C4742" w14:paraId="23361700"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1FE9B23F" w14:textId="14F9134F" w:rsidR="00E22084" w:rsidRPr="00B83F76" w:rsidRDefault="00E22084" w:rsidP="00B83F76">
            <w:pPr>
              <w:pStyle w:val="TableTextEntries"/>
            </w:pPr>
            <w:r w:rsidRPr="00B83F76">
              <w:t>Improved literacy though reducing percentage of ‘at risk’ students in Year 4 and Year 6</w:t>
            </w:r>
            <w:r w:rsidRPr="00B83F76">
              <w:rPr>
                <w:rStyle w:val="FootnoteReference"/>
                <w:rFonts w:ascii="Franklin Gothic Book" w:hAnsi="Franklin Gothic Book"/>
                <w:position w:val="0"/>
                <w:sz w:val="17"/>
                <w:szCs w:val="17"/>
              </w:rPr>
              <w:footnoteReference w:id="24"/>
            </w:r>
            <w:r w:rsidRPr="00B83F76">
              <w:rPr>
                <w:rStyle w:val="FootnoteReference"/>
                <w:rFonts w:ascii="Franklin Gothic Book" w:hAnsi="Franklin Gothic Book"/>
                <w:position w:val="0"/>
                <w:sz w:val="17"/>
                <w:szCs w:val="17"/>
              </w:rPr>
              <w:t xml:space="preserve"> </w:t>
            </w:r>
          </w:p>
        </w:tc>
        <w:tc>
          <w:tcPr>
            <w:tcW w:w="1040" w:type="dxa"/>
            <w:vMerge w:val="restart"/>
            <w:shd w:val="clear" w:color="auto" w:fill="92D050"/>
            <w:vAlign w:val="center"/>
          </w:tcPr>
          <w:p w14:paraId="6367E12B" w14:textId="57A9FD69" w:rsidR="00E22084" w:rsidRPr="00B83F76" w:rsidRDefault="00B83F76" w:rsidP="006B4FE5">
            <w:pPr>
              <w:pStyle w:val="TableTextEntries"/>
              <w:jc w:val="center"/>
            </w:pPr>
            <w:r w:rsidRPr="00B83F76">
              <w:t>Green</w:t>
            </w:r>
          </w:p>
        </w:tc>
      </w:tr>
      <w:tr w:rsidR="00E22084" w:rsidRPr="003C4742" w14:paraId="7C7EC67C" w14:textId="77777777" w:rsidTr="006B4FE5">
        <w:trPr>
          <w:cnfStyle w:val="000000010000" w:firstRow="0" w:lastRow="0" w:firstColumn="0" w:lastColumn="0" w:oddVBand="0" w:evenVBand="0" w:oddHBand="0" w:evenHBand="1" w:firstRowFirstColumn="0" w:firstRowLastColumn="0" w:lastRowFirstColumn="0" w:lastRowLastColumn="0"/>
          <w:trHeight w:val="395"/>
        </w:trPr>
        <w:tc>
          <w:tcPr>
            <w:tcW w:w="6898" w:type="dxa"/>
          </w:tcPr>
          <w:p w14:paraId="6D1D0F73" w14:textId="159AB208" w:rsidR="00E22084" w:rsidRPr="00B83F76" w:rsidRDefault="00E22084" w:rsidP="00B83F76">
            <w:pPr>
              <w:pStyle w:val="TableTextEntries"/>
            </w:pPr>
            <w:r w:rsidRPr="00B83F76">
              <w:t xml:space="preserve">     Year 4:    2008: 23.3   </w:t>
            </w:r>
            <w:r w:rsidR="00E61F4A" w:rsidRPr="00B83F76">
              <w:t xml:space="preserve">   </w:t>
            </w:r>
            <w:r w:rsidRPr="00B83F76">
              <w:t xml:space="preserve">2009: 28.3   </w:t>
            </w:r>
            <w:r w:rsidR="00E61F4A" w:rsidRPr="00B83F76">
              <w:t xml:space="preserve">   </w:t>
            </w:r>
            <w:r w:rsidRPr="00B83F76">
              <w:t xml:space="preserve">2010: 19.6   </w:t>
            </w:r>
            <w:r w:rsidR="00E61F4A" w:rsidRPr="00B83F76">
              <w:t xml:space="preserve">   </w:t>
            </w:r>
            <w:r w:rsidRPr="00B83F76">
              <w:t>2011: 20</w:t>
            </w:r>
          </w:p>
          <w:p w14:paraId="0EE68E50" w14:textId="6AACA5CF" w:rsidR="00E22084" w:rsidRPr="00B83F76" w:rsidRDefault="00E22084" w:rsidP="00B83F76">
            <w:pPr>
              <w:pStyle w:val="TableTextEntries"/>
            </w:pPr>
            <w:r w:rsidRPr="00B83F76">
              <w:t xml:space="preserve">     Year 6:    2008: 45      </w:t>
            </w:r>
            <w:r w:rsidR="00E61F4A" w:rsidRPr="00B83F76">
              <w:t xml:space="preserve">   </w:t>
            </w:r>
            <w:r w:rsidRPr="00B83F76">
              <w:t xml:space="preserve">2009: 39.3   </w:t>
            </w:r>
            <w:r w:rsidR="00E61F4A" w:rsidRPr="00B83F76">
              <w:t xml:space="preserve">   </w:t>
            </w:r>
            <w:r w:rsidRPr="00B83F76">
              <w:t xml:space="preserve">2010: 33.6   </w:t>
            </w:r>
            <w:r w:rsidR="00E61F4A" w:rsidRPr="00B83F76">
              <w:t xml:space="preserve">   </w:t>
            </w:r>
            <w:r w:rsidRPr="00B83F76">
              <w:t>2011: 34</w:t>
            </w:r>
          </w:p>
        </w:tc>
        <w:tc>
          <w:tcPr>
            <w:tcW w:w="1040" w:type="dxa"/>
            <w:vMerge/>
            <w:shd w:val="clear" w:color="auto" w:fill="92D050"/>
            <w:vAlign w:val="center"/>
          </w:tcPr>
          <w:p w14:paraId="3DEE5D51" w14:textId="77777777" w:rsidR="00E22084" w:rsidRPr="00B83F76" w:rsidRDefault="00E22084" w:rsidP="006B4FE5">
            <w:pPr>
              <w:pStyle w:val="TableTextEntries"/>
              <w:jc w:val="center"/>
            </w:pPr>
          </w:p>
        </w:tc>
      </w:tr>
      <w:tr w:rsidR="00E22084" w:rsidRPr="003C4742" w14:paraId="73800B68"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26918FFD" w14:textId="7F02DA84" w:rsidR="00E22084" w:rsidRPr="00B83F76" w:rsidRDefault="00E22084" w:rsidP="00B83F76">
            <w:pPr>
              <w:pStyle w:val="TableTextEntries"/>
            </w:pPr>
            <w:r w:rsidRPr="00B83F76">
              <w:t>Increased primary net enrolment ratio over 2008</w:t>
            </w:r>
            <w:r w:rsidR="002D0BC1" w:rsidRPr="00B83F76">
              <w:t>–</w:t>
            </w:r>
            <w:r w:rsidRPr="00B83F76">
              <w:t>12</w:t>
            </w:r>
          </w:p>
        </w:tc>
        <w:tc>
          <w:tcPr>
            <w:tcW w:w="1040" w:type="dxa"/>
            <w:vMerge w:val="restart"/>
            <w:shd w:val="clear" w:color="auto" w:fill="92D050"/>
            <w:vAlign w:val="center"/>
          </w:tcPr>
          <w:p w14:paraId="394DAA03" w14:textId="49F63B17" w:rsidR="00E22084" w:rsidRPr="00B83F76" w:rsidRDefault="00B83F76" w:rsidP="006B4FE5">
            <w:pPr>
              <w:pStyle w:val="TableTextEntries"/>
              <w:jc w:val="center"/>
            </w:pPr>
            <w:r w:rsidRPr="00B83F76">
              <w:t>Green</w:t>
            </w:r>
          </w:p>
        </w:tc>
      </w:tr>
      <w:tr w:rsidR="00E22084" w:rsidRPr="003C4742" w14:paraId="7E819C96"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12427837" w14:textId="1ABC377A" w:rsidR="00E22084" w:rsidRPr="00B83F76" w:rsidRDefault="00E22084" w:rsidP="00B83F76">
            <w:pPr>
              <w:pStyle w:val="TableTextEntries"/>
            </w:pPr>
            <w:r w:rsidRPr="00B83F76">
              <w:t xml:space="preserve">     2008: 97%   </w:t>
            </w:r>
            <w:r w:rsidR="00E61F4A" w:rsidRPr="00B83F76">
              <w:t xml:space="preserve">   </w:t>
            </w:r>
            <w:r w:rsidRPr="00B83F76">
              <w:t xml:space="preserve"> 2009: 96%    </w:t>
            </w:r>
            <w:r w:rsidR="00E61F4A" w:rsidRPr="00B83F76">
              <w:t xml:space="preserve">   </w:t>
            </w:r>
            <w:r w:rsidRPr="00B83F76">
              <w:t xml:space="preserve">2010: 97%    </w:t>
            </w:r>
            <w:r w:rsidR="00E61F4A" w:rsidRPr="00B83F76">
              <w:t xml:space="preserve">   </w:t>
            </w:r>
            <w:r w:rsidRPr="00B83F76">
              <w:t xml:space="preserve">2011: 94%    </w:t>
            </w:r>
            <w:r w:rsidR="00E61F4A" w:rsidRPr="00B83F76">
              <w:t xml:space="preserve">    </w:t>
            </w:r>
            <w:r w:rsidRPr="00B83F76">
              <w:t xml:space="preserve">2012: 97% </w:t>
            </w:r>
          </w:p>
        </w:tc>
        <w:tc>
          <w:tcPr>
            <w:tcW w:w="1040" w:type="dxa"/>
            <w:vMerge/>
            <w:shd w:val="clear" w:color="auto" w:fill="92D050"/>
            <w:vAlign w:val="center"/>
          </w:tcPr>
          <w:p w14:paraId="1B0A8AF5" w14:textId="77777777" w:rsidR="00E22084" w:rsidRPr="00B83F76" w:rsidRDefault="00E22084" w:rsidP="006B4FE5">
            <w:pPr>
              <w:pStyle w:val="TableTextEntries"/>
              <w:jc w:val="center"/>
            </w:pPr>
          </w:p>
        </w:tc>
      </w:tr>
      <w:tr w:rsidR="00E22084" w:rsidRPr="003C4742" w14:paraId="56F04D78"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4D61208D" w14:textId="27B8C825" w:rsidR="00E22084" w:rsidRPr="00B83F76" w:rsidRDefault="00E22084" w:rsidP="00B83F76">
            <w:pPr>
              <w:pStyle w:val="TableTextEntries"/>
            </w:pPr>
            <w:r w:rsidRPr="00B83F76">
              <w:t xml:space="preserve">Increased proportion of boys and girls </w:t>
            </w:r>
            <w:r w:rsidR="002D0BC1" w:rsidRPr="00B83F76">
              <w:t xml:space="preserve">starting </w:t>
            </w:r>
            <w:r w:rsidRPr="00B83F76">
              <w:t>Year 1 and reaching Year 8</w:t>
            </w:r>
          </w:p>
        </w:tc>
        <w:tc>
          <w:tcPr>
            <w:tcW w:w="1040" w:type="dxa"/>
            <w:vMerge w:val="restart"/>
            <w:shd w:val="clear" w:color="auto" w:fill="92D050"/>
            <w:vAlign w:val="center"/>
          </w:tcPr>
          <w:p w14:paraId="222A9705" w14:textId="3B7BE6BA" w:rsidR="00E22084" w:rsidRPr="00B83F76" w:rsidRDefault="00B83F76" w:rsidP="006B4FE5">
            <w:pPr>
              <w:pStyle w:val="TableTextEntries"/>
              <w:jc w:val="center"/>
            </w:pPr>
            <w:r w:rsidRPr="00B83F76">
              <w:t>Green</w:t>
            </w:r>
          </w:p>
        </w:tc>
      </w:tr>
      <w:tr w:rsidR="00E22084" w:rsidRPr="003C4742" w14:paraId="2D92E8D6"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5BD8C657" w14:textId="0BCB8BBB" w:rsidR="00E22084" w:rsidRPr="00B83F76" w:rsidRDefault="00E22084" w:rsidP="00B83F76">
            <w:pPr>
              <w:pStyle w:val="TableTextEntries"/>
            </w:pPr>
            <w:r w:rsidRPr="00B83F76">
              <w:t xml:space="preserve">     2008: 81%    </w:t>
            </w:r>
            <w:r w:rsidR="00E61F4A" w:rsidRPr="00B83F76">
              <w:t xml:space="preserve">   </w:t>
            </w:r>
            <w:r w:rsidRPr="00B83F76">
              <w:t xml:space="preserve">2009: 81%    </w:t>
            </w:r>
            <w:r w:rsidR="00E61F4A" w:rsidRPr="00B83F76">
              <w:t xml:space="preserve">   </w:t>
            </w:r>
            <w:r w:rsidRPr="00B83F76">
              <w:t xml:space="preserve">2010: 83%    </w:t>
            </w:r>
            <w:r w:rsidR="00E61F4A" w:rsidRPr="00B83F76">
              <w:t xml:space="preserve">   </w:t>
            </w:r>
            <w:r w:rsidRPr="00B83F76">
              <w:t xml:space="preserve">2011: 82%   </w:t>
            </w:r>
            <w:r w:rsidR="00E61F4A" w:rsidRPr="00B83F76">
              <w:t xml:space="preserve">    </w:t>
            </w:r>
            <w:r w:rsidRPr="00B83F76">
              <w:t>2012: 84%</w:t>
            </w:r>
          </w:p>
        </w:tc>
        <w:tc>
          <w:tcPr>
            <w:tcW w:w="1040" w:type="dxa"/>
            <w:vMerge/>
            <w:shd w:val="clear" w:color="auto" w:fill="92D050"/>
            <w:vAlign w:val="center"/>
          </w:tcPr>
          <w:p w14:paraId="263DD7F7" w14:textId="77777777" w:rsidR="00E22084" w:rsidRPr="00B83F76" w:rsidRDefault="00E22084" w:rsidP="006B4FE5">
            <w:pPr>
              <w:pStyle w:val="TableTextEntries"/>
              <w:jc w:val="center"/>
            </w:pPr>
          </w:p>
        </w:tc>
      </w:tr>
      <w:tr w:rsidR="00E22084" w:rsidRPr="003C4742" w14:paraId="0FFA5BF3"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77FB25DE" w14:textId="7B776B1E" w:rsidR="00E22084" w:rsidRPr="00B83F76" w:rsidRDefault="00E22084" w:rsidP="00B83F76">
            <w:pPr>
              <w:pStyle w:val="TableTextEntries"/>
            </w:pPr>
            <w:r w:rsidRPr="00B83F76">
              <w:t xml:space="preserve">Increased number of skilled Samoans available to fill priority workforce needs </w:t>
            </w:r>
          </w:p>
        </w:tc>
        <w:tc>
          <w:tcPr>
            <w:tcW w:w="1040" w:type="dxa"/>
            <w:vMerge w:val="restart"/>
            <w:shd w:val="clear" w:color="auto" w:fill="F79646" w:themeFill="accent6"/>
            <w:vAlign w:val="center"/>
          </w:tcPr>
          <w:p w14:paraId="78E8A477" w14:textId="48CFD735" w:rsidR="00E22084" w:rsidRPr="00B83F76" w:rsidRDefault="00B83F76" w:rsidP="006B4FE5">
            <w:pPr>
              <w:pStyle w:val="TableTextEntries"/>
              <w:jc w:val="center"/>
            </w:pPr>
            <w:r w:rsidRPr="00B83F76">
              <w:t>Amber</w:t>
            </w:r>
          </w:p>
        </w:tc>
      </w:tr>
      <w:tr w:rsidR="00E22084" w:rsidRPr="003C4742" w14:paraId="7F8B0828"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1D1B6F6D" w14:textId="008C58F6" w:rsidR="00E22084" w:rsidRPr="00B83F76" w:rsidRDefault="00E22084" w:rsidP="00B83F76">
            <w:pPr>
              <w:pStyle w:val="TableTextEntries"/>
            </w:pPr>
            <w:r w:rsidRPr="00B83F76">
              <w:t xml:space="preserve">     Vacancy rate as % of total employment: </w:t>
            </w:r>
            <w:r w:rsidR="00E61F4A" w:rsidRPr="00B83F76">
              <w:t xml:space="preserve">              </w:t>
            </w:r>
            <w:r w:rsidRPr="00B83F76">
              <w:t xml:space="preserve"> 2007: 4%  </w:t>
            </w:r>
            <w:r w:rsidR="00E61F4A" w:rsidRPr="00B83F76">
              <w:t xml:space="preserve">    </w:t>
            </w:r>
            <w:r w:rsidRPr="00B83F76">
              <w:t>2010: 2.5%</w:t>
            </w:r>
          </w:p>
          <w:p w14:paraId="12A6305A" w14:textId="233D900A" w:rsidR="00E22084" w:rsidRPr="00B83F76" w:rsidRDefault="00E22084" w:rsidP="00B83F76">
            <w:pPr>
              <w:pStyle w:val="TableTextEntries"/>
            </w:pPr>
            <w:r w:rsidRPr="00B83F76">
              <w:t xml:space="preserve">     Percentage industry identifying skill shortages: </w:t>
            </w:r>
            <w:r w:rsidR="00E61F4A" w:rsidRPr="00B83F76">
              <w:t xml:space="preserve">   </w:t>
            </w:r>
            <w:r w:rsidRPr="00B83F76">
              <w:t xml:space="preserve">2007: 30% </w:t>
            </w:r>
            <w:r w:rsidR="00E61F4A" w:rsidRPr="00B83F76">
              <w:t xml:space="preserve">  </w:t>
            </w:r>
            <w:r w:rsidRPr="00B83F76">
              <w:t xml:space="preserve"> 2010: 45%</w:t>
            </w:r>
          </w:p>
        </w:tc>
        <w:tc>
          <w:tcPr>
            <w:tcW w:w="1040" w:type="dxa"/>
            <w:vMerge/>
            <w:shd w:val="clear" w:color="auto" w:fill="F79646" w:themeFill="accent6"/>
            <w:vAlign w:val="center"/>
          </w:tcPr>
          <w:p w14:paraId="0C99B395" w14:textId="77777777" w:rsidR="00E22084" w:rsidRPr="00B83F76" w:rsidRDefault="00E22084" w:rsidP="006B4FE5">
            <w:pPr>
              <w:pStyle w:val="TableTextEntries"/>
              <w:jc w:val="center"/>
            </w:pPr>
          </w:p>
        </w:tc>
      </w:tr>
      <w:tr w:rsidR="00E22084" w:rsidRPr="003C4742" w14:paraId="296BAB31"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13C4ED1B" w14:textId="1415168A" w:rsidR="00E22084" w:rsidRPr="00B83F76" w:rsidRDefault="00E22084" w:rsidP="00B83F76">
            <w:pPr>
              <w:pStyle w:val="TableTextEntries"/>
            </w:pPr>
            <w:r w:rsidRPr="00B83F76">
              <w:t xml:space="preserve">Increased access to quality education for boys and girls with disability </w:t>
            </w:r>
          </w:p>
        </w:tc>
        <w:tc>
          <w:tcPr>
            <w:tcW w:w="1040" w:type="dxa"/>
            <w:vMerge w:val="restart"/>
            <w:shd w:val="clear" w:color="auto" w:fill="92D050"/>
            <w:vAlign w:val="center"/>
          </w:tcPr>
          <w:p w14:paraId="04C8E0FB" w14:textId="0F010901" w:rsidR="00E22084" w:rsidRPr="00B83F76" w:rsidRDefault="00B83F76" w:rsidP="006B4FE5">
            <w:pPr>
              <w:pStyle w:val="TableTextEntries"/>
              <w:jc w:val="center"/>
            </w:pPr>
            <w:r w:rsidRPr="00B83F76">
              <w:t>Green</w:t>
            </w:r>
          </w:p>
        </w:tc>
      </w:tr>
      <w:tr w:rsidR="00E22084" w:rsidRPr="003C4742" w14:paraId="5DD3D819" w14:textId="77777777" w:rsidTr="00B83F76">
        <w:trPr>
          <w:cnfStyle w:val="000000010000" w:firstRow="0" w:lastRow="0" w:firstColumn="0" w:lastColumn="0" w:oddVBand="0" w:evenVBand="0" w:oddHBand="0" w:evenHBand="1" w:firstRowFirstColumn="0" w:firstRowLastColumn="0" w:lastRowFirstColumn="0" w:lastRowLastColumn="0"/>
        </w:trPr>
        <w:tc>
          <w:tcPr>
            <w:tcW w:w="6898" w:type="dxa"/>
          </w:tcPr>
          <w:p w14:paraId="22933E82" w14:textId="058C3AD5" w:rsidR="00E22084" w:rsidRPr="00B83F76" w:rsidRDefault="00E22084" w:rsidP="00B83F76">
            <w:pPr>
              <w:pStyle w:val="TableTextEntries"/>
            </w:pPr>
            <w:r w:rsidRPr="00B83F76">
              <w:t xml:space="preserve">    </w:t>
            </w:r>
            <w:r w:rsidR="00E61F4A" w:rsidRPr="00B83F76">
              <w:t xml:space="preserve"> </w:t>
            </w:r>
            <w:r w:rsidRPr="00B83F76">
              <w:t xml:space="preserve"> 2008: 7  </w:t>
            </w:r>
            <w:r w:rsidR="00E61F4A" w:rsidRPr="00B83F76">
              <w:t xml:space="preserve">         </w:t>
            </w:r>
            <w:r w:rsidRPr="00B83F76">
              <w:t xml:space="preserve">2009: 11  </w:t>
            </w:r>
            <w:r w:rsidR="00E61F4A" w:rsidRPr="00B83F76">
              <w:t xml:space="preserve">         </w:t>
            </w:r>
            <w:r w:rsidRPr="00B83F76">
              <w:t xml:space="preserve">2010: 134    </w:t>
            </w:r>
            <w:r w:rsidR="00E61F4A" w:rsidRPr="00B83F76">
              <w:t xml:space="preserve">    </w:t>
            </w:r>
            <w:r w:rsidRPr="00B83F76">
              <w:t xml:space="preserve">2011: 331   </w:t>
            </w:r>
            <w:r w:rsidR="00E61F4A" w:rsidRPr="00B83F76">
              <w:t xml:space="preserve">     </w:t>
            </w:r>
            <w:r w:rsidRPr="00B83F76">
              <w:t>2012: 570</w:t>
            </w:r>
          </w:p>
        </w:tc>
        <w:tc>
          <w:tcPr>
            <w:tcW w:w="1040" w:type="dxa"/>
            <w:vMerge/>
            <w:shd w:val="clear" w:color="auto" w:fill="92D050"/>
          </w:tcPr>
          <w:p w14:paraId="05D1D48D" w14:textId="77777777" w:rsidR="00E22084" w:rsidRDefault="00E22084" w:rsidP="00E22084">
            <w:pPr>
              <w:pStyle w:val="TableTextEntries"/>
              <w:spacing w:before="80" w:after="80" w:line="280" w:lineRule="atLeast"/>
            </w:pPr>
          </w:p>
        </w:tc>
      </w:tr>
    </w:tbl>
    <w:p w14:paraId="23161DBC" w14:textId="4626F163" w:rsidR="00E22084" w:rsidRPr="00B83F76" w:rsidRDefault="00E22084" w:rsidP="00B83F76">
      <w:pPr>
        <w:pStyle w:val="Note"/>
      </w:pPr>
      <w:r w:rsidRPr="00B83F76">
        <w:t xml:space="preserve">Source: </w:t>
      </w:r>
      <w:r w:rsidR="008C33CC" w:rsidRPr="00B83F76">
        <w:t>Government of Samoa</w:t>
      </w:r>
      <w:r w:rsidR="00D27AF9" w:rsidRPr="00B83F76">
        <w:t xml:space="preserve"> Ministry of Education, Sports and Culture, </w:t>
      </w:r>
      <w:r w:rsidR="00D27AF9" w:rsidRPr="00B83F76">
        <w:rPr>
          <w:i/>
        </w:rPr>
        <w:t>Education Statistical Digest 2012</w:t>
      </w:r>
      <w:r w:rsidR="00D27AF9" w:rsidRPr="00B83F76">
        <w:t xml:space="preserve">, August 2012; </w:t>
      </w:r>
      <w:r w:rsidR="008C33CC" w:rsidRPr="00B83F76">
        <w:t>Government of Samoa</w:t>
      </w:r>
      <w:r w:rsidR="00D27AF9" w:rsidRPr="00B83F76">
        <w:t xml:space="preserve"> Ministry of Commerce, Industry and Labour, </w:t>
      </w:r>
      <w:r w:rsidR="00D27AF9" w:rsidRPr="00B83F76">
        <w:rPr>
          <w:i/>
        </w:rPr>
        <w:t>2010 Labour Markey Survey of Private Sector Employers, 2011</w:t>
      </w:r>
      <w:r w:rsidR="0041564C" w:rsidRPr="00B83F76">
        <w:t>;</w:t>
      </w:r>
      <w:r w:rsidR="00D27AF9" w:rsidRPr="00B83F76">
        <w:t xml:space="preserve"> SENESE Inclusive Education Support Services</w:t>
      </w:r>
      <w:r w:rsidR="006408DB" w:rsidRPr="00B83F76">
        <w:t xml:space="preserve"> and </w:t>
      </w:r>
      <w:proofErr w:type="spellStart"/>
      <w:r w:rsidR="006408DB" w:rsidRPr="00B83F76">
        <w:t>Loto</w:t>
      </w:r>
      <w:proofErr w:type="spellEnd"/>
      <w:r w:rsidR="006408DB" w:rsidRPr="00B83F76">
        <w:t xml:space="preserve"> </w:t>
      </w:r>
      <w:proofErr w:type="spellStart"/>
      <w:r w:rsidR="006408DB" w:rsidRPr="00B83F76">
        <w:t>Taumafai</w:t>
      </w:r>
      <w:proofErr w:type="spellEnd"/>
      <w:r w:rsidR="006408DB" w:rsidRPr="00B83F76">
        <w:t xml:space="preserve"> Society</w:t>
      </w:r>
      <w:r w:rsidR="00D27AF9" w:rsidRPr="00B83F76">
        <w:t xml:space="preserve">, </w:t>
      </w:r>
      <w:r w:rsidR="0041564C" w:rsidRPr="00B83F76">
        <w:t xml:space="preserve">Samoa Inclusive Education Demonstration Program </w:t>
      </w:r>
      <w:r w:rsidR="00D27AF9" w:rsidRPr="00B83F76">
        <w:t>Quarterly Reports, March, June, September and December 2012</w:t>
      </w:r>
      <w:r w:rsidR="0041564C" w:rsidRPr="00B83F76">
        <w:t>.</w:t>
      </w:r>
    </w:p>
    <w:p w14:paraId="3A43EEE7" w14:textId="7AAC8B3F" w:rsidR="00E22084" w:rsidRPr="00E22084" w:rsidRDefault="00E22084" w:rsidP="00B83F76">
      <w:pPr>
        <w:pStyle w:val="BodyText"/>
      </w:pPr>
    </w:p>
    <w:p w14:paraId="143AA344" w14:textId="2429859F" w:rsidR="00E22084" w:rsidRPr="00E22084" w:rsidRDefault="00E22084" w:rsidP="004F2077">
      <w:pPr>
        <w:pStyle w:val="BodyText"/>
      </w:pPr>
      <w:r w:rsidRPr="00E22084">
        <w:t xml:space="preserve">Education </w:t>
      </w:r>
      <w:r w:rsidR="005B0E6E">
        <w:t>partnership targets are almost all on track</w:t>
      </w:r>
      <w:r w:rsidR="00E61F4A">
        <w:t xml:space="preserve"> (Table 4)</w:t>
      </w:r>
      <w:r w:rsidR="005B0E6E">
        <w:t xml:space="preserve">. </w:t>
      </w:r>
      <w:r w:rsidRPr="00E22084">
        <w:t xml:space="preserve">While improvements in assessment scores and repetition rates have </w:t>
      </w:r>
      <w:r w:rsidR="00A67D8F">
        <w:t>slowed</w:t>
      </w:r>
      <w:r w:rsidRPr="00E22084">
        <w:t xml:space="preserve"> in recent years, they have mostly shown substantial improvement since data was first collected</w:t>
      </w:r>
      <w:r w:rsidR="0072468D">
        <w:t>.</w:t>
      </w:r>
      <w:r w:rsidRPr="009E6B2D">
        <w:rPr>
          <w:rStyle w:val="FootnoteReference"/>
          <w:szCs w:val="16"/>
        </w:rPr>
        <w:footnoteReference w:id="25"/>
      </w:r>
      <w:r w:rsidRPr="00E22084">
        <w:t xml:space="preserve"> This shows the generational changes required to shift education outcomes and can be attributed to long</w:t>
      </w:r>
      <w:r w:rsidR="009A73C6">
        <w:t>-</w:t>
      </w:r>
      <w:r w:rsidRPr="00E22084">
        <w:t>term support for ed</w:t>
      </w:r>
      <w:r w:rsidR="002811F3">
        <w:t>ucation by development partners</w:t>
      </w:r>
      <w:r w:rsidR="00E61F4A">
        <w:t xml:space="preserve"> and the Government of Samoa</w:t>
      </w:r>
      <w:r w:rsidRPr="00E22084">
        <w:t>. Stubborn challenges remain</w:t>
      </w:r>
      <w:r w:rsidR="00A2417E">
        <w:t>. E</w:t>
      </w:r>
      <w:r w:rsidRPr="00E22084">
        <w:t>ducation results for boys consistently lag behind those of girls by up to 24</w:t>
      </w:r>
      <w:r w:rsidR="00CC12D1">
        <w:t> </w:t>
      </w:r>
      <w:r w:rsidRPr="00E22084">
        <w:t xml:space="preserve">per cent in some subjects from a young age. Dropout rates show limited improvement: 56 per cent of students who </w:t>
      </w:r>
      <w:r w:rsidR="00764A4E">
        <w:t>started</w:t>
      </w:r>
      <w:r w:rsidR="00764A4E" w:rsidRPr="00E22084">
        <w:t xml:space="preserve"> </w:t>
      </w:r>
      <w:r w:rsidRPr="00E22084">
        <w:t xml:space="preserve">Year </w:t>
      </w:r>
      <w:r w:rsidR="00764A4E">
        <w:t>1</w:t>
      </w:r>
      <w:r w:rsidR="00764A4E" w:rsidRPr="00E22084">
        <w:t xml:space="preserve"> </w:t>
      </w:r>
      <w:r w:rsidRPr="00E22084">
        <w:t>in 1994 dropped out before Year 12 in 2005. That rate had only decreased to 51 per cent of the class of 2001</w:t>
      </w:r>
      <w:r w:rsidR="009A73C6">
        <w:t>,</w:t>
      </w:r>
      <w:r w:rsidRPr="00E22084">
        <w:t xml:space="preserve"> wh</w:t>
      </w:r>
      <w:r w:rsidR="00764A4E">
        <w:t>ich</w:t>
      </w:r>
      <w:r w:rsidRPr="00E22084">
        <w:t xml:space="preserve"> completed school in 2012</w:t>
      </w:r>
      <w:r w:rsidR="0072468D">
        <w:t>.</w:t>
      </w:r>
      <w:r w:rsidR="00DB5409">
        <w:rPr>
          <w:rStyle w:val="FootnoteReference"/>
        </w:rPr>
        <w:footnoteReference w:id="26"/>
      </w:r>
      <w:r w:rsidRPr="00E22084">
        <w:t xml:space="preserve"> These statistics indicate</w:t>
      </w:r>
      <w:r w:rsidR="009A73C6">
        <w:t xml:space="preserve"> that</w:t>
      </w:r>
      <w:r w:rsidRPr="00E22084">
        <w:t xml:space="preserve"> there are opportunities to improve the quality of education and reduce inefficiencies in </w:t>
      </w:r>
      <w:r w:rsidR="00F47D8A">
        <w:t>the</w:t>
      </w:r>
      <w:r w:rsidRPr="00E22084">
        <w:t xml:space="preserve"> </w:t>
      </w:r>
      <w:r w:rsidR="00764A4E">
        <w:t>education</w:t>
      </w:r>
      <w:r w:rsidR="00764A4E" w:rsidRPr="00E22084">
        <w:t xml:space="preserve"> </w:t>
      </w:r>
      <w:r w:rsidRPr="00E22084">
        <w:t>system</w:t>
      </w:r>
      <w:r w:rsidR="0072468D">
        <w:t>.</w:t>
      </w:r>
      <w:r w:rsidR="002811F3">
        <w:rPr>
          <w:rStyle w:val="FootnoteReference"/>
        </w:rPr>
        <w:footnoteReference w:id="27"/>
      </w:r>
      <w:r w:rsidRPr="00E22084">
        <w:t xml:space="preserve"> </w:t>
      </w:r>
    </w:p>
    <w:p w14:paraId="46ED7805" w14:textId="67F7D83C" w:rsidR="00E22084" w:rsidRDefault="00A67D8F" w:rsidP="004F2077">
      <w:pPr>
        <w:pStyle w:val="BodyText"/>
      </w:pPr>
      <w:r>
        <w:t>In</w:t>
      </w:r>
      <w:r w:rsidR="00E22084" w:rsidRPr="00E22084">
        <w:t xml:space="preserve"> </w:t>
      </w:r>
      <w:r w:rsidR="00F47D8A">
        <w:t>2012</w:t>
      </w:r>
      <w:r w:rsidR="009A73C6">
        <w:t>–</w:t>
      </w:r>
      <w:r w:rsidR="00F47D8A">
        <w:t>13</w:t>
      </w:r>
      <w:r w:rsidR="009A73C6">
        <w:t xml:space="preserve">, </w:t>
      </w:r>
      <w:r w:rsidR="00E22084" w:rsidRPr="00E22084">
        <w:t xml:space="preserve">achievements </w:t>
      </w:r>
      <w:r w:rsidR="00764A4E">
        <w:t>were</w:t>
      </w:r>
      <w:r w:rsidR="00E22084" w:rsidRPr="00E22084">
        <w:t xml:space="preserve"> made in improv</w:t>
      </w:r>
      <w:r w:rsidR="00764A4E">
        <w:t>ing</w:t>
      </w:r>
      <w:r w:rsidR="00E22084" w:rsidRPr="00E22084">
        <w:t xml:space="preserve"> </w:t>
      </w:r>
      <w:r w:rsidR="00764A4E">
        <w:t xml:space="preserve">education </w:t>
      </w:r>
      <w:r w:rsidR="00E22084" w:rsidRPr="00E22084">
        <w:t>sector coordination</w:t>
      </w:r>
      <w:r w:rsidR="00764A4E">
        <w:t>, with</w:t>
      </w:r>
      <w:r w:rsidR="00E22084" w:rsidRPr="00E22084">
        <w:t xml:space="preserve"> the sector </w:t>
      </w:r>
      <w:r w:rsidR="00764A4E">
        <w:t>providing</w:t>
      </w:r>
      <w:r w:rsidR="00764A4E" w:rsidRPr="00E22084">
        <w:t xml:space="preserve"> </w:t>
      </w:r>
      <w:r w:rsidR="00E22084" w:rsidRPr="00E22084">
        <w:t>its first</w:t>
      </w:r>
      <w:r w:rsidR="00764A4E">
        <w:t>-</w:t>
      </w:r>
      <w:r w:rsidR="00E22084" w:rsidRPr="00E22084">
        <w:t>ever consolidated</w:t>
      </w:r>
      <w:r w:rsidR="002811F3">
        <w:t xml:space="preserve"> input into the new SDS</w:t>
      </w:r>
      <w:r w:rsidR="00E22084" w:rsidRPr="00E22084">
        <w:t xml:space="preserve">. However the challenge of moving to a new model of </w:t>
      </w:r>
      <w:r w:rsidR="005B0E6E">
        <w:t xml:space="preserve">a </w:t>
      </w:r>
      <w:r w:rsidR="00E22084" w:rsidRPr="00E22084">
        <w:t>sector</w:t>
      </w:r>
      <w:r w:rsidR="00764A4E">
        <w:t>-</w:t>
      </w:r>
      <w:r w:rsidR="00E22084" w:rsidRPr="00E22084">
        <w:t xml:space="preserve">wide development partnership, as foreshadowed in </w:t>
      </w:r>
      <w:r w:rsidR="00764A4E">
        <w:t>the 2011–12</w:t>
      </w:r>
      <w:r w:rsidR="00E22084" w:rsidRPr="00E22084">
        <w:t xml:space="preserve"> APPR, has been greater than anticipated. </w:t>
      </w:r>
      <w:r w:rsidR="005B0E6E">
        <w:t xml:space="preserve">This </w:t>
      </w:r>
      <w:r w:rsidR="00E22084" w:rsidRPr="00E22084">
        <w:t xml:space="preserve">delayed the completion of a unified </w:t>
      </w:r>
      <w:r w:rsidR="00764A4E">
        <w:t xml:space="preserve">education </w:t>
      </w:r>
      <w:r w:rsidR="00E22084" w:rsidRPr="00E22084">
        <w:t>sector plan and financing framework</w:t>
      </w:r>
      <w:r w:rsidR="005B0E6E">
        <w:t xml:space="preserve"> until May</w:t>
      </w:r>
      <w:r w:rsidR="00CC12D1">
        <w:t> </w:t>
      </w:r>
      <w:r w:rsidR="005B0E6E">
        <w:t>2013</w:t>
      </w:r>
      <w:r w:rsidR="0072468D">
        <w:t>.</w:t>
      </w:r>
      <w:r w:rsidR="002811F3">
        <w:rPr>
          <w:rStyle w:val="FootnoteReference"/>
        </w:rPr>
        <w:footnoteReference w:id="28"/>
      </w:r>
      <w:r w:rsidR="00E22084" w:rsidRPr="00E22084">
        <w:t xml:space="preserve"> Both sector and development partners have also grappled with implementing procurement and financial management </w:t>
      </w:r>
      <w:r w:rsidR="002811F3">
        <w:t>requirements for budget support</w:t>
      </w:r>
      <w:r w:rsidR="00E22084" w:rsidRPr="00E22084">
        <w:t xml:space="preserve">. As a result of these challenges, implementation of </w:t>
      </w:r>
      <w:r w:rsidR="005B0E6E">
        <w:t>sector</w:t>
      </w:r>
      <w:r w:rsidR="00764A4E">
        <w:t>-</w:t>
      </w:r>
      <w:r w:rsidR="005B0E6E">
        <w:t>wide support</w:t>
      </w:r>
      <w:r w:rsidR="00E22084" w:rsidRPr="00E22084">
        <w:t xml:space="preserve"> </w:t>
      </w:r>
      <w:r w:rsidR="00764A4E">
        <w:t>has been</w:t>
      </w:r>
      <w:r w:rsidR="00E22084" w:rsidRPr="00E22084">
        <w:t xml:space="preserve"> delayed until 20</w:t>
      </w:r>
      <w:r>
        <w:t>14</w:t>
      </w:r>
      <w:r w:rsidR="0072468D">
        <w:t>–</w:t>
      </w:r>
      <w:r w:rsidR="00E22084" w:rsidRPr="00E22084">
        <w:t>15</w:t>
      </w:r>
      <w:r w:rsidR="0072468D">
        <w:t>.</w:t>
      </w:r>
      <w:r w:rsidR="002811F3">
        <w:rPr>
          <w:rStyle w:val="FootnoteReference"/>
        </w:rPr>
        <w:footnoteReference w:id="29"/>
      </w:r>
    </w:p>
    <w:p w14:paraId="68D350C6" w14:textId="686E9980" w:rsidR="00E22084" w:rsidRPr="004F2077" w:rsidRDefault="00E22084" w:rsidP="004F2077">
      <w:pPr>
        <w:pStyle w:val="Heading3"/>
      </w:pPr>
      <w:r w:rsidRPr="004F2077">
        <w:t>Program performance</w:t>
      </w:r>
    </w:p>
    <w:p w14:paraId="3C9EBB0B" w14:textId="377124ED" w:rsidR="00436BB8" w:rsidRDefault="00E22084" w:rsidP="004F2077">
      <w:pPr>
        <w:pStyle w:val="BodyText"/>
      </w:pPr>
      <w:r w:rsidRPr="00E22084">
        <w:t xml:space="preserve">The sector flagship program, </w:t>
      </w:r>
      <w:r w:rsidRPr="00E22084">
        <w:rPr>
          <w:b/>
        </w:rPr>
        <w:t>Education Sector Program II (ESP II)</w:t>
      </w:r>
      <w:r w:rsidR="0097312F">
        <w:rPr>
          <w:b/>
        </w:rPr>
        <w:t>,</w:t>
      </w:r>
      <w:r w:rsidRPr="00E22084">
        <w:t xml:space="preserve"> was scheduled to be completed by December 2012. However delays in implementing final project components led to an extension until December 2014. </w:t>
      </w:r>
      <w:r w:rsidR="00436BB8">
        <w:t>T</w:t>
      </w:r>
      <w:r w:rsidR="00436BB8" w:rsidRPr="00E22084">
        <w:t xml:space="preserve">he extension will also allow for better integration of </w:t>
      </w:r>
      <w:r w:rsidR="00AC073C">
        <w:t>program</w:t>
      </w:r>
      <w:r w:rsidR="00436BB8" w:rsidRPr="00E22084">
        <w:t xml:space="preserve"> outputs into Ministry of Education, Sports and Culture’s ongoing operations</w:t>
      </w:r>
      <w:r w:rsidR="00436BB8">
        <w:t>.</w:t>
      </w:r>
      <w:r w:rsidR="00F47D8A">
        <w:t xml:space="preserve"> </w:t>
      </w:r>
      <w:r w:rsidR="00745FC9">
        <w:t>F</w:t>
      </w:r>
      <w:r w:rsidRPr="00E22084">
        <w:t xml:space="preserve">inal components will include: </w:t>
      </w:r>
      <w:r w:rsidR="0097312F">
        <w:t xml:space="preserve">providing </w:t>
      </w:r>
      <w:r w:rsidRPr="00E22084">
        <w:t>ongoing support for teachers using the new primary curriculum rolled out to all schools in January 2013; implement</w:t>
      </w:r>
      <w:r w:rsidR="00745FC9">
        <w:t>ing</w:t>
      </w:r>
      <w:r w:rsidRPr="00E22084">
        <w:t xml:space="preserve"> the National Teachers Development Framework </w:t>
      </w:r>
      <w:r w:rsidR="00745FC9">
        <w:t>to</w:t>
      </w:r>
      <w:r w:rsidRPr="00E22084">
        <w:t xml:space="preserve"> improve teacher training</w:t>
      </w:r>
      <w:r w:rsidR="00D15773">
        <w:t>, mentoring</w:t>
      </w:r>
      <w:r w:rsidRPr="00E22084">
        <w:t xml:space="preserve"> and career paths; and completi</w:t>
      </w:r>
      <w:r w:rsidR="00745FC9">
        <w:t>ng</w:t>
      </w:r>
      <w:r w:rsidR="005B0E6E">
        <w:t xml:space="preserve"> </w:t>
      </w:r>
      <w:r w:rsidRPr="00E22084">
        <w:t xml:space="preserve">two schools, bringing the total number refurbished under the program to 10. </w:t>
      </w:r>
    </w:p>
    <w:p w14:paraId="01850D3F" w14:textId="78955DC4" w:rsidR="00E22084" w:rsidRPr="00E22084" w:rsidRDefault="00E22084" w:rsidP="004F2077">
      <w:pPr>
        <w:pStyle w:val="BodyText"/>
      </w:pPr>
      <w:r w:rsidRPr="00E22084">
        <w:t>Since it</w:t>
      </w:r>
      <w:r w:rsidR="00745FC9">
        <w:t xml:space="preserve"> </w:t>
      </w:r>
      <w:r w:rsidRPr="00E22084">
        <w:t>s</w:t>
      </w:r>
      <w:r w:rsidR="00745FC9">
        <w:t>tarted</w:t>
      </w:r>
      <w:r w:rsidRPr="00E22084">
        <w:t xml:space="preserve"> in 2006, </w:t>
      </w:r>
      <w:r w:rsidR="00E61F4A">
        <w:t>ESP II</w:t>
      </w:r>
      <w:r w:rsidRPr="00E22084">
        <w:t xml:space="preserve"> has </w:t>
      </w:r>
      <w:r w:rsidR="005B0E6E">
        <w:t>improve</w:t>
      </w:r>
      <w:r w:rsidR="00F47D8A">
        <w:t>d</w:t>
      </w:r>
      <w:r w:rsidR="005B0E6E">
        <w:t xml:space="preserve"> primary and secondary </w:t>
      </w:r>
      <w:r w:rsidRPr="00E22084">
        <w:t xml:space="preserve">education for </w:t>
      </w:r>
      <w:r w:rsidR="00745FC9">
        <w:t>more than</w:t>
      </w:r>
      <w:r w:rsidR="00745FC9" w:rsidRPr="00E22084">
        <w:t xml:space="preserve"> </w:t>
      </w:r>
      <w:r w:rsidRPr="00E22084">
        <w:t>40</w:t>
      </w:r>
      <w:r w:rsidR="0072468D">
        <w:t xml:space="preserve"> </w:t>
      </w:r>
      <w:r w:rsidRPr="00E22084">
        <w:t>000 students</w:t>
      </w:r>
      <w:r w:rsidR="007737ED">
        <w:t xml:space="preserve">. </w:t>
      </w:r>
      <w:r w:rsidRPr="00E22084">
        <w:t xml:space="preserve">However </w:t>
      </w:r>
      <w:r w:rsidR="005B0E6E">
        <w:t>higher</w:t>
      </w:r>
      <w:r w:rsidR="00745FC9">
        <w:t>-</w:t>
      </w:r>
      <w:r w:rsidRPr="00E22084">
        <w:t>level monitoring</w:t>
      </w:r>
      <w:r w:rsidR="00745FC9">
        <w:t xml:space="preserve"> is needed for</w:t>
      </w:r>
      <w:r w:rsidRPr="00E22084">
        <w:t xml:space="preserve"> the program to accurately assess </w:t>
      </w:r>
      <w:r w:rsidR="002205B3">
        <w:t>the</w:t>
      </w:r>
      <w:r w:rsidR="002205B3" w:rsidRPr="00E22084">
        <w:t xml:space="preserve"> </w:t>
      </w:r>
      <w:r w:rsidRPr="00E22084">
        <w:t>impact</w:t>
      </w:r>
      <w:r w:rsidR="002205B3">
        <w:t xml:space="preserve"> it is having</w:t>
      </w:r>
      <w:r w:rsidR="005B0E6E">
        <w:t xml:space="preserve"> on education outcomes</w:t>
      </w:r>
      <w:r w:rsidRPr="00E22084">
        <w:t xml:space="preserve">. This will be a priority for the program in its last </w:t>
      </w:r>
      <w:r w:rsidR="00F47D8A">
        <w:t>18 months</w:t>
      </w:r>
      <w:r w:rsidR="008A6C9B">
        <w:t xml:space="preserve"> and </w:t>
      </w:r>
      <w:r w:rsidR="00436BB8">
        <w:t xml:space="preserve">for </w:t>
      </w:r>
      <w:r w:rsidR="008A6C9B">
        <w:t>the design of the new sector program</w:t>
      </w:r>
      <w:r w:rsidR="0072468D">
        <w:t>.</w:t>
      </w:r>
      <w:r w:rsidR="00A63D4B">
        <w:rPr>
          <w:rStyle w:val="FootnoteReference"/>
        </w:rPr>
        <w:footnoteReference w:id="30"/>
      </w:r>
      <w:r w:rsidRPr="00E22084">
        <w:t xml:space="preserve"> </w:t>
      </w:r>
    </w:p>
    <w:p w14:paraId="5B825F77" w14:textId="1711F17B" w:rsidR="00E22084" w:rsidRPr="00E22084" w:rsidRDefault="00E22084" w:rsidP="004F2077">
      <w:pPr>
        <w:pStyle w:val="BodyText"/>
      </w:pPr>
      <w:r w:rsidRPr="00596F41">
        <w:t>ESP II’s work to</w:t>
      </w:r>
      <w:r w:rsidRPr="00E22084">
        <w:t xml:space="preserve"> improve education policy and infrastructure </w:t>
      </w:r>
      <w:r w:rsidR="00436BB8">
        <w:t>is</w:t>
      </w:r>
      <w:r w:rsidRPr="00E22084">
        <w:t xml:space="preserve"> complemented by the </w:t>
      </w:r>
      <w:r w:rsidRPr="00F47D8A">
        <w:rPr>
          <w:b/>
        </w:rPr>
        <w:t>Samoa School Fees Grants Scheme</w:t>
      </w:r>
      <w:r w:rsidRPr="00E22084">
        <w:t xml:space="preserve"> which provides per capita grants to schools in lieu of fees from students. In 2012</w:t>
      </w:r>
      <w:r w:rsidR="0072468D">
        <w:t>–</w:t>
      </w:r>
      <w:r w:rsidRPr="00E22084">
        <w:t>13, 18</w:t>
      </w:r>
      <w:r w:rsidR="0072468D">
        <w:t xml:space="preserve"> </w:t>
      </w:r>
      <w:r w:rsidRPr="00E22084">
        <w:t>976 girls and 20</w:t>
      </w:r>
      <w:r w:rsidR="0072468D">
        <w:t xml:space="preserve"> </w:t>
      </w:r>
      <w:r w:rsidRPr="00E22084">
        <w:t xml:space="preserve">097 boys in </w:t>
      </w:r>
      <w:r w:rsidR="00CF7756">
        <w:t xml:space="preserve">all of Samoa’s </w:t>
      </w:r>
      <w:r w:rsidRPr="00E22084">
        <w:t xml:space="preserve">167 </w:t>
      </w:r>
      <w:r w:rsidR="00CF7756">
        <w:t xml:space="preserve">primary </w:t>
      </w:r>
      <w:r w:rsidRPr="00E22084">
        <w:t>schools</w:t>
      </w:r>
      <w:r w:rsidR="008A6C9B">
        <w:t xml:space="preserve"> continued to </w:t>
      </w:r>
      <w:r w:rsidRPr="00E22084">
        <w:t xml:space="preserve">receive support from the scheme. </w:t>
      </w:r>
      <w:r w:rsidR="00436BB8">
        <w:t>More than</w:t>
      </w:r>
      <w:r w:rsidR="00436BB8" w:rsidRPr="00E22084">
        <w:t xml:space="preserve"> </w:t>
      </w:r>
      <w:r w:rsidRPr="00E22084">
        <w:t>80</w:t>
      </w:r>
      <w:r w:rsidR="00CC12D1">
        <w:t> </w:t>
      </w:r>
      <w:r w:rsidRPr="00E22084">
        <w:t>per</w:t>
      </w:r>
      <w:r w:rsidR="00CC12D1">
        <w:t> </w:t>
      </w:r>
      <w:r w:rsidRPr="00E22084">
        <w:t>cent of schools were</w:t>
      </w:r>
      <w:r w:rsidR="00F47D8A">
        <w:t xml:space="preserve"> </w:t>
      </w:r>
      <w:r w:rsidRPr="00E22084">
        <w:t>able to meet minimum education service standards by using grants to fund teaching resources, administration systems and small infrastructure</w:t>
      </w:r>
      <w:r w:rsidR="0072468D">
        <w:t>.</w:t>
      </w:r>
      <w:r w:rsidR="00A63D4B">
        <w:rPr>
          <w:rStyle w:val="FootnoteReference"/>
        </w:rPr>
        <w:footnoteReference w:id="31"/>
      </w:r>
      <w:r w:rsidRPr="00E22084">
        <w:t xml:space="preserve"> Since </w:t>
      </w:r>
      <w:r w:rsidR="00436BB8">
        <w:t>program</w:t>
      </w:r>
      <w:r w:rsidR="00436BB8" w:rsidRPr="00E22084">
        <w:t xml:space="preserve"> </w:t>
      </w:r>
      <w:r w:rsidRPr="00E22084">
        <w:t>inception in 2010, 159 new students attended school for the first time</w:t>
      </w:r>
      <w:r w:rsidR="0072468D">
        <w:t>—</w:t>
      </w:r>
      <w:r w:rsidRPr="00E22084">
        <w:t>representing 45 per cent of children not attending in 2011</w:t>
      </w:r>
      <w:r w:rsidR="0072468D">
        <w:t>.</w:t>
      </w:r>
      <w:r w:rsidRPr="009E6B2D">
        <w:rPr>
          <w:rStyle w:val="FootnoteReference"/>
          <w:szCs w:val="16"/>
        </w:rPr>
        <w:footnoteReference w:id="32"/>
      </w:r>
      <w:r w:rsidRPr="00E22084">
        <w:t xml:space="preserve"> The</w:t>
      </w:r>
      <w:r w:rsidR="00CC12D1">
        <w:t> </w:t>
      </w:r>
      <w:r w:rsidR="00AC073C">
        <w:t>s</w:t>
      </w:r>
      <w:r w:rsidRPr="00E22084">
        <w:t>cheme’s mid</w:t>
      </w:r>
      <w:r w:rsidR="00C83A68">
        <w:t>-</w:t>
      </w:r>
      <w:r w:rsidRPr="00E22084">
        <w:t>term evaluation in 2012 found that th</w:t>
      </w:r>
      <w:r w:rsidR="00AC073C">
        <w:t>e</w:t>
      </w:r>
      <w:r w:rsidRPr="00E22084">
        <w:t xml:space="preserve"> number </w:t>
      </w:r>
      <w:r w:rsidR="00AC073C">
        <w:t xml:space="preserve">of students attending school for the first time </w:t>
      </w:r>
      <w:r w:rsidRPr="00E22084">
        <w:t xml:space="preserve">could potentially be increased through greater education of parents and communities about the </w:t>
      </w:r>
      <w:r w:rsidR="00AC073C">
        <w:t>s</w:t>
      </w:r>
      <w:r w:rsidRPr="00E22084">
        <w:t>cheme and greater targeting of vulnerable children</w:t>
      </w:r>
      <w:r w:rsidR="0072468D">
        <w:t>.</w:t>
      </w:r>
      <w:r w:rsidR="00A63D4B">
        <w:rPr>
          <w:rStyle w:val="FootnoteReference"/>
        </w:rPr>
        <w:footnoteReference w:id="33"/>
      </w:r>
      <w:r w:rsidRPr="00E22084">
        <w:t xml:space="preserve"> </w:t>
      </w:r>
    </w:p>
    <w:p w14:paraId="60650FF3" w14:textId="19CB5506" w:rsidR="00AC073C" w:rsidRDefault="00E22084" w:rsidP="004F2077">
      <w:pPr>
        <w:pStyle w:val="BodyText"/>
      </w:pPr>
      <w:r w:rsidRPr="00E22084">
        <w:t xml:space="preserve">The </w:t>
      </w:r>
      <w:r w:rsidRPr="00E22084">
        <w:rPr>
          <w:b/>
        </w:rPr>
        <w:t xml:space="preserve">Samoa Inclusive Education </w:t>
      </w:r>
      <w:r w:rsidRPr="00A215AB">
        <w:rPr>
          <w:b/>
        </w:rPr>
        <w:t>Demonstration Program</w:t>
      </w:r>
      <w:r w:rsidR="00F47D8A">
        <w:rPr>
          <w:b/>
        </w:rPr>
        <w:t xml:space="preserve"> </w:t>
      </w:r>
      <w:r w:rsidRPr="00E22084">
        <w:t xml:space="preserve">continues to </w:t>
      </w:r>
      <w:r w:rsidR="00E61F4A">
        <w:t>achieve</w:t>
      </w:r>
      <w:r w:rsidRPr="00E22084">
        <w:t xml:space="preserve"> </w:t>
      </w:r>
      <w:r w:rsidR="005B0E6E">
        <w:t>good</w:t>
      </w:r>
      <w:r w:rsidRPr="00E22084">
        <w:t xml:space="preserve"> results. In the past year</w:t>
      </w:r>
      <w:r w:rsidR="00AC073C">
        <w:t>,</w:t>
      </w:r>
      <w:r w:rsidRPr="00E22084">
        <w:t xml:space="preserve"> </w:t>
      </w:r>
      <w:r w:rsidR="0047636A">
        <w:t xml:space="preserve">940 </w:t>
      </w:r>
      <w:r w:rsidR="0047636A" w:rsidRPr="00E22084">
        <w:t>students received screening</w:t>
      </w:r>
      <w:r w:rsidR="00AC073C">
        <w:t xml:space="preserve"> through the program. Another</w:t>
      </w:r>
      <w:r w:rsidR="0047636A">
        <w:t xml:space="preserve"> </w:t>
      </w:r>
      <w:r w:rsidRPr="00E22084">
        <w:t>570 children with disabilit</w:t>
      </w:r>
      <w:r w:rsidR="00F47D8A">
        <w:t>ies</w:t>
      </w:r>
      <w:r w:rsidRPr="00E22084">
        <w:t xml:space="preserve"> accessed education</w:t>
      </w:r>
      <w:r w:rsidR="00A8132E">
        <w:t xml:space="preserve"> and </w:t>
      </w:r>
      <w:r w:rsidR="00A8132E" w:rsidRPr="00E22084">
        <w:t>in-home support services</w:t>
      </w:r>
      <w:r w:rsidR="0047636A">
        <w:t xml:space="preserve">, equating to </w:t>
      </w:r>
      <w:r w:rsidR="00A8132E">
        <w:t>38</w:t>
      </w:r>
      <w:r w:rsidR="0047636A">
        <w:t xml:space="preserve"> per cent of all children estimated to have a </w:t>
      </w:r>
      <w:r w:rsidR="00A8132E">
        <w:t>disability in Samoa</w:t>
      </w:r>
      <w:r w:rsidR="0072468D">
        <w:t>.</w:t>
      </w:r>
      <w:r w:rsidR="00A63D4B">
        <w:rPr>
          <w:rStyle w:val="FootnoteReference"/>
        </w:rPr>
        <w:footnoteReference w:id="34"/>
      </w:r>
      <w:r w:rsidRPr="00E22084">
        <w:t xml:space="preserve"> A redesign of the program </w:t>
      </w:r>
      <w:r w:rsidR="00AC073C">
        <w:t>started</w:t>
      </w:r>
      <w:r w:rsidR="00AC073C" w:rsidRPr="00E22084">
        <w:t xml:space="preserve"> </w:t>
      </w:r>
      <w:r w:rsidRPr="00E22084">
        <w:t xml:space="preserve">in 2012 to improve </w:t>
      </w:r>
      <w:r w:rsidR="00AC073C">
        <w:t>its</w:t>
      </w:r>
      <w:r w:rsidRPr="00E22084">
        <w:t xml:space="preserve"> integration with </w:t>
      </w:r>
      <w:r w:rsidR="00FB00AC" w:rsidRPr="00E22084">
        <w:t>Ministry of Education, Sports and Culture</w:t>
      </w:r>
      <w:r w:rsidRPr="00E22084">
        <w:t xml:space="preserve">’s core operations </w:t>
      </w:r>
      <w:r w:rsidR="00AC073C">
        <w:t>and</w:t>
      </w:r>
      <w:r w:rsidRPr="00E22084">
        <w:t xml:space="preserve"> sustainability of these</w:t>
      </w:r>
      <w:r w:rsidR="00AC073C">
        <w:t xml:space="preserve"> positive and</w:t>
      </w:r>
      <w:r w:rsidRPr="00E22084">
        <w:t xml:space="preserve"> important results.</w:t>
      </w:r>
    </w:p>
    <w:p w14:paraId="7E94A3DD" w14:textId="13DD5F2F" w:rsidR="00E22084" w:rsidRPr="00E22084" w:rsidRDefault="00E22084" w:rsidP="004F2077">
      <w:pPr>
        <w:pStyle w:val="BodyText"/>
      </w:pPr>
      <w:r w:rsidRPr="00E22084">
        <w:t>In October 2012</w:t>
      </w:r>
      <w:r w:rsidR="00AC073C">
        <w:t>,</w:t>
      </w:r>
      <w:r w:rsidRPr="00E22084">
        <w:t xml:space="preserve"> </w:t>
      </w:r>
      <w:r w:rsidR="008C2716">
        <w:t>Australia</w:t>
      </w:r>
      <w:r w:rsidRPr="00E22084">
        <w:t xml:space="preserve"> </w:t>
      </w:r>
      <w:r w:rsidRPr="00A215AB">
        <w:t>co</w:t>
      </w:r>
      <w:r w:rsidR="003F1002" w:rsidRPr="00A215AB">
        <w:t>nfirmed it will provide $4 </w:t>
      </w:r>
      <w:r w:rsidRPr="00A215AB">
        <w:t xml:space="preserve">million over four years to enable Samoa to </w:t>
      </w:r>
      <w:r w:rsidR="005B0E6E" w:rsidRPr="00A215AB">
        <w:t>become a party to</w:t>
      </w:r>
      <w:r w:rsidRPr="00A215AB">
        <w:t xml:space="preserve"> the U</w:t>
      </w:r>
      <w:r w:rsidR="009A73C6">
        <w:t>N</w:t>
      </w:r>
      <w:r w:rsidRPr="00A215AB">
        <w:t xml:space="preserve"> Convention on the Rights of Persons with Disabilities. This </w:t>
      </w:r>
      <w:r w:rsidR="00F47D8A">
        <w:t xml:space="preserve">new </w:t>
      </w:r>
      <w:r w:rsidRPr="00A215AB">
        <w:t>program</w:t>
      </w:r>
      <w:r w:rsidRPr="00E22084">
        <w:t xml:space="preserve"> will build on lessons </w:t>
      </w:r>
      <w:r w:rsidR="00AC073C">
        <w:t xml:space="preserve">learned from, </w:t>
      </w:r>
      <w:r w:rsidRPr="00E22084">
        <w:t>and relationships gained through</w:t>
      </w:r>
      <w:r w:rsidR="00AC073C">
        <w:t>,</w:t>
      </w:r>
      <w:r w:rsidRPr="00E22084">
        <w:t xml:space="preserve"> </w:t>
      </w:r>
      <w:r w:rsidR="00210205">
        <w:t xml:space="preserve">the Samoa Inclusive Education Demonstration Program. </w:t>
      </w:r>
      <w:r w:rsidR="00AC073C">
        <w:t>It</w:t>
      </w:r>
      <w:r w:rsidRPr="00E22084">
        <w:t xml:space="preserve"> will begin implementation in late 2013. </w:t>
      </w:r>
    </w:p>
    <w:p w14:paraId="0BE45640" w14:textId="16458AE9" w:rsidR="00E22084" w:rsidRPr="00E22084" w:rsidRDefault="00E22084" w:rsidP="004F2077">
      <w:pPr>
        <w:pStyle w:val="BodyText"/>
      </w:pPr>
      <w:r w:rsidRPr="00E22084">
        <w:t xml:space="preserve">Other </w:t>
      </w:r>
      <w:r w:rsidR="00596F41">
        <w:t xml:space="preserve">sector </w:t>
      </w:r>
      <w:r w:rsidRPr="00E22084">
        <w:t>achievements include:</w:t>
      </w:r>
    </w:p>
    <w:p w14:paraId="1D7045C5" w14:textId="4C79A198" w:rsidR="00E22084" w:rsidRDefault="00E22084" w:rsidP="00D33FDF">
      <w:pPr>
        <w:pStyle w:val="ListBullet"/>
      </w:pPr>
      <w:r w:rsidRPr="00E22084">
        <w:t xml:space="preserve">With support from </w:t>
      </w:r>
      <w:r w:rsidR="008C2716">
        <w:t>Australia</w:t>
      </w:r>
      <w:r w:rsidRPr="00E22084">
        <w:t xml:space="preserve">, the Samoa Qualifications Authority </w:t>
      </w:r>
      <w:r w:rsidRPr="008727FA">
        <w:t>developed 18</w:t>
      </w:r>
      <w:r w:rsidR="008727FA" w:rsidRPr="008727FA">
        <w:t> </w:t>
      </w:r>
      <w:r w:rsidRPr="008727FA">
        <w:t>standardised Samoan qualifications based on Certificate I to IV</w:t>
      </w:r>
      <w:r w:rsidRPr="00E22084">
        <w:t xml:space="preserve"> standards</w:t>
      </w:r>
      <w:r w:rsidR="00210205">
        <w:t>. This</w:t>
      </w:r>
      <w:r w:rsidRPr="00E22084">
        <w:t xml:space="preserve"> will assist </w:t>
      </w:r>
      <w:r w:rsidR="00210205">
        <w:t xml:space="preserve">Samoa </w:t>
      </w:r>
      <w:r w:rsidRPr="00E22084">
        <w:t xml:space="preserve">in gaining international recognition for </w:t>
      </w:r>
      <w:r w:rsidR="00210205">
        <w:t>its</w:t>
      </w:r>
      <w:r w:rsidR="00210205" w:rsidRPr="00E22084">
        <w:t xml:space="preserve"> </w:t>
      </w:r>
      <w:r w:rsidRPr="00E22084">
        <w:t>technical and vocation</w:t>
      </w:r>
      <w:r w:rsidR="00815D83">
        <w:t>al qualifications.</w:t>
      </w:r>
    </w:p>
    <w:p w14:paraId="1A65A8DC" w14:textId="531868D9" w:rsidR="00E22084" w:rsidRDefault="00E22084" w:rsidP="00D33FDF">
      <w:pPr>
        <w:pStyle w:val="ListBullet"/>
      </w:pPr>
      <w:r w:rsidRPr="00E22084">
        <w:t>At the end of 2012</w:t>
      </w:r>
      <w:r w:rsidR="0072468D">
        <w:t>,</w:t>
      </w:r>
      <w:r w:rsidRPr="00E22084">
        <w:t xml:space="preserve"> 20 female and 19 male students completed their tertiary qualifications from universities in Australia and the</w:t>
      </w:r>
      <w:r w:rsidR="004F709F">
        <w:t xml:space="preserve"> Pacific</w:t>
      </w:r>
      <w:r w:rsidRPr="00E22084">
        <w:t xml:space="preserve"> </w:t>
      </w:r>
      <w:r w:rsidR="0072468D">
        <w:t>r</w:t>
      </w:r>
      <w:r w:rsidRPr="00E22084">
        <w:t>egion</w:t>
      </w:r>
      <w:r w:rsidR="00815D83">
        <w:t>.</w:t>
      </w:r>
      <w:r w:rsidRPr="00E22084">
        <w:t xml:space="preserve"> </w:t>
      </w:r>
    </w:p>
    <w:p w14:paraId="4C102A77" w14:textId="598351F2" w:rsidR="00E22084" w:rsidRDefault="00E22084" w:rsidP="00D33FDF">
      <w:pPr>
        <w:pStyle w:val="ListBullet"/>
      </w:pPr>
      <w:r w:rsidRPr="00E22084">
        <w:t>In April 2013</w:t>
      </w:r>
      <w:r w:rsidR="00210205">
        <w:t>,</w:t>
      </w:r>
      <w:r w:rsidRPr="00E22084">
        <w:t xml:space="preserve"> </w:t>
      </w:r>
      <w:r w:rsidR="00700B0C">
        <w:t>43 female and 21 male</w:t>
      </w:r>
      <w:r w:rsidR="00700B0C" w:rsidRPr="00E22084">
        <w:t xml:space="preserve"> </w:t>
      </w:r>
      <w:r w:rsidRPr="00E22084">
        <w:t xml:space="preserve">Samoan students graduated from courses at the </w:t>
      </w:r>
      <w:r w:rsidR="00D47A6D" w:rsidRPr="00D47A6D">
        <w:rPr>
          <w:lang w:val="en"/>
        </w:rPr>
        <w:t>Aust</w:t>
      </w:r>
      <w:r w:rsidR="00D47A6D">
        <w:rPr>
          <w:lang w:val="en"/>
        </w:rPr>
        <w:t>ralia</w:t>
      </w:r>
      <w:r w:rsidR="00596F41">
        <w:rPr>
          <w:lang w:val="en"/>
        </w:rPr>
        <w:t>-</w:t>
      </w:r>
      <w:r w:rsidR="00D47A6D">
        <w:rPr>
          <w:lang w:val="en"/>
        </w:rPr>
        <w:t>Pacific Technical College</w:t>
      </w:r>
      <w:r w:rsidRPr="00E22084">
        <w:t>, bringing the total number of Samoan graduat</w:t>
      </w:r>
      <w:r w:rsidR="00210205">
        <w:t>es</w:t>
      </w:r>
      <w:r w:rsidRPr="00E22084">
        <w:t xml:space="preserve"> since 2007 to 557</w:t>
      </w:r>
      <w:r w:rsidR="00815D83">
        <w:t>.</w:t>
      </w:r>
    </w:p>
    <w:p w14:paraId="1F222E5C" w14:textId="5101C6A0" w:rsidR="00E22084" w:rsidRPr="00E22084" w:rsidRDefault="004F709F" w:rsidP="00D33FDF">
      <w:pPr>
        <w:pStyle w:val="ListBullet"/>
      </w:pPr>
      <w:r>
        <w:t>T</w:t>
      </w:r>
      <w:r w:rsidR="00E22084" w:rsidRPr="00E22084">
        <w:t xml:space="preserve">he Samoa </w:t>
      </w:r>
      <w:proofErr w:type="gramStart"/>
      <w:r w:rsidR="00E22084" w:rsidRPr="00E22084">
        <w:t>In</w:t>
      </w:r>
      <w:proofErr w:type="gramEnd"/>
      <w:r w:rsidR="00E22084" w:rsidRPr="00E22084">
        <w:t xml:space="preserve"> Country Training Program trained 182 female and 153 male members of the public, private and civil society sector on core professional and technical skills</w:t>
      </w:r>
      <w:r w:rsidR="005B0E6E">
        <w:t>.</w:t>
      </w:r>
    </w:p>
    <w:p w14:paraId="28B90760" w14:textId="77777777" w:rsidR="00384536" w:rsidRDefault="00384536">
      <w:pPr>
        <w:spacing w:after="200" w:line="276" w:lineRule="auto"/>
        <w:rPr>
          <w:rFonts w:ascii="Franklin Gothic Demi" w:eastAsia="Times New Roman" w:hAnsi="Franklin Gothic Demi" w:cs="Arial"/>
          <w:color w:val="AD495D"/>
          <w:kern w:val="28"/>
          <w:sz w:val="24"/>
          <w:szCs w:val="28"/>
        </w:rPr>
      </w:pPr>
      <w:r>
        <w:br w:type="page"/>
      </w:r>
    </w:p>
    <w:p w14:paraId="7CEC03E0" w14:textId="15B3AB22" w:rsidR="001A68E4" w:rsidRPr="00D33FDF" w:rsidRDefault="001A68E4" w:rsidP="00D33FDF">
      <w:pPr>
        <w:pStyle w:val="Heading2"/>
      </w:pPr>
      <w:r w:rsidRPr="00D33FDF">
        <w:t>Improved health</w:t>
      </w:r>
    </w:p>
    <w:p w14:paraId="19AE67A1" w14:textId="060AE3B0" w:rsidR="001A68E4" w:rsidRPr="00CA4C7F" w:rsidRDefault="004F709F" w:rsidP="00D33FDF">
      <w:pPr>
        <w:pStyle w:val="Heading3"/>
      </w:pPr>
      <w:r>
        <w:t>Overall r</w:t>
      </w:r>
      <w:r w:rsidR="001A68E4" w:rsidRPr="00CA4C7F">
        <w:t>ating and assessment</w:t>
      </w:r>
    </w:p>
    <w:p w14:paraId="1902DD4D" w14:textId="0A16ED35" w:rsidR="001A68E4" w:rsidRPr="00B83F76" w:rsidRDefault="001A68E4" w:rsidP="001A68E4">
      <w:pPr>
        <w:pStyle w:val="BodyText"/>
      </w:pPr>
      <w:r w:rsidRPr="00F15F46">
        <w:rPr>
          <w:color w:val="99CC00"/>
          <w:sz w:val="28"/>
          <w:szCs w:val="28"/>
        </w:rPr>
        <w:sym w:font="Webdings" w:char="F067"/>
      </w:r>
      <w:r>
        <w:rPr>
          <w:rFonts w:eastAsia="Arial Unicode MS"/>
        </w:rPr>
        <w:t> </w:t>
      </w:r>
      <w:r w:rsidR="00B83F76" w:rsidRPr="00B83F76">
        <w:rPr>
          <w:rFonts w:eastAsia="Arial Unicode MS"/>
        </w:rPr>
        <w:t>Rating: Green.</w:t>
      </w:r>
      <w:r w:rsidRPr="00B83F76">
        <w:t xml:space="preserve"> Progress is as expected for this point in time and it is likely that the objective will be achieved. Standard program management practices are sufficient.</w:t>
      </w:r>
    </w:p>
    <w:p w14:paraId="36202169" w14:textId="209CD554" w:rsidR="001A68E4" w:rsidRPr="00D17249" w:rsidRDefault="001A68E4" w:rsidP="001A68E4">
      <w:pPr>
        <w:pStyle w:val="Caption"/>
      </w:pPr>
      <w:r>
        <w:t xml:space="preserve">Table </w:t>
      </w:r>
      <w:r w:rsidR="005F0CC5">
        <w:t>5</w:t>
      </w:r>
      <w:r w:rsidRPr="00D17249">
        <w:t>: Partnership for Development</w:t>
      </w:r>
      <w:r w:rsidR="006101B2">
        <w:t>—</w:t>
      </w:r>
      <w:r w:rsidR="004077F9">
        <w:t>improved</w:t>
      </w:r>
      <w:r w:rsidRPr="00D17249">
        <w:t xml:space="preserve"> health</w:t>
      </w:r>
    </w:p>
    <w:tbl>
      <w:tblPr>
        <w:tblStyle w:val="APPR"/>
        <w:tblW w:w="0" w:type="auto"/>
        <w:tblLayout w:type="fixed"/>
        <w:tblLook w:val="0000" w:firstRow="0" w:lastRow="0" w:firstColumn="0" w:lastColumn="0" w:noHBand="0" w:noVBand="0"/>
      </w:tblPr>
      <w:tblGrid>
        <w:gridCol w:w="6940"/>
        <w:gridCol w:w="1082"/>
      </w:tblGrid>
      <w:tr w:rsidR="001A68E4" w14:paraId="1408543D" w14:textId="77777777" w:rsidTr="00B83F76">
        <w:trPr>
          <w:cnfStyle w:val="000000010000" w:firstRow="0" w:lastRow="0" w:firstColumn="0" w:lastColumn="0" w:oddVBand="0" w:evenVBand="0" w:oddHBand="0" w:evenHBand="1" w:firstRowFirstColumn="0" w:firstRowLastColumn="0" w:lastRowFirstColumn="0" w:lastRowLastColumn="0"/>
        </w:trPr>
        <w:tc>
          <w:tcPr>
            <w:tcW w:w="7966" w:type="dxa"/>
            <w:gridSpan w:val="2"/>
          </w:tcPr>
          <w:p w14:paraId="507AD9F4" w14:textId="77777777" w:rsidR="001A68E4" w:rsidRPr="00AB2642" w:rsidRDefault="001A68E4" w:rsidP="00B83F76">
            <w:pPr>
              <w:pStyle w:val="TableTextEntries"/>
            </w:pPr>
            <w:r w:rsidRPr="00AB2642">
              <w:t xml:space="preserve">Objective: </w:t>
            </w:r>
            <w:r w:rsidRPr="00674F59">
              <w:t>The partnership will enable Samoa to provide better quality and more equitable health services to the people of Samoa</w:t>
            </w:r>
          </w:p>
        </w:tc>
      </w:tr>
      <w:tr w:rsidR="001A68E4" w14:paraId="53E2592B" w14:textId="77777777" w:rsidTr="00B83F76">
        <w:trPr>
          <w:cnfStyle w:val="000000010000" w:firstRow="0" w:lastRow="0" w:firstColumn="0" w:lastColumn="0" w:oddVBand="0" w:evenVBand="0" w:oddHBand="0" w:evenHBand="1" w:firstRowFirstColumn="0" w:firstRowLastColumn="0" w:lastRowFirstColumn="0" w:lastRowLastColumn="0"/>
        </w:trPr>
        <w:tc>
          <w:tcPr>
            <w:tcW w:w="6898" w:type="dxa"/>
          </w:tcPr>
          <w:p w14:paraId="1E945F89" w14:textId="77777777" w:rsidR="001A68E4" w:rsidRPr="00B83F76" w:rsidRDefault="001A68E4" w:rsidP="00B83F76">
            <w:pPr>
              <w:pStyle w:val="TableTextColumnHeading"/>
            </w:pPr>
            <w:r w:rsidRPr="00B83F76">
              <w:t>Partnership targets for 2015</w:t>
            </w:r>
          </w:p>
        </w:tc>
        <w:tc>
          <w:tcPr>
            <w:tcW w:w="1040" w:type="dxa"/>
          </w:tcPr>
          <w:p w14:paraId="3D21C72A" w14:textId="77777777" w:rsidR="001A68E4" w:rsidRPr="00B83F76" w:rsidRDefault="001A68E4" w:rsidP="00B83F76">
            <w:pPr>
              <w:pStyle w:val="TableTextColumnHeading"/>
            </w:pPr>
            <w:r w:rsidRPr="00B83F76">
              <w:t>Progress</w:t>
            </w:r>
          </w:p>
        </w:tc>
      </w:tr>
      <w:tr w:rsidR="001A68E4" w14:paraId="0090160C"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2D83A854" w14:textId="58D5522C" w:rsidR="001A68E4" w:rsidRPr="00B83F76" w:rsidRDefault="001A68E4" w:rsidP="00B83F76">
            <w:pPr>
              <w:pStyle w:val="TableTextEntries"/>
            </w:pPr>
            <w:r w:rsidRPr="00B83F76">
              <w:t xml:space="preserve">Number of new </w:t>
            </w:r>
            <w:r w:rsidR="006101B2" w:rsidRPr="00B83F76">
              <w:t>non-communicable disease</w:t>
            </w:r>
            <w:r w:rsidRPr="00B83F76">
              <w:t xml:space="preserve"> cases identified by community outreach services and referred for consultation and management</w:t>
            </w:r>
          </w:p>
        </w:tc>
        <w:tc>
          <w:tcPr>
            <w:tcW w:w="1040" w:type="dxa"/>
            <w:vMerge w:val="restart"/>
            <w:shd w:val="clear" w:color="auto" w:fill="F79646" w:themeFill="accent6"/>
            <w:vAlign w:val="center"/>
          </w:tcPr>
          <w:p w14:paraId="2EDD72F6" w14:textId="1D63FAF9" w:rsidR="001A68E4" w:rsidRPr="00B83F76" w:rsidRDefault="00B83F76" w:rsidP="006B4FE5">
            <w:pPr>
              <w:pStyle w:val="TableTextEntries"/>
              <w:jc w:val="center"/>
            </w:pPr>
            <w:r w:rsidRPr="00B83F76">
              <w:t>Amber</w:t>
            </w:r>
          </w:p>
        </w:tc>
      </w:tr>
      <w:tr w:rsidR="001A68E4" w14:paraId="6233A6EC"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32AA7332" w14:textId="2CB8D73A" w:rsidR="001A68E4" w:rsidRPr="00B83F76" w:rsidRDefault="001A68E4" w:rsidP="00B83F76">
            <w:pPr>
              <w:pStyle w:val="TableTextEntries"/>
            </w:pPr>
            <w:r w:rsidRPr="00B83F76">
              <w:t xml:space="preserve">   Number of cases referred for medical advice as </w:t>
            </w:r>
            <w:r w:rsidR="00A63D4B" w:rsidRPr="00B83F76">
              <w:t xml:space="preserve">proxy: </w:t>
            </w:r>
            <w:r w:rsidR="002D571B" w:rsidRPr="00B83F76">
              <w:t xml:space="preserve">    </w:t>
            </w:r>
            <w:r w:rsidR="00A63D4B" w:rsidRPr="00B83F76">
              <w:t>9</w:t>
            </w:r>
            <w:r w:rsidR="002D571B" w:rsidRPr="00B83F76">
              <w:t xml:space="preserve"> </w:t>
            </w:r>
            <w:r w:rsidR="00A63D4B" w:rsidRPr="00B83F76">
              <w:t xml:space="preserve">693 </w:t>
            </w:r>
          </w:p>
        </w:tc>
        <w:tc>
          <w:tcPr>
            <w:tcW w:w="1040" w:type="dxa"/>
            <w:vMerge/>
            <w:shd w:val="clear" w:color="auto" w:fill="F79646" w:themeFill="accent6"/>
            <w:vAlign w:val="center"/>
          </w:tcPr>
          <w:p w14:paraId="50121EC7" w14:textId="77777777" w:rsidR="001A68E4" w:rsidRPr="00B83F76" w:rsidRDefault="001A68E4" w:rsidP="006B4FE5">
            <w:pPr>
              <w:pStyle w:val="TableTextEntries"/>
              <w:jc w:val="center"/>
            </w:pPr>
          </w:p>
        </w:tc>
      </w:tr>
      <w:tr w:rsidR="001A68E4" w:rsidRPr="008727FA" w14:paraId="1FBBCB8E"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7297A02C" w14:textId="51495D2D" w:rsidR="001A68E4" w:rsidRPr="00B83F76" w:rsidRDefault="001A68E4" w:rsidP="00B83F76">
            <w:pPr>
              <w:pStyle w:val="TableTextEntries"/>
            </w:pPr>
            <w:r w:rsidRPr="00B83F76">
              <w:t>Proportion of children vaccinated against measles increase</w:t>
            </w:r>
            <w:r w:rsidR="006101B2" w:rsidRPr="00B83F76">
              <w:t>d</w:t>
            </w:r>
            <w:r w:rsidRPr="00B83F76">
              <w:t xml:space="preserve"> to 75% </w:t>
            </w:r>
          </w:p>
        </w:tc>
        <w:tc>
          <w:tcPr>
            <w:tcW w:w="1040" w:type="dxa"/>
            <w:vMerge w:val="restart"/>
            <w:shd w:val="clear" w:color="auto" w:fill="92D050"/>
            <w:vAlign w:val="center"/>
          </w:tcPr>
          <w:p w14:paraId="3DE89C2A" w14:textId="5157E993" w:rsidR="001A68E4" w:rsidRPr="00B83F76" w:rsidRDefault="00B83F76" w:rsidP="006B4FE5">
            <w:pPr>
              <w:pStyle w:val="TableTextEntries"/>
              <w:jc w:val="center"/>
            </w:pPr>
            <w:r w:rsidRPr="00B83F76">
              <w:t>Green</w:t>
            </w:r>
          </w:p>
        </w:tc>
      </w:tr>
      <w:tr w:rsidR="001A68E4" w:rsidRPr="008727FA" w14:paraId="3FBFAA16"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027CC754" w14:textId="300A4CB5" w:rsidR="001A68E4" w:rsidRPr="00B83F76" w:rsidRDefault="001A68E4" w:rsidP="00B83F76">
            <w:pPr>
              <w:pStyle w:val="TableTextEntries"/>
            </w:pPr>
            <w:r w:rsidRPr="00B83F76">
              <w:t xml:space="preserve">  Measles:   2008: 4</w:t>
            </w:r>
            <w:r w:rsidR="005B0E6E" w:rsidRPr="00B83F76">
              <w:t xml:space="preserve">5%   </w:t>
            </w:r>
            <w:r w:rsidR="002D571B" w:rsidRPr="00B83F76">
              <w:t xml:space="preserve">   </w:t>
            </w:r>
            <w:r w:rsidR="005B0E6E" w:rsidRPr="00B83F76">
              <w:t xml:space="preserve">2009: 48%  </w:t>
            </w:r>
            <w:r w:rsidR="002D571B" w:rsidRPr="00B83F76">
              <w:t xml:space="preserve">   </w:t>
            </w:r>
            <w:r w:rsidR="005B0E6E" w:rsidRPr="00B83F76">
              <w:t xml:space="preserve"> 2010: 62%   </w:t>
            </w:r>
            <w:r w:rsidR="002D571B" w:rsidRPr="00B83F76">
              <w:t xml:space="preserve">   </w:t>
            </w:r>
            <w:r w:rsidR="005B0E6E" w:rsidRPr="00B83F76">
              <w:t>201</w:t>
            </w:r>
            <w:r w:rsidRPr="00B83F76">
              <w:t xml:space="preserve">1: 67% </w:t>
            </w:r>
            <w:r w:rsidR="002D571B" w:rsidRPr="00B83F76">
              <w:t xml:space="preserve">    </w:t>
            </w:r>
            <w:r w:rsidRPr="00B83F76">
              <w:t xml:space="preserve">2012: 67% </w:t>
            </w:r>
            <w:r w:rsidRPr="00B83F76">
              <w:rPr>
                <w:rStyle w:val="FootnoteReference"/>
                <w:rFonts w:ascii="Franklin Gothic Book" w:hAnsi="Franklin Gothic Book"/>
                <w:position w:val="0"/>
                <w:sz w:val="17"/>
                <w:szCs w:val="17"/>
              </w:rPr>
              <w:footnoteReference w:id="35"/>
            </w:r>
            <w:r w:rsidR="00A63D4B" w:rsidRPr="00B83F76">
              <w:rPr>
                <w:rStyle w:val="FootnoteReference"/>
                <w:rFonts w:ascii="Franklin Gothic Book" w:hAnsi="Franklin Gothic Book"/>
                <w:position w:val="0"/>
                <w:sz w:val="17"/>
                <w:szCs w:val="17"/>
              </w:rPr>
              <w:t xml:space="preserve"> </w:t>
            </w:r>
            <w:r w:rsidRPr="00B83F76">
              <w:t xml:space="preserve">  </w:t>
            </w:r>
          </w:p>
        </w:tc>
        <w:tc>
          <w:tcPr>
            <w:tcW w:w="1040" w:type="dxa"/>
            <w:vMerge/>
            <w:shd w:val="clear" w:color="auto" w:fill="92D050"/>
            <w:vAlign w:val="center"/>
          </w:tcPr>
          <w:p w14:paraId="07F79299" w14:textId="77777777" w:rsidR="001A68E4" w:rsidRPr="00B83F76" w:rsidRDefault="001A68E4" w:rsidP="006B4FE5">
            <w:pPr>
              <w:pStyle w:val="TableTextEntries"/>
              <w:jc w:val="center"/>
            </w:pPr>
          </w:p>
        </w:tc>
      </w:tr>
      <w:tr w:rsidR="001A68E4" w:rsidRPr="008727FA" w14:paraId="09B35382"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28983D8D" w14:textId="01FF0B61" w:rsidR="001A68E4" w:rsidRPr="00B83F76" w:rsidRDefault="001A68E4" w:rsidP="00B83F76">
            <w:pPr>
              <w:pStyle w:val="TableTextEntries"/>
            </w:pPr>
            <w:r w:rsidRPr="00B83F76">
              <w:t>Proportion of pregnant women participating in three antenatal visits increase</w:t>
            </w:r>
            <w:r w:rsidR="006101B2" w:rsidRPr="00B83F76">
              <w:t>d</w:t>
            </w:r>
            <w:r w:rsidRPr="00B83F76">
              <w:t xml:space="preserve"> to 75%</w:t>
            </w:r>
          </w:p>
          <w:p w14:paraId="36ECE8CC" w14:textId="0000AFFE" w:rsidR="001A68E4" w:rsidRPr="00B83F76" w:rsidRDefault="001A68E4" w:rsidP="00B83F76">
            <w:pPr>
              <w:pStyle w:val="TableTextEntries"/>
            </w:pPr>
            <w:r w:rsidRPr="00B83F76">
              <w:t xml:space="preserve">  </w:t>
            </w:r>
            <w:r w:rsidR="002D571B" w:rsidRPr="00B83F76">
              <w:t xml:space="preserve"> </w:t>
            </w:r>
            <w:r w:rsidRPr="00B83F76">
              <w:t xml:space="preserve"> </w:t>
            </w:r>
            <w:r w:rsidR="002D571B" w:rsidRPr="00B83F76">
              <w:t xml:space="preserve">                </w:t>
            </w:r>
            <w:r w:rsidRPr="00B83F76">
              <w:t xml:space="preserve">2008: 61% </w:t>
            </w:r>
            <w:r w:rsidR="002D571B" w:rsidRPr="00B83F76">
              <w:t xml:space="preserve">     </w:t>
            </w:r>
            <w:r w:rsidRPr="00B83F76">
              <w:t xml:space="preserve">2009: 51% </w:t>
            </w:r>
            <w:r w:rsidR="002D571B" w:rsidRPr="00B83F76">
              <w:t xml:space="preserve">      </w:t>
            </w:r>
            <w:r w:rsidRPr="00B83F76">
              <w:t>2011:</w:t>
            </w:r>
            <w:r w:rsidR="00A63D4B" w:rsidRPr="00B83F76">
              <w:t xml:space="preserve"> 60%  </w:t>
            </w:r>
            <w:r w:rsidR="002D571B" w:rsidRPr="00B83F76">
              <w:t xml:space="preserve">   </w:t>
            </w:r>
            <w:r w:rsidR="00A63D4B" w:rsidRPr="00B83F76">
              <w:t xml:space="preserve"> 2012: 77.8% </w:t>
            </w:r>
          </w:p>
        </w:tc>
        <w:tc>
          <w:tcPr>
            <w:tcW w:w="1040" w:type="dxa"/>
            <w:shd w:val="clear" w:color="auto" w:fill="92D050"/>
            <w:vAlign w:val="center"/>
          </w:tcPr>
          <w:p w14:paraId="39ABAA5C" w14:textId="406967BD" w:rsidR="001A68E4" w:rsidRPr="00B83F76" w:rsidRDefault="00B83F76" w:rsidP="006B4FE5">
            <w:pPr>
              <w:pStyle w:val="TableTextEntries"/>
              <w:jc w:val="center"/>
            </w:pPr>
            <w:r w:rsidRPr="00B83F76">
              <w:t>Green</w:t>
            </w:r>
          </w:p>
        </w:tc>
      </w:tr>
      <w:tr w:rsidR="001A68E4" w:rsidRPr="008727FA" w14:paraId="44B246D7" w14:textId="77777777" w:rsidTr="006B4FE5">
        <w:trPr>
          <w:cnfStyle w:val="000000010000" w:firstRow="0" w:lastRow="0" w:firstColumn="0" w:lastColumn="0" w:oddVBand="0" w:evenVBand="0" w:oddHBand="0" w:evenHBand="1" w:firstRowFirstColumn="0" w:firstRowLastColumn="0" w:lastRowFirstColumn="0" w:lastRowLastColumn="0"/>
        </w:trPr>
        <w:tc>
          <w:tcPr>
            <w:tcW w:w="6898" w:type="dxa"/>
          </w:tcPr>
          <w:p w14:paraId="07C45637" w14:textId="393C087A" w:rsidR="001A68E4" w:rsidRPr="00B83F76" w:rsidRDefault="001A68E4" w:rsidP="00B83F76">
            <w:pPr>
              <w:pStyle w:val="TableTextEntries"/>
            </w:pPr>
            <w:r w:rsidRPr="00B83F76">
              <w:t xml:space="preserve">Finalisation and approval of the Tobacco Regulations and Food Bill </w:t>
            </w:r>
          </w:p>
        </w:tc>
        <w:tc>
          <w:tcPr>
            <w:tcW w:w="1040" w:type="dxa"/>
            <w:vMerge w:val="restart"/>
            <w:shd w:val="clear" w:color="auto" w:fill="92D050"/>
            <w:vAlign w:val="center"/>
          </w:tcPr>
          <w:p w14:paraId="122C3321" w14:textId="521C3EAA" w:rsidR="001A68E4" w:rsidRPr="00B83F76" w:rsidRDefault="00B83F76" w:rsidP="006B4FE5">
            <w:pPr>
              <w:pStyle w:val="TableTextEntries"/>
              <w:jc w:val="center"/>
            </w:pPr>
            <w:r w:rsidRPr="00B83F76">
              <w:t>Green</w:t>
            </w:r>
          </w:p>
        </w:tc>
      </w:tr>
      <w:tr w:rsidR="001A68E4" w:rsidRPr="008727FA" w14:paraId="75369EBC" w14:textId="77777777" w:rsidTr="00B83F76">
        <w:trPr>
          <w:cnfStyle w:val="000000010000" w:firstRow="0" w:lastRow="0" w:firstColumn="0" w:lastColumn="0" w:oddVBand="0" w:evenVBand="0" w:oddHBand="0" w:evenHBand="1" w:firstRowFirstColumn="0" w:firstRowLastColumn="0" w:lastRowFirstColumn="0" w:lastRowLastColumn="0"/>
        </w:trPr>
        <w:tc>
          <w:tcPr>
            <w:tcW w:w="6898" w:type="dxa"/>
          </w:tcPr>
          <w:p w14:paraId="7127EAD1" w14:textId="15F01075" w:rsidR="001A68E4" w:rsidRPr="00B83F76" w:rsidRDefault="001A68E4" w:rsidP="00B83F76">
            <w:pPr>
              <w:pStyle w:val="TableTextEntries"/>
            </w:pPr>
            <w:r w:rsidRPr="00B83F76">
              <w:t xml:space="preserve">    </w:t>
            </w:r>
            <w:r w:rsidR="002D571B" w:rsidRPr="00B83F76">
              <w:t xml:space="preserve">                </w:t>
            </w:r>
            <w:r w:rsidRPr="00B83F76">
              <w:t xml:space="preserve">2011: unapproved </w:t>
            </w:r>
            <w:r w:rsidR="002D571B" w:rsidRPr="00B83F76">
              <w:t xml:space="preserve">              </w:t>
            </w:r>
            <w:r w:rsidRPr="00B83F76">
              <w:t>2012: Passed in Parliament</w:t>
            </w:r>
          </w:p>
        </w:tc>
        <w:tc>
          <w:tcPr>
            <w:tcW w:w="1040" w:type="dxa"/>
            <w:vMerge/>
            <w:shd w:val="clear" w:color="auto" w:fill="92D050"/>
          </w:tcPr>
          <w:p w14:paraId="2368594D" w14:textId="77777777" w:rsidR="001A68E4" w:rsidRPr="008727FA" w:rsidRDefault="001A68E4" w:rsidP="003F2F10">
            <w:pPr>
              <w:pStyle w:val="TableTextEntries"/>
              <w:spacing w:before="80" w:after="80" w:line="280" w:lineRule="atLeast"/>
            </w:pPr>
          </w:p>
        </w:tc>
      </w:tr>
    </w:tbl>
    <w:p w14:paraId="67E02396" w14:textId="13248214" w:rsidR="001A68E4" w:rsidRPr="00A63D4B" w:rsidRDefault="00A63D4B" w:rsidP="00B83F76">
      <w:pPr>
        <w:pStyle w:val="Note"/>
      </w:pPr>
      <w:r w:rsidRPr="008727FA">
        <w:t xml:space="preserve">Source: </w:t>
      </w:r>
      <w:r w:rsidR="005F35C5" w:rsidRPr="008727FA">
        <w:t xml:space="preserve">DA </w:t>
      </w:r>
      <w:proofErr w:type="spellStart"/>
      <w:r w:rsidR="005F35C5" w:rsidRPr="008727FA">
        <w:t>Shuey</w:t>
      </w:r>
      <w:proofErr w:type="spellEnd"/>
      <w:r w:rsidR="005F35C5" w:rsidRPr="008727FA">
        <w:t xml:space="preserve">, </w:t>
      </w:r>
      <w:r w:rsidRPr="008727FA">
        <w:t>Aus</w:t>
      </w:r>
      <w:r w:rsidR="008C2716">
        <w:t>tralian aid program</w:t>
      </w:r>
      <w:r w:rsidRPr="008727FA">
        <w:t xml:space="preserve"> Health Resource Facility, </w:t>
      </w:r>
      <w:r w:rsidRPr="008727FA">
        <w:rPr>
          <w:i/>
        </w:rPr>
        <w:t xml:space="preserve">Monitoring and Evaluation Framework: Samoa Primary Health Care Pilot, </w:t>
      </w:r>
      <w:r w:rsidRPr="008727FA">
        <w:t xml:space="preserve">September 2012; Samoa Health </w:t>
      </w:r>
      <w:proofErr w:type="spellStart"/>
      <w:r w:rsidRPr="008727FA">
        <w:t>SWAp</w:t>
      </w:r>
      <w:proofErr w:type="spellEnd"/>
      <w:r w:rsidRPr="008727FA">
        <w:t xml:space="preserve"> Program, </w:t>
      </w:r>
      <w:r w:rsidRPr="008727FA">
        <w:rPr>
          <w:i/>
        </w:rPr>
        <w:t xml:space="preserve">Joint Review Mission Aide Memoire, </w:t>
      </w:r>
      <w:r w:rsidRPr="008727FA">
        <w:t>April 2013</w:t>
      </w:r>
      <w:r w:rsidR="005F35C5" w:rsidRPr="008727FA">
        <w:t>.</w:t>
      </w:r>
    </w:p>
    <w:p w14:paraId="210F79D2" w14:textId="77777777" w:rsidR="00F82CCB" w:rsidRPr="00B83F76" w:rsidRDefault="00F82CCB" w:rsidP="00B83F76">
      <w:pPr>
        <w:pStyle w:val="BodyText"/>
      </w:pPr>
    </w:p>
    <w:p w14:paraId="144B81F2" w14:textId="35B40443" w:rsidR="002A4ACF" w:rsidRPr="009B2036" w:rsidRDefault="00F82CCB" w:rsidP="00B83F76">
      <w:pPr>
        <w:pStyle w:val="BodyText"/>
      </w:pPr>
      <w:r w:rsidRPr="00B83F76">
        <w:t>This sector is rated ‘green’ for</w:t>
      </w:r>
      <w:r w:rsidRPr="001A68E4">
        <w:t xml:space="preserve"> the first time since 2009.</w:t>
      </w:r>
      <w:r>
        <w:t xml:space="preserve"> Th</w:t>
      </w:r>
      <w:r w:rsidR="005F35C5">
        <w:t>e improved</w:t>
      </w:r>
      <w:r>
        <w:t xml:space="preserve"> rating is based on i</w:t>
      </w:r>
      <w:r w:rsidR="001A68E4" w:rsidRPr="001A68E4">
        <w:t>mprove</w:t>
      </w:r>
      <w:r w:rsidR="005B0E6E">
        <w:t>d</w:t>
      </w:r>
      <w:r w:rsidR="001A68E4" w:rsidRPr="001A68E4">
        <w:t xml:space="preserve"> management of sector programs and </w:t>
      </w:r>
      <w:r w:rsidR="00D66B52">
        <w:t>long</w:t>
      </w:r>
      <w:r w:rsidR="006101B2">
        <w:t>-</w:t>
      </w:r>
      <w:r w:rsidR="00D66B52">
        <w:t xml:space="preserve">term </w:t>
      </w:r>
      <w:r w:rsidR="001A68E4" w:rsidRPr="001A68E4">
        <w:t xml:space="preserve">gains in </w:t>
      </w:r>
      <w:r w:rsidR="00B8362D">
        <w:t>significant</w:t>
      </w:r>
      <w:r w:rsidR="00B8362D" w:rsidRPr="001A68E4">
        <w:t xml:space="preserve"> </w:t>
      </w:r>
      <w:r w:rsidR="001A68E4" w:rsidRPr="001A68E4">
        <w:t>outcomes such as life expectancy</w:t>
      </w:r>
      <w:r w:rsidR="0072468D">
        <w:t>.</w:t>
      </w:r>
      <w:r w:rsidR="001A68E4" w:rsidRPr="009E6B2D">
        <w:rPr>
          <w:rStyle w:val="FootnoteReference"/>
          <w:szCs w:val="16"/>
        </w:rPr>
        <w:footnoteReference w:id="36"/>
      </w:r>
      <w:r w:rsidR="001A68E4" w:rsidRPr="001A68E4">
        <w:t xml:space="preserve"> </w:t>
      </w:r>
      <w:r w:rsidR="006101B2">
        <w:t xml:space="preserve">At </w:t>
      </w:r>
      <w:r w:rsidR="006101B2" w:rsidRPr="008727FA">
        <w:t>t</w:t>
      </w:r>
      <w:r w:rsidR="001A68E4" w:rsidRPr="008727FA">
        <w:t>he 2012 Partnership Talks</w:t>
      </w:r>
      <w:r w:rsidR="006101B2" w:rsidRPr="008727FA">
        <w:t>, Australia</w:t>
      </w:r>
      <w:r w:rsidR="006101B2">
        <w:t xml:space="preserve"> and Samoa</w:t>
      </w:r>
      <w:r w:rsidR="001A68E4" w:rsidRPr="001A68E4">
        <w:t xml:space="preserve"> agreed to revise the health sector </w:t>
      </w:r>
      <w:r w:rsidR="006101B2">
        <w:t xml:space="preserve">targets </w:t>
      </w:r>
      <w:r w:rsidR="001A68E4" w:rsidRPr="001A68E4">
        <w:t xml:space="preserve">to ones </w:t>
      </w:r>
      <w:r w:rsidR="006101B2">
        <w:t>that</w:t>
      </w:r>
      <w:r w:rsidR="006101B2" w:rsidRPr="001A68E4">
        <w:t xml:space="preserve"> </w:t>
      </w:r>
      <w:r w:rsidR="001A68E4" w:rsidRPr="001A68E4">
        <w:t xml:space="preserve">were </w:t>
      </w:r>
      <w:r w:rsidR="00A67D8F">
        <w:t xml:space="preserve">more </w:t>
      </w:r>
      <w:r w:rsidR="001A68E4" w:rsidRPr="001A68E4">
        <w:t>achievable</w:t>
      </w:r>
      <w:r w:rsidR="00A67D8F">
        <w:t>, measurable</w:t>
      </w:r>
      <w:r w:rsidR="001A68E4" w:rsidRPr="001A68E4">
        <w:t xml:space="preserve"> and better reflect</w:t>
      </w:r>
      <w:r w:rsidR="006101B2">
        <w:t>ive of</w:t>
      </w:r>
      <w:r w:rsidR="001A68E4" w:rsidRPr="001A68E4">
        <w:t xml:space="preserve"> improvements in sector administration and access to health services. </w:t>
      </w:r>
      <w:r w:rsidR="006101B2">
        <w:t>T</w:t>
      </w:r>
      <w:r w:rsidR="001A68E4" w:rsidRPr="001A68E4">
        <w:t xml:space="preserve">he new targets </w:t>
      </w:r>
      <w:r w:rsidR="006101B2">
        <w:t xml:space="preserve">(Table 5) </w:t>
      </w:r>
      <w:r w:rsidR="001A68E4" w:rsidRPr="001A68E4">
        <w:t xml:space="preserve">are for components </w:t>
      </w:r>
      <w:r w:rsidR="004D3BA2">
        <w:t>that</w:t>
      </w:r>
      <w:r w:rsidR="004D3BA2" w:rsidRPr="001A68E4">
        <w:t xml:space="preserve"> </w:t>
      </w:r>
      <w:r w:rsidR="001A68E4" w:rsidRPr="001A68E4">
        <w:t xml:space="preserve">are largely on track. </w:t>
      </w:r>
      <w:r w:rsidR="002A4ACF">
        <w:t>Th</w:t>
      </w:r>
      <w:r w:rsidR="005F35C5">
        <w:t>e</w:t>
      </w:r>
      <w:r w:rsidR="002A4ACF">
        <w:t xml:space="preserve"> improved rating does not diminish the </w:t>
      </w:r>
      <w:r w:rsidR="005F35C5">
        <w:t xml:space="preserve">reality </w:t>
      </w:r>
      <w:r w:rsidR="002A4ACF">
        <w:t xml:space="preserve">that </w:t>
      </w:r>
      <w:r w:rsidR="002A4ACF" w:rsidRPr="001A68E4">
        <w:t>work remains to ensure recent improvements are sustained.</w:t>
      </w:r>
      <w:r w:rsidR="002A4ACF">
        <w:t xml:space="preserve"> As Table 1</w:t>
      </w:r>
      <w:r w:rsidR="005F35C5">
        <w:t xml:space="preserve"> illustrates</w:t>
      </w:r>
      <w:r w:rsidR="002A4ACF">
        <w:t xml:space="preserve">, </w:t>
      </w:r>
      <w:r w:rsidR="005F35C5">
        <w:t xml:space="preserve">for example, </w:t>
      </w:r>
      <w:r w:rsidR="002A4ACF" w:rsidRPr="001A68E4">
        <w:t xml:space="preserve">Samoa is </w:t>
      </w:r>
      <w:r w:rsidR="002A4ACF">
        <w:t>off-track</w:t>
      </w:r>
      <w:r w:rsidR="002A4ACF" w:rsidRPr="001A68E4">
        <w:t xml:space="preserve"> </w:t>
      </w:r>
      <w:r w:rsidR="002A4ACF">
        <w:t>to achieve several</w:t>
      </w:r>
      <w:r w:rsidR="002A4ACF" w:rsidRPr="001A68E4">
        <w:t xml:space="preserve"> health MDGs </w:t>
      </w:r>
      <w:r w:rsidR="002A4ACF">
        <w:t>a</w:t>
      </w:r>
      <w:r w:rsidR="005F35C5">
        <w:t>nd</w:t>
      </w:r>
      <w:r w:rsidR="002A4ACF">
        <w:t xml:space="preserve"> some of</w:t>
      </w:r>
      <w:r w:rsidR="002A4ACF" w:rsidRPr="001A68E4">
        <w:t xml:space="preserve"> its own health sector goals</w:t>
      </w:r>
      <w:r w:rsidR="002A4ACF">
        <w:t>.</w:t>
      </w:r>
    </w:p>
    <w:p w14:paraId="167F2816" w14:textId="4C9A118A" w:rsidR="001A68E4" w:rsidRPr="001A68E4" w:rsidRDefault="001A68E4" w:rsidP="00D33FDF">
      <w:pPr>
        <w:pStyle w:val="BodyText"/>
      </w:pPr>
      <w:r w:rsidRPr="001A68E4">
        <w:t>Infant mortality improved from 42 per 1000 live births in 1990 to 15.6 in 2011</w:t>
      </w:r>
      <w:r w:rsidR="0072468D">
        <w:t>.</w:t>
      </w:r>
      <w:r w:rsidR="0074377C">
        <w:rPr>
          <w:rStyle w:val="FootnoteReference"/>
        </w:rPr>
        <w:footnoteReference w:id="37"/>
      </w:r>
      <w:r w:rsidRPr="001A68E4">
        <w:t xml:space="preserve"> Injuries in children, a leading cause of death and disability, fell from 367 admissions in 2008 to 310 in 2011. While child immunisation rates increased by 17 per cent in two years, coverage remains low and will not protect many children i</w:t>
      </w:r>
      <w:r w:rsidR="002D571B">
        <w:t>n</w:t>
      </w:r>
      <w:r w:rsidRPr="001A68E4">
        <w:t xml:space="preserve"> disease outbreak</w:t>
      </w:r>
      <w:r w:rsidR="009209E5">
        <w:t>s</w:t>
      </w:r>
      <w:r w:rsidR="0072468D">
        <w:t>.</w:t>
      </w:r>
      <w:r w:rsidR="0074377C">
        <w:rPr>
          <w:rStyle w:val="FootnoteReference"/>
        </w:rPr>
        <w:footnoteReference w:id="38"/>
      </w:r>
      <w:r w:rsidRPr="001A68E4">
        <w:t xml:space="preserve"> Reproductive health access is a growing concern. The 2009 </w:t>
      </w:r>
      <w:r w:rsidR="009209E5">
        <w:t xml:space="preserve">Samoa </w:t>
      </w:r>
      <w:r w:rsidRPr="001A68E4">
        <w:t>Demographic and Health Survey showed that 46 per cent of married women were not able to access sufficient reproducti</w:t>
      </w:r>
      <w:r>
        <w:t>ve health services</w:t>
      </w:r>
      <w:r w:rsidR="0072468D">
        <w:t>.</w:t>
      </w:r>
      <w:r w:rsidR="0074377C">
        <w:rPr>
          <w:rStyle w:val="FootnoteReference"/>
        </w:rPr>
        <w:footnoteReference w:id="39"/>
      </w:r>
      <w:r w:rsidR="007737ED">
        <w:t xml:space="preserve"> </w:t>
      </w:r>
      <w:r w:rsidRPr="001A68E4">
        <w:t xml:space="preserve">No new data on the prevalence of </w:t>
      </w:r>
      <w:r w:rsidR="008E461C">
        <w:t>non-communicable diseases</w:t>
      </w:r>
      <w:r w:rsidRPr="001A68E4">
        <w:t xml:space="preserve"> became available during this</w:t>
      </w:r>
      <w:r w:rsidR="00200ADE">
        <w:t xml:space="preserve"> APPR reporting period. In mid-</w:t>
      </w:r>
      <w:r w:rsidRPr="001A68E4">
        <w:t>2013</w:t>
      </w:r>
      <w:r w:rsidR="009209E5">
        <w:t>,</w:t>
      </w:r>
      <w:r w:rsidRPr="001A68E4">
        <w:t xml:space="preserve"> a new</w:t>
      </w:r>
      <w:r w:rsidR="0083163D">
        <w:t xml:space="preserve"> World Health </w:t>
      </w:r>
      <w:r w:rsidR="0083163D" w:rsidRPr="00CC12D1">
        <w:t>Organization</w:t>
      </w:r>
      <w:r w:rsidRPr="00CC12D1">
        <w:t xml:space="preserve"> STEPS survey</w:t>
      </w:r>
      <w:r w:rsidRPr="001A68E4">
        <w:t xml:space="preserve"> of chronic disease risk factors will be published </w:t>
      </w:r>
      <w:r w:rsidR="009209E5">
        <w:t>with findings on</w:t>
      </w:r>
      <w:r w:rsidRPr="001A68E4">
        <w:t xml:space="preserve"> any success in reducing diseases such as diabetes from the 2002 rate of 21.5 per cent of adults</w:t>
      </w:r>
      <w:r w:rsidR="0072468D">
        <w:t>.</w:t>
      </w:r>
      <w:r w:rsidR="0074377C">
        <w:rPr>
          <w:rStyle w:val="FootnoteReference"/>
        </w:rPr>
        <w:footnoteReference w:id="40"/>
      </w:r>
      <w:r w:rsidRPr="001A68E4">
        <w:t xml:space="preserve"> </w:t>
      </w:r>
    </w:p>
    <w:p w14:paraId="60B90BF0" w14:textId="0E968A8F" w:rsidR="001A68E4" w:rsidRPr="001A68E4" w:rsidRDefault="001A68E4" w:rsidP="00D33FDF">
      <w:pPr>
        <w:pStyle w:val="BodyText"/>
      </w:pPr>
      <w:r w:rsidRPr="001A68E4">
        <w:t>2012</w:t>
      </w:r>
      <w:r w:rsidR="00A863AA">
        <w:t>–</w:t>
      </w:r>
      <w:r w:rsidRPr="001A68E4">
        <w:t>13 saw increased discussion among development partners on broader sector challenges. A discussion paper prepared by the World Bank in 2011 highlighted that current curative health programs are not financially sustainable</w:t>
      </w:r>
      <w:r w:rsidR="005A7682">
        <w:t>.</w:t>
      </w:r>
      <w:r w:rsidRPr="009E6B2D">
        <w:rPr>
          <w:rStyle w:val="FootnoteReference"/>
          <w:szCs w:val="16"/>
        </w:rPr>
        <w:footnoteReference w:id="41"/>
      </w:r>
      <w:r w:rsidRPr="001A68E4">
        <w:t xml:space="preserve"> There is also limited information available about the expected recurrent costs of the soon-to-be-opened hospital building and its expected impact on sector resources</w:t>
      </w:r>
      <w:r w:rsidR="002E1CB3">
        <w:t>.</w:t>
      </w:r>
    </w:p>
    <w:p w14:paraId="3B0D0937" w14:textId="77777777" w:rsidR="001A68E4" w:rsidRPr="00D17249" w:rsidRDefault="001A68E4" w:rsidP="00D33FDF">
      <w:pPr>
        <w:pStyle w:val="Heading3"/>
      </w:pPr>
      <w:r>
        <w:t>Program performance</w:t>
      </w:r>
    </w:p>
    <w:p w14:paraId="275866E3" w14:textId="7A9EF042" w:rsidR="00882172" w:rsidRDefault="00792D18" w:rsidP="00D33FDF">
      <w:pPr>
        <w:pStyle w:val="BodyText"/>
      </w:pPr>
      <w:r>
        <w:t>The</w:t>
      </w:r>
      <w:r w:rsidR="001A68E4" w:rsidRPr="001A68E4">
        <w:t xml:space="preserve"> redevelopment of </w:t>
      </w:r>
      <w:r w:rsidR="008C2716">
        <w:t xml:space="preserve">the Australian Government’s </w:t>
      </w:r>
      <w:r w:rsidR="00CF7756">
        <w:t xml:space="preserve">major health </w:t>
      </w:r>
      <w:r w:rsidR="00D32078">
        <w:t>program</w:t>
      </w:r>
      <w:r w:rsidR="00CF7756">
        <w:t xml:space="preserve">, </w:t>
      </w:r>
      <w:r w:rsidR="001A68E4" w:rsidRPr="001A68E4">
        <w:t>the multi donor</w:t>
      </w:r>
      <w:r w:rsidR="00882172">
        <w:t xml:space="preserve">, </w:t>
      </w:r>
      <w:r w:rsidR="002D571B">
        <w:rPr>
          <w:b/>
        </w:rPr>
        <w:t>H</w:t>
      </w:r>
      <w:r w:rsidR="001A68E4" w:rsidRPr="005A7682">
        <w:rPr>
          <w:b/>
        </w:rPr>
        <w:t>ealth Sector Wide Approach</w:t>
      </w:r>
      <w:r w:rsidR="001A68E4" w:rsidRPr="00882172">
        <w:t xml:space="preserve"> </w:t>
      </w:r>
      <w:r w:rsidR="001A68E4" w:rsidRPr="00625C98">
        <w:rPr>
          <w:b/>
        </w:rPr>
        <w:t>(</w:t>
      </w:r>
      <w:proofErr w:type="spellStart"/>
      <w:r w:rsidR="001A68E4" w:rsidRPr="00625C98">
        <w:rPr>
          <w:b/>
        </w:rPr>
        <w:t>SWAp</w:t>
      </w:r>
      <w:proofErr w:type="spellEnd"/>
      <w:r w:rsidR="001A68E4" w:rsidRPr="00625C98">
        <w:rPr>
          <w:b/>
        </w:rPr>
        <w:t>)</w:t>
      </w:r>
      <w:r w:rsidR="00CF7756">
        <w:t>,</w:t>
      </w:r>
      <w:r w:rsidR="001A68E4" w:rsidRPr="001A68E4">
        <w:t xml:space="preserve"> </w:t>
      </w:r>
      <w:r>
        <w:t>was s</w:t>
      </w:r>
      <w:r w:rsidR="001A68E4" w:rsidRPr="001A68E4">
        <w:t xml:space="preserve">uccessfully </w:t>
      </w:r>
      <w:r w:rsidR="007426CF">
        <w:t>completed in</w:t>
      </w:r>
      <w:r>
        <w:t xml:space="preserve"> 2012</w:t>
      </w:r>
      <w:r w:rsidR="001A68E4" w:rsidRPr="001A68E4">
        <w:t xml:space="preserve">. </w:t>
      </w:r>
      <w:r w:rsidR="000521C1">
        <w:t xml:space="preserve">The </w:t>
      </w:r>
      <w:proofErr w:type="spellStart"/>
      <w:r w:rsidR="000521C1">
        <w:t>SWAp</w:t>
      </w:r>
      <w:proofErr w:type="spellEnd"/>
      <w:r w:rsidR="000521C1">
        <w:t xml:space="preserve"> provides support to a range of sector priorities </w:t>
      </w:r>
      <w:r w:rsidR="00882172">
        <w:t xml:space="preserve">that </w:t>
      </w:r>
      <w:r w:rsidR="000521C1">
        <w:t xml:space="preserve">strengthen sector resources and management. </w:t>
      </w:r>
      <w:r w:rsidR="001A68E4" w:rsidRPr="001A68E4">
        <w:t xml:space="preserve">Most program components are proceeding well and the </w:t>
      </w:r>
      <w:proofErr w:type="spellStart"/>
      <w:r w:rsidR="001A68E4" w:rsidRPr="001A68E4">
        <w:t>SWAp</w:t>
      </w:r>
      <w:proofErr w:type="spellEnd"/>
      <w:r w:rsidR="001A68E4" w:rsidRPr="001A68E4">
        <w:t xml:space="preserve"> is on track to </w:t>
      </w:r>
      <w:r w:rsidR="00882172" w:rsidRPr="001A68E4">
        <w:t>provid</w:t>
      </w:r>
      <w:r w:rsidR="00882172">
        <w:t>ing</w:t>
      </w:r>
      <w:r w:rsidR="00882172" w:rsidRPr="001A68E4">
        <w:t xml:space="preserve"> </w:t>
      </w:r>
      <w:r w:rsidR="001A68E4" w:rsidRPr="001A68E4">
        <w:t>a new generation of critical health infrastructure, training and wide</w:t>
      </w:r>
      <w:r w:rsidR="00A863AA">
        <w:t>-</w:t>
      </w:r>
      <w:r w:rsidR="001A68E4" w:rsidRPr="001A68E4">
        <w:t>ranging policy development</w:t>
      </w:r>
      <w:r w:rsidR="0072468D">
        <w:t>.</w:t>
      </w:r>
      <w:r w:rsidR="002A12B7">
        <w:rPr>
          <w:rStyle w:val="FootnoteReference"/>
        </w:rPr>
        <w:footnoteReference w:id="42"/>
      </w:r>
      <w:r w:rsidR="001A68E4" w:rsidRPr="001A68E4">
        <w:t xml:space="preserve"> </w:t>
      </w:r>
    </w:p>
    <w:p w14:paraId="7547970A" w14:textId="17F5E1D2" w:rsidR="001A68E4" w:rsidRDefault="001A68E4" w:rsidP="00D33FDF">
      <w:pPr>
        <w:pStyle w:val="BodyText"/>
      </w:pPr>
      <w:r w:rsidRPr="001A68E4">
        <w:t xml:space="preserve">In </w:t>
      </w:r>
      <w:r w:rsidR="005A7682">
        <w:t>2012</w:t>
      </w:r>
      <w:r w:rsidR="00A863AA">
        <w:t>–</w:t>
      </w:r>
      <w:r w:rsidR="005A7682">
        <w:t>13</w:t>
      </w:r>
      <w:r w:rsidR="00882172">
        <w:t>,</w:t>
      </w:r>
      <w:r w:rsidRPr="001A68E4">
        <w:t xml:space="preserve"> the </w:t>
      </w:r>
      <w:proofErr w:type="spellStart"/>
      <w:r w:rsidRPr="001A68E4">
        <w:t>SWAp</w:t>
      </w:r>
      <w:proofErr w:type="spellEnd"/>
      <w:r w:rsidRPr="001A68E4">
        <w:t xml:space="preserve"> funded:</w:t>
      </w:r>
    </w:p>
    <w:p w14:paraId="567A3FDC" w14:textId="5798E930" w:rsidR="001A68E4" w:rsidRPr="005A7682" w:rsidRDefault="0072468D" w:rsidP="00D33FDF">
      <w:pPr>
        <w:pStyle w:val="ListBullet"/>
      </w:pPr>
      <w:r w:rsidRPr="005A7682">
        <w:t>a</w:t>
      </w:r>
      <w:r w:rsidR="001A68E4" w:rsidRPr="005A7682">
        <w:t xml:space="preserve"> new training and </w:t>
      </w:r>
      <w:r w:rsidR="001A68E4" w:rsidRPr="008727FA">
        <w:t>credentialing</w:t>
      </w:r>
      <w:r w:rsidR="001A68E4" w:rsidRPr="005A7682">
        <w:t xml:space="preserve"> centre for nurses, midwives and allied health trainees and a hostel for rural nursing students</w:t>
      </w:r>
    </w:p>
    <w:p w14:paraId="2AF0C40C" w14:textId="6D09E5FB" w:rsidR="001A68E4" w:rsidRPr="001A68E4" w:rsidRDefault="0072468D" w:rsidP="00D33FDF">
      <w:pPr>
        <w:pStyle w:val="ListBullet"/>
      </w:pPr>
      <w:r>
        <w:t>p</w:t>
      </w:r>
      <w:r w:rsidR="001A68E4" w:rsidRPr="001A68E4">
        <w:t xml:space="preserve">rocurement of </w:t>
      </w:r>
      <w:r w:rsidR="00882172">
        <w:t xml:space="preserve">more </w:t>
      </w:r>
      <w:r w:rsidR="00882172" w:rsidRPr="00882172">
        <w:t xml:space="preserve">than </w:t>
      </w:r>
      <w:r w:rsidR="001A68E4" w:rsidRPr="00882172">
        <w:t>$5 million of bio</w:t>
      </w:r>
      <w:r w:rsidR="001A68E4" w:rsidRPr="001A68E4">
        <w:t>medical equipment</w:t>
      </w:r>
    </w:p>
    <w:p w14:paraId="6308B488" w14:textId="2FC8B80F" w:rsidR="00882172" w:rsidRDefault="00AA75C8" w:rsidP="00D33FDF">
      <w:pPr>
        <w:pStyle w:val="ListBullet"/>
      </w:pPr>
      <w:r>
        <w:t>c</w:t>
      </w:r>
      <w:r w:rsidR="001A68E4" w:rsidRPr="001A68E4">
        <w:t>onstruction of dental clinics in three urban primary schools</w:t>
      </w:r>
    </w:p>
    <w:p w14:paraId="719DD420" w14:textId="4249E440" w:rsidR="001A68E4" w:rsidRPr="001A68E4" w:rsidRDefault="001A68E4" w:rsidP="00D33FDF">
      <w:pPr>
        <w:pStyle w:val="ListBullet"/>
      </w:pPr>
      <w:r w:rsidRPr="001A68E4">
        <w:t xml:space="preserve">funding of mobile dental clinics to service rural areas </w:t>
      </w:r>
    </w:p>
    <w:p w14:paraId="4EDFD2AD" w14:textId="1DD2F489" w:rsidR="001A68E4" w:rsidRPr="001A68E4" w:rsidRDefault="00AA75C8" w:rsidP="00D33FDF">
      <w:pPr>
        <w:pStyle w:val="ListBullet"/>
      </w:pPr>
      <w:r>
        <w:t>p</w:t>
      </w:r>
      <w:r w:rsidR="001A68E4" w:rsidRPr="001A68E4">
        <w:t xml:space="preserve">rocurement of a mobile screening clinic for </w:t>
      </w:r>
      <w:r>
        <w:t>r</w:t>
      </w:r>
      <w:r w:rsidR="001A68E4" w:rsidRPr="001A68E4">
        <w:t xml:space="preserve">heumatic </w:t>
      </w:r>
      <w:r>
        <w:t>h</w:t>
      </w:r>
      <w:r w:rsidR="001A68E4" w:rsidRPr="001A68E4">
        <w:t xml:space="preserve">eart </w:t>
      </w:r>
      <w:r>
        <w:t>d</w:t>
      </w:r>
      <w:r w:rsidR="001A68E4" w:rsidRPr="001A68E4">
        <w:t>isease, the most common cardiovascular disease in children and young adults</w:t>
      </w:r>
      <w:r w:rsidR="00882172">
        <w:t xml:space="preserve"> in Samoa</w:t>
      </w:r>
      <w:r>
        <w:t>.</w:t>
      </w:r>
      <w:r w:rsidR="002A12B7">
        <w:rPr>
          <w:rStyle w:val="FootnoteReference"/>
        </w:rPr>
        <w:footnoteReference w:id="43"/>
      </w:r>
    </w:p>
    <w:p w14:paraId="11A0D60C" w14:textId="6FBA53C0" w:rsidR="001A68E4" w:rsidRPr="001A68E4" w:rsidRDefault="00CD6889" w:rsidP="00D33FDF">
      <w:pPr>
        <w:pStyle w:val="BodyText"/>
      </w:pPr>
      <w:r>
        <w:t>T</w:t>
      </w:r>
      <w:r w:rsidR="001A68E4" w:rsidRPr="001A68E4">
        <w:t xml:space="preserve">he </w:t>
      </w:r>
      <w:proofErr w:type="spellStart"/>
      <w:r w:rsidR="001A68E4" w:rsidRPr="001A68E4">
        <w:t>SWAp</w:t>
      </w:r>
      <w:proofErr w:type="spellEnd"/>
      <w:r w:rsidR="001A68E4" w:rsidRPr="001A68E4">
        <w:t xml:space="preserve"> </w:t>
      </w:r>
      <w:r w:rsidR="005A7682">
        <w:t>has fallen</w:t>
      </w:r>
      <w:r w:rsidR="001A68E4" w:rsidRPr="001A68E4">
        <w:t xml:space="preserve"> short of expectations in a number of areas. These include delays to key infrastructure</w:t>
      </w:r>
      <w:r>
        <w:t xml:space="preserve"> and</w:t>
      </w:r>
      <w:r w:rsidR="001A68E4" w:rsidRPr="001A68E4">
        <w:t xml:space="preserve"> delay</w:t>
      </w:r>
      <w:r>
        <w:t>s in implementing</w:t>
      </w:r>
      <w:r w:rsidR="001A68E4" w:rsidRPr="001A68E4">
        <w:t xml:space="preserve"> improved cancer screening programs a</w:t>
      </w:r>
      <w:r>
        <w:t>s well as</w:t>
      </w:r>
      <w:r w:rsidR="001A68E4" w:rsidRPr="001A68E4">
        <w:t xml:space="preserve"> failure to develop a new health information system which</w:t>
      </w:r>
      <w:r>
        <w:t>,</w:t>
      </w:r>
      <w:r w:rsidR="001A68E4" w:rsidRPr="001A68E4">
        <w:t xml:space="preserve"> in turn</w:t>
      </w:r>
      <w:r>
        <w:t>,</w:t>
      </w:r>
      <w:r w:rsidR="001A68E4" w:rsidRPr="001A68E4">
        <w:t xml:space="preserve"> exacerbated difficulty in demonstrating the</w:t>
      </w:r>
      <w:r w:rsidR="002205B3">
        <w:t xml:space="preserve"> impact</w:t>
      </w:r>
      <w:r w:rsidR="002D571B">
        <w:t xml:space="preserve"> the </w:t>
      </w:r>
      <w:proofErr w:type="spellStart"/>
      <w:r w:rsidR="002D571B">
        <w:t>SWAp</w:t>
      </w:r>
      <w:proofErr w:type="spellEnd"/>
      <w:r w:rsidR="002D571B">
        <w:t xml:space="preserve"> has had </w:t>
      </w:r>
      <w:r w:rsidR="001A68E4" w:rsidRPr="001A68E4">
        <w:t>on health outcomes</w:t>
      </w:r>
      <w:r>
        <w:t xml:space="preserve"> in Samoa</w:t>
      </w:r>
      <w:r w:rsidR="00AA75C8">
        <w:t>.</w:t>
      </w:r>
      <w:r w:rsidR="002A12B7">
        <w:rPr>
          <w:rStyle w:val="FootnoteReference"/>
        </w:rPr>
        <w:footnoteReference w:id="44"/>
      </w:r>
      <w:r w:rsidR="001A68E4" w:rsidRPr="001A68E4">
        <w:t xml:space="preserve"> An independent evaluation in March 2013 </w:t>
      </w:r>
      <w:r w:rsidR="00A67D8F">
        <w:t>stated</w:t>
      </w:r>
      <w:r w:rsidR="001A68E4" w:rsidRPr="001A68E4">
        <w:t xml:space="preserve"> that many issues stem from the </w:t>
      </w:r>
      <w:r w:rsidR="002E1CB3">
        <w:t>original design’s</w:t>
      </w:r>
      <w:r w:rsidR="001A68E4" w:rsidRPr="001A68E4">
        <w:t xml:space="preserve"> failure to learn lessons from previous health programs in Samoa and the region</w:t>
      </w:r>
      <w:r w:rsidR="00AA75C8">
        <w:t>.</w:t>
      </w:r>
      <w:r w:rsidR="002A12B7">
        <w:rPr>
          <w:rStyle w:val="FootnoteReference"/>
        </w:rPr>
        <w:footnoteReference w:id="45"/>
      </w:r>
      <w:r w:rsidR="001A68E4" w:rsidRPr="001A68E4">
        <w:t xml:space="preserve"> </w:t>
      </w:r>
    </w:p>
    <w:p w14:paraId="55578F00" w14:textId="4216AD7F" w:rsidR="001A68E4" w:rsidRPr="001A68E4" w:rsidRDefault="001A68E4" w:rsidP="00D33FDF">
      <w:pPr>
        <w:pStyle w:val="BodyText"/>
      </w:pPr>
      <w:r w:rsidRPr="001A68E4">
        <w:t xml:space="preserve">The </w:t>
      </w:r>
      <w:proofErr w:type="spellStart"/>
      <w:r w:rsidRPr="001A68E4">
        <w:t>SWAp</w:t>
      </w:r>
      <w:proofErr w:type="spellEnd"/>
      <w:r w:rsidRPr="001A68E4">
        <w:t xml:space="preserve"> will reach completion in December 2013</w:t>
      </w:r>
      <w:r w:rsidR="00CD6889">
        <w:t xml:space="preserve"> </w:t>
      </w:r>
      <w:r w:rsidR="005A7682">
        <w:t>and</w:t>
      </w:r>
      <w:r w:rsidR="00CD6889">
        <w:t xml:space="preserve"> a new program of support </w:t>
      </w:r>
      <w:r w:rsidR="002D571B">
        <w:t>is under development</w:t>
      </w:r>
      <w:r w:rsidR="002A4ACF" w:rsidRPr="001A68E4">
        <w:t xml:space="preserve">. </w:t>
      </w:r>
      <w:r w:rsidR="002A4ACF">
        <w:t>Throughout 2012</w:t>
      </w:r>
      <w:r w:rsidR="00AA75C8">
        <w:t>–</w:t>
      </w:r>
      <w:r w:rsidR="002A4ACF">
        <w:t>13</w:t>
      </w:r>
      <w:r w:rsidR="00CD6889">
        <w:t>,</w:t>
      </w:r>
      <w:r w:rsidR="002A4ACF">
        <w:t xml:space="preserve"> </w:t>
      </w:r>
      <w:r w:rsidR="008C2716">
        <w:t>Australia</w:t>
      </w:r>
      <w:r w:rsidR="002A4ACF">
        <w:t xml:space="preserve"> invested significant resources to hire specialist health program </w:t>
      </w:r>
      <w:r w:rsidR="002A4ACF" w:rsidRPr="001A68E4">
        <w:t>staff, improv</w:t>
      </w:r>
      <w:r w:rsidR="002A4ACF">
        <w:t>e</w:t>
      </w:r>
      <w:r w:rsidR="002A4ACF" w:rsidRPr="001A68E4">
        <w:t xml:space="preserve"> relationships with the sector and</w:t>
      </w:r>
      <w:r w:rsidR="002A4ACF">
        <w:t xml:space="preserve"> gain consensus on</w:t>
      </w:r>
      <w:r w:rsidR="002A4ACF" w:rsidRPr="001A68E4">
        <w:t xml:space="preserve"> previous failings</w:t>
      </w:r>
      <w:r w:rsidR="002A4ACF">
        <w:t xml:space="preserve">. These </w:t>
      </w:r>
      <w:r w:rsidR="00CD6889">
        <w:t>resources</w:t>
      </w:r>
      <w:r w:rsidR="00CD6889" w:rsidRPr="001A68E4">
        <w:t xml:space="preserve"> </w:t>
      </w:r>
      <w:r w:rsidR="002A4ACF" w:rsidRPr="001A68E4">
        <w:t>mean</w:t>
      </w:r>
      <w:r w:rsidR="009145BA">
        <w:t xml:space="preserve"> </w:t>
      </w:r>
      <w:r w:rsidR="00C00A8E">
        <w:t>DFAT</w:t>
      </w:r>
      <w:r w:rsidR="00E8100A">
        <w:t xml:space="preserve"> </w:t>
      </w:r>
      <w:r w:rsidRPr="001A68E4">
        <w:t xml:space="preserve">and other development partners are well positioned to design </w:t>
      </w:r>
      <w:r w:rsidR="00CD6889">
        <w:t>the</w:t>
      </w:r>
      <w:r w:rsidRPr="001A68E4">
        <w:t xml:space="preserve"> new </w:t>
      </w:r>
      <w:r w:rsidR="00CD6889">
        <w:t>program</w:t>
      </w:r>
      <w:r w:rsidR="00CD6889" w:rsidRPr="001A68E4">
        <w:t xml:space="preserve"> </w:t>
      </w:r>
      <w:r w:rsidRPr="001A68E4">
        <w:t xml:space="preserve">of </w:t>
      </w:r>
      <w:r w:rsidR="005A7682" w:rsidRPr="001A68E4">
        <w:t xml:space="preserve">support </w:t>
      </w:r>
      <w:r w:rsidR="005A7682">
        <w:t>in</w:t>
      </w:r>
      <w:r w:rsidR="00CD6889">
        <w:t xml:space="preserve"> </w:t>
      </w:r>
      <w:r w:rsidRPr="001A68E4">
        <w:t xml:space="preserve">the coming year. Given the </w:t>
      </w:r>
      <w:r w:rsidR="00CD6889">
        <w:t xml:space="preserve">sector’s </w:t>
      </w:r>
      <w:r w:rsidRPr="001A68E4">
        <w:t>complexities</w:t>
      </w:r>
      <w:r w:rsidR="002D571B">
        <w:t>,</w:t>
      </w:r>
      <w:r w:rsidRPr="001A68E4">
        <w:t xml:space="preserve"> the new program will need to </w:t>
      </w:r>
      <w:r w:rsidR="002D571B">
        <w:t xml:space="preserve">have </w:t>
      </w:r>
      <w:r w:rsidR="002D571B" w:rsidRPr="001A68E4">
        <w:t>realistic</w:t>
      </w:r>
      <w:r w:rsidRPr="001A68E4">
        <w:t xml:space="preserve"> outcomes and</w:t>
      </w:r>
      <w:r w:rsidR="002D571B">
        <w:t xml:space="preserve"> be</w:t>
      </w:r>
      <w:r w:rsidRPr="001A68E4">
        <w:t xml:space="preserve"> grounded in an evidenced-based theory of change. </w:t>
      </w:r>
    </w:p>
    <w:p w14:paraId="2F295CBA" w14:textId="74A0B644" w:rsidR="001A68E4" w:rsidRDefault="00CD6889" w:rsidP="00D33FDF">
      <w:pPr>
        <w:pStyle w:val="BodyText"/>
      </w:pPr>
      <w:r>
        <w:t xml:space="preserve">In 2012–13, </w:t>
      </w:r>
      <w:r w:rsidR="001A68E4" w:rsidRPr="001A68E4">
        <w:t>Australian funding to the sector</w:t>
      </w:r>
      <w:r>
        <w:t xml:space="preserve"> also</w:t>
      </w:r>
      <w:r w:rsidR="001A68E4" w:rsidRPr="001A68E4">
        <w:t xml:space="preserve"> enabled:</w:t>
      </w:r>
    </w:p>
    <w:p w14:paraId="60D71107" w14:textId="7B0AC2C4" w:rsidR="001A68E4" w:rsidRDefault="00CD6889" w:rsidP="00D33FDF">
      <w:pPr>
        <w:pStyle w:val="ListBullet"/>
      </w:pPr>
      <w:r>
        <w:t>The rollout of a</w:t>
      </w:r>
      <w:r w:rsidR="001A68E4" w:rsidRPr="001A68E4">
        <w:t xml:space="preserve"> pilot program of weekly visits by private </w:t>
      </w:r>
      <w:r>
        <w:t>general practitioners</w:t>
      </w:r>
      <w:r w:rsidR="001A68E4" w:rsidRPr="001A68E4">
        <w:t xml:space="preserve"> to</w:t>
      </w:r>
      <w:r w:rsidR="002E1CB3">
        <w:t xml:space="preserve"> </w:t>
      </w:r>
      <w:r w:rsidR="001A68E4" w:rsidRPr="001A68E4">
        <w:t xml:space="preserve">rural district clinics </w:t>
      </w:r>
      <w:r>
        <w:t>with</w:t>
      </w:r>
      <w:r w:rsidR="001A68E4" w:rsidRPr="001A68E4">
        <w:t xml:space="preserve"> no doctors on staff</w:t>
      </w:r>
      <w:r>
        <w:t>. This</w:t>
      </w:r>
      <w:r w:rsidR="001A68E4" w:rsidRPr="001A68E4">
        <w:t xml:space="preserve"> program </w:t>
      </w:r>
      <w:r w:rsidR="002E1CB3">
        <w:t>will</w:t>
      </w:r>
      <w:r w:rsidR="001A68E4" w:rsidRPr="001A68E4">
        <w:t xml:space="preserve"> maintain the momentum gained in the </w:t>
      </w:r>
      <w:r w:rsidR="00C00A8E">
        <w:t xml:space="preserve">Australian </w:t>
      </w:r>
      <w:r w:rsidR="00361211">
        <w:t>Government</w:t>
      </w:r>
      <w:r w:rsidR="001A68E4" w:rsidRPr="001A68E4">
        <w:t xml:space="preserve">-funded Village Health Fair program which provided </w:t>
      </w:r>
      <w:r w:rsidR="00700B0C">
        <w:t xml:space="preserve">health </w:t>
      </w:r>
      <w:r w:rsidR="001A68E4" w:rsidRPr="001A68E4">
        <w:t>screening for 23</w:t>
      </w:r>
      <w:r>
        <w:t xml:space="preserve"> </w:t>
      </w:r>
      <w:r w:rsidR="001A68E4" w:rsidRPr="001A68E4">
        <w:t>302 people</w:t>
      </w:r>
      <w:r w:rsidR="00DA1ABF">
        <w:t xml:space="preserve"> (</w:t>
      </w:r>
      <w:r w:rsidR="0047636A">
        <w:t>12 per cent of the population</w:t>
      </w:r>
      <w:r w:rsidR="00DA1ABF">
        <w:t>)</w:t>
      </w:r>
      <w:r w:rsidR="001A68E4" w:rsidRPr="001A68E4">
        <w:t xml:space="preserve"> in 2011</w:t>
      </w:r>
      <w:r w:rsidR="00DA1ABF">
        <w:t>.</w:t>
      </w:r>
      <w:r w:rsidR="002A12B7">
        <w:rPr>
          <w:rStyle w:val="FootnoteReference"/>
        </w:rPr>
        <w:footnoteReference w:id="46"/>
      </w:r>
      <w:r w:rsidR="001A68E4" w:rsidRPr="001A68E4">
        <w:t xml:space="preserve"> </w:t>
      </w:r>
    </w:p>
    <w:p w14:paraId="66DD8F9F" w14:textId="4EE4F667" w:rsidR="006F6A20" w:rsidRDefault="006F6A20" w:rsidP="00D33FDF">
      <w:pPr>
        <w:pStyle w:val="ListBullet"/>
      </w:pPr>
      <w:r w:rsidRPr="006F6A20">
        <w:t>Volunteer medical teams</w:t>
      </w:r>
      <w:r w:rsidRPr="006F6A20">
        <w:rPr>
          <w:rFonts w:ascii="Calibri" w:eastAsia="Calibri" w:hAnsi="Calibri"/>
        </w:rPr>
        <w:t xml:space="preserve"> </w:t>
      </w:r>
      <w:r w:rsidRPr="006F6A20">
        <w:t>coordinate</w:t>
      </w:r>
      <w:r w:rsidRPr="008727FA">
        <w:t xml:space="preserve">d by the Royal Australian College of Surgeons </w:t>
      </w:r>
      <w:r w:rsidR="00CD6889" w:rsidRPr="00815D83">
        <w:t xml:space="preserve">to </w:t>
      </w:r>
      <w:r w:rsidRPr="00815D83">
        <w:t xml:space="preserve">provide orthopaedics, </w:t>
      </w:r>
      <w:r w:rsidR="008727FA" w:rsidRPr="00815D83">
        <w:t>ear, nose and throat</w:t>
      </w:r>
      <w:r w:rsidRPr="00D47575">
        <w:t xml:space="preserve"> and plastic surgery to Samoan patients</w:t>
      </w:r>
      <w:r w:rsidR="00CD6889" w:rsidRPr="00D47575">
        <w:t>. T</w:t>
      </w:r>
      <w:r w:rsidRPr="00D47575">
        <w:t>eams conducted 151 operations and</w:t>
      </w:r>
      <w:r w:rsidRPr="006F6A20">
        <w:t xml:space="preserve"> </w:t>
      </w:r>
      <w:r w:rsidR="00CD6889">
        <w:t>more than</w:t>
      </w:r>
      <w:r w:rsidR="00CD6889" w:rsidRPr="006F6A20">
        <w:t xml:space="preserve"> </w:t>
      </w:r>
      <w:r w:rsidRPr="006F6A20">
        <w:t>512</w:t>
      </w:r>
      <w:r w:rsidR="00CC12D1">
        <w:t> </w:t>
      </w:r>
      <w:r w:rsidRPr="006F6A20">
        <w:t>consultations</w:t>
      </w:r>
      <w:r>
        <w:t>.</w:t>
      </w:r>
    </w:p>
    <w:p w14:paraId="0692A88C" w14:textId="48450E3A" w:rsidR="001A68E4" w:rsidRPr="00D33FDF" w:rsidRDefault="00A837B0" w:rsidP="00D33FDF">
      <w:pPr>
        <w:pStyle w:val="Heading2"/>
      </w:pPr>
      <w:r w:rsidRPr="00D33FDF">
        <w:t>Governance and economic stability</w:t>
      </w:r>
    </w:p>
    <w:p w14:paraId="6DB53608" w14:textId="391D26E5" w:rsidR="003F2F10" w:rsidRPr="00D17249" w:rsidRDefault="005A7682" w:rsidP="003F2F10">
      <w:pPr>
        <w:pStyle w:val="Heading3"/>
      </w:pPr>
      <w:r>
        <w:t>Overall r</w:t>
      </w:r>
      <w:r w:rsidR="003F2F10" w:rsidRPr="00D17249">
        <w:t>ating and assessment</w:t>
      </w:r>
    </w:p>
    <w:p w14:paraId="5BE6B815" w14:textId="061AC73D" w:rsidR="003F2F10" w:rsidRPr="00D17249" w:rsidRDefault="003F2F10" w:rsidP="003F2F10">
      <w:pPr>
        <w:pStyle w:val="BodyText"/>
      </w:pPr>
      <w:r w:rsidRPr="003C4742">
        <w:rPr>
          <w:color w:val="FF9900"/>
          <w:szCs w:val="22"/>
        </w:rPr>
        <w:sym w:font="Webdings" w:char="F067"/>
      </w:r>
      <w:r w:rsidRPr="00D17249">
        <w:rPr>
          <w:rFonts w:eastAsia="Arial Unicode MS"/>
        </w:rPr>
        <w:t> </w:t>
      </w:r>
      <w:r w:rsidR="00B83F76" w:rsidRPr="00B83F76">
        <w:rPr>
          <w:rFonts w:eastAsia="Arial Unicode MS"/>
        </w:rPr>
        <w:t>Rating: Amber.</w:t>
      </w:r>
      <w:r w:rsidRPr="00B83F76">
        <w:t xml:space="preserve"> Progress is somewhat less than expected for this point in time and restorative action will be necessary if the objective is to be achieved. Close performance monitoring is recommended.</w:t>
      </w:r>
    </w:p>
    <w:p w14:paraId="3D30DC1D" w14:textId="4163CFF9" w:rsidR="003F2F10" w:rsidRPr="00D17249" w:rsidRDefault="003F2F10" w:rsidP="003F2F10">
      <w:pPr>
        <w:pStyle w:val="Caption"/>
      </w:pPr>
      <w:r w:rsidRPr="00D17249">
        <w:t xml:space="preserve">Table </w:t>
      </w:r>
      <w:r w:rsidR="005F0CC5">
        <w:t>6</w:t>
      </w:r>
      <w:r w:rsidRPr="00D17249">
        <w:t>: Partnership for Development</w:t>
      </w:r>
      <w:r w:rsidR="00DA1ABF">
        <w:t>—</w:t>
      </w:r>
      <w:r>
        <w:t>g</w:t>
      </w:r>
      <w:r w:rsidRPr="00D17249">
        <w:t xml:space="preserve">overnance </w:t>
      </w:r>
      <w:r>
        <w:t>and</w:t>
      </w:r>
      <w:r w:rsidRPr="00D17249">
        <w:t xml:space="preserve"> </w:t>
      </w:r>
      <w:r>
        <w:t>e</w:t>
      </w:r>
      <w:r w:rsidRPr="00D17249">
        <w:t xml:space="preserve">conomic </w:t>
      </w:r>
      <w:r>
        <w:t>s</w:t>
      </w:r>
      <w:r w:rsidRPr="00D17249">
        <w:t>tability</w:t>
      </w:r>
    </w:p>
    <w:tbl>
      <w:tblPr>
        <w:tblStyle w:val="APPR"/>
        <w:tblW w:w="0" w:type="auto"/>
        <w:tblLayout w:type="fixed"/>
        <w:tblLook w:val="0000" w:firstRow="0" w:lastRow="0" w:firstColumn="0" w:lastColumn="0" w:noHBand="0" w:noVBand="0"/>
      </w:tblPr>
      <w:tblGrid>
        <w:gridCol w:w="7082"/>
        <w:gridCol w:w="940"/>
      </w:tblGrid>
      <w:tr w:rsidR="003F2F10" w:rsidRPr="003C4742" w14:paraId="3FD6F750" w14:textId="77777777" w:rsidTr="00B83F76">
        <w:trPr>
          <w:cnfStyle w:val="000000010000" w:firstRow="0" w:lastRow="0" w:firstColumn="0" w:lastColumn="0" w:oddVBand="0" w:evenVBand="0" w:oddHBand="0" w:evenHBand="1" w:firstRowFirstColumn="0" w:firstRowLastColumn="0" w:lastRowFirstColumn="0" w:lastRowLastColumn="0"/>
        </w:trPr>
        <w:tc>
          <w:tcPr>
            <w:tcW w:w="7966" w:type="dxa"/>
            <w:gridSpan w:val="2"/>
          </w:tcPr>
          <w:p w14:paraId="16792040" w14:textId="77777777" w:rsidR="003F2F10" w:rsidRPr="00AB2642" w:rsidRDefault="003F2F10" w:rsidP="00B83F76">
            <w:pPr>
              <w:pStyle w:val="TableTextEntries"/>
            </w:pPr>
            <w:r w:rsidRPr="00AB2642">
              <w:t xml:space="preserve">Objective: </w:t>
            </w:r>
            <w:r w:rsidRPr="00674F59">
              <w:t>The partnership will enable Samoa to achieve its goals of sustained macroeconomic stability and improved governance.</w:t>
            </w:r>
          </w:p>
        </w:tc>
      </w:tr>
      <w:tr w:rsidR="003F2F10" w:rsidRPr="00AB2642" w14:paraId="5623C34C" w14:textId="77777777" w:rsidTr="00B83F76">
        <w:trPr>
          <w:cnfStyle w:val="000000010000" w:firstRow="0" w:lastRow="0" w:firstColumn="0" w:lastColumn="0" w:oddVBand="0" w:evenVBand="0" w:oddHBand="0" w:evenHBand="1" w:firstRowFirstColumn="0" w:firstRowLastColumn="0" w:lastRowFirstColumn="0" w:lastRowLastColumn="0"/>
        </w:trPr>
        <w:tc>
          <w:tcPr>
            <w:tcW w:w="7040" w:type="dxa"/>
          </w:tcPr>
          <w:p w14:paraId="34DA9D84" w14:textId="77777777" w:rsidR="003F2F10" w:rsidRPr="00B83F76" w:rsidRDefault="003F2F10" w:rsidP="00B83F76">
            <w:pPr>
              <w:pStyle w:val="TableTextColumnHeading"/>
            </w:pPr>
            <w:r w:rsidRPr="00B83F76">
              <w:t>Partnership targets for 2015</w:t>
            </w:r>
          </w:p>
        </w:tc>
        <w:tc>
          <w:tcPr>
            <w:tcW w:w="898" w:type="dxa"/>
          </w:tcPr>
          <w:p w14:paraId="41D9A88B" w14:textId="77777777" w:rsidR="003F2F10" w:rsidRPr="00B83F76" w:rsidRDefault="003F2F10" w:rsidP="00B83F76">
            <w:pPr>
              <w:pStyle w:val="TableTextColumnHeading"/>
            </w:pPr>
            <w:r w:rsidRPr="00B83F76">
              <w:t>Progress</w:t>
            </w:r>
          </w:p>
        </w:tc>
      </w:tr>
      <w:tr w:rsidR="003F2F10" w:rsidRPr="003C4742" w14:paraId="76C72E5B"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35081C8B" w14:textId="2D2E591A" w:rsidR="003F2F10" w:rsidRPr="00B83F76" w:rsidRDefault="003F2F10" w:rsidP="00B83F76">
            <w:pPr>
              <w:pStyle w:val="TableTextEntries"/>
            </w:pPr>
            <w:r w:rsidRPr="00B83F76">
              <w:t xml:space="preserve">Improved </w:t>
            </w:r>
            <w:r w:rsidR="005A7682" w:rsidRPr="00B83F76">
              <w:t>G</w:t>
            </w:r>
            <w:r w:rsidRPr="00B83F76">
              <w:t xml:space="preserve">overnment </w:t>
            </w:r>
            <w:r w:rsidR="005A7682" w:rsidRPr="00B83F76">
              <w:t>E</w:t>
            </w:r>
            <w:r w:rsidRPr="00B83F76">
              <w:t>ffectiveness</w:t>
            </w:r>
            <w:r w:rsidR="00D47575" w:rsidRPr="00B83F76">
              <w:t xml:space="preserve"> </w:t>
            </w:r>
            <w:r w:rsidRPr="00B83F76">
              <w:t>score in the Worldwide Governance Indicators</w:t>
            </w:r>
            <w:r w:rsidRPr="00B83F76">
              <w:rPr>
                <w:rStyle w:val="FootnoteReference"/>
                <w:rFonts w:ascii="Franklin Gothic Book" w:hAnsi="Franklin Gothic Book"/>
                <w:position w:val="0"/>
                <w:sz w:val="17"/>
                <w:szCs w:val="17"/>
              </w:rPr>
              <w:footnoteReference w:id="47"/>
            </w:r>
            <w:r w:rsidRPr="00B83F76">
              <w:rPr>
                <w:rStyle w:val="FootnoteReference"/>
                <w:rFonts w:ascii="Franklin Gothic Book" w:hAnsi="Franklin Gothic Book"/>
                <w:position w:val="0"/>
                <w:sz w:val="17"/>
                <w:szCs w:val="17"/>
              </w:rPr>
              <w:t xml:space="preserve"> </w:t>
            </w:r>
          </w:p>
        </w:tc>
        <w:tc>
          <w:tcPr>
            <w:tcW w:w="898" w:type="dxa"/>
            <w:vMerge w:val="restart"/>
            <w:shd w:val="clear" w:color="auto" w:fill="F79646" w:themeFill="accent6"/>
            <w:vAlign w:val="center"/>
          </w:tcPr>
          <w:p w14:paraId="133BC37C" w14:textId="08CA8B2D" w:rsidR="003F2F10" w:rsidRPr="00B83F76" w:rsidRDefault="00B83F76" w:rsidP="006B4FE5">
            <w:pPr>
              <w:pStyle w:val="TableTextEntries"/>
              <w:jc w:val="center"/>
            </w:pPr>
            <w:r>
              <w:t>Amber</w:t>
            </w:r>
          </w:p>
        </w:tc>
      </w:tr>
      <w:tr w:rsidR="003F2F10" w:rsidRPr="003C4742" w14:paraId="0929915E"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524A4FBF" w14:textId="7BE19F7E" w:rsidR="003F2F10" w:rsidRPr="00B83F76" w:rsidRDefault="003F2F10" w:rsidP="00B83F76">
            <w:pPr>
              <w:pStyle w:val="TableTextEntries"/>
            </w:pPr>
            <w:r w:rsidRPr="00B83F76">
              <w:t xml:space="preserve">    2008: 58.7   </w:t>
            </w:r>
            <w:r w:rsidR="002D571B" w:rsidRPr="00B83F76">
              <w:t xml:space="preserve">   </w:t>
            </w:r>
            <w:r w:rsidRPr="00B83F76">
              <w:t xml:space="preserve"> 2009: 59.6</w:t>
            </w:r>
            <w:r w:rsidR="002D571B" w:rsidRPr="00B83F76">
              <w:t xml:space="preserve">         2010: 53.1      2011: 55          </w:t>
            </w:r>
            <w:r w:rsidRPr="00B83F76">
              <w:t xml:space="preserve"> Regional 2011 average: </w:t>
            </w:r>
            <w:r w:rsidRPr="00B83F76">
              <w:rPr>
                <w:rStyle w:val="FootnoteReference"/>
                <w:rFonts w:ascii="Franklin Gothic Book" w:hAnsi="Franklin Gothic Book"/>
                <w:position w:val="0"/>
                <w:sz w:val="17"/>
                <w:szCs w:val="17"/>
              </w:rPr>
              <w:t xml:space="preserve">33 </w:t>
            </w:r>
          </w:p>
        </w:tc>
        <w:tc>
          <w:tcPr>
            <w:tcW w:w="898" w:type="dxa"/>
            <w:vMerge/>
            <w:shd w:val="clear" w:color="auto" w:fill="F79646" w:themeFill="accent6"/>
            <w:vAlign w:val="center"/>
          </w:tcPr>
          <w:p w14:paraId="07E22171" w14:textId="77777777" w:rsidR="003F2F10" w:rsidRPr="00B83F76" w:rsidRDefault="003F2F10" w:rsidP="006B4FE5">
            <w:pPr>
              <w:pStyle w:val="TableTextEntries"/>
              <w:jc w:val="center"/>
            </w:pPr>
          </w:p>
        </w:tc>
      </w:tr>
      <w:tr w:rsidR="003F2F10" w:rsidRPr="003C4742" w14:paraId="698C9AE9"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1ABA8829" w14:textId="77777777" w:rsidR="003F2F10" w:rsidRPr="00B83F76" w:rsidRDefault="003F2F10" w:rsidP="00B83F76">
            <w:pPr>
              <w:pStyle w:val="TableTextEntries"/>
            </w:pPr>
            <w:r w:rsidRPr="00B83F76">
              <w:t>Sustained macroeconomic stability</w:t>
            </w:r>
          </w:p>
        </w:tc>
        <w:tc>
          <w:tcPr>
            <w:tcW w:w="898" w:type="dxa"/>
            <w:vMerge w:val="restart"/>
            <w:shd w:val="clear" w:color="auto" w:fill="F79646" w:themeFill="accent6"/>
            <w:vAlign w:val="center"/>
          </w:tcPr>
          <w:p w14:paraId="01064B8A" w14:textId="76EDF43D" w:rsidR="003F2F10" w:rsidRPr="00B83F76" w:rsidRDefault="00B83F76" w:rsidP="006B4FE5">
            <w:pPr>
              <w:pStyle w:val="TableTextEntries"/>
              <w:jc w:val="center"/>
            </w:pPr>
            <w:r>
              <w:t>Amber</w:t>
            </w:r>
          </w:p>
        </w:tc>
      </w:tr>
      <w:tr w:rsidR="003F2F10" w:rsidRPr="003C4742" w14:paraId="7B0A3B72"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521FDC2C" w14:textId="421104AA" w:rsidR="003F2F10" w:rsidRPr="00B83F76" w:rsidRDefault="003F2F10" w:rsidP="00B83F76">
            <w:pPr>
              <w:pStyle w:val="TableTextEntries"/>
            </w:pPr>
            <w:r w:rsidRPr="00B83F76">
              <w:t xml:space="preserve">    </w:t>
            </w:r>
            <w:r w:rsidR="006C3955" w:rsidRPr="00B83F76">
              <w:t xml:space="preserve">IMF </w:t>
            </w:r>
            <w:r w:rsidR="000810F3" w:rsidRPr="00B83F76">
              <w:t>a</w:t>
            </w:r>
            <w:r w:rsidR="006C3955" w:rsidRPr="00B83F76">
              <w:t>ssessments note sound policies but high risk of debt distress</w:t>
            </w:r>
          </w:p>
        </w:tc>
        <w:tc>
          <w:tcPr>
            <w:tcW w:w="898" w:type="dxa"/>
            <w:vMerge/>
            <w:shd w:val="clear" w:color="auto" w:fill="F79646" w:themeFill="accent6"/>
            <w:vAlign w:val="center"/>
          </w:tcPr>
          <w:p w14:paraId="2B4E6F22" w14:textId="77777777" w:rsidR="003F2F10" w:rsidRPr="00B83F76" w:rsidRDefault="003F2F10" w:rsidP="006B4FE5">
            <w:pPr>
              <w:pStyle w:val="TableTextEntries"/>
              <w:jc w:val="center"/>
            </w:pPr>
          </w:p>
        </w:tc>
      </w:tr>
      <w:tr w:rsidR="003F2F10" w:rsidRPr="003C4742" w14:paraId="6A112332"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52978B49" w14:textId="43AA4223" w:rsidR="003F2F10" w:rsidRPr="00B83F76" w:rsidRDefault="003F2F10" w:rsidP="00B83F76">
            <w:pPr>
              <w:pStyle w:val="TableTextEntries"/>
            </w:pPr>
            <w:r w:rsidRPr="00B83F76">
              <w:t>Reduced levels of poverty</w:t>
            </w:r>
          </w:p>
        </w:tc>
        <w:tc>
          <w:tcPr>
            <w:tcW w:w="898" w:type="dxa"/>
            <w:vMerge w:val="restart"/>
            <w:shd w:val="clear" w:color="auto" w:fill="F79646" w:themeFill="accent6"/>
            <w:vAlign w:val="center"/>
          </w:tcPr>
          <w:p w14:paraId="1AC74790" w14:textId="52C48892" w:rsidR="003F2F10" w:rsidRPr="00B83F76" w:rsidRDefault="00B83F76" w:rsidP="006B4FE5">
            <w:pPr>
              <w:pStyle w:val="TableTextEntries"/>
              <w:jc w:val="center"/>
            </w:pPr>
            <w:r>
              <w:t>Amber</w:t>
            </w:r>
          </w:p>
        </w:tc>
      </w:tr>
      <w:tr w:rsidR="003F2F10" w:rsidRPr="003C4742" w14:paraId="70AC296B"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2E8024BC" w14:textId="019C0F33" w:rsidR="003F2F10" w:rsidRPr="00B83F76" w:rsidRDefault="003F2F10" w:rsidP="00B83F76">
            <w:pPr>
              <w:pStyle w:val="TableTextEntries"/>
            </w:pPr>
            <w:r w:rsidRPr="00B83F76">
              <w:t xml:space="preserve">    Food poverty: 2002: 10.6%    2008: 4.9%    </w:t>
            </w:r>
          </w:p>
          <w:p w14:paraId="050E0589" w14:textId="2E69F895" w:rsidR="003F2F10" w:rsidRPr="00B83F76" w:rsidRDefault="003F2F10" w:rsidP="00B83F76">
            <w:pPr>
              <w:pStyle w:val="TableTextEntries"/>
            </w:pPr>
            <w:r w:rsidRPr="00B83F76">
              <w:t xml:space="preserve">    Basic needs</w:t>
            </w:r>
            <w:r w:rsidR="005A7682" w:rsidRPr="00B83F76">
              <w:t xml:space="preserve"> poverty</w:t>
            </w:r>
            <w:r w:rsidRPr="00B83F76">
              <w:t xml:space="preserve">: 2002: 22.9%    2008: 26.9% </w:t>
            </w:r>
          </w:p>
        </w:tc>
        <w:tc>
          <w:tcPr>
            <w:tcW w:w="898" w:type="dxa"/>
            <w:vMerge/>
            <w:shd w:val="clear" w:color="auto" w:fill="F79646" w:themeFill="accent6"/>
            <w:vAlign w:val="center"/>
          </w:tcPr>
          <w:p w14:paraId="05F705F5" w14:textId="77777777" w:rsidR="003F2F10" w:rsidRPr="00B83F76" w:rsidRDefault="003F2F10" w:rsidP="006B4FE5">
            <w:pPr>
              <w:pStyle w:val="TableTextEntries"/>
              <w:jc w:val="center"/>
            </w:pPr>
          </w:p>
        </w:tc>
      </w:tr>
      <w:tr w:rsidR="003F2F10" w:rsidRPr="003C4742" w14:paraId="478EDC02"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17BDEE87" w14:textId="77777777" w:rsidR="003F2F10" w:rsidRPr="00B83F76" w:rsidRDefault="003F2F10" w:rsidP="00B83F76">
            <w:pPr>
              <w:pStyle w:val="TableTextEntries"/>
            </w:pPr>
            <w:r w:rsidRPr="00B83F76">
              <w:t>Improved Voice and Accountability score in the Worldwide Governance Indicators</w:t>
            </w:r>
          </w:p>
        </w:tc>
        <w:tc>
          <w:tcPr>
            <w:tcW w:w="898" w:type="dxa"/>
            <w:vMerge w:val="restart"/>
            <w:shd w:val="clear" w:color="auto" w:fill="F79646" w:themeFill="accent6"/>
            <w:vAlign w:val="center"/>
          </w:tcPr>
          <w:p w14:paraId="6C745FDF" w14:textId="2AD706A5" w:rsidR="003F2F10" w:rsidRPr="00B83F76" w:rsidRDefault="00B83F76" w:rsidP="006B4FE5">
            <w:pPr>
              <w:pStyle w:val="TableTextEntries"/>
              <w:jc w:val="center"/>
            </w:pPr>
            <w:r>
              <w:t>Amber</w:t>
            </w:r>
          </w:p>
        </w:tc>
      </w:tr>
      <w:tr w:rsidR="003F2F10" w:rsidRPr="003C4742" w14:paraId="2FF7B967"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4E9B0514" w14:textId="3004A184" w:rsidR="003F2F10" w:rsidRPr="00B83F76" w:rsidRDefault="003F2F10" w:rsidP="00B83F76">
            <w:pPr>
              <w:pStyle w:val="TableTextEntries"/>
            </w:pPr>
            <w:r w:rsidRPr="00B83F76">
              <w:t xml:space="preserve">    2008: 65.4   </w:t>
            </w:r>
            <w:r w:rsidR="002D571B" w:rsidRPr="00B83F76">
              <w:t xml:space="preserve">   </w:t>
            </w:r>
            <w:r w:rsidRPr="00B83F76">
              <w:t xml:space="preserve"> 2009: 61.6  </w:t>
            </w:r>
            <w:r w:rsidR="002D571B" w:rsidRPr="00B83F76">
              <w:t xml:space="preserve">   </w:t>
            </w:r>
            <w:r w:rsidRPr="00B83F76">
              <w:t xml:space="preserve">  2010: 61.6  </w:t>
            </w:r>
            <w:r w:rsidR="002D571B" w:rsidRPr="00B83F76">
              <w:t xml:space="preserve">    </w:t>
            </w:r>
            <w:r w:rsidRPr="00B83F76">
              <w:t xml:space="preserve">2011: 62     </w:t>
            </w:r>
            <w:r w:rsidR="002D571B" w:rsidRPr="00B83F76">
              <w:t xml:space="preserve">       </w:t>
            </w:r>
            <w:r w:rsidRPr="00B83F76">
              <w:t xml:space="preserve"> Regional 2011 average: 56 </w:t>
            </w:r>
          </w:p>
        </w:tc>
        <w:tc>
          <w:tcPr>
            <w:tcW w:w="898" w:type="dxa"/>
            <w:vMerge/>
            <w:shd w:val="clear" w:color="auto" w:fill="F79646" w:themeFill="accent6"/>
            <w:vAlign w:val="center"/>
          </w:tcPr>
          <w:p w14:paraId="2C1EADA1" w14:textId="77777777" w:rsidR="003F2F10" w:rsidRPr="00B83F76" w:rsidRDefault="003F2F10" w:rsidP="006B4FE5">
            <w:pPr>
              <w:pStyle w:val="TableTextEntries"/>
              <w:jc w:val="center"/>
            </w:pPr>
          </w:p>
        </w:tc>
      </w:tr>
      <w:tr w:rsidR="003F2F10" w:rsidRPr="003C4742" w14:paraId="0C359616" w14:textId="77777777" w:rsidTr="006B4FE5">
        <w:trPr>
          <w:cnfStyle w:val="000000010000" w:firstRow="0" w:lastRow="0" w:firstColumn="0" w:lastColumn="0" w:oddVBand="0" w:evenVBand="0" w:oddHBand="0" w:evenHBand="1" w:firstRowFirstColumn="0" w:firstRowLastColumn="0" w:lastRowFirstColumn="0" w:lastRowLastColumn="0"/>
        </w:trPr>
        <w:tc>
          <w:tcPr>
            <w:tcW w:w="7040" w:type="dxa"/>
          </w:tcPr>
          <w:p w14:paraId="4D907BEF" w14:textId="77777777" w:rsidR="003F2F10" w:rsidRPr="00B83F76" w:rsidRDefault="003F2F10" w:rsidP="00B83F76">
            <w:pPr>
              <w:pStyle w:val="TableTextEntries"/>
            </w:pPr>
            <w:r w:rsidRPr="00B83F76">
              <w:t>Strengthened climate resilience for all sectors</w:t>
            </w:r>
          </w:p>
        </w:tc>
        <w:tc>
          <w:tcPr>
            <w:tcW w:w="898" w:type="dxa"/>
            <w:vMerge w:val="restart"/>
            <w:vAlign w:val="center"/>
          </w:tcPr>
          <w:p w14:paraId="3AEF5FA8" w14:textId="5AD57157" w:rsidR="003F2F10" w:rsidRPr="00B83F76" w:rsidRDefault="003F2F10" w:rsidP="006B4FE5">
            <w:pPr>
              <w:pStyle w:val="TableTextEntries"/>
              <w:jc w:val="center"/>
            </w:pPr>
            <w:r w:rsidRPr="00B83F76">
              <w:t>Unable to rate</w:t>
            </w:r>
          </w:p>
        </w:tc>
      </w:tr>
      <w:tr w:rsidR="003F2F10" w:rsidRPr="003C4742" w14:paraId="17533602" w14:textId="77777777" w:rsidTr="00B83F76">
        <w:trPr>
          <w:cnfStyle w:val="000000010000" w:firstRow="0" w:lastRow="0" w:firstColumn="0" w:lastColumn="0" w:oddVBand="0" w:evenVBand="0" w:oddHBand="0" w:evenHBand="1" w:firstRowFirstColumn="0" w:firstRowLastColumn="0" w:lastRowFirstColumn="0" w:lastRowLastColumn="0"/>
        </w:trPr>
        <w:tc>
          <w:tcPr>
            <w:tcW w:w="7040" w:type="dxa"/>
          </w:tcPr>
          <w:p w14:paraId="7ECB8C9A" w14:textId="3F0FBD96" w:rsidR="003F2F10" w:rsidRPr="00B83F76" w:rsidRDefault="003F2F10" w:rsidP="00B83F76">
            <w:pPr>
              <w:pStyle w:val="TableTextEntries"/>
            </w:pPr>
            <w:r w:rsidRPr="00B83F76">
              <w:t xml:space="preserve">    % of population that is highly vulnerable decreases</w:t>
            </w:r>
          </w:p>
        </w:tc>
        <w:tc>
          <w:tcPr>
            <w:tcW w:w="898" w:type="dxa"/>
            <w:vMerge/>
          </w:tcPr>
          <w:p w14:paraId="61DDDC24" w14:textId="77777777" w:rsidR="003F2F10" w:rsidRPr="00B83F76" w:rsidRDefault="003F2F10" w:rsidP="00B83F76">
            <w:pPr>
              <w:pStyle w:val="TableTextEntries"/>
            </w:pPr>
          </w:p>
        </w:tc>
      </w:tr>
    </w:tbl>
    <w:p w14:paraId="1EFFD16F" w14:textId="4DC5EDA9" w:rsidR="003F2F10" w:rsidRDefault="002A12B7" w:rsidP="00B83F76">
      <w:pPr>
        <w:pStyle w:val="Note"/>
      </w:pPr>
      <w:r w:rsidRPr="00A63D4B">
        <w:t>Source:</w:t>
      </w:r>
      <w:r>
        <w:t xml:space="preserve"> </w:t>
      </w:r>
      <w:r w:rsidRPr="002A12B7">
        <w:t xml:space="preserve">Worldwide Governance Indicators, </w:t>
      </w:r>
      <w:r w:rsidRPr="00B83F76">
        <w:rPr>
          <w:i/>
        </w:rPr>
        <w:t>Country Data Report for Samoa, 1996</w:t>
      </w:r>
      <w:r w:rsidR="00FF6F84" w:rsidRPr="00B83F76">
        <w:rPr>
          <w:i/>
        </w:rPr>
        <w:t>–</w:t>
      </w:r>
      <w:r w:rsidRPr="00B83F76">
        <w:rPr>
          <w:i/>
        </w:rPr>
        <w:t>2011</w:t>
      </w:r>
      <w:r w:rsidRPr="002A12B7">
        <w:t>, March 2012</w:t>
      </w:r>
      <w:r>
        <w:t xml:space="preserve">; </w:t>
      </w:r>
      <w:r w:rsidRPr="002A12B7">
        <w:t xml:space="preserve">IMF, </w:t>
      </w:r>
      <w:r w:rsidRPr="00B83F76">
        <w:rPr>
          <w:i/>
        </w:rPr>
        <w:t xml:space="preserve">Samoa </w:t>
      </w:r>
      <w:r w:rsidR="00D47575" w:rsidRPr="00B83F76">
        <w:rPr>
          <w:i/>
        </w:rPr>
        <w:t>r</w:t>
      </w:r>
      <w:r w:rsidRPr="00B83F76">
        <w:rPr>
          <w:i/>
        </w:rPr>
        <w:t>equest for disbursement under the Rapid Credit Facility</w:t>
      </w:r>
      <w:r w:rsidR="00D47575" w:rsidRPr="00B83F76">
        <w:rPr>
          <w:i/>
        </w:rPr>
        <w:t>—d</w:t>
      </w:r>
      <w:r w:rsidRPr="00B83F76">
        <w:rPr>
          <w:i/>
        </w:rPr>
        <w:t xml:space="preserve">ebt </w:t>
      </w:r>
      <w:r w:rsidR="00D47575" w:rsidRPr="00B83F76">
        <w:rPr>
          <w:i/>
        </w:rPr>
        <w:t>s</w:t>
      </w:r>
      <w:r w:rsidRPr="00B83F76">
        <w:rPr>
          <w:i/>
        </w:rPr>
        <w:t xml:space="preserve">ustainability </w:t>
      </w:r>
      <w:r w:rsidR="00D47575" w:rsidRPr="00B83F76">
        <w:rPr>
          <w:i/>
        </w:rPr>
        <w:t>a</w:t>
      </w:r>
      <w:r w:rsidRPr="00B83F76">
        <w:rPr>
          <w:i/>
        </w:rPr>
        <w:t>nalysis</w:t>
      </w:r>
      <w:r w:rsidRPr="008727FA">
        <w:t xml:space="preserve">, 1 May 2013; </w:t>
      </w:r>
      <w:r w:rsidR="008C33CC" w:rsidRPr="008727FA">
        <w:t>Government of Samoa</w:t>
      </w:r>
      <w:r w:rsidRPr="008727FA">
        <w:t xml:space="preserve"> Bureau of Statistics and UNDP</w:t>
      </w:r>
      <w:r w:rsidRPr="00B83F76">
        <w:rPr>
          <w:i/>
        </w:rPr>
        <w:t>, Samoa: a report on the estimation of basic needs poverty lines, and the incidence and characteristics of hardship and poverty</w:t>
      </w:r>
      <w:r w:rsidRPr="002A12B7">
        <w:t>, August 2010</w:t>
      </w:r>
      <w:r w:rsidR="00FF6F84">
        <w:t>.</w:t>
      </w:r>
    </w:p>
    <w:p w14:paraId="58037C5B" w14:textId="77777777" w:rsidR="00B83F76" w:rsidRPr="00B83F76" w:rsidRDefault="00B83F76" w:rsidP="00B83F76">
      <w:pPr>
        <w:pStyle w:val="BodyText"/>
      </w:pPr>
    </w:p>
    <w:p w14:paraId="6FF69F94" w14:textId="7105DD50" w:rsidR="00D201FF" w:rsidRDefault="00D32078" w:rsidP="00D33FDF">
      <w:pPr>
        <w:pStyle w:val="BodyText"/>
      </w:pPr>
      <w:r>
        <w:t>This sector’s rating has declined from ‘green’ to ‘orange’ in</w:t>
      </w:r>
      <w:r w:rsidR="005A7682">
        <w:t xml:space="preserve"> the reporting period.</w:t>
      </w:r>
      <w:r>
        <w:t xml:space="preserve"> While most </w:t>
      </w:r>
      <w:r w:rsidR="00C00A8E">
        <w:t xml:space="preserve">DFAT </w:t>
      </w:r>
      <w:r>
        <w:t xml:space="preserve">programs in the sector are achieving satisfactory results, declining social and economic indicators suggest that programs are not </w:t>
      </w:r>
      <w:r w:rsidR="002205B3">
        <w:t xml:space="preserve">having the impact </w:t>
      </w:r>
      <w:r>
        <w:t xml:space="preserve">expected at outcome level. </w:t>
      </w:r>
    </w:p>
    <w:p w14:paraId="08BDD817" w14:textId="532EB1AD" w:rsidR="00C31F3B" w:rsidRDefault="00D32078" w:rsidP="00D33FDF">
      <w:pPr>
        <w:pStyle w:val="BodyText"/>
      </w:pPr>
      <w:r>
        <w:t xml:space="preserve">A particular challenge for </w:t>
      </w:r>
      <w:r w:rsidR="00FF6F84">
        <w:t xml:space="preserve">Samoa </w:t>
      </w:r>
      <w:r>
        <w:t>is t</w:t>
      </w:r>
      <w:r w:rsidR="00C31F3B">
        <w:t>he rise in the number of people experiencing basic needs poverty. O</w:t>
      </w:r>
      <w:r w:rsidR="003F2F10" w:rsidRPr="003F2F10">
        <w:t>fficials recognise that th</w:t>
      </w:r>
      <w:r w:rsidR="00FF6F84">
        <w:t>is</w:t>
      </w:r>
      <w:r w:rsidR="003F2F10" w:rsidRPr="003F2F10">
        <w:t xml:space="preserve"> group</w:t>
      </w:r>
      <w:r w:rsidR="00FF6F84">
        <w:t xml:space="preserve"> is</w:t>
      </w:r>
      <w:r w:rsidR="003F2F10" w:rsidRPr="003F2F10">
        <w:t xml:space="preserve"> </w:t>
      </w:r>
      <w:r w:rsidR="00244B0A">
        <w:t xml:space="preserve">vulnerable </w:t>
      </w:r>
      <w:r w:rsidR="003F2F10" w:rsidRPr="003F2F10">
        <w:t>to the impacts of climate change</w:t>
      </w:r>
      <w:r w:rsidR="00FF6F84">
        <w:t xml:space="preserve"> and</w:t>
      </w:r>
      <w:r w:rsidR="003F2F10" w:rsidRPr="003F2F10">
        <w:t xml:space="preserve"> have limited access to services</w:t>
      </w:r>
      <w:r w:rsidR="00FF6F84">
        <w:t>. This group also</w:t>
      </w:r>
      <w:r w:rsidR="00D201FF">
        <w:t xml:space="preserve"> </w:t>
      </w:r>
      <w:r w:rsidR="00FF6F84">
        <w:t>has</w:t>
      </w:r>
      <w:r w:rsidR="003F2F10" w:rsidRPr="003F2F10">
        <w:t xml:space="preserve"> </w:t>
      </w:r>
      <w:r w:rsidR="00D201FF">
        <w:t>“</w:t>
      </w:r>
      <w:r w:rsidR="003F2F10" w:rsidRPr="00FF6F84">
        <w:t>to make choices on a daily or weekly basis between competing demands for household expenditure… They are frequently, and occasionally constantly, in debt</w:t>
      </w:r>
      <w:r w:rsidR="00FF6F84" w:rsidRPr="00D201FF">
        <w:t>.</w:t>
      </w:r>
      <w:r w:rsidR="00F00FA4" w:rsidRPr="00FF6F84">
        <w:rPr>
          <w:rStyle w:val="FootnoteReference"/>
        </w:rPr>
        <w:footnoteReference w:id="48"/>
      </w:r>
      <w:r w:rsidR="00D201FF">
        <w:t xml:space="preserve"> </w:t>
      </w:r>
      <w:r w:rsidR="007A3A9F">
        <w:t xml:space="preserve">The effects of </w:t>
      </w:r>
      <w:r w:rsidR="00C31F3B" w:rsidRPr="00FF6F84">
        <w:t>Cyclone</w:t>
      </w:r>
      <w:r w:rsidR="00C31F3B">
        <w:t xml:space="preserve"> Evan will increase these pressures. The disaster </w:t>
      </w:r>
      <w:r w:rsidR="00C31F3B" w:rsidRPr="00C31F3B">
        <w:t xml:space="preserve">caused losses of nearly 9600 equivalent jobs and </w:t>
      </w:r>
      <w:r w:rsidR="00792D18">
        <w:t xml:space="preserve">cut </w:t>
      </w:r>
      <w:r w:rsidR="00C31F3B" w:rsidRPr="00C31F3B">
        <w:t>income</w:t>
      </w:r>
      <w:r w:rsidR="00792D18">
        <w:t>s</w:t>
      </w:r>
      <w:r w:rsidR="00C31F3B" w:rsidRPr="00C31F3B">
        <w:t xml:space="preserve"> in the agriculture sector</w:t>
      </w:r>
      <w:r w:rsidR="00FF6F84">
        <w:t xml:space="preserve"> alone</w:t>
      </w:r>
      <w:r w:rsidR="00C31F3B" w:rsidRPr="00C31F3B">
        <w:t xml:space="preserve"> by up to 49 per cen</w:t>
      </w:r>
      <w:r w:rsidR="00C31F3B">
        <w:t>t</w:t>
      </w:r>
      <w:r w:rsidR="00DA1ABF">
        <w:t>.</w:t>
      </w:r>
      <w:r w:rsidR="00CD6667">
        <w:rPr>
          <w:rStyle w:val="FootnoteReference"/>
        </w:rPr>
        <w:footnoteReference w:id="49"/>
      </w:r>
      <w:r w:rsidR="00C31F3B" w:rsidRPr="00C31F3B">
        <w:t xml:space="preserve"> </w:t>
      </w:r>
      <w:r w:rsidR="00FF6F84">
        <w:t xml:space="preserve">The </w:t>
      </w:r>
      <w:r w:rsidR="008C33CC">
        <w:t>Government of Samoa</w:t>
      </w:r>
      <w:r w:rsidR="00FF6F84">
        <w:t xml:space="preserve"> could do m</w:t>
      </w:r>
      <w:r w:rsidR="00C31F3B" w:rsidRPr="00C31F3B">
        <w:t>ore to adjust policy and programs in light of the evidence o</w:t>
      </w:r>
      <w:r w:rsidR="00FF6F84">
        <w:t>n</w:t>
      </w:r>
      <w:r w:rsidR="00C31F3B" w:rsidRPr="00C31F3B">
        <w:t xml:space="preserve"> growing vulnerability</w:t>
      </w:r>
      <w:r w:rsidR="00DA1ABF">
        <w:t>.</w:t>
      </w:r>
      <w:r w:rsidR="00C31F3B" w:rsidRPr="00C31F3B">
        <w:rPr>
          <w:vertAlign w:val="superscript"/>
        </w:rPr>
        <w:footnoteReference w:id="50"/>
      </w:r>
    </w:p>
    <w:p w14:paraId="08795B7A" w14:textId="4D9FC8D4" w:rsidR="00CD6667" w:rsidRPr="002A4ACF" w:rsidRDefault="00C31F3B" w:rsidP="00D33FDF">
      <w:pPr>
        <w:pStyle w:val="BodyText"/>
      </w:pPr>
      <w:r w:rsidRPr="00C31F3B">
        <w:t xml:space="preserve">Despite </w:t>
      </w:r>
      <w:r w:rsidR="00FF6F84">
        <w:t>experiencing a</w:t>
      </w:r>
      <w:r w:rsidRPr="00C31F3B">
        <w:t xml:space="preserve"> series of economic shocks, Samoa has maintained</w:t>
      </w:r>
      <w:r w:rsidR="00A85F91">
        <w:t xml:space="preserve"> </w:t>
      </w:r>
      <w:r w:rsidR="00FF6F84">
        <w:t>sound</w:t>
      </w:r>
      <w:r w:rsidRPr="00C31F3B">
        <w:t xml:space="preserve"> macroeconomic policies</w:t>
      </w:r>
      <w:r w:rsidR="00FF6F84">
        <w:t xml:space="preserve"> overall</w:t>
      </w:r>
      <w:r w:rsidRPr="00C31F3B">
        <w:t xml:space="preserve">. But, as raised earlier in this </w:t>
      </w:r>
      <w:r w:rsidR="00412611">
        <w:t>APPR</w:t>
      </w:r>
      <w:r w:rsidRPr="00C31F3B">
        <w:t xml:space="preserve">, rising </w:t>
      </w:r>
      <w:r w:rsidR="00A5132D">
        <w:t>public</w:t>
      </w:r>
      <w:r w:rsidR="00C83A68">
        <w:t xml:space="preserve"> </w:t>
      </w:r>
      <w:r w:rsidRPr="00C31F3B">
        <w:t>debt levels</w:t>
      </w:r>
      <w:r w:rsidR="002A4ACF">
        <w:t>, including those of state-owned enterprises,</w:t>
      </w:r>
      <w:r w:rsidR="002A4ACF" w:rsidRPr="00C31F3B">
        <w:t xml:space="preserve"> </w:t>
      </w:r>
      <w:r w:rsidR="004152C6">
        <w:t>are</w:t>
      </w:r>
      <w:r w:rsidR="004152C6" w:rsidRPr="00C31F3B">
        <w:t xml:space="preserve"> now major economic risks</w:t>
      </w:r>
      <w:r w:rsidR="002A4ACF" w:rsidRPr="00C31F3B">
        <w:t xml:space="preserve">. </w:t>
      </w:r>
      <w:r w:rsidR="00A5132D" w:rsidRPr="00C31F3B">
        <w:t>Samoa</w:t>
      </w:r>
      <w:r w:rsidR="00A5132D">
        <w:t xml:space="preserve"> </w:t>
      </w:r>
      <w:r w:rsidR="00A5132D" w:rsidRPr="00C31F3B">
        <w:t>made progress towards privati</w:t>
      </w:r>
      <w:r w:rsidR="00FF6F84">
        <w:t>sing</w:t>
      </w:r>
      <w:r w:rsidR="00A5132D" w:rsidRPr="00C31F3B">
        <w:t xml:space="preserve"> </w:t>
      </w:r>
      <w:r w:rsidR="00A5132D">
        <w:t>two small public enterprises in 2012</w:t>
      </w:r>
      <w:r w:rsidR="00DA1ABF">
        <w:t>–</w:t>
      </w:r>
      <w:r w:rsidR="00A5132D">
        <w:t>13</w:t>
      </w:r>
      <w:r w:rsidR="00D201FF">
        <w:t>.</w:t>
      </w:r>
      <w:r w:rsidR="00881861">
        <w:t xml:space="preserve"> I</w:t>
      </w:r>
      <w:r w:rsidR="00A5132D">
        <w:t>n late 2012</w:t>
      </w:r>
      <w:r w:rsidR="00A215AB">
        <w:t>,</w:t>
      </w:r>
      <w:r w:rsidR="00A5132D">
        <w:t xml:space="preserve"> </w:t>
      </w:r>
      <w:r w:rsidR="00881861">
        <w:t xml:space="preserve">however, the </w:t>
      </w:r>
      <w:r w:rsidR="008C33CC">
        <w:t>Government of Samoa</w:t>
      </w:r>
      <w:r w:rsidR="00A5132D">
        <w:t xml:space="preserve"> </w:t>
      </w:r>
      <w:r w:rsidR="00881861">
        <w:t xml:space="preserve">bought </w:t>
      </w:r>
      <w:r w:rsidR="00A5132D">
        <w:t>a loss</w:t>
      </w:r>
      <w:r w:rsidR="007A3A9F">
        <w:t>-</w:t>
      </w:r>
      <w:r w:rsidR="00A5132D">
        <w:t>making shipping line</w:t>
      </w:r>
      <w:r w:rsidR="007737ED">
        <w:t>.</w:t>
      </w:r>
      <w:r w:rsidR="00A215AB">
        <w:t xml:space="preserve"> </w:t>
      </w:r>
      <w:r w:rsidR="00A5132D">
        <w:t>Several</w:t>
      </w:r>
      <w:r w:rsidR="00A5132D" w:rsidRPr="00C31F3B">
        <w:t xml:space="preserve"> </w:t>
      </w:r>
      <w:r w:rsidR="00A5132D">
        <w:t xml:space="preserve">other </w:t>
      </w:r>
      <w:r w:rsidR="00A5132D" w:rsidRPr="00C31F3B">
        <w:t>important reforms</w:t>
      </w:r>
      <w:r w:rsidR="00A5132D">
        <w:t xml:space="preserve"> </w:t>
      </w:r>
      <w:r w:rsidR="002A4ACF">
        <w:t>are required</w:t>
      </w:r>
      <w:r w:rsidRPr="00C31F3B">
        <w:t xml:space="preserve"> to achieve full compliance with the </w:t>
      </w:r>
      <w:r w:rsidR="003D0DDA">
        <w:t xml:space="preserve">Public Bodies </w:t>
      </w:r>
      <w:r w:rsidRPr="00C31F3B">
        <w:t xml:space="preserve">Act </w:t>
      </w:r>
      <w:r w:rsidR="003D0DDA">
        <w:t xml:space="preserve">2001 </w:t>
      </w:r>
      <w:r w:rsidRPr="00C31F3B">
        <w:t>and improve return</w:t>
      </w:r>
      <w:r w:rsidR="003D0DDA">
        <w:t>s on equity</w:t>
      </w:r>
      <w:r w:rsidR="00DA1ABF">
        <w:t>.</w:t>
      </w:r>
      <w:r w:rsidR="00CD6667">
        <w:rPr>
          <w:rStyle w:val="FootnoteReference"/>
        </w:rPr>
        <w:footnoteReference w:id="51"/>
      </w:r>
      <w:r w:rsidR="003D0DDA">
        <w:t xml:space="preserve"> </w:t>
      </w:r>
    </w:p>
    <w:p w14:paraId="2FBF793E" w14:textId="0C6CF1CC" w:rsidR="00C31F3B" w:rsidRDefault="008C7051" w:rsidP="00D33FDF">
      <w:pPr>
        <w:pStyle w:val="BodyText"/>
      </w:pPr>
      <w:r w:rsidRPr="008C7051">
        <w:t>Samoa continue</w:t>
      </w:r>
      <w:r w:rsidR="00881861">
        <w:t>s</w:t>
      </w:r>
      <w:r w:rsidRPr="008C7051">
        <w:t xml:space="preserve"> to pursue</w:t>
      </w:r>
      <w:r w:rsidR="00792D18">
        <w:t xml:space="preserve"> important</w:t>
      </w:r>
      <w:r w:rsidRPr="008C7051">
        <w:t xml:space="preserve"> </w:t>
      </w:r>
      <w:r>
        <w:t>public financial management (</w:t>
      </w:r>
      <w:r w:rsidRPr="008C7051">
        <w:t>PFM</w:t>
      </w:r>
      <w:r>
        <w:t>)</w:t>
      </w:r>
      <w:r w:rsidRPr="008C7051">
        <w:t xml:space="preserve"> reforms through</w:t>
      </w:r>
      <w:r w:rsidR="00881861">
        <w:t xml:space="preserve"> its</w:t>
      </w:r>
      <w:r w:rsidRPr="008C7051">
        <w:t xml:space="preserve"> PFM Reform Plan 201</w:t>
      </w:r>
      <w:r w:rsidR="00792D18">
        <w:t>1</w:t>
      </w:r>
      <w:r w:rsidR="00DA1ABF">
        <w:t>–</w:t>
      </w:r>
      <w:r>
        <w:t>1</w:t>
      </w:r>
      <w:r w:rsidR="00792D18">
        <w:t>3</w:t>
      </w:r>
      <w:r w:rsidR="007737ED">
        <w:t xml:space="preserve">. </w:t>
      </w:r>
      <w:r w:rsidR="00792D18">
        <w:t xml:space="preserve">This </w:t>
      </w:r>
      <w:r w:rsidR="00881861">
        <w:t>is being</w:t>
      </w:r>
      <w:r w:rsidR="00792D18">
        <w:t xml:space="preserve"> </w:t>
      </w:r>
      <w:r w:rsidRPr="008C7051">
        <w:t xml:space="preserve">led </w:t>
      </w:r>
      <w:r w:rsidR="00792D18">
        <w:t xml:space="preserve">capably </w:t>
      </w:r>
      <w:r w:rsidRPr="008C7051">
        <w:t xml:space="preserve">by the Ministry of Finance. During the </w:t>
      </w:r>
      <w:r w:rsidR="00881861">
        <w:t xml:space="preserve">reporting </w:t>
      </w:r>
      <w:r w:rsidRPr="008C7051">
        <w:t xml:space="preserve">year, </w:t>
      </w:r>
      <w:r w:rsidR="008C2716">
        <w:t>Australia</w:t>
      </w:r>
      <w:r w:rsidRPr="008C7051">
        <w:t xml:space="preserve"> and </w:t>
      </w:r>
      <w:r>
        <w:t xml:space="preserve">the </w:t>
      </w:r>
      <w:r w:rsidRPr="008727FA">
        <w:t>Ministry</w:t>
      </w:r>
      <w:r w:rsidR="008727FA" w:rsidRPr="008727FA">
        <w:t xml:space="preserve"> o</w:t>
      </w:r>
      <w:r w:rsidR="008727FA">
        <w:t>f Finance</w:t>
      </w:r>
      <w:r w:rsidRPr="008C7051">
        <w:t xml:space="preserve"> conducted three PFM and procurement sector assessments. The</w:t>
      </w:r>
      <w:r w:rsidR="00881861">
        <w:t>se</w:t>
      </w:r>
      <w:r w:rsidRPr="008C7051">
        <w:t xml:space="preserve"> pointed to the urgent need for Samoa to roll out a legal framework for government procurement</w:t>
      </w:r>
      <w:r w:rsidR="00881861">
        <w:t>. The assessments also pointed</w:t>
      </w:r>
      <w:r w:rsidRPr="008C7051">
        <w:t xml:space="preserve"> to specific PFM concerns in individual agencies. </w:t>
      </w:r>
      <w:r w:rsidR="00C00A8E">
        <w:t>DFAT</w:t>
      </w:r>
      <w:r w:rsidR="00E8100A">
        <w:t xml:space="preserve"> </w:t>
      </w:r>
      <w:r w:rsidRPr="008C7051">
        <w:t xml:space="preserve">and </w:t>
      </w:r>
      <w:r w:rsidR="008C33CC">
        <w:t>Government of Samoa</w:t>
      </w:r>
      <w:r w:rsidRPr="008C7051">
        <w:t xml:space="preserve"> officials </w:t>
      </w:r>
      <w:r>
        <w:t>are</w:t>
      </w:r>
      <w:r w:rsidRPr="008C7051">
        <w:t xml:space="preserve"> address</w:t>
      </w:r>
      <w:r>
        <w:t>ing</w:t>
      </w:r>
      <w:r w:rsidRPr="008C7051">
        <w:t xml:space="preserve"> assessment recommendations through </w:t>
      </w:r>
      <w:r>
        <w:t xml:space="preserve">support to the PFM </w:t>
      </w:r>
      <w:r w:rsidR="007A3A9F">
        <w:t>r</w:t>
      </w:r>
      <w:r>
        <w:t xml:space="preserve">eform </w:t>
      </w:r>
      <w:r w:rsidR="007A3A9F">
        <w:t>p</w:t>
      </w:r>
      <w:r>
        <w:t xml:space="preserve">lan </w:t>
      </w:r>
      <w:r w:rsidRPr="008C7051">
        <w:t>and individual sector programs</w:t>
      </w:r>
      <w:r>
        <w:t xml:space="preserve">. </w:t>
      </w:r>
    </w:p>
    <w:p w14:paraId="642969FF" w14:textId="77777777" w:rsidR="003F2F10" w:rsidRPr="00D17249" w:rsidRDefault="003F2F10" w:rsidP="00D33FDF">
      <w:pPr>
        <w:pStyle w:val="Heading3"/>
      </w:pPr>
      <w:r>
        <w:t>Program performance</w:t>
      </w:r>
    </w:p>
    <w:p w14:paraId="28BD18DA" w14:textId="62E9092C" w:rsidR="00881861" w:rsidRDefault="008C7051" w:rsidP="00D33FDF">
      <w:pPr>
        <w:pStyle w:val="BodyText"/>
      </w:pPr>
      <w:r w:rsidRPr="008C7051">
        <w:t xml:space="preserve">Australia has assisted Samoa to </w:t>
      </w:r>
      <w:r>
        <w:t>reduce</w:t>
      </w:r>
      <w:r w:rsidRPr="008C7051">
        <w:t xml:space="preserve"> the economic impact of successive natural disasters and external economic shocks though </w:t>
      </w:r>
      <w:r w:rsidRPr="00881861">
        <w:t xml:space="preserve">the </w:t>
      </w:r>
      <w:r w:rsidRPr="00D201FF">
        <w:rPr>
          <w:b/>
        </w:rPr>
        <w:t xml:space="preserve">Joint </w:t>
      </w:r>
      <w:r w:rsidRPr="008727FA">
        <w:rPr>
          <w:b/>
        </w:rPr>
        <w:t>Policy Action Matrix</w:t>
      </w:r>
      <w:r w:rsidR="007737ED">
        <w:t xml:space="preserve">. </w:t>
      </w:r>
      <w:r w:rsidRPr="008C7051">
        <w:t xml:space="preserve">Through this program, also supported by the </w:t>
      </w:r>
      <w:r w:rsidR="00881861">
        <w:t xml:space="preserve">ADB, </w:t>
      </w:r>
      <w:r w:rsidRPr="008C7051">
        <w:t>World Bank and New Zealand, Australia provide</w:t>
      </w:r>
      <w:r>
        <w:t>s budget support</w:t>
      </w:r>
      <w:r w:rsidRPr="008C7051">
        <w:t xml:space="preserve"> funds </w:t>
      </w:r>
      <w:r>
        <w:t xml:space="preserve">to enable </w:t>
      </w:r>
      <w:r w:rsidR="002630E1">
        <w:t xml:space="preserve">the </w:t>
      </w:r>
      <w:r w:rsidR="008C33CC">
        <w:t>Government of Samoa</w:t>
      </w:r>
      <w:r>
        <w:t xml:space="preserve"> to meet core</w:t>
      </w:r>
      <w:r w:rsidRPr="008C7051">
        <w:t xml:space="preserve"> costs </w:t>
      </w:r>
      <w:r>
        <w:t>a</w:t>
      </w:r>
      <w:r w:rsidR="00881861">
        <w:t>nd</w:t>
      </w:r>
      <w:r>
        <w:t xml:space="preserve"> maintain macro</w:t>
      </w:r>
      <w:r w:rsidRPr="008C7051">
        <w:t xml:space="preserve">economic stability. </w:t>
      </w:r>
      <w:r w:rsidR="00866C00">
        <w:t xml:space="preserve">The </w:t>
      </w:r>
      <w:r w:rsidR="00881861">
        <w:t>m</w:t>
      </w:r>
      <w:r w:rsidR="00866C00">
        <w:t xml:space="preserve">atrix </w:t>
      </w:r>
      <w:r w:rsidR="00647EF2">
        <w:t>enables</w:t>
      </w:r>
      <w:r w:rsidR="00866C00">
        <w:t xml:space="preserve"> </w:t>
      </w:r>
      <w:r w:rsidR="00C00A8E">
        <w:t xml:space="preserve">DFAT </w:t>
      </w:r>
      <w:r w:rsidR="00866C00">
        <w:t xml:space="preserve">and other development partners to engage in policy </w:t>
      </w:r>
      <w:r w:rsidR="00881861">
        <w:t xml:space="preserve">discussion </w:t>
      </w:r>
      <w:r w:rsidR="00866C00">
        <w:t xml:space="preserve">with </w:t>
      </w:r>
      <w:r w:rsidR="008C33CC">
        <w:t xml:space="preserve">Government of </w:t>
      </w:r>
      <w:r w:rsidR="008C33CC" w:rsidRPr="008727FA">
        <w:t>Samoa</w:t>
      </w:r>
      <w:r w:rsidR="00866C00">
        <w:t xml:space="preserve"> </w:t>
      </w:r>
      <w:r w:rsidR="00881861">
        <w:t xml:space="preserve">ministers and other </w:t>
      </w:r>
      <w:r w:rsidR="00866C00">
        <w:t>officials on macroeconomic issues.</w:t>
      </w:r>
      <w:r w:rsidRPr="008C7051">
        <w:t xml:space="preserve"> </w:t>
      </w:r>
      <w:r w:rsidR="00647EF2">
        <w:t>During the reporting year f</w:t>
      </w:r>
      <w:r w:rsidRPr="008C7051">
        <w:t xml:space="preserve">unds were disbursed </w:t>
      </w:r>
      <w:r w:rsidR="00881861">
        <w:t xml:space="preserve">based </w:t>
      </w:r>
      <w:r w:rsidRPr="008C7051">
        <w:t xml:space="preserve">on a positive assessment of </w:t>
      </w:r>
      <w:r w:rsidR="00881861">
        <w:t xml:space="preserve">the quality of </w:t>
      </w:r>
      <w:r w:rsidRPr="008C7051">
        <w:t xml:space="preserve">Samoa’s macroeconomic management </w:t>
      </w:r>
      <w:r>
        <w:t>and</w:t>
      </w:r>
      <w:r w:rsidRPr="008C7051">
        <w:t xml:space="preserve"> </w:t>
      </w:r>
      <w:r w:rsidR="00881861">
        <w:t xml:space="preserve">its performance on reaching </w:t>
      </w:r>
      <w:r w:rsidRPr="008C7051">
        <w:t xml:space="preserve">PFM and economic reform targets. </w:t>
      </w:r>
      <w:r>
        <w:t>In 2012</w:t>
      </w:r>
      <w:r w:rsidR="00DA1ABF">
        <w:t>–</w:t>
      </w:r>
      <w:r>
        <w:t>13</w:t>
      </w:r>
      <w:r w:rsidR="00881861">
        <w:t>,</w:t>
      </w:r>
      <w:r>
        <w:t xml:space="preserve"> </w:t>
      </w:r>
      <w:r w:rsidRPr="008C7051">
        <w:t xml:space="preserve">Samoa met 90 per cent of the targets, </w:t>
      </w:r>
      <w:r w:rsidR="007933ED">
        <w:t xml:space="preserve">leading to </w:t>
      </w:r>
      <w:r w:rsidR="008C2716">
        <w:t>Australia</w:t>
      </w:r>
      <w:r w:rsidR="00881861">
        <w:t xml:space="preserve"> releasing</w:t>
      </w:r>
      <w:r w:rsidR="007933ED">
        <w:t xml:space="preserve"> $9.62 </w:t>
      </w:r>
      <w:r w:rsidRPr="008C7051">
        <w:t>million of a possible $10 million</w:t>
      </w:r>
      <w:r w:rsidR="00881861">
        <w:t xml:space="preserve"> in fund</w:t>
      </w:r>
      <w:r w:rsidR="00647EF2">
        <w:t>s</w:t>
      </w:r>
      <w:r w:rsidR="00DA1ABF">
        <w:t>.</w:t>
      </w:r>
      <w:r w:rsidR="00CD6667">
        <w:rPr>
          <w:rStyle w:val="FootnoteReference"/>
        </w:rPr>
        <w:footnoteReference w:id="52"/>
      </w:r>
      <w:r w:rsidRPr="008C7051">
        <w:t xml:space="preserve"> </w:t>
      </w:r>
    </w:p>
    <w:p w14:paraId="3A531BB0" w14:textId="3B1AFCD2" w:rsidR="008C7051" w:rsidRDefault="00881861" w:rsidP="00D33FDF">
      <w:pPr>
        <w:pStyle w:val="BodyText"/>
      </w:pPr>
      <w:r>
        <w:t>Specific r</w:t>
      </w:r>
      <w:r w:rsidR="008C7051" w:rsidRPr="008C7051">
        <w:t>eform achievements</w:t>
      </w:r>
      <w:r>
        <w:t xml:space="preserve"> in 2012–13</w:t>
      </w:r>
      <w:r w:rsidR="008C7051" w:rsidRPr="008C7051">
        <w:t xml:space="preserve"> included</w:t>
      </w:r>
      <w:r w:rsidR="008C7051">
        <w:t>:</w:t>
      </w:r>
    </w:p>
    <w:p w14:paraId="580A3EB1" w14:textId="7D1175B5" w:rsidR="00D32169" w:rsidRPr="00D32169" w:rsidRDefault="00DA1ABF" w:rsidP="00D33FDF">
      <w:pPr>
        <w:pStyle w:val="ListBullet"/>
      </w:pPr>
      <w:r>
        <w:t>i</w:t>
      </w:r>
      <w:r w:rsidR="00D32169" w:rsidRPr="00D32169">
        <w:t xml:space="preserve">mproved management of </w:t>
      </w:r>
      <w:r w:rsidR="00CD6667">
        <w:t>state</w:t>
      </w:r>
      <w:r w:rsidR="00881861">
        <w:t>-</w:t>
      </w:r>
      <w:r w:rsidR="00CD6667">
        <w:t>owned e</w:t>
      </w:r>
      <w:r w:rsidR="00F00FA4">
        <w:t>nterprises</w:t>
      </w:r>
      <w:r w:rsidR="00D32169" w:rsidRPr="00D32169">
        <w:t xml:space="preserve"> though removal of most </w:t>
      </w:r>
      <w:r w:rsidR="008C33CC">
        <w:t>Government of Samoa</w:t>
      </w:r>
      <w:r w:rsidR="00D32169" w:rsidRPr="00D32169">
        <w:t xml:space="preserve"> officials from Board</w:t>
      </w:r>
      <w:r w:rsidR="00881861">
        <w:t xml:space="preserve"> positions</w:t>
      </w:r>
      <w:r w:rsidR="00D32169" w:rsidRPr="00D32169">
        <w:t xml:space="preserve"> and provision of training to new </w:t>
      </w:r>
      <w:r w:rsidR="00881861">
        <w:t xml:space="preserve">Board </w:t>
      </w:r>
      <w:r>
        <w:t>d</w:t>
      </w:r>
      <w:r w:rsidR="00D32169" w:rsidRPr="00D32169">
        <w:t>irectors</w:t>
      </w:r>
    </w:p>
    <w:p w14:paraId="1C13E086" w14:textId="4C807F41" w:rsidR="00D32169" w:rsidRPr="00D32169" w:rsidRDefault="00DA1ABF" w:rsidP="00D33FDF">
      <w:pPr>
        <w:pStyle w:val="ListBullet"/>
      </w:pPr>
      <w:r>
        <w:t>i</w:t>
      </w:r>
      <w:r w:rsidR="00D32169" w:rsidRPr="00D32169">
        <w:t xml:space="preserve">mproved </w:t>
      </w:r>
      <w:r w:rsidR="00792D18">
        <w:t xml:space="preserve">auditing, accounting, </w:t>
      </w:r>
      <w:r w:rsidR="00D32169" w:rsidRPr="00D32169">
        <w:t xml:space="preserve">budget planning and coordination across central </w:t>
      </w:r>
      <w:r>
        <w:t>m</w:t>
      </w:r>
      <w:r w:rsidR="00D32169" w:rsidRPr="00D32169">
        <w:t>inistries</w:t>
      </w:r>
    </w:p>
    <w:p w14:paraId="41992E73" w14:textId="6666216A" w:rsidR="00D32169" w:rsidRPr="00D32169" w:rsidRDefault="00DA1ABF" w:rsidP="00D33FDF">
      <w:pPr>
        <w:pStyle w:val="ListBullet"/>
      </w:pPr>
      <w:proofErr w:type="gramStart"/>
      <w:r>
        <w:t>s</w:t>
      </w:r>
      <w:r w:rsidR="00D32169" w:rsidRPr="00D32169">
        <w:t>ubmission</w:t>
      </w:r>
      <w:proofErr w:type="gramEnd"/>
      <w:r w:rsidR="00D32169" w:rsidRPr="00D32169">
        <w:t xml:space="preserve"> of a concept paper on vulnerable groups</w:t>
      </w:r>
      <w:r w:rsidR="00881861">
        <w:t xml:space="preserve"> in Samoa,</w:t>
      </w:r>
      <w:r w:rsidR="00244B0A">
        <w:t xml:space="preserve"> including youth, people with disabilit</w:t>
      </w:r>
      <w:r w:rsidR="00881861">
        <w:t>y</w:t>
      </w:r>
      <w:r w:rsidR="00244B0A">
        <w:t xml:space="preserve"> and women,</w:t>
      </w:r>
      <w:r w:rsidR="00D32169" w:rsidRPr="00D32169">
        <w:t xml:space="preserve"> </w:t>
      </w:r>
      <w:r w:rsidR="00881861">
        <w:t>with</w:t>
      </w:r>
      <w:r w:rsidR="00881861" w:rsidRPr="00D32169">
        <w:t xml:space="preserve"> </w:t>
      </w:r>
      <w:r w:rsidR="00D32169" w:rsidRPr="00D32169">
        <w:t xml:space="preserve">potential policy responses </w:t>
      </w:r>
      <w:r w:rsidR="00881861">
        <w:t xml:space="preserve">presented </w:t>
      </w:r>
      <w:r w:rsidR="00D32169" w:rsidRPr="00D32169">
        <w:t>to Cabinet</w:t>
      </w:r>
      <w:r>
        <w:t>.</w:t>
      </w:r>
      <w:r w:rsidR="00D32169" w:rsidRPr="00D32169">
        <w:t xml:space="preserve"> </w:t>
      </w:r>
    </w:p>
    <w:p w14:paraId="56AD5B18" w14:textId="6E834B37" w:rsidR="00D32169" w:rsidRPr="00D32169" w:rsidRDefault="00D32169" w:rsidP="00D33FDF">
      <w:pPr>
        <w:pStyle w:val="BodyText"/>
      </w:pPr>
      <w:r w:rsidRPr="00D32169">
        <w:t>In late 2013</w:t>
      </w:r>
      <w:r w:rsidR="00881861">
        <w:t>,</w:t>
      </w:r>
      <w:r w:rsidRPr="00D32169">
        <w:t xml:space="preserve"> a number of national PFM assessments will take place, led by the Ministry of Finance. These will provide evidence of the outcomes of </w:t>
      </w:r>
      <w:r w:rsidR="008C2716">
        <w:t>the Australian aid program</w:t>
      </w:r>
      <w:r w:rsidRPr="00D32169">
        <w:t>’s support to PFM reform and guid</w:t>
      </w:r>
      <w:r w:rsidR="00881861">
        <w:t>e</w:t>
      </w:r>
      <w:r w:rsidRPr="00D32169">
        <w:t xml:space="preserve"> the content of the next phase of reforms. </w:t>
      </w:r>
    </w:p>
    <w:p w14:paraId="12A68635" w14:textId="77777777" w:rsidR="004152C6" w:rsidRDefault="00647EF2" w:rsidP="00D33FDF">
      <w:pPr>
        <w:pStyle w:val="BodyText"/>
      </w:pPr>
      <w:r>
        <w:t xml:space="preserve">The </w:t>
      </w:r>
      <w:r w:rsidRPr="00D201FF">
        <w:rPr>
          <w:b/>
        </w:rPr>
        <w:t xml:space="preserve">Public Sector Improvement </w:t>
      </w:r>
      <w:r w:rsidRPr="004152C6">
        <w:rPr>
          <w:b/>
        </w:rPr>
        <w:t xml:space="preserve">Facility (PSIF) </w:t>
      </w:r>
      <w:r w:rsidR="00D32169" w:rsidRPr="00D32169">
        <w:t>has entered its final year of implementation. Started in 2005</w:t>
      </w:r>
      <w:r>
        <w:t xml:space="preserve"> and</w:t>
      </w:r>
      <w:r w:rsidR="00D32169" w:rsidRPr="00D32169">
        <w:t xml:space="preserve"> funded by </w:t>
      </w:r>
      <w:r>
        <w:t>Australia and New</w:t>
      </w:r>
      <w:r w:rsidR="00D201FF">
        <w:t xml:space="preserve"> Zealand</w:t>
      </w:r>
      <w:r w:rsidR="00D32169" w:rsidRPr="00D32169">
        <w:t xml:space="preserve">, the </w:t>
      </w:r>
      <w:r w:rsidR="00FC3797">
        <w:t>f</w:t>
      </w:r>
      <w:r w:rsidR="00D32169" w:rsidRPr="00D32169">
        <w:t xml:space="preserve">acility has funded 35 projects across 16 </w:t>
      </w:r>
      <w:r w:rsidR="00FC3797">
        <w:t>m</w:t>
      </w:r>
      <w:r w:rsidR="00D32169" w:rsidRPr="00D32169">
        <w:t xml:space="preserve">inistries and </w:t>
      </w:r>
      <w:r w:rsidR="00FC3797">
        <w:t>a</w:t>
      </w:r>
      <w:r w:rsidR="00D32169" w:rsidRPr="00D32169">
        <w:t>gencies</w:t>
      </w:r>
      <w:r>
        <w:t xml:space="preserve"> in Samoa</w:t>
      </w:r>
      <w:r w:rsidR="00D32169" w:rsidRPr="00D32169">
        <w:t xml:space="preserve">. An </w:t>
      </w:r>
      <w:r w:rsidR="00FC3797">
        <w:t>e</w:t>
      </w:r>
      <w:r w:rsidR="00D32169" w:rsidRPr="00D32169">
        <w:t>nd</w:t>
      </w:r>
      <w:r w:rsidR="00FC3797">
        <w:t>-</w:t>
      </w:r>
      <w:r w:rsidR="00D32169" w:rsidRPr="00D32169">
        <w:t>of</w:t>
      </w:r>
      <w:r w:rsidR="00FC3797">
        <w:t>-</w:t>
      </w:r>
      <w:r w:rsidR="00D32169" w:rsidRPr="00D32169">
        <w:t xml:space="preserve"> </w:t>
      </w:r>
      <w:r w:rsidR="00FC3797">
        <w:t>p</w:t>
      </w:r>
      <w:r w:rsidR="00D32169" w:rsidRPr="00D32169">
        <w:t xml:space="preserve">rogram report </w:t>
      </w:r>
      <w:r>
        <w:t>concluded</w:t>
      </w:r>
      <w:r w:rsidR="00D32169" w:rsidRPr="00D32169">
        <w:t xml:space="preserve"> that these projects </w:t>
      </w:r>
      <w:r w:rsidR="008C7051">
        <w:t>broadly</w:t>
      </w:r>
      <w:r w:rsidR="008C7051" w:rsidRPr="008C7051">
        <w:t xml:space="preserve"> improved the ability of the Samoan public sector to meet the objectives of the SDS</w:t>
      </w:r>
      <w:r w:rsidR="008C7051">
        <w:t>,</w:t>
      </w:r>
      <w:r w:rsidR="008C7051" w:rsidRPr="008C7051">
        <w:t xml:space="preserve"> sector and corporate plans</w:t>
      </w:r>
      <w:r w:rsidR="008C7051">
        <w:t xml:space="preserve">. </w:t>
      </w:r>
    </w:p>
    <w:p w14:paraId="534CDA59" w14:textId="197769A9" w:rsidR="00D32169" w:rsidRPr="00D32169" w:rsidRDefault="00647EF2" w:rsidP="00D33FDF">
      <w:pPr>
        <w:pStyle w:val="BodyText"/>
      </w:pPr>
      <w:r>
        <w:t>T</w:t>
      </w:r>
      <w:r w:rsidR="008C7051">
        <w:t>he review</w:t>
      </w:r>
      <w:r>
        <w:t xml:space="preserve"> also concluded </w:t>
      </w:r>
      <w:r w:rsidR="00D32169" w:rsidRPr="00D32169">
        <w:t>that</w:t>
      </w:r>
      <w:r>
        <w:t xml:space="preserve"> PSIF’s</w:t>
      </w:r>
      <w:r w:rsidR="00D32169" w:rsidRPr="00D32169">
        <w:t xml:space="preserve"> overall impact was difficult to articulate given </w:t>
      </w:r>
      <w:r>
        <w:t>the</w:t>
      </w:r>
      <w:r w:rsidR="00D32169" w:rsidRPr="00D32169">
        <w:t xml:space="preserve"> lack of monitoring and evaluation by the </w:t>
      </w:r>
      <w:r>
        <w:t>f</w:t>
      </w:r>
      <w:r w:rsidR="00D32169" w:rsidRPr="00D32169">
        <w:t>acility</w:t>
      </w:r>
      <w:r w:rsidR="00FC3797">
        <w:t>.</w:t>
      </w:r>
      <w:r w:rsidR="00CD6667">
        <w:rPr>
          <w:rStyle w:val="FootnoteReference"/>
        </w:rPr>
        <w:footnoteReference w:id="53"/>
      </w:r>
      <w:r w:rsidR="00D32169" w:rsidRPr="00D32169">
        <w:t xml:space="preserve"> While </w:t>
      </w:r>
      <w:r w:rsidR="008C33CC">
        <w:t>Government of Samoa</w:t>
      </w:r>
      <w:r w:rsidR="00D32169" w:rsidRPr="00D32169">
        <w:t xml:space="preserve">-led selection of projects resulted in greater value for money and ownership, </w:t>
      </w:r>
      <w:r>
        <w:t>the absence</w:t>
      </w:r>
      <w:r w:rsidR="00D32169" w:rsidRPr="00D32169">
        <w:t xml:space="preserve"> of clear public sector reform </w:t>
      </w:r>
      <w:r w:rsidR="00CC1BE1">
        <w:t xml:space="preserve">priorities </w:t>
      </w:r>
      <w:r>
        <w:t>was</w:t>
      </w:r>
      <w:r w:rsidR="00D32169" w:rsidRPr="00D32169">
        <w:t xml:space="preserve"> problematic</w:t>
      </w:r>
      <w:r w:rsidR="00FC3797">
        <w:t>.</w:t>
      </w:r>
      <w:r w:rsidR="00CD6667">
        <w:rPr>
          <w:rStyle w:val="FootnoteReference"/>
        </w:rPr>
        <w:footnoteReference w:id="54"/>
      </w:r>
      <w:r w:rsidR="00D32169" w:rsidRPr="00D32169">
        <w:t xml:space="preserve"> Projects </w:t>
      </w:r>
      <w:r>
        <w:t>that</w:t>
      </w:r>
      <w:r w:rsidR="00D32169" w:rsidRPr="00D32169">
        <w:t xml:space="preserve"> demonstrated good outcomes included the Ministry of Revenue Institutional Strengthening Program which </w:t>
      </w:r>
      <w:r>
        <w:t>the</w:t>
      </w:r>
      <w:r w:rsidR="00D32169" w:rsidRPr="00D32169">
        <w:t xml:space="preserve"> IMF </w:t>
      </w:r>
      <w:r>
        <w:t>noted had</w:t>
      </w:r>
      <w:r w:rsidR="00D32169" w:rsidRPr="00D32169">
        <w:t xml:space="preserve"> raised revenue collection and compliance rates, and an </w:t>
      </w:r>
      <w:r w:rsidR="00D201FF">
        <w:t>e</w:t>
      </w:r>
      <w:r w:rsidR="00D32169" w:rsidRPr="00D32169">
        <w:t xml:space="preserve">xecutive </w:t>
      </w:r>
      <w:r w:rsidR="00D201FF">
        <w:t>d</w:t>
      </w:r>
      <w:r w:rsidR="00D32169" w:rsidRPr="00D32169">
        <w:t xml:space="preserve">evelopment program for </w:t>
      </w:r>
      <w:r>
        <w:t>Samoan m</w:t>
      </w:r>
      <w:r w:rsidR="00D32169" w:rsidRPr="00D32169">
        <w:t xml:space="preserve">inistries which </w:t>
      </w:r>
      <w:r w:rsidR="00CC1BE1">
        <w:t>i</w:t>
      </w:r>
      <w:r w:rsidR="00D32169" w:rsidRPr="00D32169">
        <w:t>ncreased cross-government networks and sharing of resources</w:t>
      </w:r>
      <w:r w:rsidR="00FC3797">
        <w:t>.</w:t>
      </w:r>
      <w:r w:rsidR="00CD6667">
        <w:rPr>
          <w:rStyle w:val="FootnoteReference"/>
        </w:rPr>
        <w:footnoteReference w:id="55"/>
      </w:r>
      <w:r w:rsidR="00D32169" w:rsidRPr="00D32169">
        <w:t xml:space="preserve"> </w:t>
      </w:r>
    </w:p>
    <w:p w14:paraId="23FF8121" w14:textId="3DE96668" w:rsidR="00D32169" w:rsidRPr="00D32169" w:rsidRDefault="00D32169" w:rsidP="00D33FDF">
      <w:pPr>
        <w:pStyle w:val="BodyText"/>
      </w:pPr>
      <w:r w:rsidRPr="00D32169">
        <w:t>In 2012</w:t>
      </w:r>
      <w:r w:rsidR="00FC3797">
        <w:t>–</w:t>
      </w:r>
      <w:r w:rsidRPr="00D32169">
        <w:t xml:space="preserve">13, </w:t>
      </w:r>
      <w:r w:rsidR="00792D18">
        <w:t>91</w:t>
      </w:r>
      <w:r w:rsidRPr="00D32169">
        <w:t xml:space="preserve"> </w:t>
      </w:r>
      <w:r w:rsidR="00647EF2">
        <w:t>non-government organisations</w:t>
      </w:r>
      <w:r w:rsidRPr="00D32169">
        <w:t xml:space="preserve"> and community</w:t>
      </w:r>
      <w:r w:rsidR="00647EF2">
        <w:t>-</w:t>
      </w:r>
      <w:r w:rsidRPr="00D32169">
        <w:t xml:space="preserve">based </w:t>
      </w:r>
      <w:r w:rsidR="00792D18">
        <w:t>projects</w:t>
      </w:r>
      <w:r w:rsidRPr="00D32169">
        <w:t xml:space="preserve"> received grants from the </w:t>
      </w:r>
      <w:r w:rsidRPr="008E4D46">
        <w:rPr>
          <w:b/>
        </w:rPr>
        <w:t xml:space="preserve">Civil Society Support </w:t>
      </w:r>
      <w:r w:rsidRPr="004152C6">
        <w:rPr>
          <w:b/>
        </w:rPr>
        <w:t xml:space="preserve">Program (CSSP) </w:t>
      </w:r>
      <w:r w:rsidRPr="00D32169">
        <w:t>for education, water provision and community development</w:t>
      </w:r>
      <w:r w:rsidR="004152C6">
        <w:t xml:space="preserve"> projects</w:t>
      </w:r>
      <w:r w:rsidRPr="00D32169">
        <w:t>. The program also provide</w:t>
      </w:r>
      <w:r w:rsidR="00792D18">
        <w:t xml:space="preserve">d training for </w:t>
      </w:r>
      <w:r w:rsidR="00FC3797">
        <w:t>more than</w:t>
      </w:r>
      <w:r w:rsidR="00792D18">
        <w:t xml:space="preserve"> 200 </w:t>
      </w:r>
      <w:r w:rsidR="00647EF2">
        <w:t>non-government organisation</w:t>
      </w:r>
      <w:r w:rsidR="00792D18">
        <w:t xml:space="preserve"> </w:t>
      </w:r>
      <w:r w:rsidRPr="00D32169">
        <w:t>staff in accountability and management practices</w:t>
      </w:r>
      <w:r w:rsidR="00FC3797">
        <w:t>.</w:t>
      </w:r>
      <w:r w:rsidR="00CD6667">
        <w:rPr>
          <w:rStyle w:val="FootnoteReference"/>
        </w:rPr>
        <w:footnoteReference w:id="56"/>
      </w:r>
      <w:r w:rsidRPr="00D32169">
        <w:t xml:space="preserve"> A joint E</w:t>
      </w:r>
      <w:r w:rsidR="00647EF2">
        <w:t xml:space="preserve">uropean Union – </w:t>
      </w:r>
      <w:r w:rsidRPr="00D32169">
        <w:t>Aus</w:t>
      </w:r>
      <w:r w:rsidR="008C2716">
        <w:t>tralian Government</w:t>
      </w:r>
      <w:r w:rsidRPr="00D32169">
        <w:t xml:space="preserve"> </w:t>
      </w:r>
      <w:r w:rsidR="009753CB">
        <w:t>m</w:t>
      </w:r>
      <w:r w:rsidRPr="00D32169">
        <w:t>id-</w:t>
      </w:r>
      <w:r w:rsidR="009753CB">
        <w:t>t</w:t>
      </w:r>
      <w:r w:rsidRPr="00D32169">
        <w:t xml:space="preserve">erm </w:t>
      </w:r>
      <w:r w:rsidR="009753CB">
        <w:t>r</w:t>
      </w:r>
      <w:r w:rsidRPr="00D32169">
        <w:t xml:space="preserve">eview of CSSP was conducted in early 2013 to assess impact on vulnerable groups and civil society capacity (Box </w:t>
      </w:r>
      <w:r w:rsidR="001C2D04">
        <w:t>2</w:t>
      </w:r>
      <w:r w:rsidRPr="00D32169">
        <w:t xml:space="preserve">). </w:t>
      </w:r>
      <w:r w:rsidR="00CF6A1E" w:rsidRPr="00CF6A1E">
        <w:t>The review concluded that the program is delivering important services th</w:t>
      </w:r>
      <w:r w:rsidR="00792D18">
        <w:t>r</w:t>
      </w:r>
      <w:r w:rsidR="00CF6A1E" w:rsidRPr="00CF6A1E">
        <w:t>ough civil society</w:t>
      </w:r>
      <w:r w:rsidR="00CF6A1E">
        <w:t>.</w:t>
      </w:r>
      <w:r w:rsidR="00CF6A1E" w:rsidRPr="00CF6A1E">
        <w:t xml:space="preserve"> </w:t>
      </w:r>
      <w:r w:rsidR="008E4D46" w:rsidRPr="00D32169">
        <w:t>Recommendations are</w:t>
      </w:r>
      <w:r w:rsidRPr="00D32169">
        <w:t xml:space="preserve"> for better data collection to assess longer</w:t>
      </w:r>
      <w:r w:rsidR="00647EF2">
        <w:t>-</w:t>
      </w:r>
      <w:r w:rsidRPr="00D32169">
        <w:t>term impacts and enable better targeting of grants to the most vulnerable groups</w:t>
      </w:r>
      <w:r w:rsidR="00FC3797">
        <w:t>.</w:t>
      </w:r>
      <w:r w:rsidR="00E96185">
        <w:rPr>
          <w:rStyle w:val="FootnoteReference"/>
        </w:rPr>
        <w:footnoteReference w:id="57"/>
      </w:r>
      <w:r w:rsidRPr="00D32169">
        <w:t xml:space="preserve"> </w:t>
      </w:r>
    </w:p>
    <w:p w14:paraId="35A22C99" w14:textId="441A7AB9" w:rsidR="00D32169" w:rsidRDefault="008C2716" w:rsidP="00D33FDF">
      <w:pPr>
        <w:pStyle w:val="BodyText"/>
      </w:pPr>
      <w:r>
        <w:t>The Australian aid program</w:t>
      </w:r>
      <w:r w:rsidR="00D32169" w:rsidRPr="00D32169">
        <w:t xml:space="preserve"> is </w:t>
      </w:r>
      <w:r w:rsidR="00792D18">
        <w:t>successfully integrating</w:t>
      </w:r>
      <w:r w:rsidR="00D32169" w:rsidRPr="00D32169">
        <w:t xml:space="preserve"> bilateral funds for </w:t>
      </w:r>
      <w:r w:rsidR="00D32169" w:rsidRPr="008E4D46">
        <w:rPr>
          <w:b/>
        </w:rPr>
        <w:t>climate change resilience</w:t>
      </w:r>
      <w:r w:rsidR="00D32169" w:rsidRPr="00D32169">
        <w:t xml:space="preserve"> with ongoing programs. In 2012</w:t>
      </w:r>
      <w:r w:rsidR="00FC3797">
        <w:t>–</w:t>
      </w:r>
      <w:r w:rsidR="00D32169" w:rsidRPr="00D32169">
        <w:t xml:space="preserve">13, </w:t>
      </w:r>
      <w:r>
        <w:t>Australia</w:t>
      </w:r>
      <w:r w:rsidR="00D32169" w:rsidRPr="00D32169">
        <w:t xml:space="preserve"> directed </w:t>
      </w:r>
      <w:r w:rsidR="00796FD3">
        <w:t>most</w:t>
      </w:r>
      <w:r w:rsidR="00D32169" w:rsidRPr="00D32169">
        <w:t xml:space="preserve"> bilateral climate change funds into the CSSP, enabling communities to install water tanks to </w:t>
      </w:r>
      <w:r w:rsidR="006838B2">
        <w:t>increase their resilience</w:t>
      </w:r>
      <w:r w:rsidR="00D32169" w:rsidRPr="00D32169">
        <w:t xml:space="preserve"> to drought. Forty</w:t>
      </w:r>
      <w:r w:rsidR="00FC3797">
        <w:t>-</w:t>
      </w:r>
      <w:r w:rsidR="00D32169" w:rsidRPr="00D32169">
        <w:t xml:space="preserve">four tanks were installed servicing more than 470 families and increasing Samoa’s water storage capacity by </w:t>
      </w:r>
      <w:r w:rsidR="00796FD3">
        <w:t>more than</w:t>
      </w:r>
      <w:r w:rsidR="00796FD3" w:rsidRPr="00D32169">
        <w:t xml:space="preserve"> </w:t>
      </w:r>
      <w:r w:rsidR="00D32169" w:rsidRPr="00D32169">
        <w:t>one million litres</w:t>
      </w:r>
      <w:r w:rsidR="00FC3797">
        <w:t>.</w:t>
      </w:r>
      <w:r w:rsidR="00E96185">
        <w:rPr>
          <w:rStyle w:val="FootnoteReference"/>
        </w:rPr>
        <w:footnoteReference w:id="58"/>
      </w:r>
      <w:r w:rsidR="00D32169" w:rsidRPr="00D32169">
        <w:t xml:space="preserve"> </w:t>
      </w:r>
      <w:r w:rsidR="00796FD3">
        <w:t>N</w:t>
      </w:r>
      <w:r w:rsidR="006838B2">
        <w:t>ational</w:t>
      </w:r>
      <w:r w:rsidR="00796FD3">
        <w:t>ly</w:t>
      </w:r>
      <w:r w:rsidR="006838B2">
        <w:t xml:space="preserve">, </w:t>
      </w:r>
      <w:r w:rsidR="00796FD3">
        <w:t xml:space="preserve">the </w:t>
      </w:r>
      <w:r w:rsidR="008C33CC">
        <w:t>Government of Samoa</w:t>
      </w:r>
      <w:r w:rsidR="00796FD3">
        <w:t xml:space="preserve"> and development partners have made </w:t>
      </w:r>
      <w:r w:rsidR="006838B2">
        <w:t xml:space="preserve">progress in assessing climate change and disaster risk and incorporating </w:t>
      </w:r>
      <w:r w:rsidR="00796FD3">
        <w:t xml:space="preserve">findings </w:t>
      </w:r>
      <w:r w:rsidR="006838B2">
        <w:t xml:space="preserve">into </w:t>
      </w:r>
      <w:r w:rsidR="00625C98">
        <w:t xml:space="preserve">national </w:t>
      </w:r>
      <w:r w:rsidR="006838B2">
        <w:t>policies. However incorporating this work into sector and village</w:t>
      </w:r>
      <w:r w:rsidR="00A24407">
        <w:t>-</w:t>
      </w:r>
      <w:r w:rsidR="006838B2">
        <w:t>based programs remains a challenge</w:t>
      </w:r>
      <w:r w:rsidR="00FC3797">
        <w:t>.</w:t>
      </w:r>
      <w:r w:rsidR="00E96185">
        <w:rPr>
          <w:rStyle w:val="FootnoteReference"/>
        </w:rPr>
        <w:footnoteReference w:id="59"/>
      </w:r>
      <w:r w:rsidR="006838B2">
        <w:t xml:space="preserve"> </w:t>
      </w:r>
      <w:r w:rsidR="00D32169" w:rsidRPr="00D32169">
        <w:t xml:space="preserve">An April 2013 region-wide review of </w:t>
      </w:r>
      <w:r>
        <w:t>the Australian aid program</w:t>
      </w:r>
      <w:r w:rsidR="00D32169" w:rsidRPr="00D32169">
        <w:t xml:space="preserve">’s support to climate change </w:t>
      </w:r>
      <w:r w:rsidR="006838B2">
        <w:t>will form the basis for designing</w:t>
      </w:r>
      <w:r w:rsidR="009145BA">
        <w:t xml:space="preserve"> </w:t>
      </w:r>
      <w:r w:rsidR="006838B2">
        <w:t>future support to this sector</w:t>
      </w:r>
      <w:r w:rsidR="007737ED">
        <w:t xml:space="preserve">. </w:t>
      </w:r>
    </w:p>
    <w:p w14:paraId="2DF66CCD" w14:textId="3254F5C1" w:rsidR="00E3485B" w:rsidRDefault="00E3485B" w:rsidP="00D33FDF">
      <w:pPr>
        <w:pStyle w:val="BodyText"/>
      </w:pPr>
      <w:r w:rsidRPr="00D32169">
        <w:t>Other achievements in the sector</w:t>
      </w:r>
      <w:r w:rsidR="00796FD3">
        <w:t xml:space="preserve"> for 2012–13</w:t>
      </w:r>
      <w:r w:rsidRPr="00D32169">
        <w:t xml:space="preserve"> included:</w:t>
      </w:r>
    </w:p>
    <w:p w14:paraId="61B8BD00" w14:textId="0A09D9EA" w:rsidR="00E3485B" w:rsidRPr="00D32169" w:rsidRDefault="00796FD3" w:rsidP="00D33FDF">
      <w:pPr>
        <w:pStyle w:val="ListBullet"/>
      </w:pPr>
      <w:r>
        <w:t xml:space="preserve">training 264 farmers, through </w:t>
      </w:r>
      <w:r w:rsidR="00FC3797">
        <w:t>t</w:t>
      </w:r>
      <w:r w:rsidR="00E3485B" w:rsidRPr="00D32169">
        <w:t>he Agroforestry and Tree Planting Program</w:t>
      </w:r>
      <w:r>
        <w:t>,</w:t>
      </w:r>
      <w:r w:rsidR="00E3485B" w:rsidRPr="00D32169">
        <w:t xml:space="preserve"> in new farming practices and </w:t>
      </w:r>
      <w:r w:rsidR="00E3485B">
        <w:t>distribut</w:t>
      </w:r>
      <w:r>
        <w:t>ing more than</w:t>
      </w:r>
      <w:r w:rsidR="00E3485B" w:rsidRPr="00D32169">
        <w:t xml:space="preserve"> 30</w:t>
      </w:r>
      <w:r w:rsidR="00FC3797">
        <w:t xml:space="preserve"> </w:t>
      </w:r>
      <w:r w:rsidR="00E3485B" w:rsidRPr="00D32169">
        <w:t xml:space="preserve">000 seedlings </w:t>
      </w:r>
      <w:r>
        <w:t>to</w:t>
      </w:r>
      <w:r w:rsidR="00E3485B" w:rsidRPr="00D32169">
        <w:t xml:space="preserve"> improve food security and availability of bio-energy crops</w:t>
      </w:r>
      <w:r w:rsidR="008E4D46">
        <w:t xml:space="preserve"> </w:t>
      </w:r>
      <w:r w:rsidR="00E3485B">
        <w:rPr>
          <w:rStyle w:val="FootnoteReference"/>
        </w:rPr>
        <w:footnoteReference w:id="60"/>
      </w:r>
    </w:p>
    <w:p w14:paraId="0737A29D" w14:textId="36BBCD3D" w:rsidR="00E3485B" w:rsidRDefault="00FC3797" w:rsidP="00D33FDF">
      <w:pPr>
        <w:pStyle w:val="ListBullet"/>
      </w:pPr>
      <w:proofErr w:type="gramStart"/>
      <w:r>
        <w:t>p</w:t>
      </w:r>
      <w:r w:rsidR="00E3485B">
        <w:t>ubli</w:t>
      </w:r>
      <w:r w:rsidR="00796FD3">
        <w:t>shing</w:t>
      </w:r>
      <w:proofErr w:type="gramEnd"/>
      <w:r w:rsidR="00E3485B">
        <w:t xml:space="preserve"> the 2011 National Census</w:t>
      </w:r>
      <w:r w:rsidR="004152C6">
        <w:t>. F</w:t>
      </w:r>
      <w:r w:rsidR="00E3485B" w:rsidRPr="00D32169">
        <w:t xml:space="preserve">or the first time in Samoa, </w:t>
      </w:r>
      <w:r w:rsidR="00E3485B">
        <w:t>c</w:t>
      </w:r>
      <w:r w:rsidR="00E3485B" w:rsidRPr="00D32169">
        <w:t xml:space="preserve">ensus takers used scanners </w:t>
      </w:r>
      <w:r w:rsidR="00796FD3">
        <w:t>to process</w:t>
      </w:r>
      <w:r w:rsidR="00796FD3" w:rsidRPr="00D32169">
        <w:t xml:space="preserve"> </w:t>
      </w:r>
      <w:r w:rsidR="00E3485B" w:rsidRPr="00D32169">
        <w:t xml:space="preserve">data and </w:t>
      </w:r>
      <w:r w:rsidR="00A215AB">
        <w:t>global positioning system</w:t>
      </w:r>
      <w:r w:rsidR="00E3485B" w:rsidRPr="00D32169">
        <w:t xml:space="preserve"> devices to accurately locate and register enumerated households</w:t>
      </w:r>
      <w:r w:rsidR="00E3485B">
        <w:rPr>
          <w:rStyle w:val="FootnoteReference"/>
        </w:rPr>
        <w:footnoteReference w:id="61"/>
      </w:r>
      <w:r>
        <w:t xml:space="preserve">, </w:t>
      </w:r>
      <w:r w:rsidR="00E3485B" w:rsidRPr="00D32169">
        <w:t>reduc</w:t>
      </w:r>
      <w:r>
        <w:t>ing</w:t>
      </w:r>
      <w:r w:rsidR="00A215AB">
        <w:t xml:space="preserve"> </w:t>
      </w:r>
      <w:r w:rsidR="00E3485B" w:rsidRPr="00D32169">
        <w:t>processing time</w:t>
      </w:r>
      <w:r w:rsidR="00796FD3">
        <w:t>,</w:t>
      </w:r>
      <w:r w:rsidR="00E3485B" w:rsidRPr="00D32169">
        <w:t xml:space="preserve"> increas</w:t>
      </w:r>
      <w:r>
        <w:t>ing</w:t>
      </w:r>
      <w:r w:rsidR="00E3485B" w:rsidRPr="00D32169">
        <w:t xml:space="preserve"> accuracy </w:t>
      </w:r>
      <w:r w:rsidR="00796FD3">
        <w:t>and</w:t>
      </w:r>
      <w:r w:rsidR="00E3485B" w:rsidRPr="00D32169">
        <w:t xml:space="preserve"> assist</w:t>
      </w:r>
      <w:r>
        <w:t>ing</w:t>
      </w:r>
      <w:r w:rsidR="00E3485B" w:rsidRPr="00D32169">
        <w:t xml:space="preserve"> in disaster map</w:t>
      </w:r>
      <w:r w:rsidR="00E3485B">
        <w:t>ping following Cyclone</w:t>
      </w:r>
      <w:r w:rsidR="00CC12D1">
        <w:t> </w:t>
      </w:r>
      <w:r w:rsidR="00E3485B">
        <w:t>Evan</w:t>
      </w:r>
      <w:r w:rsidR="007737ED">
        <w:t xml:space="preserve"> </w:t>
      </w:r>
    </w:p>
    <w:p w14:paraId="5FBB9B79" w14:textId="0A8385CA" w:rsidR="008E4D46" w:rsidRDefault="008E4D46" w:rsidP="00D33FDF">
      <w:pPr>
        <w:pStyle w:val="ListBullet"/>
      </w:pPr>
      <w:proofErr w:type="gramStart"/>
      <w:r>
        <w:t>t</w:t>
      </w:r>
      <w:r w:rsidRPr="00D32169">
        <w:t>he</w:t>
      </w:r>
      <w:proofErr w:type="gramEnd"/>
      <w:r w:rsidRPr="00D32169">
        <w:t xml:space="preserve"> </w:t>
      </w:r>
      <w:r w:rsidRPr="008727FA">
        <w:t>Aus</w:t>
      </w:r>
      <w:r w:rsidR="008C2716">
        <w:t>tralian Government</w:t>
      </w:r>
      <w:r w:rsidRPr="008727FA">
        <w:t xml:space="preserve"> – JICA – AD</w:t>
      </w:r>
      <w:r w:rsidRPr="00D32169">
        <w:t>B Power Sector Expansion Program surpass</w:t>
      </w:r>
      <w:r>
        <w:t>ing</w:t>
      </w:r>
      <w:r w:rsidRPr="00D32169">
        <w:t xml:space="preserve"> its target of 75 per cent of electricity users being connected through pre-paid systems</w:t>
      </w:r>
      <w:r w:rsidR="00A24407">
        <w:t xml:space="preserve">; </w:t>
      </w:r>
      <w:r>
        <w:t>more than</w:t>
      </w:r>
      <w:r w:rsidRPr="00D32169">
        <w:t xml:space="preserve"> 20</w:t>
      </w:r>
      <w:r>
        <w:t xml:space="preserve"> </w:t>
      </w:r>
      <w:r w:rsidRPr="00D32169">
        <w:t>000 connections have been installed</w:t>
      </w:r>
      <w:r>
        <w:t xml:space="preserve">, </w:t>
      </w:r>
      <w:r w:rsidRPr="00D32169">
        <w:t>reaching 80.22</w:t>
      </w:r>
      <w:r w:rsidR="00CC12D1">
        <w:t> </w:t>
      </w:r>
      <w:r>
        <w:t>per cent</w:t>
      </w:r>
      <w:r w:rsidRPr="00D32169">
        <w:t xml:space="preserve"> of users</w:t>
      </w:r>
      <w:r>
        <w:t xml:space="preserve"> and resulting</w:t>
      </w:r>
      <w:r w:rsidRPr="00D32169">
        <w:t xml:space="preserve"> in a </w:t>
      </w:r>
      <w:r>
        <w:t>6</w:t>
      </w:r>
      <w:r w:rsidRPr="00D32169">
        <w:t xml:space="preserve"> per cent reduction in residential energy demand</w:t>
      </w:r>
      <w:r>
        <w:t>.</w:t>
      </w:r>
      <w:r>
        <w:rPr>
          <w:rStyle w:val="FootnoteReference"/>
        </w:rPr>
        <w:footnoteReference w:id="62"/>
      </w:r>
    </w:p>
    <w:p w14:paraId="41D97AF8" w14:textId="77777777" w:rsidR="00B83F76" w:rsidRDefault="00B83F76" w:rsidP="00B83F76">
      <w:pPr>
        <w:pStyle w:val="BodyText"/>
      </w:pPr>
    </w:p>
    <w:tbl>
      <w:tblPr>
        <w:tblW w:w="5000" w:type="pct"/>
        <w:tblInd w:w="57" w:type="dxa"/>
        <w:tblBorders>
          <w:bottom w:val="single" w:sz="12" w:space="0" w:color="auto"/>
          <w:insideH w:val="single" w:sz="12" w:space="0" w:color="auto"/>
          <w:insideV w:val="single" w:sz="12" w:space="0" w:color="auto"/>
        </w:tblBorders>
        <w:shd w:val="clear" w:color="auto" w:fill="C6D9F1" w:themeFill="text2" w:themeFillTint="33"/>
        <w:tblLayout w:type="fixed"/>
        <w:tblCellMar>
          <w:left w:w="57" w:type="dxa"/>
          <w:right w:w="57" w:type="dxa"/>
        </w:tblCellMar>
        <w:tblLook w:val="0000" w:firstRow="0" w:lastRow="0" w:firstColumn="0" w:lastColumn="0" w:noHBand="0" w:noVBand="0"/>
      </w:tblPr>
      <w:tblGrid>
        <w:gridCol w:w="8448"/>
      </w:tblGrid>
      <w:tr w:rsidR="00E3485B" w:rsidRPr="003C4742" w14:paraId="69F4BB96" w14:textId="77777777" w:rsidTr="00384536">
        <w:tc>
          <w:tcPr>
            <w:tcW w:w="8392" w:type="dxa"/>
            <w:shd w:val="clear" w:color="auto" w:fill="C6D9F1" w:themeFill="text2" w:themeFillTint="33"/>
            <w:tcMar>
              <w:top w:w="0" w:type="dxa"/>
            </w:tcMar>
          </w:tcPr>
          <w:p w14:paraId="2057F8E9" w14:textId="77777777" w:rsidR="00E3485B" w:rsidRPr="00D17249" w:rsidRDefault="00E3485B" w:rsidP="00440E2D">
            <w:pPr>
              <w:pStyle w:val="Caption"/>
            </w:pPr>
            <w:r w:rsidRPr="00D17249">
              <w:t xml:space="preserve">Box </w:t>
            </w:r>
            <w:r>
              <w:t>2</w:t>
            </w:r>
            <w:r w:rsidRPr="00D17249">
              <w:t xml:space="preserve">: </w:t>
            </w:r>
            <w:r>
              <w:t>Poverty reduction and the Civil Society Support Program</w:t>
            </w:r>
          </w:p>
        </w:tc>
      </w:tr>
      <w:tr w:rsidR="00E3485B" w:rsidRPr="003C4742" w14:paraId="1FAC82FA" w14:textId="77777777" w:rsidTr="00384536">
        <w:tc>
          <w:tcPr>
            <w:tcW w:w="8392" w:type="dxa"/>
            <w:shd w:val="clear" w:color="auto" w:fill="C6D9F1" w:themeFill="text2" w:themeFillTint="33"/>
          </w:tcPr>
          <w:p w14:paraId="6CCD6B7E" w14:textId="27654268" w:rsidR="00E3485B" w:rsidRPr="00A35DB3" w:rsidRDefault="00E3485B" w:rsidP="00440E2D">
            <w:pPr>
              <w:pStyle w:val="BoxText"/>
            </w:pPr>
            <w:r w:rsidRPr="00A35DB3">
              <w:t>Samoa’s 2008 Household Income an</w:t>
            </w:r>
            <w:r>
              <w:t>d Expenditure Survey showed</w:t>
            </w:r>
            <w:r w:rsidRPr="00A35DB3">
              <w:t xml:space="preserve"> that 26.7 per cent of the population experience</w:t>
            </w:r>
            <w:r w:rsidR="00796FD3">
              <w:t>d</w:t>
            </w:r>
            <w:r w:rsidRPr="00A35DB3">
              <w:t xml:space="preserve"> basic needs poverty. </w:t>
            </w:r>
            <w:r>
              <w:t>H</w:t>
            </w:r>
            <w:r w:rsidRPr="00A35DB3">
              <w:t xml:space="preserve">ouseholds and individuals in this </w:t>
            </w:r>
            <w:r w:rsidR="00796FD3">
              <w:t>population segment ha</w:t>
            </w:r>
            <w:r w:rsidR="00A215AB">
              <w:t>ve</w:t>
            </w:r>
            <w:r w:rsidRPr="00A35DB3">
              <w:t xml:space="preserve"> low health and education outcomes and include</w:t>
            </w:r>
            <w:r w:rsidR="00796FD3">
              <w:t>d</w:t>
            </w:r>
            <w:r w:rsidRPr="00A35DB3">
              <w:t xml:space="preserve"> higher numbers of</w:t>
            </w:r>
            <w:r>
              <w:t xml:space="preserve"> children and</w:t>
            </w:r>
            <w:r w:rsidRPr="00A35DB3">
              <w:t xml:space="preserve"> people with </w:t>
            </w:r>
            <w:r w:rsidR="004152C6">
              <w:t xml:space="preserve">a </w:t>
            </w:r>
            <w:r w:rsidR="00796FD3">
              <w:t>d</w:t>
            </w:r>
            <w:r w:rsidRPr="00A35DB3">
              <w:t>isability</w:t>
            </w:r>
            <w:r w:rsidR="00FC3797">
              <w:t>.</w:t>
            </w:r>
            <w:r>
              <w:rPr>
                <w:rStyle w:val="FootnoteReference"/>
              </w:rPr>
              <w:footnoteReference w:id="63"/>
            </w:r>
            <w:r w:rsidRPr="00A35DB3">
              <w:t xml:space="preserve"> </w:t>
            </w:r>
            <w:r>
              <w:t>A</w:t>
            </w:r>
            <w:r w:rsidRPr="00A35DB3">
              <w:t xml:space="preserve">ddressing the underlying causes of basic needs poverty </w:t>
            </w:r>
            <w:r w:rsidR="00796FD3">
              <w:t>remains</w:t>
            </w:r>
            <w:r w:rsidR="00796FD3" w:rsidRPr="00A35DB3">
              <w:t xml:space="preserve"> </w:t>
            </w:r>
            <w:r w:rsidRPr="00A35DB3">
              <w:t>challenging</w:t>
            </w:r>
            <w:r w:rsidR="00796FD3">
              <w:t xml:space="preserve"> in Samoa</w:t>
            </w:r>
            <w:r w:rsidRPr="00A35DB3">
              <w:t xml:space="preserve">. </w:t>
            </w:r>
          </w:p>
          <w:p w14:paraId="1FA1A03C" w14:textId="72B05ACA" w:rsidR="00E3485B" w:rsidRPr="00A35DB3" w:rsidRDefault="00796FD3" w:rsidP="00440E2D">
            <w:pPr>
              <w:pStyle w:val="BoxText"/>
            </w:pPr>
            <w:r>
              <w:t xml:space="preserve">The </w:t>
            </w:r>
            <w:r w:rsidR="00E3485B" w:rsidRPr="00A35DB3">
              <w:t>CSSP was established in 2010 with funding from the E</w:t>
            </w:r>
            <w:r w:rsidR="00E20E53">
              <w:t>uropean Union</w:t>
            </w:r>
            <w:r w:rsidR="00E3485B" w:rsidRPr="00A35DB3">
              <w:t xml:space="preserve"> and </w:t>
            </w:r>
            <w:r w:rsidR="008C2716">
              <w:t>the Australian Government</w:t>
            </w:r>
            <w:r>
              <w:t>. Its objective</w:t>
            </w:r>
            <w:r w:rsidR="00E3485B" w:rsidRPr="00A35DB3">
              <w:t xml:space="preserve"> </w:t>
            </w:r>
            <w:r>
              <w:t xml:space="preserve">is to improve </w:t>
            </w:r>
            <w:r w:rsidR="00E3485B" w:rsidRPr="00A35DB3">
              <w:t xml:space="preserve">the social and economic wellbeing of the people of Samoa. </w:t>
            </w:r>
            <w:r w:rsidR="004B3CE4">
              <w:t>Its</w:t>
            </w:r>
            <w:r w:rsidR="00E3485B">
              <w:t xml:space="preserve"> three sub-objectives</w:t>
            </w:r>
            <w:r w:rsidR="004B3CE4">
              <w:t xml:space="preserve"> are</w:t>
            </w:r>
            <w:r w:rsidR="00E3485B">
              <w:t xml:space="preserve">: </w:t>
            </w:r>
            <w:r w:rsidR="00E3485B" w:rsidRPr="00A35DB3">
              <w:t>assist</w:t>
            </w:r>
            <w:r w:rsidR="00E3485B">
              <w:t>ing</w:t>
            </w:r>
            <w:r w:rsidR="00E3485B" w:rsidRPr="00A35DB3">
              <w:t xml:space="preserve"> vulnerable groups</w:t>
            </w:r>
            <w:r w:rsidR="004B3CE4">
              <w:t>;</w:t>
            </w:r>
            <w:r w:rsidR="00E3485B" w:rsidRPr="00A35DB3">
              <w:t xml:space="preserve"> strengthening the management of recipient organisations</w:t>
            </w:r>
            <w:r w:rsidR="004B3CE4">
              <w:t>;</w:t>
            </w:r>
            <w:r w:rsidR="00E3485B" w:rsidRPr="00A35DB3">
              <w:t xml:space="preserve"> and enabling civil society to effectively influence national policies. </w:t>
            </w:r>
            <w:r w:rsidR="00E3485B">
              <w:t xml:space="preserve">To date </w:t>
            </w:r>
            <w:r w:rsidR="004B3CE4">
              <w:t>it</w:t>
            </w:r>
            <w:r w:rsidR="004B3CE4" w:rsidRPr="00A35DB3">
              <w:t xml:space="preserve"> </w:t>
            </w:r>
            <w:r w:rsidR="00E3485B" w:rsidRPr="00A35DB3">
              <w:t xml:space="preserve">has </w:t>
            </w:r>
            <w:r w:rsidR="00E3485B" w:rsidRPr="00796FD3">
              <w:t>provided $3.3 million</w:t>
            </w:r>
            <w:r w:rsidR="00E3485B" w:rsidRPr="00A35DB3">
              <w:t xml:space="preserve"> to </w:t>
            </w:r>
            <w:r w:rsidR="00E3485B">
              <w:t>255</w:t>
            </w:r>
            <w:r w:rsidR="00E3485B" w:rsidRPr="00A35DB3">
              <w:t xml:space="preserve"> projects. </w:t>
            </w:r>
          </w:p>
          <w:p w14:paraId="6EF8473B" w14:textId="35AC93D4" w:rsidR="004B3CE4" w:rsidRDefault="00E3485B" w:rsidP="00440E2D">
            <w:pPr>
              <w:pStyle w:val="BoxText"/>
            </w:pPr>
            <w:r w:rsidRPr="00A35DB3">
              <w:t xml:space="preserve">The 2013 </w:t>
            </w:r>
            <w:r w:rsidR="009753CB">
              <w:t>m</w:t>
            </w:r>
            <w:r w:rsidRPr="00A35DB3">
              <w:t>id</w:t>
            </w:r>
            <w:r w:rsidR="00237915">
              <w:t>-</w:t>
            </w:r>
            <w:r w:rsidR="009753CB">
              <w:t>t</w:t>
            </w:r>
            <w:r w:rsidRPr="00A35DB3">
              <w:t xml:space="preserve">erm </w:t>
            </w:r>
            <w:r w:rsidR="009753CB">
              <w:t>r</w:t>
            </w:r>
            <w:r w:rsidRPr="00A35DB3">
              <w:t xml:space="preserve">eview of CSSP found that the program </w:t>
            </w:r>
            <w:r w:rsidR="004B3CE4">
              <w:t xml:space="preserve">remains </w:t>
            </w:r>
            <w:r w:rsidRPr="00A35DB3">
              <w:t xml:space="preserve">relevant </w:t>
            </w:r>
            <w:r>
              <w:t xml:space="preserve">to Samoa’s challenges and has responded to needs which would not otherwise have been met. </w:t>
            </w:r>
            <w:r w:rsidRPr="00A35DB3">
              <w:t xml:space="preserve">However the review also </w:t>
            </w:r>
            <w:r w:rsidR="004B3CE4">
              <w:t>concluded</w:t>
            </w:r>
            <w:r w:rsidR="004B3CE4" w:rsidRPr="00A35DB3">
              <w:t xml:space="preserve"> </w:t>
            </w:r>
            <w:r w:rsidRPr="00A35DB3">
              <w:t>that the program has “drifted from its original purpose of targeting vulnerable individuals and groups</w:t>
            </w:r>
            <w:r w:rsidR="004152C6" w:rsidRPr="00A35DB3">
              <w:t>”</w:t>
            </w:r>
            <w:r>
              <w:rPr>
                <w:rStyle w:val="FootnoteReference"/>
              </w:rPr>
              <w:footnoteReference w:id="64"/>
            </w:r>
            <w:r w:rsidRPr="00A35DB3">
              <w:t xml:space="preserve">. Specifically, the review noted </w:t>
            </w:r>
            <w:r>
              <w:t xml:space="preserve">that most </w:t>
            </w:r>
            <w:r w:rsidR="004152C6">
              <w:t xml:space="preserve">successful grant </w:t>
            </w:r>
            <w:r>
              <w:t xml:space="preserve">applications </w:t>
            </w:r>
            <w:r w:rsidRPr="00A35DB3">
              <w:t>com</w:t>
            </w:r>
            <w:r>
              <w:t>e</w:t>
            </w:r>
            <w:r w:rsidRPr="00A35DB3">
              <w:t xml:space="preserve"> from groups with strong urban links and capacity</w:t>
            </w:r>
            <w:r>
              <w:t xml:space="preserve">, not from the </w:t>
            </w:r>
            <w:r w:rsidRPr="00A35DB3">
              <w:t xml:space="preserve">most vulnerable. </w:t>
            </w:r>
          </w:p>
          <w:p w14:paraId="168CE129" w14:textId="6F335B5E" w:rsidR="00E3485B" w:rsidRPr="00A35DB3" w:rsidRDefault="00E3485B" w:rsidP="00440E2D">
            <w:pPr>
              <w:pStyle w:val="BoxText"/>
            </w:pPr>
            <w:r w:rsidRPr="00A35DB3">
              <w:t>The review identified</w:t>
            </w:r>
            <w:r>
              <w:t xml:space="preserve"> </w:t>
            </w:r>
            <w:r w:rsidR="004B3CE4">
              <w:t xml:space="preserve">several challenges faced by the </w:t>
            </w:r>
            <w:r w:rsidR="00A24407">
              <w:t xml:space="preserve">program </w:t>
            </w:r>
            <w:r w:rsidR="008E4D46">
              <w:t>including</w:t>
            </w:r>
            <w:r w:rsidR="00A24407">
              <w:t xml:space="preserve"> that</w:t>
            </w:r>
            <w:r w:rsidRPr="00A35DB3">
              <w:t>:</w:t>
            </w:r>
          </w:p>
          <w:p w14:paraId="35A6A0AF" w14:textId="3F8FC3D5" w:rsidR="00E3485B" w:rsidRPr="00A35DB3" w:rsidRDefault="00E3485B" w:rsidP="00D33FDF">
            <w:pPr>
              <w:pStyle w:val="BoxListBullet"/>
            </w:pPr>
            <w:r w:rsidRPr="00A35DB3">
              <w:t>CSSP has made limited use of available data on household and district</w:t>
            </w:r>
            <w:r w:rsidR="004B3CE4">
              <w:t>-</w:t>
            </w:r>
            <w:r w:rsidRPr="00A35DB3">
              <w:t xml:space="preserve">level poverty. </w:t>
            </w:r>
            <w:r w:rsidRPr="00815D83">
              <w:t xml:space="preserve">Samoa is one of only a few Pacific countries with multiple data sources </w:t>
            </w:r>
            <w:r w:rsidR="00A24407" w:rsidRPr="00815D83">
              <w:t xml:space="preserve">that </w:t>
            </w:r>
            <w:r w:rsidRPr="00815D83">
              <w:t>identify areas at</w:t>
            </w:r>
            <w:r w:rsidRPr="00A35DB3">
              <w:t xml:space="preserve"> greatest risk of </w:t>
            </w:r>
            <w:r w:rsidR="004152C6">
              <w:t>poverty</w:t>
            </w:r>
            <w:r w:rsidR="004F20FD">
              <w:t>.</w:t>
            </w:r>
            <w:r>
              <w:rPr>
                <w:rStyle w:val="FootnoteReference"/>
              </w:rPr>
              <w:footnoteReference w:id="65"/>
            </w:r>
            <w:r w:rsidRPr="00A35DB3">
              <w:t xml:space="preserve"> These sources are not being used in assess</w:t>
            </w:r>
            <w:r w:rsidR="004B3CE4">
              <w:t>ing</w:t>
            </w:r>
            <w:r w:rsidRPr="00A35DB3">
              <w:t xml:space="preserve"> applications.</w:t>
            </w:r>
          </w:p>
          <w:p w14:paraId="546F3BA8" w14:textId="6538C31D" w:rsidR="00E3485B" w:rsidRPr="00A35DB3" w:rsidRDefault="004B3CE4" w:rsidP="00D33FDF">
            <w:pPr>
              <w:pStyle w:val="BoxListBullet"/>
            </w:pPr>
            <w:r>
              <w:t xml:space="preserve">CSSP </w:t>
            </w:r>
            <w:r w:rsidR="00E3485B" w:rsidRPr="00A35DB3">
              <w:t xml:space="preserve">requires a </w:t>
            </w:r>
            <w:r>
              <w:t>10</w:t>
            </w:r>
            <w:r w:rsidRPr="00A35DB3">
              <w:t xml:space="preserve"> </w:t>
            </w:r>
            <w:r w:rsidR="00E3485B" w:rsidRPr="00A35DB3">
              <w:t xml:space="preserve">per cent contribution of project costs from all recipients. </w:t>
            </w:r>
            <w:r>
              <w:t xml:space="preserve">While this helps </w:t>
            </w:r>
            <w:r w:rsidR="00E3485B" w:rsidRPr="00A35DB3">
              <w:t>increase sustainability and ownership of projects</w:t>
            </w:r>
            <w:r>
              <w:t xml:space="preserve"> </w:t>
            </w:r>
            <w:r w:rsidR="00E3485B" w:rsidRPr="00A35DB3">
              <w:t>it also acts as a barrier to low</w:t>
            </w:r>
            <w:r>
              <w:t>-</w:t>
            </w:r>
            <w:r w:rsidR="00E3485B" w:rsidRPr="00A35DB3">
              <w:t>income applicants</w:t>
            </w:r>
            <w:r>
              <w:t xml:space="preserve"> since 10</w:t>
            </w:r>
            <w:r w:rsidR="00E3485B" w:rsidRPr="00A35DB3">
              <w:t xml:space="preserve"> per cent of the smallest available </w:t>
            </w:r>
            <w:r w:rsidR="00E3485B" w:rsidRPr="004B3CE4">
              <w:t>grant ($208) is greater than the average total weekly expenditure of a low</w:t>
            </w:r>
            <w:r>
              <w:t>-</w:t>
            </w:r>
            <w:r w:rsidR="00E3485B" w:rsidRPr="004B3CE4">
              <w:t>income household ($205)</w:t>
            </w:r>
            <w:r w:rsidR="004F20FD" w:rsidRPr="004B3CE4">
              <w:t>.</w:t>
            </w:r>
            <w:r w:rsidR="00E3485B" w:rsidRPr="004B3CE4">
              <w:rPr>
                <w:rStyle w:val="FootnoteReference"/>
              </w:rPr>
              <w:footnoteReference w:id="66"/>
            </w:r>
          </w:p>
          <w:p w14:paraId="4A506CF4" w14:textId="2C156A22" w:rsidR="00E3485B" w:rsidRPr="00A35DB3" w:rsidRDefault="004B3CE4" w:rsidP="00D33FDF">
            <w:pPr>
              <w:pStyle w:val="BoxListBullet"/>
            </w:pPr>
            <w:r>
              <w:t>CSSP has</w:t>
            </w:r>
            <w:r w:rsidR="00E3485B" w:rsidRPr="00A35DB3">
              <w:t xml:space="preserve"> limited </w:t>
            </w:r>
            <w:r>
              <w:t xml:space="preserve">internal </w:t>
            </w:r>
            <w:r w:rsidR="00E3485B" w:rsidRPr="00A35DB3">
              <w:t xml:space="preserve">understanding of the complexities of poverty and </w:t>
            </w:r>
            <w:r>
              <w:t xml:space="preserve">relevant </w:t>
            </w:r>
            <w:r w:rsidR="00E3485B" w:rsidRPr="00A35DB3">
              <w:t>cross</w:t>
            </w:r>
            <w:r w:rsidR="00E3485B">
              <w:t>cutting issues</w:t>
            </w:r>
            <w:r w:rsidR="00E3485B" w:rsidRPr="00A35DB3">
              <w:t xml:space="preserve">. For example, </w:t>
            </w:r>
            <w:r>
              <w:t>program</w:t>
            </w:r>
            <w:r w:rsidRPr="00A35DB3">
              <w:t xml:space="preserve"> </w:t>
            </w:r>
            <w:r w:rsidR="00E3485B" w:rsidRPr="00A35DB3">
              <w:t>reporting describes th</w:t>
            </w:r>
            <w:r>
              <w:t>at CSSP</w:t>
            </w:r>
            <w:r w:rsidR="00E3485B" w:rsidRPr="00A35DB3">
              <w:t xml:space="preserve"> </w:t>
            </w:r>
            <w:r>
              <w:t>h</w:t>
            </w:r>
            <w:r w:rsidR="00E3485B" w:rsidRPr="00A35DB3">
              <w:t>as successfully support</w:t>
            </w:r>
            <w:r>
              <w:t>ed</w:t>
            </w:r>
            <w:r w:rsidR="00E3485B" w:rsidRPr="00A35DB3">
              <w:t xml:space="preserve"> gender outcomes due to high levels of female representation on successful applicant committees. However </w:t>
            </w:r>
            <w:r>
              <w:t>evidence was</w:t>
            </w:r>
            <w:r w:rsidR="00E3485B" w:rsidRPr="00A35DB3">
              <w:t xml:space="preserve"> limited that the projects themselves </w:t>
            </w:r>
            <w:r>
              <w:t xml:space="preserve">had </w:t>
            </w:r>
            <w:r w:rsidR="00E3485B" w:rsidRPr="00A35DB3">
              <w:t>addressed gender-based development issues</w:t>
            </w:r>
            <w:r w:rsidR="004F20FD">
              <w:t>.</w:t>
            </w:r>
            <w:r w:rsidR="00E3485B">
              <w:rPr>
                <w:rStyle w:val="FootnoteReference"/>
              </w:rPr>
              <w:footnoteReference w:id="67"/>
            </w:r>
          </w:p>
          <w:p w14:paraId="623592D5" w14:textId="0DAEDD5F" w:rsidR="004B3CE4" w:rsidRDefault="00C00A8E" w:rsidP="004B3CE4">
            <w:pPr>
              <w:pStyle w:val="BoxText"/>
            </w:pPr>
            <w:r>
              <w:t>The Australian Government</w:t>
            </w:r>
            <w:r w:rsidR="00E3485B">
              <w:t xml:space="preserve">, </w:t>
            </w:r>
            <w:r w:rsidR="00A24407">
              <w:t xml:space="preserve">the </w:t>
            </w:r>
            <w:r w:rsidR="00E3485B">
              <w:t>E</w:t>
            </w:r>
            <w:r w:rsidR="00E20E53">
              <w:t>uropean Union</w:t>
            </w:r>
            <w:r w:rsidR="00E3485B" w:rsidRPr="00A35DB3">
              <w:t xml:space="preserve"> and </w:t>
            </w:r>
            <w:r w:rsidR="00815D83">
              <w:t xml:space="preserve">the </w:t>
            </w:r>
            <w:r w:rsidR="008C33CC">
              <w:t>Government of Samoa</w:t>
            </w:r>
            <w:r w:rsidR="00E3485B" w:rsidRPr="00A35DB3">
              <w:t xml:space="preserve"> are </w:t>
            </w:r>
            <w:r w:rsidR="00E3485B">
              <w:t>responding</w:t>
            </w:r>
            <w:r w:rsidR="00E3485B" w:rsidRPr="00A35DB3">
              <w:t xml:space="preserve"> to the</w:t>
            </w:r>
            <w:r w:rsidR="004B3CE4">
              <w:t xml:space="preserve"> results and recommendations of the mid-term</w:t>
            </w:r>
            <w:r w:rsidR="00E3485B" w:rsidRPr="00A35DB3">
              <w:t xml:space="preserve"> review. Possible responses include a pilot program</w:t>
            </w:r>
            <w:r w:rsidR="004B3CE4">
              <w:t xml:space="preserve"> to test waiving</w:t>
            </w:r>
            <w:r w:rsidR="00E3485B" w:rsidRPr="00A35DB3">
              <w:t xml:space="preserve"> contributions fees </w:t>
            </w:r>
            <w:r w:rsidR="00E3485B">
              <w:t>for</w:t>
            </w:r>
            <w:r w:rsidR="00E3485B" w:rsidRPr="00A35DB3">
              <w:t xml:space="preserve"> applicants from vulnerable communities, or target</w:t>
            </w:r>
            <w:r w:rsidR="004B3CE4">
              <w:t>ing</w:t>
            </w:r>
            <w:r w:rsidR="00E3485B" w:rsidRPr="00A35DB3">
              <w:t xml:space="preserve"> funds for programs </w:t>
            </w:r>
            <w:r w:rsidR="004B3CE4">
              <w:t>that</w:t>
            </w:r>
            <w:r w:rsidR="004B3CE4" w:rsidRPr="00A35DB3">
              <w:t xml:space="preserve"> </w:t>
            </w:r>
            <w:r w:rsidR="00E3485B" w:rsidRPr="00A35DB3">
              <w:t>improve gender outcome</w:t>
            </w:r>
            <w:r w:rsidR="00E3485B">
              <w:t>s</w:t>
            </w:r>
            <w:r w:rsidR="00E3485B" w:rsidRPr="00A35DB3">
              <w:t xml:space="preserve">. </w:t>
            </w:r>
          </w:p>
          <w:p w14:paraId="0A70AD14" w14:textId="16E07043" w:rsidR="00E3485B" w:rsidRPr="00AA34B9" w:rsidRDefault="00E3485B" w:rsidP="004B3CE4">
            <w:pPr>
              <w:pStyle w:val="BoxText"/>
            </w:pPr>
            <w:r w:rsidRPr="00A35DB3">
              <w:t>A new joint CSSP</w:t>
            </w:r>
            <w:r w:rsidR="004F20FD">
              <w:t xml:space="preserve"> – </w:t>
            </w:r>
            <w:r w:rsidRPr="00A35DB3">
              <w:t xml:space="preserve">Samoa Red Cross </w:t>
            </w:r>
            <w:r>
              <w:t xml:space="preserve">water tank </w:t>
            </w:r>
            <w:r w:rsidRPr="00A35DB3">
              <w:t xml:space="preserve">project </w:t>
            </w:r>
            <w:r w:rsidR="004B3CE4">
              <w:t xml:space="preserve">has been approved. This </w:t>
            </w:r>
            <w:r w:rsidRPr="00A35DB3">
              <w:t xml:space="preserve">will </w:t>
            </w:r>
            <w:r>
              <w:t>enable</w:t>
            </w:r>
            <w:r w:rsidR="002E0ECC">
              <w:t xml:space="preserve"> the</w:t>
            </w:r>
            <w:r>
              <w:t xml:space="preserve"> </w:t>
            </w:r>
            <w:r w:rsidRPr="00A35DB3">
              <w:t>CSSP to learn from the Samo</w:t>
            </w:r>
            <w:r>
              <w:t>a</w:t>
            </w:r>
            <w:r w:rsidRPr="00A35DB3">
              <w:t xml:space="preserve"> Red Cross’s experience with household-based targeting of projects</w:t>
            </w:r>
            <w:r w:rsidR="004F20FD">
              <w:t>.</w:t>
            </w:r>
            <w:r>
              <w:rPr>
                <w:rStyle w:val="FootnoteReference"/>
              </w:rPr>
              <w:footnoteReference w:id="68"/>
            </w:r>
          </w:p>
        </w:tc>
      </w:tr>
    </w:tbl>
    <w:p w14:paraId="4358BE21" w14:textId="72B14F2B" w:rsidR="001A68E4" w:rsidRPr="00D33FDF" w:rsidRDefault="00A35DB3" w:rsidP="00D33FDF">
      <w:pPr>
        <w:pStyle w:val="Heading2"/>
      </w:pPr>
      <w:r w:rsidRPr="00D33FDF">
        <w:t xml:space="preserve">Improved </w:t>
      </w:r>
      <w:r w:rsidR="004F20FD" w:rsidRPr="00D33FDF">
        <w:t>l</w:t>
      </w:r>
      <w:r w:rsidRPr="00D33FDF">
        <w:t xml:space="preserve">aw </w:t>
      </w:r>
      <w:r w:rsidR="009D4118" w:rsidRPr="00D33FDF">
        <w:t>and</w:t>
      </w:r>
      <w:r w:rsidRPr="00D33FDF">
        <w:t xml:space="preserve"> </w:t>
      </w:r>
      <w:r w:rsidR="004F20FD" w:rsidRPr="00D33FDF">
        <w:t>j</w:t>
      </w:r>
      <w:r w:rsidRPr="00D33FDF">
        <w:t>ustice</w:t>
      </w:r>
    </w:p>
    <w:p w14:paraId="4EB15FD1" w14:textId="747E8EF0" w:rsidR="00A35DB3" w:rsidRPr="00ED2536" w:rsidRDefault="008E4D46" w:rsidP="00D33FDF">
      <w:pPr>
        <w:pStyle w:val="Heading3"/>
      </w:pPr>
      <w:r>
        <w:t>Overall r</w:t>
      </w:r>
      <w:r w:rsidR="00A35DB3" w:rsidRPr="00ED2536">
        <w:t>ating and assessment</w:t>
      </w:r>
    </w:p>
    <w:p w14:paraId="05B5B331" w14:textId="56C9524C" w:rsidR="00A35DB3" w:rsidRPr="00B83F76" w:rsidRDefault="00A35DB3" w:rsidP="00A35DB3">
      <w:pPr>
        <w:pStyle w:val="BodyText"/>
      </w:pPr>
      <w:r w:rsidRPr="003C4742">
        <w:rPr>
          <w:color w:val="FF9900"/>
          <w:szCs w:val="22"/>
        </w:rPr>
        <w:sym w:font="Webdings" w:char="F067"/>
      </w:r>
      <w:r w:rsidRPr="00D17249">
        <w:rPr>
          <w:rFonts w:eastAsia="Arial Unicode MS"/>
        </w:rPr>
        <w:t> </w:t>
      </w:r>
      <w:r w:rsidR="00B83F76" w:rsidRPr="00B83F76">
        <w:rPr>
          <w:rFonts w:eastAsia="Arial Unicode MS"/>
        </w:rPr>
        <w:t>Rating: Amber.</w:t>
      </w:r>
      <w:r w:rsidRPr="00B83F76">
        <w:t xml:space="preserve"> Progress is somewhat less than expected for this point in time and restorative action will be necessary if the objective is to be achieved. Close performance monitoring is recommended.</w:t>
      </w:r>
    </w:p>
    <w:p w14:paraId="26A7FF3F" w14:textId="28830D3D" w:rsidR="00A35DB3" w:rsidRPr="00D17249" w:rsidRDefault="00A35DB3" w:rsidP="00A35DB3">
      <w:pPr>
        <w:pStyle w:val="Caption"/>
      </w:pPr>
      <w:r>
        <w:t xml:space="preserve">Table </w:t>
      </w:r>
      <w:r w:rsidR="005F0CC5">
        <w:t>7</w:t>
      </w:r>
      <w:r w:rsidRPr="00D17249">
        <w:t>: Partnership for Development</w:t>
      </w:r>
      <w:r w:rsidR="004F20FD">
        <w:t>—</w:t>
      </w:r>
      <w:r w:rsidR="00792D18">
        <w:t>l</w:t>
      </w:r>
      <w:r w:rsidRPr="00D17249">
        <w:t>aw and justice</w:t>
      </w:r>
    </w:p>
    <w:tbl>
      <w:tblPr>
        <w:tblStyle w:val="APPR"/>
        <w:tblW w:w="4787" w:type="pct"/>
        <w:tblLayout w:type="fixed"/>
        <w:tblLook w:val="0000" w:firstRow="0" w:lastRow="0" w:firstColumn="0" w:lastColumn="0" w:noHBand="0" w:noVBand="0"/>
      </w:tblPr>
      <w:tblGrid>
        <w:gridCol w:w="7225"/>
        <w:gridCol w:w="1014"/>
      </w:tblGrid>
      <w:tr w:rsidR="00A35DB3" w:rsidRPr="003C4742" w14:paraId="61654164" w14:textId="77777777" w:rsidTr="00B83F76">
        <w:trPr>
          <w:cnfStyle w:val="000000010000" w:firstRow="0" w:lastRow="0" w:firstColumn="0" w:lastColumn="0" w:oddVBand="0" w:evenVBand="0" w:oddHBand="0" w:evenHBand="1" w:firstRowFirstColumn="0" w:firstRowLastColumn="0" w:lastRowFirstColumn="0" w:lastRowLastColumn="0"/>
        </w:trPr>
        <w:tc>
          <w:tcPr>
            <w:tcW w:w="4966" w:type="pct"/>
            <w:gridSpan w:val="2"/>
          </w:tcPr>
          <w:p w14:paraId="15F7E051" w14:textId="469FA1CB" w:rsidR="00A35DB3" w:rsidRPr="00AB2642" w:rsidRDefault="00A35DB3" w:rsidP="00B83F76">
            <w:pPr>
              <w:pStyle w:val="TableTextEntries"/>
            </w:pPr>
            <w:r w:rsidRPr="00AB2642">
              <w:t xml:space="preserve">Objective: </w:t>
            </w:r>
            <w:r w:rsidRPr="00674F59">
              <w:t>The partnership will enable Samoa to have safer communities, better access to justice and integration between customary and formal justice systems.</w:t>
            </w:r>
            <w:r w:rsidRPr="00AB2642">
              <w:t xml:space="preserve"> </w:t>
            </w:r>
          </w:p>
        </w:tc>
      </w:tr>
      <w:tr w:rsidR="00A35DB3" w:rsidRPr="00AB2642" w14:paraId="322CA280" w14:textId="77777777" w:rsidTr="00B83F76">
        <w:trPr>
          <w:cnfStyle w:val="000000010000" w:firstRow="0" w:lastRow="0" w:firstColumn="0" w:lastColumn="0" w:oddVBand="0" w:evenVBand="0" w:oddHBand="0" w:evenHBand="1" w:firstRowFirstColumn="0" w:firstRowLastColumn="0" w:lastRowFirstColumn="0" w:lastRowLastColumn="0"/>
        </w:trPr>
        <w:tc>
          <w:tcPr>
            <w:tcW w:w="4374" w:type="pct"/>
          </w:tcPr>
          <w:p w14:paraId="048A7B7D" w14:textId="77777777" w:rsidR="00A35DB3" w:rsidRPr="00B83F76" w:rsidRDefault="00A35DB3" w:rsidP="00B83F76">
            <w:pPr>
              <w:pStyle w:val="TableTextColumnHeading"/>
            </w:pPr>
            <w:r w:rsidRPr="00B83F76">
              <w:t>Partnership targets for 2015</w:t>
            </w:r>
          </w:p>
        </w:tc>
        <w:tc>
          <w:tcPr>
            <w:tcW w:w="575" w:type="pct"/>
          </w:tcPr>
          <w:p w14:paraId="4FB01BF0" w14:textId="77777777" w:rsidR="00A35DB3" w:rsidRPr="00B83F76" w:rsidRDefault="00A35DB3" w:rsidP="00B83F76">
            <w:pPr>
              <w:pStyle w:val="TableTextColumnHeading"/>
            </w:pPr>
            <w:r w:rsidRPr="00B83F76">
              <w:t>Progress</w:t>
            </w:r>
          </w:p>
        </w:tc>
      </w:tr>
      <w:tr w:rsidR="00A35DB3" w:rsidRPr="003C4742" w14:paraId="54AD2A94" w14:textId="77777777" w:rsidTr="006B4FE5">
        <w:trPr>
          <w:cnfStyle w:val="000000010000" w:firstRow="0" w:lastRow="0" w:firstColumn="0" w:lastColumn="0" w:oddVBand="0" w:evenVBand="0" w:oddHBand="0" w:evenHBand="1" w:firstRowFirstColumn="0" w:firstRowLastColumn="0" w:lastRowFirstColumn="0" w:lastRowLastColumn="0"/>
        </w:trPr>
        <w:tc>
          <w:tcPr>
            <w:tcW w:w="4374" w:type="pct"/>
          </w:tcPr>
          <w:p w14:paraId="7562D9F2" w14:textId="750ED145" w:rsidR="00A35DB3" w:rsidRPr="00B83F76" w:rsidRDefault="00A35DB3" w:rsidP="00B83F76">
            <w:pPr>
              <w:pStyle w:val="TableTextEntries"/>
            </w:pPr>
            <w:r w:rsidRPr="00B83F76">
              <w:t>Improved Rule of Law score in Worldwide Governance Indicators</w:t>
            </w:r>
          </w:p>
        </w:tc>
        <w:tc>
          <w:tcPr>
            <w:tcW w:w="575" w:type="pct"/>
            <w:vMerge w:val="restart"/>
            <w:shd w:val="clear" w:color="auto" w:fill="F79646" w:themeFill="accent6"/>
            <w:vAlign w:val="center"/>
          </w:tcPr>
          <w:p w14:paraId="6C5003C2" w14:textId="0313903C" w:rsidR="00A35DB3" w:rsidRPr="00B83F76" w:rsidRDefault="00B83F76" w:rsidP="006B4FE5">
            <w:pPr>
              <w:pStyle w:val="TableTextEntries"/>
              <w:jc w:val="center"/>
            </w:pPr>
            <w:r w:rsidRPr="00B83F76">
              <w:t>Amber</w:t>
            </w:r>
          </w:p>
        </w:tc>
      </w:tr>
      <w:tr w:rsidR="00A35DB3" w:rsidRPr="003C4742" w14:paraId="5E632852" w14:textId="77777777" w:rsidTr="006B4FE5">
        <w:trPr>
          <w:cnfStyle w:val="000000010000" w:firstRow="0" w:lastRow="0" w:firstColumn="0" w:lastColumn="0" w:oddVBand="0" w:evenVBand="0" w:oddHBand="0" w:evenHBand="1" w:firstRowFirstColumn="0" w:firstRowLastColumn="0" w:lastRowFirstColumn="0" w:lastRowLastColumn="0"/>
        </w:trPr>
        <w:tc>
          <w:tcPr>
            <w:tcW w:w="4374" w:type="pct"/>
          </w:tcPr>
          <w:p w14:paraId="12474869" w14:textId="21DD032B" w:rsidR="00A35DB3" w:rsidRPr="00B83F76" w:rsidRDefault="00A35DB3" w:rsidP="00B83F76">
            <w:pPr>
              <w:pStyle w:val="TableTextEntries"/>
            </w:pPr>
            <w:r w:rsidRPr="00B83F76">
              <w:t xml:space="preserve">    2008: 75    </w:t>
            </w:r>
            <w:r w:rsidR="004152C6" w:rsidRPr="00B83F76">
              <w:t xml:space="preserve">      </w:t>
            </w:r>
            <w:r w:rsidRPr="00B83F76">
              <w:t xml:space="preserve">2009: 68.2    </w:t>
            </w:r>
            <w:r w:rsidR="004152C6" w:rsidRPr="00B83F76">
              <w:t xml:space="preserve">   </w:t>
            </w:r>
            <w:r w:rsidRPr="00B83F76">
              <w:t xml:space="preserve">2010: 67.3   </w:t>
            </w:r>
            <w:r w:rsidR="004152C6" w:rsidRPr="00B83F76">
              <w:t xml:space="preserve">    20</w:t>
            </w:r>
            <w:r w:rsidRPr="00B83F76">
              <w:t xml:space="preserve">11: 68.5  </w:t>
            </w:r>
            <w:r w:rsidR="004152C6" w:rsidRPr="00B83F76">
              <w:t xml:space="preserve">       </w:t>
            </w:r>
            <w:r w:rsidRPr="00B83F76">
              <w:t xml:space="preserve">Regional 2011 average: 47.3 </w:t>
            </w:r>
          </w:p>
        </w:tc>
        <w:tc>
          <w:tcPr>
            <w:tcW w:w="575" w:type="pct"/>
            <w:vMerge/>
            <w:shd w:val="clear" w:color="auto" w:fill="F79646" w:themeFill="accent6"/>
            <w:vAlign w:val="center"/>
          </w:tcPr>
          <w:p w14:paraId="53B1930C" w14:textId="77777777" w:rsidR="00A35DB3" w:rsidRPr="00B83F76" w:rsidRDefault="00A35DB3" w:rsidP="006B4FE5">
            <w:pPr>
              <w:pStyle w:val="TableTextEntries"/>
              <w:jc w:val="center"/>
            </w:pPr>
          </w:p>
        </w:tc>
      </w:tr>
      <w:tr w:rsidR="00A35DB3" w:rsidRPr="003C4742" w14:paraId="7F5EBEFE" w14:textId="77777777" w:rsidTr="006B4FE5">
        <w:trPr>
          <w:cnfStyle w:val="000000010000" w:firstRow="0" w:lastRow="0" w:firstColumn="0" w:lastColumn="0" w:oddVBand="0" w:evenVBand="0" w:oddHBand="0" w:evenHBand="1" w:firstRowFirstColumn="0" w:firstRowLastColumn="0" w:lastRowFirstColumn="0" w:lastRowLastColumn="0"/>
        </w:trPr>
        <w:tc>
          <w:tcPr>
            <w:tcW w:w="4374" w:type="pct"/>
          </w:tcPr>
          <w:p w14:paraId="1D0EC063" w14:textId="77777777" w:rsidR="00A35DB3" w:rsidRPr="00B83F76" w:rsidRDefault="00A35DB3" w:rsidP="00B83F76">
            <w:pPr>
              <w:pStyle w:val="TableTextEntries"/>
            </w:pPr>
            <w:r w:rsidRPr="00B83F76">
              <w:t>Reduced number of serious crimes</w:t>
            </w:r>
            <w:r w:rsidRPr="00B83F76">
              <w:rPr>
                <w:rStyle w:val="FootnoteReference"/>
                <w:rFonts w:ascii="Franklin Gothic Book" w:hAnsi="Franklin Gothic Book"/>
                <w:position w:val="0"/>
                <w:sz w:val="17"/>
                <w:szCs w:val="17"/>
              </w:rPr>
              <w:footnoteReference w:id="69"/>
            </w:r>
          </w:p>
        </w:tc>
        <w:tc>
          <w:tcPr>
            <w:tcW w:w="575" w:type="pct"/>
            <w:vMerge w:val="restart"/>
            <w:shd w:val="clear" w:color="auto" w:fill="F79646" w:themeFill="accent6"/>
            <w:vAlign w:val="center"/>
          </w:tcPr>
          <w:p w14:paraId="59F74D56" w14:textId="7380A7E8" w:rsidR="00A35DB3" w:rsidRPr="00B83F76" w:rsidRDefault="00B83F76" w:rsidP="006B4FE5">
            <w:pPr>
              <w:pStyle w:val="TableTextEntries"/>
              <w:jc w:val="center"/>
            </w:pPr>
            <w:r w:rsidRPr="00B83F76">
              <w:t>Amber</w:t>
            </w:r>
          </w:p>
        </w:tc>
      </w:tr>
      <w:tr w:rsidR="00A35DB3" w:rsidRPr="003C4742" w14:paraId="69125A15" w14:textId="77777777" w:rsidTr="00B83F76">
        <w:trPr>
          <w:cnfStyle w:val="000000010000" w:firstRow="0" w:lastRow="0" w:firstColumn="0" w:lastColumn="0" w:oddVBand="0" w:evenVBand="0" w:oddHBand="0" w:evenHBand="1" w:firstRowFirstColumn="0" w:firstRowLastColumn="0" w:lastRowFirstColumn="0" w:lastRowLastColumn="0"/>
        </w:trPr>
        <w:tc>
          <w:tcPr>
            <w:tcW w:w="4374" w:type="pct"/>
          </w:tcPr>
          <w:p w14:paraId="70D225E9" w14:textId="36CF452A" w:rsidR="00A35DB3" w:rsidRPr="00B83F76" w:rsidRDefault="00A35DB3" w:rsidP="00B83F76">
            <w:pPr>
              <w:pStyle w:val="TableTextEntries"/>
            </w:pPr>
            <w:r w:rsidRPr="00B83F76">
              <w:t xml:space="preserve">    2008: 2</w:t>
            </w:r>
            <w:r w:rsidR="004152C6" w:rsidRPr="00B83F76">
              <w:t xml:space="preserve"> </w:t>
            </w:r>
            <w:r w:rsidRPr="00B83F76">
              <w:t xml:space="preserve">776  </w:t>
            </w:r>
            <w:r w:rsidR="004152C6" w:rsidRPr="00B83F76">
              <w:t xml:space="preserve">  </w:t>
            </w:r>
            <w:r w:rsidRPr="00B83F76">
              <w:t xml:space="preserve"> 2009: 3</w:t>
            </w:r>
            <w:r w:rsidR="004152C6" w:rsidRPr="00B83F76">
              <w:t xml:space="preserve"> </w:t>
            </w:r>
            <w:r w:rsidRPr="00B83F76">
              <w:t xml:space="preserve">178   </w:t>
            </w:r>
            <w:r w:rsidR="004152C6" w:rsidRPr="00B83F76">
              <w:t xml:space="preserve"> </w:t>
            </w:r>
            <w:r w:rsidRPr="00B83F76">
              <w:t xml:space="preserve"> 2010: 3</w:t>
            </w:r>
            <w:r w:rsidR="004152C6" w:rsidRPr="00B83F76">
              <w:t xml:space="preserve"> </w:t>
            </w:r>
            <w:r w:rsidRPr="00B83F76">
              <w:t xml:space="preserve">642   </w:t>
            </w:r>
            <w:r w:rsidR="004152C6" w:rsidRPr="00B83F76">
              <w:t xml:space="preserve"> </w:t>
            </w:r>
            <w:r w:rsidRPr="00B83F76">
              <w:t xml:space="preserve">2011: </w:t>
            </w:r>
            <w:r w:rsidR="00CA3761" w:rsidRPr="00B83F76">
              <w:t>4</w:t>
            </w:r>
            <w:r w:rsidR="004152C6" w:rsidRPr="00B83F76">
              <w:t xml:space="preserve"> </w:t>
            </w:r>
            <w:r w:rsidR="00CA3761" w:rsidRPr="00B83F76">
              <w:t>372</w:t>
            </w:r>
            <w:r w:rsidR="000C424C" w:rsidRPr="00B83F76">
              <w:t xml:space="preserve"> </w:t>
            </w:r>
            <w:r w:rsidRPr="00B83F76">
              <w:t xml:space="preserve">   2012: </w:t>
            </w:r>
            <w:r w:rsidR="00CA3761" w:rsidRPr="00B83F76">
              <w:t>4</w:t>
            </w:r>
            <w:r w:rsidR="004152C6" w:rsidRPr="00B83F76">
              <w:t xml:space="preserve"> </w:t>
            </w:r>
            <w:r w:rsidR="00CA3761" w:rsidRPr="00B83F76">
              <w:t>850</w:t>
            </w:r>
            <w:r w:rsidR="000C424C" w:rsidRPr="00B83F76">
              <w:t xml:space="preserve"> </w:t>
            </w:r>
            <w:r w:rsidR="006838B2" w:rsidRPr="00B83F76">
              <w:rPr>
                <w:rStyle w:val="FootnoteReference"/>
                <w:rFonts w:ascii="Franklin Gothic Book" w:hAnsi="Franklin Gothic Book"/>
                <w:position w:val="0"/>
                <w:sz w:val="17"/>
                <w:szCs w:val="17"/>
              </w:rPr>
              <w:footnoteReference w:id="70"/>
            </w:r>
          </w:p>
        </w:tc>
        <w:tc>
          <w:tcPr>
            <w:tcW w:w="575" w:type="pct"/>
            <w:vMerge/>
            <w:shd w:val="clear" w:color="auto" w:fill="F79646" w:themeFill="accent6"/>
          </w:tcPr>
          <w:p w14:paraId="49053D6D" w14:textId="77777777" w:rsidR="00A35DB3" w:rsidRDefault="00A35DB3" w:rsidP="009B502F">
            <w:pPr>
              <w:pStyle w:val="TableTextEntries"/>
              <w:spacing w:before="80" w:after="80" w:line="280" w:lineRule="atLeast"/>
            </w:pPr>
          </w:p>
        </w:tc>
      </w:tr>
    </w:tbl>
    <w:p w14:paraId="0016CF85" w14:textId="547F2CD1" w:rsidR="00A35DB3" w:rsidRDefault="00DD407C" w:rsidP="00B83F76">
      <w:pPr>
        <w:pStyle w:val="Note"/>
      </w:pPr>
      <w:r w:rsidRPr="00A63D4B">
        <w:t>Source:</w:t>
      </w:r>
      <w:r>
        <w:t xml:space="preserve"> </w:t>
      </w:r>
      <w:r w:rsidRPr="00DD407C">
        <w:t>Worldwide Governance Indicators, C</w:t>
      </w:r>
      <w:r w:rsidRPr="00DD407C">
        <w:rPr>
          <w:i/>
        </w:rPr>
        <w:t>ountry Data Report for Samoa, 1996</w:t>
      </w:r>
      <w:r w:rsidR="00515D9A">
        <w:rPr>
          <w:i/>
        </w:rPr>
        <w:t>–</w:t>
      </w:r>
      <w:r w:rsidRPr="00DD407C">
        <w:rPr>
          <w:i/>
        </w:rPr>
        <w:t xml:space="preserve">2011, </w:t>
      </w:r>
      <w:r w:rsidRPr="00DD407C">
        <w:t>accessed March 2012</w:t>
      </w:r>
    </w:p>
    <w:p w14:paraId="3FF32250" w14:textId="77777777" w:rsidR="00A5426E" w:rsidRPr="00B83F76" w:rsidRDefault="00A5426E" w:rsidP="00B83F76">
      <w:pPr>
        <w:pStyle w:val="BodyText"/>
      </w:pPr>
    </w:p>
    <w:p w14:paraId="0BDEF868" w14:textId="7297F15D" w:rsidR="00A35DB3" w:rsidRPr="00A35DB3" w:rsidRDefault="00A35DB3" w:rsidP="00D33FDF">
      <w:pPr>
        <w:pStyle w:val="BodyText"/>
      </w:pPr>
      <w:r w:rsidRPr="00A35DB3">
        <w:t>Samoa is a mostly peaceful and stable society with the third highest Rule of La</w:t>
      </w:r>
      <w:r w:rsidR="00792D18">
        <w:t xml:space="preserve">w </w:t>
      </w:r>
      <w:r w:rsidR="009D4118">
        <w:t xml:space="preserve">score </w:t>
      </w:r>
      <w:r w:rsidR="00792D18">
        <w:t>in the Pacific region</w:t>
      </w:r>
      <w:r w:rsidRPr="00A35DB3">
        <w:t>. However, substantial challenges exist</w:t>
      </w:r>
      <w:r w:rsidR="00515D9A">
        <w:t xml:space="preserve"> in the law and justice sector.</w:t>
      </w:r>
      <w:r w:rsidR="00515D9A" w:rsidRPr="00A35DB3">
        <w:t xml:space="preserve"> </w:t>
      </w:r>
      <w:r w:rsidRPr="00A35DB3">
        <w:t>Criminal offences have increased steadily in recent years</w:t>
      </w:r>
      <w:r w:rsidRPr="009E6B2D">
        <w:rPr>
          <w:rStyle w:val="FootnoteReference"/>
          <w:szCs w:val="16"/>
        </w:rPr>
        <w:footnoteReference w:id="71"/>
      </w:r>
      <w:r w:rsidRPr="009E6B2D">
        <w:rPr>
          <w:rStyle w:val="FootnoteReference"/>
          <w:szCs w:val="16"/>
        </w:rPr>
        <w:t xml:space="preserve"> </w:t>
      </w:r>
      <w:r w:rsidRPr="00A35DB3">
        <w:t>and cronyism and low</w:t>
      </w:r>
      <w:r w:rsidR="00515D9A">
        <w:t>-</w:t>
      </w:r>
      <w:r w:rsidRPr="00A35DB3">
        <w:t>level corruption</w:t>
      </w:r>
      <w:r w:rsidR="002266BC">
        <w:t xml:space="preserve"> remain </w:t>
      </w:r>
      <w:r w:rsidR="00515D9A">
        <w:t>of concern</w:t>
      </w:r>
      <w:r w:rsidR="004F20FD">
        <w:t>.</w:t>
      </w:r>
      <w:r w:rsidRPr="009E6B2D">
        <w:rPr>
          <w:rStyle w:val="FootnoteReference"/>
          <w:szCs w:val="16"/>
        </w:rPr>
        <w:footnoteReference w:id="72"/>
      </w:r>
      <w:r w:rsidRPr="00A35DB3">
        <w:t xml:space="preserve"> In 2012</w:t>
      </w:r>
      <w:r w:rsidR="00515D9A">
        <w:t>–</w:t>
      </w:r>
      <w:r w:rsidRPr="00A35DB3">
        <w:t>13</w:t>
      </w:r>
      <w:r w:rsidR="00515D9A">
        <w:t>,</w:t>
      </w:r>
      <w:r w:rsidRPr="00A35DB3">
        <w:t xml:space="preserve"> tensions </w:t>
      </w:r>
      <w:r w:rsidR="00515D9A">
        <w:t>over</w:t>
      </w:r>
      <w:r w:rsidR="00515D9A" w:rsidRPr="00A35DB3">
        <w:t xml:space="preserve"> </w:t>
      </w:r>
      <w:r w:rsidRPr="00A35DB3">
        <w:t xml:space="preserve">land and access to services saw clashes between villagers and police in </w:t>
      </w:r>
      <w:proofErr w:type="spellStart"/>
      <w:r w:rsidRPr="00A35DB3">
        <w:t>Satapuala</w:t>
      </w:r>
      <w:proofErr w:type="spellEnd"/>
      <w:r w:rsidRPr="00A35DB3">
        <w:t xml:space="preserve"> and </w:t>
      </w:r>
      <w:proofErr w:type="spellStart"/>
      <w:r w:rsidRPr="00A35DB3">
        <w:t>Magiagi</w:t>
      </w:r>
      <w:proofErr w:type="spellEnd"/>
      <w:r w:rsidRPr="00A35DB3">
        <w:t>. Levels of domestic violence are high</w:t>
      </w:r>
      <w:r w:rsidR="004F20FD">
        <w:t>—</w:t>
      </w:r>
      <w:r w:rsidRPr="00A35DB3">
        <w:t>41 per cent of women have been abused by an intimate partner and 65 per cent by a non- partner, indicating pervasive</w:t>
      </w:r>
      <w:r w:rsidR="00244B0A">
        <w:t xml:space="preserve"> negative</w:t>
      </w:r>
      <w:r w:rsidRPr="00A35DB3">
        <w:t xml:space="preserve"> social attitudes towards women’s social status</w:t>
      </w:r>
      <w:r w:rsidR="004F20FD">
        <w:t>.</w:t>
      </w:r>
      <w:r w:rsidR="00DD407C">
        <w:rPr>
          <w:rStyle w:val="FootnoteReference"/>
        </w:rPr>
        <w:footnoteReference w:id="73"/>
      </w:r>
      <w:r w:rsidR="007737ED">
        <w:t xml:space="preserve"> </w:t>
      </w:r>
      <w:r w:rsidR="00D8654D">
        <w:t xml:space="preserve">These challenges, and recognition that </w:t>
      </w:r>
      <w:r w:rsidR="008C2716">
        <w:t>the Australian aid program</w:t>
      </w:r>
      <w:r w:rsidR="00C83A68">
        <w:t>’s law and justice</w:t>
      </w:r>
      <w:r w:rsidR="00D8654D">
        <w:t xml:space="preserve"> program is not adequately </w:t>
      </w:r>
      <w:r w:rsidR="00C83A68">
        <w:t>linked to</w:t>
      </w:r>
      <w:r w:rsidR="00B8362D">
        <w:t xml:space="preserve"> sector </w:t>
      </w:r>
      <w:r w:rsidR="00D8654D">
        <w:t>outcomes</w:t>
      </w:r>
      <w:r w:rsidR="00515D9A">
        <w:t xml:space="preserve"> in Samoa</w:t>
      </w:r>
      <w:r w:rsidR="00D8654D">
        <w:t xml:space="preserve">, </w:t>
      </w:r>
      <w:r w:rsidR="00515D9A">
        <w:t>saw</w:t>
      </w:r>
      <w:r w:rsidR="00D8654D">
        <w:t xml:space="preserve"> </w:t>
      </w:r>
      <w:r w:rsidR="00515D9A">
        <w:t>th</w:t>
      </w:r>
      <w:r w:rsidR="009D4118">
        <w:t>is</w:t>
      </w:r>
      <w:r w:rsidR="00515D9A">
        <w:t xml:space="preserve"> </w:t>
      </w:r>
      <w:r w:rsidR="00D8654D">
        <w:t xml:space="preserve">rating revised downwards. </w:t>
      </w:r>
    </w:p>
    <w:p w14:paraId="47AC6007" w14:textId="6EE3D44A" w:rsidR="00A35DB3" w:rsidRDefault="00A35DB3" w:rsidP="00D33FDF">
      <w:pPr>
        <w:pStyle w:val="BodyText"/>
      </w:pPr>
      <w:r w:rsidRPr="00A35DB3">
        <w:t>Many causes and potential solutions for these challenges overlap with th</w:t>
      </w:r>
      <w:r w:rsidR="00A215AB">
        <w:t>ose</w:t>
      </w:r>
      <w:r w:rsidR="00515D9A">
        <w:t xml:space="preserve"> </w:t>
      </w:r>
      <w:r w:rsidRPr="00A35DB3">
        <w:t xml:space="preserve">faced </w:t>
      </w:r>
      <w:r w:rsidR="00515D9A">
        <w:t>by</w:t>
      </w:r>
      <w:r w:rsidR="00515D9A" w:rsidRPr="00A35DB3">
        <w:t xml:space="preserve"> </w:t>
      </w:r>
      <w:r w:rsidR="00A215AB">
        <w:t xml:space="preserve">the </w:t>
      </w:r>
      <w:r w:rsidR="00A215AB" w:rsidRPr="008E4D46">
        <w:t>g</w:t>
      </w:r>
      <w:r w:rsidRPr="008E4D46">
        <w:t xml:space="preserve">overnance and </w:t>
      </w:r>
      <w:r w:rsidR="00A215AB" w:rsidRPr="008E4D46">
        <w:t>e</w:t>
      </w:r>
      <w:r w:rsidRPr="008E4D46">
        <w:t xml:space="preserve">conomic </w:t>
      </w:r>
      <w:r w:rsidR="00A215AB" w:rsidRPr="008E4D46">
        <w:t>s</w:t>
      </w:r>
      <w:r w:rsidRPr="008E4D46">
        <w:t>tability</w:t>
      </w:r>
      <w:r w:rsidR="00A215AB">
        <w:t xml:space="preserve"> priority outcome</w:t>
      </w:r>
      <w:r w:rsidRPr="00A35DB3">
        <w:t>. Given this, and the comparatively small number of activities in</w:t>
      </w:r>
      <w:r w:rsidR="00515D9A">
        <w:t xml:space="preserve"> the</w:t>
      </w:r>
      <w:r w:rsidRPr="00A35DB3">
        <w:t xml:space="preserve"> law and justice sector, these two priority outcomes will be combined in the coming year for greater integration of programs and staff efficiencies</w:t>
      </w:r>
      <w:r>
        <w:t>.</w:t>
      </w:r>
    </w:p>
    <w:p w14:paraId="41EE69DC" w14:textId="3058DAA5" w:rsidR="00A35DB3" w:rsidRPr="00D17249" w:rsidRDefault="00A35DB3" w:rsidP="00D33FDF">
      <w:pPr>
        <w:pStyle w:val="Heading3"/>
      </w:pPr>
      <w:r>
        <w:t>Program performance</w:t>
      </w:r>
    </w:p>
    <w:p w14:paraId="474B82B2" w14:textId="38030F7E" w:rsidR="00A35DB3" w:rsidRDefault="009145BA" w:rsidP="00D33FDF">
      <w:pPr>
        <w:pStyle w:val="BodyText"/>
      </w:pPr>
      <w:r>
        <w:t xml:space="preserve">The Australian Government </w:t>
      </w:r>
      <w:r w:rsidR="00515D9A" w:rsidRPr="00A35DB3">
        <w:t xml:space="preserve">provides funding to the </w:t>
      </w:r>
      <w:r w:rsidR="00515D9A" w:rsidRPr="008E4D46">
        <w:rPr>
          <w:b/>
        </w:rPr>
        <w:t>Law and Justice Sector Steering Committee</w:t>
      </w:r>
      <w:r w:rsidR="00515D9A">
        <w:t xml:space="preserve"> </w:t>
      </w:r>
      <w:r w:rsidR="00A35DB3" w:rsidRPr="00A35DB3">
        <w:t>which</w:t>
      </w:r>
      <w:r w:rsidR="009D4118">
        <w:t>,</w:t>
      </w:r>
      <w:r w:rsidR="00A35DB3" w:rsidRPr="00A35DB3">
        <w:t xml:space="preserve"> </w:t>
      </w:r>
      <w:r w:rsidR="00515D9A">
        <w:t>in turn</w:t>
      </w:r>
      <w:r w:rsidR="009D4118">
        <w:t>,</w:t>
      </w:r>
      <w:r w:rsidR="00515D9A">
        <w:t xml:space="preserve"> </w:t>
      </w:r>
      <w:r w:rsidR="00A35DB3" w:rsidRPr="00A35DB3">
        <w:t>allocates funds to priority development projects in the sector. In 2012</w:t>
      </w:r>
      <w:r w:rsidR="004F20FD">
        <w:t>–</w:t>
      </w:r>
      <w:r w:rsidR="00A35DB3" w:rsidRPr="00A35DB3">
        <w:t>13</w:t>
      </w:r>
      <w:r w:rsidR="009D4118">
        <w:t>, the c</w:t>
      </w:r>
      <w:r w:rsidR="00515D9A">
        <w:t xml:space="preserve">ommittee </w:t>
      </w:r>
      <w:r w:rsidR="00A35DB3" w:rsidRPr="00A35DB3">
        <w:t>supported projects</w:t>
      </w:r>
      <w:r w:rsidR="008E4D46">
        <w:t xml:space="preserve"> which</w:t>
      </w:r>
      <w:r w:rsidR="00A35DB3" w:rsidRPr="00A35DB3">
        <w:t xml:space="preserve"> included:</w:t>
      </w:r>
    </w:p>
    <w:p w14:paraId="36E1C1A1" w14:textId="30AE45AF" w:rsidR="00A35DB3" w:rsidRPr="00A35DB3" w:rsidRDefault="00A35DB3" w:rsidP="00D33FDF">
      <w:pPr>
        <w:pStyle w:val="ListBullet"/>
      </w:pPr>
      <w:r w:rsidRPr="00A35DB3">
        <w:t>Launch</w:t>
      </w:r>
      <w:r w:rsidR="009D4118">
        <w:t>ing</w:t>
      </w:r>
      <w:r w:rsidRPr="00A35DB3">
        <w:t xml:space="preserve"> an online portal for all of Samoa’s legislation and court records as well as ongoing digitis</w:t>
      </w:r>
      <w:r w:rsidR="009D4118">
        <w:t>ing</w:t>
      </w:r>
      <w:r w:rsidRPr="00A35DB3">
        <w:t xml:space="preserve"> of Land and Titles Court records</w:t>
      </w:r>
      <w:r w:rsidR="00AE6C84">
        <w:t xml:space="preserve">, which </w:t>
      </w:r>
      <w:r w:rsidR="00AE6C84" w:rsidRPr="00A35DB3">
        <w:t>will increase access to legal information for justice officials and the public.</w:t>
      </w:r>
      <w:r w:rsidR="007737ED">
        <w:t xml:space="preserve"> </w:t>
      </w:r>
      <w:r w:rsidR="00AE6C84">
        <w:t>More than</w:t>
      </w:r>
      <w:r w:rsidRPr="00A35DB3">
        <w:t xml:space="preserve"> 10</w:t>
      </w:r>
      <w:r w:rsidR="005030A2">
        <w:t xml:space="preserve"> </w:t>
      </w:r>
      <w:r w:rsidRPr="00A35DB3">
        <w:t xml:space="preserve">000 </w:t>
      </w:r>
      <w:r w:rsidR="00AE6C84">
        <w:t>records have been digitised.</w:t>
      </w:r>
    </w:p>
    <w:p w14:paraId="0DCE0499" w14:textId="4C758C3C" w:rsidR="00A35DB3" w:rsidRPr="00A35DB3" w:rsidRDefault="00A35DB3" w:rsidP="00D33FDF">
      <w:pPr>
        <w:pStyle w:val="ListBullet"/>
      </w:pPr>
      <w:r w:rsidRPr="00A35DB3">
        <w:t>Renovati</w:t>
      </w:r>
      <w:r w:rsidR="009D4118">
        <w:t>ng</w:t>
      </w:r>
      <w:r w:rsidRPr="00A35DB3">
        <w:t xml:space="preserve"> the </w:t>
      </w:r>
      <w:proofErr w:type="spellStart"/>
      <w:r w:rsidRPr="00A35DB3">
        <w:t>Tafaigata</w:t>
      </w:r>
      <w:proofErr w:type="spellEnd"/>
      <w:r w:rsidRPr="00A35DB3">
        <w:t xml:space="preserve"> Women’s Prison to improve conditions and reduce</w:t>
      </w:r>
      <w:r w:rsidR="00AE6C84">
        <w:t xml:space="preserve"> the</w:t>
      </w:r>
      <w:r w:rsidRPr="00A35DB3">
        <w:t xml:space="preserve"> overcrowding </w:t>
      </w:r>
      <w:r w:rsidR="00AE6C84">
        <w:t>caused by</w:t>
      </w:r>
      <w:r w:rsidRPr="00A35DB3">
        <w:t xml:space="preserve"> a significant increase in the prison population in recent years</w:t>
      </w:r>
      <w:r w:rsidR="005030A2">
        <w:t>.</w:t>
      </w:r>
    </w:p>
    <w:p w14:paraId="33932385" w14:textId="5491B030" w:rsidR="00A35DB3" w:rsidRPr="00A35DB3" w:rsidRDefault="00A35DB3" w:rsidP="00D33FDF">
      <w:pPr>
        <w:pStyle w:val="ListBullet"/>
      </w:pPr>
      <w:r w:rsidRPr="00A35DB3">
        <w:t>Training of 173 female and 375 male law and justice officials</w:t>
      </w:r>
      <w:r w:rsidR="00AE6C84">
        <w:t>,</w:t>
      </w:r>
      <w:r w:rsidR="009A40DB">
        <w:t xml:space="preserve"> </w:t>
      </w:r>
      <w:r w:rsidRPr="00A35DB3">
        <w:t xml:space="preserve">including </w:t>
      </w:r>
      <w:r w:rsidR="00AE6C84">
        <w:t xml:space="preserve">in </w:t>
      </w:r>
      <w:r w:rsidRPr="00A35DB3">
        <w:t xml:space="preserve">legislation review, forensic investigation, judicial skills and statistics. </w:t>
      </w:r>
      <w:r w:rsidR="004152C6">
        <w:rPr>
          <w:rStyle w:val="FootnoteReference"/>
        </w:rPr>
        <w:footnoteReference w:id="74"/>
      </w:r>
    </w:p>
    <w:p w14:paraId="0F22FD8D" w14:textId="2A554D09" w:rsidR="00A35DB3" w:rsidRPr="00A35DB3" w:rsidRDefault="00A35DB3" w:rsidP="00D33FDF">
      <w:pPr>
        <w:pStyle w:val="BodyText"/>
      </w:pPr>
      <w:r w:rsidRPr="00A35DB3">
        <w:t xml:space="preserve">These and other sector projects are on track to achieve planned outputs. However, </w:t>
      </w:r>
      <w:r w:rsidR="00D8654D">
        <w:t>evidence</w:t>
      </w:r>
      <w:r w:rsidR="00B35C0B">
        <w:t xml:space="preserve"> is limited</w:t>
      </w:r>
      <w:r w:rsidR="00D8654D">
        <w:t xml:space="preserve"> that activities funded are </w:t>
      </w:r>
      <w:r w:rsidR="00AE6C84">
        <w:t>contributing</w:t>
      </w:r>
      <w:r w:rsidR="00D8654D">
        <w:t xml:space="preserve"> to law and justice </w:t>
      </w:r>
      <w:r w:rsidRPr="00A35DB3">
        <w:t>outcomes such as improv</w:t>
      </w:r>
      <w:r w:rsidR="002266BC">
        <w:t>ing access to justice services</w:t>
      </w:r>
      <w:r w:rsidR="005030A2">
        <w:t>.</w:t>
      </w:r>
      <w:r w:rsidR="00DD407C">
        <w:rPr>
          <w:rStyle w:val="FootnoteReference"/>
        </w:rPr>
        <w:footnoteReference w:id="75"/>
      </w:r>
      <w:r w:rsidRPr="00A35DB3">
        <w:t xml:space="preserve"> A </w:t>
      </w:r>
      <w:r w:rsidR="002266BC">
        <w:t xml:space="preserve">multi-year </w:t>
      </w:r>
      <w:r w:rsidRPr="00A35DB3">
        <w:t xml:space="preserve">program of support for the new </w:t>
      </w:r>
      <w:r w:rsidR="002266BC">
        <w:t>Law and Justice S</w:t>
      </w:r>
      <w:r w:rsidRPr="00A35DB3">
        <w:t xml:space="preserve">ector </w:t>
      </w:r>
      <w:r w:rsidR="002266BC">
        <w:t>P</w:t>
      </w:r>
      <w:r w:rsidRPr="00A35DB3">
        <w:t>lan is being designed. Th</w:t>
      </w:r>
      <w:r w:rsidR="00AE6C84">
        <w:t xml:space="preserve">e </w:t>
      </w:r>
      <w:r w:rsidRPr="00A35DB3">
        <w:t xml:space="preserve">design will </w:t>
      </w:r>
      <w:r w:rsidR="002266BC">
        <w:t>focus on strengthening links between activities funded and key d</w:t>
      </w:r>
      <w:r w:rsidRPr="00A35DB3">
        <w:t xml:space="preserve">evelopment </w:t>
      </w:r>
      <w:r w:rsidR="00B8362D">
        <w:t xml:space="preserve">outcomes </w:t>
      </w:r>
      <w:r w:rsidR="002266BC">
        <w:t>such as gender</w:t>
      </w:r>
      <w:r w:rsidR="00AE6C84">
        <w:t>-</w:t>
      </w:r>
      <w:r w:rsidR="002266BC">
        <w:t xml:space="preserve">based violence, crime rates and safe communities. </w:t>
      </w:r>
    </w:p>
    <w:p w14:paraId="0200B999" w14:textId="6CFFAC87" w:rsidR="005030A2" w:rsidRDefault="00A35DB3" w:rsidP="00D33FDF">
      <w:pPr>
        <w:pStyle w:val="BodyText"/>
      </w:pPr>
      <w:r w:rsidRPr="00A35DB3">
        <w:t xml:space="preserve">The </w:t>
      </w:r>
      <w:r w:rsidRPr="00EC44C3">
        <w:rPr>
          <w:b/>
        </w:rPr>
        <w:t>Samoa</w:t>
      </w:r>
      <w:r w:rsidR="00AE6C84" w:rsidRPr="00EC44C3">
        <w:rPr>
          <w:b/>
        </w:rPr>
        <w:t xml:space="preserve"> – </w:t>
      </w:r>
      <w:r w:rsidRPr="00EC44C3">
        <w:rPr>
          <w:b/>
        </w:rPr>
        <w:t>Australia Police Partnership</w:t>
      </w:r>
      <w:r w:rsidRPr="00A35DB3">
        <w:t xml:space="preserve">, managed and staffed by the Australian Federal Police, provides important support to the sector. In 2012, the </w:t>
      </w:r>
      <w:r w:rsidR="004152C6">
        <w:t xml:space="preserve">police </w:t>
      </w:r>
      <w:r w:rsidR="00B35C0B">
        <w:t>p</w:t>
      </w:r>
      <w:r w:rsidRPr="00A35DB3">
        <w:t>artnership trained 47 female and 282 male police officers in courses</w:t>
      </w:r>
      <w:r w:rsidR="00B35C0B">
        <w:t xml:space="preserve"> covering c</w:t>
      </w:r>
      <w:r w:rsidRPr="00A35DB3">
        <w:t xml:space="preserve">rime </w:t>
      </w:r>
      <w:r w:rsidR="00B35C0B">
        <w:t>r</w:t>
      </w:r>
      <w:r w:rsidRPr="00A35DB3">
        <w:t xml:space="preserve">eporting and </w:t>
      </w:r>
      <w:r w:rsidR="00B35C0B">
        <w:t>crime d</w:t>
      </w:r>
      <w:r w:rsidRPr="00A35DB3">
        <w:t xml:space="preserve">atabases, </w:t>
      </w:r>
      <w:r w:rsidR="00B35C0B">
        <w:t>s</w:t>
      </w:r>
      <w:r w:rsidRPr="00A35DB3">
        <w:t xml:space="preserve">exual </w:t>
      </w:r>
      <w:r w:rsidR="00B35C0B">
        <w:t>o</w:t>
      </w:r>
      <w:r w:rsidRPr="00A35DB3">
        <w:t xml:space="preserve">ffences </w:t>
      </w:r>
      <w:r w:rsidR="00B35C0B">
        <w:t>f</w:t>
      </w:r>
      <w:r w:rsidRPr="00A35DB3">
        <w:t xml:space="preserve">irst </w:t>
      </w:r>
      <w:r w:rsidR="00B35C0B">
        <w:t>r</w:t>
      </w:r>
      <w:r w:rsidRPr="00A35DB3">
        <w:t xml:space="preserve">esponse and </w:t>
      </w:r>
      <w:r w:rsidR="00B35C0B">
        <w:t>c</w:t>
      </w:r>
      <w:r w:rsidRPr="00A35DB3">
        <w:t xml:space="preserve">lose </w:t>
      </w:r>
      <w:r w:rsidR="00B35C0B">
        <w:t>p</w:t>
      </w:r>
      <w:r w:rsidRPr="00A35DB3">
        <w:t xml:space="preserve">ersonal </w:t>
      </w:r>
      <w:r w:rsidR="00B35C0B">
        <w:t>p</w:t>
      </w:r>
      <w:r w:rsidRPr="00A35DB3">
        <w:t>rotection</w:t>
      </w:r>
      <w:r w:rsidR="007737ED">
        <w:t xml:space="preserve">. </w:t>
      </w:r>
      <w:r w:rsidRPr="00A35DB3">
        <w:t xml:space="preserve">Under the </w:t>
      </w:r>
      <w:r w:rsidR="004152C6">
        <w:t xml:space="preserve">police </w:t>
      </w:r>
      <w:r w:rsidR="00B35C0B">
        <w:t>p</w:t>
      </w:r>
      <w:r w:rsidRPr="00A35DB3">
        <w:t>artnership</w:t>
      </w:r>
      <w:r w:rsidR="00792D18">
        <w:t>,</w:t>
      </w:r>
      <w:r w:rsidRPr="00A35DB3">
        <w:t xml:space="preserve"> construction also </w:t>
      </w:r>
      <w:r w:rsidR="00B35C0B">
        <w:t>began</w:t>
      </w:r>
      <w:r w:rsidR="00B35C0B" w:rsidRPr="00A35DB3">
        <w:t xml:space="preserve"> </w:t>
      </w:r>
      <w:r w:rsidRPr="00A35DB3">
        <w:t>on a shared radio communications service for all emergency and disaster management services</w:t>
      </w:r>
      <w:r w:rsidR="007737ED">
        <w:t xml:space="preserve">. </w:t>
      </w:r>
    </w:p>
    <w:p w14:paraId="3AECBA05" w14:textId="0FDB5B41" w:rsidR="00A35DB3" w:rsidRDefault="00A35DB3" w:rsidP="00D33FDF">
      <w:pPr>
        <w:pStyle w:val="BodyText"/>
      </w:pPr>
      <w:r w:rsidRPr="00A35DB3">
        <w:t>Australia has</w:t>
      </w:r>
      <w:r w:rsidR="00B35C0B">
        <w:t xml:space="preserve"> been providing</w:t>
      </w:r>
      <w:r w:rsidRPr="00A35DB3">
        <w:t xml:space="preserve"> support to the Samoa Police </w:t>
      </w:r>
      <w:r w:rsidR="004152C6">
        <w:t>and Prisons Service</w:t>
      </w:r>
      <w:r w:rsidRPr="00A35DB3">
        <w:t xml:space="preserve"> since 2003. </w:t>
      </w:r>
      <w:r w:rsidR="00B35C0B">
        <w:t>During</w:t>
      </w:r>
      <w:r w:rsidR="00B35C0B" w:rsidRPr="00A35DB3">
        <w:t xml:space="preserve"> </w:t>
      </w:r>
      <w:r w:rsidRPr="00A35DB3">
        <w:t xml:space="preserve">this time the number of sworn female officers has risen from less than </w:t>
      </w:r>
      <w:r w:rsidRPr="002266BC">
        <w:t xml:space="preserve">5 to </w:t>
      </w:r>
      <w:r w:rsidR="00B35C0B">
        <w:t>more than</w:t>
      </w:r>
      <w:r w:rsidR="00B35C0B" w:rsidRPr="002266BC">
        <w:t xml:space="preserve"> </w:t>
      </w:r>
      <w:r w:rsidR="00244B0A">
        <w:t>120</w:t>
      </w:r>
      <w:r w:rsidR="005030A2">
        <w:t>—</w:t>
      </w:r>
      <w:r w:rsidR="00D8654D">
        <w:t>25 per cent of the force, including at management level</w:t>
      </w:r>
      <w:r w:rsidRPr="002266BC">
        <w:t>.</w:t>
      </w:r>
      <w:r w:rsidR="00E73E0C">
        <w:t xml:space="preserve"> </w:t>
      </w:r>
      <w:r w:rsidR="00B35C0B">
        <w:t xml:space="preserve">More </w:t>
      </w:r>
      <w:r w:rsidR="00E73E0C">
        <w:t xml:space="preserve">details of </w:t>
      </w:r>
      <w:r w:rsidR="00B35C0B">
        <w:t>the Australian Federal Police’s</w:t>
      </w:r>
      <w:r w:rsidR="00E73E0C">
        <w:t xml:space="preserve"> work in Samoa </w:t>
      </w:r>
      <w:r w:rsidR="009A40DB">
        <w:t>are</w:t>
      </w:r>
      <w:r w:rsidR="00B35C0B">
        <w:t xml:space="preserve"> </w:t>
      </w:r>
      <w:r w:rsidR="00E73E0C">
        <w:t>at Annex B.</w:t>
      </w:r>
    </w:p>
    <w:p w14:paraId="367D2C61" w14:textId="64329E0C" w:rsidR="00180B19" w:rsidRPr="00D33FDF" w:rsidRDefault="00180B19" w:rsidP="00D33FDF">
      <w:pPr>
        <w:pStyle w:val="Heading1"/>
      </w:pPr>
      <w:r w:rsidRPr="00D33FDF">
        <w:t xml:space="preserve">Quality at </w:t>
      </w:r>
      <w:r w:rsidR="005030A2" w:rsidRPr="00D33FDF">
        <w:t>i</w:t>
      </w:r>
      <w:r w:rsidRPr="00D33FDF">
        <w:t xml:space="preserve">mplementation </w:t>
      </w:r>
    </w:p>
    <w:p w14:paraId="26B2F4C3" w14:textId="3A801667" w:rsidR="00B35C0B" w:rsidRDefault="0041406D" w:rsidP="00D33FDF">
      <w:pPr>
        <w:pStyle w:val="BodyText"/>
      </w:pPr>
      <w:r w:rsidRPr="0041406D">
        <w:t>In 2012</w:t>
      </w:r>
      <w:r w:rsidR="007E5E0E">
        <w:t>–</w:t>
      </w:r>
      <w:r w:rsidRPr="0041406D">
        <w:t>13</w:t>
      </w:r>
      <w:r w:rsidR="00B35C0B">
        <w:t>,</w:t>
      </w:r>
      <w:r w:rsidRPr="0041406D">
        <w:t xml:space="preserve"> the Samoa program </w:t>
      </w:r>
      <w:r w:rsidR="00C002E3">
        <w:t>assessed</w:t>
      </w:r>
      <w:r w:rsidR="00B35C0B">
        <w:t xml:space="preserve"> quality of implementation through</w:t>
      </w:r>
      <w:r w:rsidR="002266BC">
        <w:t xml:space="preserve"> </w:t>
      </w:r>
      <w:r w:rsidRPr="0041406D">
        <w:t>six</w:t>
      </w:r>
      <w:r w:rsidR="00B35C0B">
        <w:t>-</w:t>
      </w:r>
      <w:r w:rsidRPr="0041406D">
        <w:t>mon</w:t>
      </w:r>
      <w:r w:rsidR="002266BC">
        <w:t xml:space="preserve">thly </w:t>
      </w:r>
      <w:r w:rsidRPr="0041406D">
        <w:t xml:space="preserve">updates and quarterly assessments of </w:t>
      </w:r>
      <w:r w:rsidRPr="00866C00">
        <w:t xml:space="preserve">progress against APPR </w:t>
      </w:r>
      <w:r w:rsidR="007E5E0E">
        <w:t>m</w:t>
      </w:r>
      <w:r w:rsidRPr="00866C00">
        <w:t xml:space="preserve">anagement </w:t>
      </w:r>
      <w:r w:rsidR="007E5E0E">
        <w:t>c</w:t>
      </w:r>
      <w:r w:rsidRPr="00866C00">
        <w:t>onsequences</w:t>
      </w:r>
      <w:r w:rsidR="002266BC" w:rsidRPr="00866C00">
        <w:t xml:space="preserve"> and risk management actions</w:t>
      </w:r>
      <w:r w:rsidR="00B35C0B">
        <w:t>. Results were used</w:t>
      </w:r>
      <w:r w:rsidR="00B948EC">
        <w:t xml:space="preserve"> to inform program management</w:t>
      </w:r>
      <w:r w:rsidRPr="00866C00">
        <w:t>.</w:t>
      </w:r>
      <w:r w:rsidR="00C002E3">
        <w:t xml:space="preserve"> </w:t>
      </w:r>
      <w:r w:rsidRPr="00866C00">
        <w:t>Th</w:t>
      </w:r>
      <w:r w:rsidR="00C002E3">
        <w:t>ese practices have</w:t>
      </w:r>
      <w:r w:rsidRPr="00866C00">
        <w:t xml:space="preserve"> enabled mandatory quality products to become useful management tools for program staff</w:t>
      </w:r>
      <w:r w:rsidR="00866C00" w:rsidRPr="00866C00">
        <w:t xml:space="preserve">. </w:t>
      </w:r>
      <w:r w:rsidR="00C002E3">
        <w:t>Q</w:t>
      </w:r>
      <w:r w:rsidR="00B35C0B">
        <w:t>uality at implementation reporting</w:t>
      </w:r>
      <w:r w:rsidR="00C002E3">
        <w:t xml:space="preserve"> is</w:t>
      </w:r>
      <w:r w:rsidR="00866C00" w:rsidRPr="00866C00">
        <w:t xml:space="preserve"> developed in consultation with </w:t>
      </w:r>
      <w:r w:rsidR="008C33CC">
        <w:t>Government of Samoa</w:t>
      </w:r>
      <w:r w:rsidR="00866C00" w:rsidRPr="00866C00">
        <w:t xml:space="preserve"> stakeholders and </w:t>
      </w:r>
      <w:r w:rsidR="004152C6">
        <w:t>includes</w:t>
      </w:r>
      <w:r w:rsidR="00B35C0B">
        <w:t xml:space="preserve"> regular </w:t>
      </w:r>
      <w:r w:rsidR="00866C00" w:rsidRPr="00866C00">
        <w:t>discussions on program progress</w:t>
      </w:r>
      <w:r w:rsidR="00B948EC">
        <w:t xml:space="preserve"> and </w:t>
      </w:r>
      <w:r w:rsidR="00866C00" w:rsidRPr="00866C00">
        <w:t xml:space="preserve">challenges, including in the development of </w:t>
      </w:r>
      <w:r w:rsidR="004D7A3C">
        <w:t xml:space="preserve">this </w:t>
      </w:r>
      <w:r w:rsidR="00B16D3B">
        <w:t>A</w:t>
      </w:r>
      <w:r w:rsidR="009D4118">
        <w:t>PPR</w:t>
      </w:r>
      <w:r w:rsidR="007737ED">
        <w:t xml:space="preserve">. </w:t>
      </w:r>
    </w:p>
    <w:p w14:paraId="5198088B" w14:textId="0A34A6A1" w:rsidR="0041406D" w:rsidRDefault="0041406D" w:rsidP="00D33FDF">
      <w:pPr>
        <w:pStyle w:val="BodyText"/>
      </w:pPr>
      <w:r w:rsidRPr="00866C00">
        <w:t>Initiative</w:t>
      </w:r>
      <w:r w:rsidRPr="0041406D">
        <w:t>-level reporting (</w:t>
      </w:r>
      <w:r>
        <w:t xml:space="preserve">Table </w:t>
      </w:r>
      <w:r w:rsidR="005F0CC5">
        <w:t>8</w:t>
      </w:r>
      <w:r w:rsidR="00D80B3E">
        <w:t>) was completed for 84.8</w:t>
      </w:r>
      <w:r w:rsidRPr="0041406D">
        <w:t xml:space="preserve"> per cent of </w:t>
      </w:r>
      <w:r w:rsidR="008C2716">
        <w:t xml:space="preserve">the Australian </w:t>
      </w:r>
      <w:r w:rsidR="00361211">
        <w:t xml:space="preserve">Government’s </w:t>
      </w:r>
      <w:r w:rsidRPr="0041406D">
        <w:t xml:space="preserve">bilateral </w:t>
      </w:r>
      <w:r w:rsidR="00361211">
        <w:t xml:space="preserve">aid </w:t>
      </w:r>
      <w:r w:rsidR="002266BC">
        <w:t>program</w:t>
      </w:r>
      <w:r w:rsidRPr="0041406D">
        <w:t xml:space="preserve"> in 2012</w:t>
      </w:r>
      <w:r w:rsidR="007E5E0E">
        <w:t>–</w:t>
      </w:r>
      <w:r w:rsidRPr="0041406D">
        <w:t>13, up from 80.3 per cent in 2011</w:t>
      </w:r>
      <w:r w:rsidR="007737ED">
        <w:t xml:space="preserve">. </w:t>
      </w:r>
      <w:r w:rsidR="00A04A2B">
        <w:t>Th</w:t>
      </w:r>
      <w:r w:rsidR="002A480D">
        <w:t xml:space="preserve">is </w:t>
      </w:r>
      <w:r w:rsidR="00A04A2B">
        <w:t>form</w:t>
      </w:r>
      <w:r w:rsidR="002A480D">
        <w:t>ed</w:t>
      </w:r>
      <w:r w:rsidR="00A04A2B">
        <w:t xml:space="preserve"> the basis </w:t>
      </w:r>
      <w:r w:rsidR="009D4118">
        <w:t xml:space="preserve">for </w:t>
      </w:r>
      <w:r w:rsidR="002A480D">
        <w:t xml:space="preserve">program </w:t>
      </w:r>
      <w:r w:rsidR="00A04A2B">
        <w:t>performance reporting</w:t>
      </w:r>
      <w:r w:rsidR="002A480D">
        <w:t xml:space="preserve"> given that</w:t>
      </w:r>
      <w:r w:rsidR="00A04A2B">
        <w:t xml:space="preserve"> a </w:t>
      </w:r>
      <w:r w:rsidR="009D4118">
        <w:t>p</w:t>
      </w:r>
      <w:r w:rsidR="00A04A2B">
        <w:t xml:space="preserve">artnership-wide </w:t>
      </w:r>
      <w:r w:rsidR="002A480D">
        <w:t>p</w:t>
      </w:r>
      <w:r w:rsidR="00A04A2B">
        <w:t xml:space="preserve">erformance </w:t>
      </w:r>
      <w:r w:rsidR="002A480D">
        <w:t>a</w:t>
      </w:r>
      <w:r w:rsidR="00A04A2B">
        <w:t xml:space="preserve">ssessment </w:t>
      </w:r>
      <w:r w:rsidR="002A480D">
        <w:t>f</w:t>
      </w:r>
      <w:r w:rsidR="00A04A2B">
        <w:t>ramework</w:t>
      </w:r>
      <w:r w:rsidR="002A480D">
        <w:t xml:space="preserve"> for the Samoa program</w:t>
      </w:r>
      <w:r w:rsidR="00A04A2B">
        <w:t xml:space="preserve"> has yet to be developed. </w:t>
      </w:r>
    </w:p>
    <w:p w14:paraId="778A2783" w14:textId="08925802" w:rsidR="009B502F" w:rsidRPr="00D17249" w:rsidRDefault="009B502F" w:rsidP="009B502F">
      <w:pPr>
        <w:pStyle w:val="Caption"/>
      </w:pPr>
      <w:r w:rsidRPr="00D17249">
        <w:t xml:space="preserve">Table </w:t>
      </w:r>
      <w:r w:rsidR="005F0CC5">
        <w:t>8</w:t>
      </w:r>
      <w:r w:rsidRPr="00D17249">
        <w:t xml:space="preserve">: </w:t>
      </w:r>
      <w:r w:rsidR="0041406D">
        <w:t>November 2012</w:t>
      </w:r>
      <w:r w:rsidRPr="00D17249">
        <w:t xml:space="preserve"> </w:t>
      </w:r>
      <w:r w:rsidR="00A04A2B">
        <w:t>Q</w:t>
      </w:r>
      <w:r w:rsidRPr="00D17249">
        <w:t xml:space="preserve">uality at </w:t>
      </w:r>
      <w:r w:rsidR="007E5E0E">
        <w:t>i</w:t>
      </w:r>
      <w:r w:rsidRPr="00D17249">
        <w:t xml:space="preserve">mplementation </w:t>
      </w:r>
      <w:r>
        <w:t>r</w:t>
      </w:r>
      <w:r w:rsidRPr="00D17249">
        <w:t>atings</w:t>
      </w:r>
      <w:r w:rsidR="0041406D">
        <w:rPr>
          <w:rStyle w:val="FootnoteReference"/>
        </w:rPr>
        <w:footnoteReference w:id="76"/>
      </w:r>
    </w:p>
    <w:tbl>
      <w:tblPr>
        <w:tblW w:w="0" w:type="auto"/>
        <w:tblCellSpacing w:w="14" w:type="dxa"/>
        <w:tblBorders>
          <w:top w:val="single" w:sz="12" w:space="0" w:color="000000"/>
          <w:bottom w:val="single" w:sz="12" w:space="0" w:color="000000"/>
        </w:tblBorders>
        <w:tblLayout w:type="fixed"/>
        <w:tblLook w:val="0000" w:firstRow="0" w:lastRow="0" w:firstColumn="0" w:lastColumn="0" w:noHBand="0" w:noVBand="0"/>
      </w:tblPr>
      <w:tblGrid>
        <w:gridCol w:w="3444"/>
        <w:gridCol w:w="595"/>
        <w:gridCol w:w="879"/>
        <w:gridCol w:w="737"/>
        <w:gridCol w:w="878"/>
        <w:gridCol w:w="737"/>
        <w:gridCol w:w="891"/>
      </w:tblGrid>
      <w:tr w:rsidR="009B502F" w:rsidRPr="00674F59" w14:paraId="68E51022" w14:textId="77777777" w:rsidTr="00AB2642">
        <w:trPr>
          <w:trHeight w:val="1246"/>
          <w:tblCellSpacing w:w="14" w:type="dxa"/>
        </w:trPr>
        <w:tc>
          <w:tcPr>
            <w:tcW w:w="3402" w:type="dxa"/>
            <w:shd w:val="clear" w:color="auto" w:fill="auto"/>
            <w:vAlign w:val="center"/>
          </w:tcPr>
          <w:p w14:paraId="0A1ACF1E" w14:textId="77777777" w:rsidR="009B502F" w:rsidRPr="00674F59" w:rsidRDefault="009B502F" w:rsidP="00E53359">
            <w:pPr>
              <w:pStyle w:val="TableTextColumnHeading"/>
            </w:pPr>
            <w:r w:rsidRPr="00674F59">
              <w:t>Program</w:t>
            </w:r>
          </w:p>
        </w:tc>
        <w:tc>
          <w:tcPr>
            <w:tcW w:w="567" w:type="dxa"/>
            <w:shd w:val="clear" w:color="auto" w:fill="auto"/>
            <w:textDirection w:val="btLr"/>
          </w:tcPr>
          <w:p w14:paraId="4188758F" w14:textId="77777777" w:rsidR="009B502F" w:rsidRPr="00674F59" w:rsidRDefault="009B502F" w:rsidP="00E53359">
            <w:pPr>
              <w:pStyle w:val="TableTextColumnHeading"/>
            </w:pPr>
            <w:r w:rsidRPr="00674F59">
              <w:t>Relevance</w:t>
            </w:r>
          </w:p>
        </w:tc>
        <w:tc>
          <w:tcPr>
            <w:tcW w:w="851" w:type="dxa"/>
            <w:shd w:val="clear" w:color="auto" w:fill="auto"/>
            <w:textDirection w:val="btLr"/>
          </w:tcPr>
          <w:p w14:paraId="2B12C99D" w14:textId="77777777" w:rsidR="009B502F" w:rsidRPr="00674F59" w:rsidRDefault="009B502F" w:rsidP="00E53359">
            <w:pPr>
              <w:pStyle w:val="TableTextColumnHeading"/>
            </w:pPr>
            <w:r w:rsidRPr="00674F59">
              <w:t>Effectiveness</w:t>
            </w:r>
          </w:p>
        </w:tc>
        <w:tc>
          <w:tcPr>
            <w:tcW w:w="709" w:type="dxa"/>
            <w:shd w:val="clear" w:color="auto" w:fill="auto"/>
            <w:textDirection w:val="btLr"/>
          </w:tcPr>
          <w:p w14:paraId="0ACD5DA3" w14:textId="77777777" w:rsidR="009B502F" w:rsidRPr="00674F59" w:rsidRDefault="009B502F" w:rsidP="00E53359">
            <w:pPr>
              <w:pStyle w:val="TableTextColumnHeading"/>
            </w:pPr>
            <w:r w:rsidRPr="00674F59">
              <w:t>Efficiency</w:t>
            </w:r>
          </w:p>
        </w:tc>
        <w:tc>
          <w:tcPr>
            <w:tcW w:w="850" w:type="dxa"/>
            <w:shd w:val="clear" w:color="auto" w:fill="auto"/>
            <w:textDirection w:val="btLr"/>
          </w:tcPr>
          <w:p w14:paraId="038DE247" w14:textId="77777777" w:rsidR="009B502F" w:rsidRPr="00674F59" w:rsidRDefault="009B502F" w:rsidP="00E53359">
            <w:pPr>
              <w:pStyle w:val="TableTextColumnHeading"/>
            </w:pPr>
            <w:r w:rsidRPr="00674F59">
              <w:t>Monitoring &amp; evaluation</w:t>
            </w:r>
          </w:p>
        </w:tc>
        <w:tc>
          <w:tcPr>
            <w:tcW w:w="709" w:type="dxa"/>
            <w:shd w:val="clear" w:color="auto" w:fill="auto"/>
            <w:textDirection w:val="btLr"/>
          </w:tcPr>
          <w:p w14:paraId="752E69C6" w14:textId="77777777" w:rsidR="009B502F" w:rsidRPr="00674F59" w:rsidRDefault="009B502F" w:rsidP="00E53359">
            <w:pPr>
              <w:pStyle w:val="TableTextColumnHeading"/>
            </w:pPr>
            <w:r w:rsidRPr="00674F59">
              <w:t>Sustainability</w:t>
            </w:r>
          </w:p>
        </w:tc>
        <w:tc>
          <w:tcPr>
            <w:tcW w:w="849" w:type="dxa"/>
            <w:shd w:val="clear" w:color="auto" w:fill="auto"/>
            <w:textDirection w:val="btLr"/>
          </w:tcPr>
          <w:p w14:paraId="109CC2AD" w14:textId="77777777" w:rsidR="009B502F" w:rsidRPr="00674F59" w:rsidRDefault="009B502F" w:rsidP="00E53359">
            <w:pPr>
              <w:pStyle w:val="TableTextColumnHeading"/>
            </w:pPr>
            <w:r w:rsidRPr="00674F59">
              <w:t>Gender equality</w:t>
            </w:r>
          </w:p>
        </w:tc>
      </w:tr>
      <w:tr w:rsidR="009B502F" w:rsidRPr="003C4742" w14:paraId="76D7461E" w14:textId="77777777" w:rsidTr="00E53359">
        <w:trPr>
          <w:tblCellSpacing w:w="14" w:type="dxa"/>
        </w:trPr>
        <w:tc>
          <w:tcPr>
            <w:tcW w:w="3402" w:type="dxa"/>
            <w:shd w:val="clear" w:color="auto" w:fill="auto"/>
          </w:tcPr>
          <w:p w14:paraId="36A8C56A" w14:textId="77777777" w:rsidR="009B502F" w:rsidRDefault="009B502F" w:rsidP="00E53359">
            <w:pPr>
              <w:pStyle w:val="TableTextEntries"/>
            </w:pPr>
            <w:r>
              <w:t>Education Sector Program II</w:t>
            </w:r>
          </w:p>
        </w:tc>
        <w:tc>
          <w:tcPr>
            <w:tcW w:w="567" w:type="dxa"/>
            <w:tcBorders>
              <w:top w:val="nil"/>
              <w:bottom w:val="nil"/>
            </w:tcBorders>
            <w:shd w:val="clear" w:color="auto" w:fill="92D050"/>
          </w:tcPr>
          <w:p w14:paraId="03AA3DEA" w14:textId="38CB6F89"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3515FBA5" w14:textId="56734DA5"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2763C747" w14:textId="3C6B638F"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39E0BC92" w14:textId="42A5CF52" w:rsidR="009B502F" w:rsidRPr="00E53359" w:rsidRDefault="00E53359" w:rsidP="00E53359">
            <w:pPr>
              <w:pStyle w:val="TableTextEntries"/>
              <w:jc w:val="center"/>
            </w:pPr>
            <w:r w:rsidRPr="00E53359">
              <w:t>4</w:t>
            </w:r>
          </w:p>
        </w:tc>
        <w:tc>
          <w:tcPr>
            <w:tcW w:w="709" w:type="dxa"/>
            <w:tcBorders>
              <w:top w:val="nil"/>
              <w:bottom w:val="nil"/>
            </w:tcBorders>
            <w:shd w:val="clear" w:color="auto" w:fill="92D050"/>
          </w:tcPr>
          <w:p w14:paraId="7DAEF557" w14:textId="0F3F9455" w:rsidR="009B502F" w:rsidRPr="00E53359" w:rsidRDefault="00E53359" w:rsidP="00E53359">
            <w:pPr>
              <w:pStyle w:val="TableTextEntries"/>
              <w:jc w:val="center"/>
            </w:pPr>
            <w:r w:rsidRPr="00E53359">
              <w:t>6</w:t>
            </w:r>
          </w:p>
        </w:tc>
        <w:tc>
          <w:tcPr>
            <w:tcW w:w="849" w:type="dxa"/>
            <w:tcBorders>
              <w:top w:val="nil"/>
              <w:bottom w:val="nil"/>
            </w:tcBorders>
            <w:shd w:val="clear" w:color="auto" w:fill="92D050"/>
          </w:tcPr>
          <w:p w14:paraId="3C0715AC" w14:textId="4DFC3381" w:rsidR="009B502F" w:rsidRPr="00E53359" w:rsidRDefault="00E53359" w:rsidP="00E53359">
            <w:pPr>
              <w:pStyle w:val="TableTextEntries"/>
              <w:jc w:val="center"/>
            </w:pPr>
            <w:r w:rsidRPr="00E53359">
              <w:t>6</w:t>
            </w:r>
          </w:p>
        </w:tc>
      </w:tr>
      <w:tr w:rsidR="009B502F" w:rsidRPr="003C4742" w14:paraId="280883BC" w14:textId="77777777" w:rsidTr="00E53359">
        <w:trPr>
          <w:tblCellSpacing w:w="14" w:type="dxa"/>
        </w:trPr>
        <w:tc>
          <w:tcPr>
            <w:tcW w:w="3402" w:type="dxa"/>
            <w:shd w:val="clear" w:color="auto" w:fill="auto"/>
          </w:tcPr>
          <w:p w14:paraId="3BA9D68C" w14:textId="77777777" w:rsidR="009B502F" w:rsidRDefault="009B502F" w:rsidP="00E53359">
            <w:pPr>
              <w:pStyle w:val="TableTextEntries"/>
            </w:pPr>
            <w:r>
              <w:t>Inclusive Education Demonstration Program</w:t>
            </w:r>
          </w:p>
        </w:tc>
        <w:tc>
          <w:tcPr>
            <w:tcW w:w="567" w:type="dxa"/>
            <w:tcBorders>
              <w:top w:val="nil"/>
              <w:bottom w:val="nil"/>
            </w:tcBorders>
            <w:shd w:val="clear" w:color="auto" w:fill="92D050"/>
          </w:tcPr>
          <w:p w14:paraId="7D989731" w14:textId="05C1C60D"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61ED26F0" w14:textId="7DD5D3E7"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61FBB401" w14:textId="6E43211C"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10357D02" w14:textId="5ACF0EF0" w:rsidR="009B502F" w:rsidRPr="00E53359" w:rsidRDefault="00E53359" w:rsidP="00E53359">
            <w:pPr>
              <w:pStyle w:val="TableTextEntries"/>
              <w:jc w:val="center"/>
            </w:pPr>
            <w:r w:rsidRPr="00E53359">
              <w:t>4</w:t>
            </w:r>
          </w:p>
        </w:tc>
        <w:tc>
          <w:tcPr>
            <w:tcW w:w="709" w:type="dxa"/>
            <w:tcBorders>
              <w:top w:val="nil"/>
              <w:bottom w:val="nil"/>
            </w:tcBorders>
            <w:shd w:val="clear" w:color="auto" w:fill="F79646" w:themeFill="accent6"/>
          </w:tcPr>
          <w:p w14:paraId="6F0965C1" w14:textId="091534AA" w:rsidR="009B502F" w:rsidRPr="00E53359" w:rsidRDefault="00E53359" w:rsidP="00E53359">
            <w:pPr>
              <w:pStyle w:val="TableTextEntries"/>
              <w:jc w:val="center"/>
            </w:pPr>
            <w:r w:rsidRPr="00E53359">
              <w:t>3</w:t>
            </w:r>
          </w:p>
        </w:tc>
        <w:tc>
          <w:tcPr>
            <w:tcW w:w="849" w:type="dxa"/>
            <w:tcBorders>
              <w:top w:val="nil"/>
              <w:bottom w:val="nil"/>
            </w:tcBorders>
            <w:shd w:val="clear" w:color="auto" w:fill="92D050"/>
          </w:tcPr>
          <w:p w14:paraId="56918783" w14:textId="37855E7C" w:rsidR="009B502F" w:rsidRPr="00E53359" w:rsidRDefault="00E53359" w:rsidP="00E53359">
            <w:pPr>
              <w:pStyle w:val="TableTextEntries"/>
              <w:jc w:val="center"/>
            </w:pPr>
            <w:r w:rsidRPr="00E53359">
              <w:t>6</w:t>
            </w:r>
          </w:p>
        </w:tc>
      </w:tr>
      <w:tr w:rsidR="009B502F" w:rsidRPr="003C4742" w14:paraId="6E01CEE1" w14:textId="77777777" w:rsidTr="00E53359">
        <w:trPr>
          <w:tblCellSpacing w:w="14" w:type="dxa"/>
        </w:trPr>
        <w:tc>
          <w:tcPr>
            <w:tcW w:w="3402" w:type="dxa"/>
            <w:shd w:val="clear" w:color="auto" w:fill="auto"/>
          </w:tcPr>
          <w:p w14:paraId="69B28049" w14:textId="77AA4CEB" w:rsidR="009B502F" w:rsidRDefault="009B502F" w:rsidP="00E53359">
            <w:pPr>
              <w:pStyle w:val="TableTextEntries"/>
            </w:pPr>
            <w:r>
              <w:t>Australia Awards</w:t>
            </w:r>
          </w:p>
        </w:tc>
        <w:tc>
          <w:tcPr>
            <w:tcW w:w="567" w:type="dxa"/>
            <w:tcBorders>
              <w:top w:val="nil"/>
              <w:bottom w:val="nil"/>
            </w:tcBorders>
            <w:shd w:val="clear" w:color="auto" w:fill="92D050"/>
          </w:tcPr>
          <w:p w14:paraId="7FF06B2C" w14:textId="6CF81C31"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454C8473" w14:textId="25055638"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23820739" w14:textId="266597A9"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4E5BC835" w14:textId="59E8247C" w:rsidR="009B502F" w:rsidRPr="00E53359" w:rsidRDefault="00E53359" w:rsidP="00E53359">
            <w:pPr>
              <w:pStyle w:val="TableTextEntries"/>
              <w:jc w:val="center"/>
            </w:pPr>
            <w:r w:rsidRPr="00E53359">
              <w:t>4</w:t>
            </w:r>
          </w:p>
        </w:tc>
        <w:tc>
          <w:tcPr>
            <w:tcW w:w="709" w:type="dxa"/>
            <w:tcBorders>
              <w:top w:val="nil"/>
              <w:bottom w:val="nil"/>
            </w:tcBorders>
            <w:shd w:val="clear" w:color="auto" w:fill="92D050"/>
          </w:tcPr>
          <w:p w14:paraId="321C836E" w14:textId="0F1BD940" w:rsidR="009B502F" w:rsidRPr="00E53359" w:rsidRDefault="00E53359" w:rsidP="00E53359">
            <w:pPr>
              <w:pStyle w:val="TableTextEntries"/>
              <w:jc w:val="center"/>
            </w:pPr>
            <w:r w:rsidRPr="00E53359">
              <w:t>6</w:t>
            </w:r>
          </w:p>
        </w:tc>
        <w:tc>
          <w:tcPr>
            <w:tcW w:w="849" w:type="dxa"/>
            <w:tcBorders>
              <w:top w:val="nil"/>
              <w:bottom w:val="nil"/>
            </w:tcBorders>
            <w:shd w:val="clear" w:color="auto" w:fill="92D050"/>
          </w:tcPr>
          <w:p w14:paraId="0AEAD533" w14:textId="4E5E4D68" w:rsidR="009B502F" w:rsidRPr="00E53359" w:rsidRDefault="00E53359" w:rsidP="00E53359">
            <w:pPr>
              <w:pStyle w:val="TableTextEntries"/>
              <w:jc w:val="center"/>
            </w:pPr>
            <w:r w:rsidRPr="00E53359">
              <w:t>6</w:t>
            </w:r>
          </w:p>
        </w:tc>
      </w:tr>
      <w:tr w:rsidR="009B502F" w:rsidRPr="003C4742" w14:paraId="41B19354" w14:textId="77777777" w:rsidTr="00E53359">
        <w:trPr>
          <w:tblCellSpacing w:w="14" w:type="dxa"/>
        </w:trPr>
        <w:tc>
          <w:tcPr>
            <w:tcW w:w="3402" w:type="dxa"/>
            <w:shd w:val="clear" w:color="auto" w:fill="auto"/>
          </w:tcPr>
          <w:p w14:paraId="566A8745" w14:textId="5B55BC0B" w:rsidR="009B502F" w:rsidRDefault="009B502F" w:rsidP="00E53359">
            <w:pPr>
              <w:pStyle w:val="TableTextEntries"/>
            </w:pPr>
            <w:r>
              <w:t xml:space="preserve">Health </w:t>
            </w:r>
            <w:proofErr w:type="spellStart"/>
            <w:r>
              <w:t>SWAp</w:t>
            </w:r>
            <w:proofErr w:type="spellEnd"/>
            <w:r>
              <w:t xml:space="preserve"> </w:t>
            </w:r>
          </w:p>
        </w:tc>
        <w:tc>
          <w:tcPr>
            <w:tcW w:w="567" w:type="dxa"/>
            <w:tcBorders>
              <w:top w:val="nil"/>
              <w:bottom w:val="nil"/>
            </w:tcBorders>
            <w:shd w:val="clear" w:color="auto" w:fill="FFFF00"/>
          </w:tcPr>
          <w:p w14:paraId="4FD453E2" w14:textId="6DDB33FD" w:rsidR="009B502F" w:rsidRPr="00E53359" w:rsidRDefault="00E53359" w:rsidP="00E53359">
            <w:pPr>
              <w:pStyle w:val="TableTextEntries"/>
              <w:jc w:val="center"/>
            </w:pPr>
            <w:r w:rsidRPr="00E53359">
              <w:t>4</w:t>
            </w:r>
          </w:p>
        </w:tc>
        <w:tc>
          <w:tcPr>
            <w:tcW w:w="851" w:type="dxa"/>
            <w:tcBorders>
              <w:top w:val="nil"/>
              <w:bottom w:val="nil"/>
            </w:tcBorders>
            <w:shd w:val="clear" w:color="auto" w:fill="FFFF00"/>
          </w:tcPr>
          <w:p w14:paraId="1FA2DB92" w14:textId="29A48A09" w:rsidR="009B502F" w:rsidRPr="00E53359" w:rsidRDefault="00E53359" w:rsidP="00E53359">
            <w:pPr>
              <w:pStyle w:val="TableTextEntries"/>
              <w:jc w:val="center"/>
            </w:pPr>
            <w:r w:rsidRPr="00E53359">
              <w:t>4</w:t>
            </w:r>
          </w:p>
        </w:tc>
        <w:tc>
          <w:tcPr>
            <w:tcW w:w="709" w:type="dxa"/>
            <w:tcBorders>
              <w:top w:val="nil"/>
              <w:bottom w:val="nil"/>
            </w:tcBorders>
            <w:shd w:val="clear" w:color="auto" w:fill="FFFF00"/>
          </w:tcPr>
          <w:p w14:paraId="45CE3B0B" w14:textId="284BF97B" w:rsidR="009B502F" w:rsidRPr="00E53359" w:rsidRDefault="00E53359" w:rsidP="00E53359">
            <w:pPr>
              <w:pStyle w:val="TableTextEntries"/>
              <w:jc w:val="center"/>
            </w:pPr>
            <w:r w:rsidRPr="00E53359">
              <w:t>4</w:t>
            </w:r>
          </w:p>
        </w:tc>
        <w:tc>
          <w:tcPr>
            <w:tcW w:w="850" w:type="dxa"/>
            <w:tcBorders>
              <w:top w:val="nil"/>
              <w:bottom w:val="nil"/>
            </w:tcBorders>
            <w:shd w:val="clear" w:color="auto" w:fill="FFFF00"/>
          </w:tcPr>
          <w:p w14:paraId="13BBE805" w14:textId="78893052" w:rsidR="009B502F" w:rsidRPr="00E53359" w:rsidRDefault="00E53359" w:rsidP="00E53359">
            <w:pPr>
              <w:pStyle w:val="TableTextEntries"/>
              <w:jc w:val="center"/>
            </w:pPr>
            <w:r w:rsidRPr="00E53359">
              <w:t>4</w:t>
            </w:r>
          </w:p>
        </w:tc>
        <w:tc>
          <w:tcPr>
            <w:tcW w:w="709" w:type="dxa"/>
            <w:tcBorders>
              <w:top w:val="nil"/>
              <w:bottom w:val="nil"/>
            </w:tcBorders>
            <w:shd w:val="clear" w:color="auto" w:fill="FFFF00"/>
          </w:tcPr>
          <w:p w14:paraId="2AC0C52F" w14:textId="19FD42A0" w:rsidR="009B502F" w:rsidRPr="00E53359" w:rsidRDefault="00E53359" w:rsidP="00E53359">
            <w:pPr>
              <w:pStyle w:val="TableTextEntries"/>
              <w:jc w:val="center"/>
            </w:pPr>
            <w:r w:rsidRPr="00E53359">
              <w:t>4</w:t>
            </w:r>
          </w:p>
        </w:tc>
        <w:tc>
          <w:tcPr>
            <w:tcW w:w="849" w:type="dxa"/>
            <w:tcBorders>
              <w:top w:val="nil"/>
              <w:bottom w:val="nil"/>
            </w:tcBorders>
            <w:shd w:val="clear" w:color="auto" w:fill="FFFF00"/>
          </w:tcPr>
          <w:p w14:paraId="40596CD9" w14:textId="08AEF102" w:rsidR="009B502F" w:rsidRPr="00E53359" w:rsidRDefault="00E53359" w:rsidP="00E53359">
            <w:pPr>
              <w:pStyle w:val="TableTextEntries"/>
              <w:jc w:val="center"/>
            </w:pPr>
            <w:r w:rsidRPr="00E53359">
              <w:t>4</w:t>
            </w:r>
          </w:p>
        </w:tc>
      </w:tr>
      <w:tr w:rsidR="009B502F" w:rsidRPr="003C4742" w14:paraId="5F7A3268" w14:textId="77777777" w:rsidTr="00E53359">
        <w:trPr>
          <w:tblCellSpacing w:w="14" w:type="dxa"/>
        </w:trPr>
        <w:tc>
          <w:tcPr>
            <w:tcW w:w="3402" w:type="dxa"/>
            <w:shd w:val="clear" w:color="auto" w:fill="auto"/>
          </w:tcPr>
          <w:p w14:paraId="546DD6D4" w14:textId="5863346B" w:rsidR="009B502F" w:rsidRDefault="009B502F" w:rsidP="00E53359">
            <w:pPr>
              <w:pStyle w:val="TableTextEntries"/>
            </w:pPr>
            <w:r>
              <w:t xml:space="preserve">Governance </w:t>
            </w:r>
            <w:r w:rsidR="004D4CBB">
              <w:t>p</w:t>
            </w:r>
            <w:r>
              <w:t>rograms</w:t>
            </w:r>
            <w:r w:rsidR="004D4CBB">
              <w:t>—</w:t>
            </w:r>
            <w:r w:rsidR="0020193C">
              <w:t xml:space="preserve">Joint </w:t>
            </w:r>
            <w:r w:rsidR="00EC44C3">
              <w:t>Policy</w:t>
            </w:r>
            <w:r w:rsidR="0020193C">
              <w:t xml:space="preserve"> Action</w:t>
            </w:r>
            <w:r w:rsidR="00EC44C3">
              <w:t xml:space="preserve"> Matrix</w:t>
            </w:r>
            <w:r w:rsidRPr="009A40DB">
              <w:t>, P</w:t>
            </w:r>
            <w:r w:rsidR="0020193C">
              <w:t>ublic Sector Infrastructure Facility</w:t>
            </w:r>
            <w:r w:rsidRPr="009A40DB">
              <w:t>,</w:t>
            </w:r>
            <w:r>
              <w:t xml:space="preserve"> Parliamentary Strengthening</w:t>
            </w:r>
          </w:p>
        </w:tc>
        <w:tc>
          <w:tcPr>
            <w:tcW w:w="567" w:type="dxa"/>
            <w:tcBorders>
              <w:top w:val="nil"/>
              <w:bottom w:val="nil"/>
            </w:tcBorders>
            <w:shd w:val="clear" w:color="auto" w:fill="92D050"/>
            <w:vAlign w:val="center"/>
          </w:tcPr>
          <w:p w14:paraId="14D770A4" w14:textId="165CA7B7"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vAlign w:val="center"/>
          </w:tcPr>
          <w:p w14:paraId="2808ED17" w14:textId="407DB8FC"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vAlign w:val="center"/>
          </w:tcPr>
          <w:p w14:paraId="797C56F4" w14:textId="38F81CE0" w:rsidR="009B502F" w:rsidRPr="00E53359" w:rsidRDefault="00E53359" w:rsidP="00E53359">
            <w:pPr>
              <w:pStyle w:val="TableTextEntries"/>
              <w:jc w:val="center"/>
            </w:pPr>
            <w:r w:rsidRPr="00E53359">
              <w:t>6</w:t>
            </w:r>
          </w:p>
        </w:tc>
        <w:tc>
          <w:tcPr>
            <w:tcW w:w="850" w:type="dxa"/>
            <w:tcBorders>
              <w:top w:val="nil"/>
              <w:bottom w:val="nil"/>
            </w:tcBorders>
            <w:shd w:val="clear" w:color="auto" w:fill="92D050"/>
            <w:vAlign w:val="center"/>
          </w:tcPr>
          <w:p w14:paraId="3220D969" w14:textId="1EF5E692"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vAlign w:val="center"/>
          </w:tcPr>
          <w:p w14:paraId="314153E8" w14:textId="16B71892" w:rsidR="009B502F" w:rsidRPr="00E53359" w:rsidRDefault="00E53359" w:rsidP="00E53359">
            <w:pPr>
              <w:pStyle w:val="TableTextEntries"/>
              <w:jc w:val="center"/>
            </w:pPr>
            <w:r w:rsidRPr="00E53359">
              <w:t>6</w:t>
            </w:r>
          </w:p>
        </w:tc>
        <w:tc>
          <w:tcPr>
            <w:tcW w:w="849" w:type="dxa"/>
            <w:tcBorders>
              <w:top w:val="nil"/>
              <w:bottom w:val="nil"/>
            </w:tcBorders>
            <w:shd w:val="clear" w:color="auto" w:fill="92D050"/>
            <w:vAlign w:val="center"/>
          </w:tcPr>
          <w:p w14:paraId="323CBF0D" w14:textId="46CDCDD2" w:rsidR="009B502F" w:rsidRPr="00E53359" w:rsidRDefault="00E53359" w:rsidP="00E53359">
            <w:pPr>
              <w:pStyle w:val="TableTextEntries"/>
              <w:jc w:val="center"/>
            </w:pPr>
            <w:r w:rsidRPr="00E53359">
              <w:t>6</w:t>
            </w:r>
          </w:p>
        </w:tc>
      </w:tr>
      <w:tr w:rsidR="009B502F" w:rsidRPr="003C4742" w14:paraId="5F8AF71A" w14:textId="77777777" w:rsidTr="00E53359">
        <w:trPr>
          <w:tblCellSpacing w:w="14" w:type="dxa"/>
        </w:trPr>
        <w:tc>
          <w:tcPr>
            <w:tcW w:w="3402" w:type="dxa"/>
            <w:shd w:val="clear" w:color="auto" w:fill="auto"/>
          </w:tcPr>
          <w:p w14:paraId="6DECB411" w14:textId="77777777" w:rsidR="009B502F" w:rsidRDefault="009B502F" w:rsidP="00E53359">
            <w:pPr>
              <w:pStyle w:val="TableTextEntries"/>
            </w:pPr>
            <w:r>
              <w:t>Civil Society Support Program</w:t>
            </w:r>
          </w:p>
        </w:tc>
        <w:tc>
          <w:tcPr>
            <w:tcW w:w="567" w:type="dxa"/>
            <w:tcBorders>
              <w:top w:val="nil"/>
              <w:bottom w:val="nil"/>
            </w:tcBorders>
            <w:shd w:val="clear" w:color="auto" w:fill="92D050"/>
          </w:tcPr>
          <w:p w14:paraId="2CC4ECC8" w14:textId="7F62A867"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19BC9132" w14:textId="3BAD84E3"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721AEB26" w14:textId="618169DC"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0DBC15A8" w14:textId="754C6C44" w:rsidR="009B502F" w:rsidRPr="00E53359" w:rsidRDefault="00E53359" w:rsidP="00E53359">
            <w:pPr>
              <w:pStyle w:val="TableTextEntries"/>
              <w:jc w:val="center"/>
            </w:pPr>
            <w:r w:rsidRPr="00E53359">
              <w:t>4</w:t>
            </w:r>
          </w:p>
        </w:tc>
        <w:tc>
          <w:tcPr>
            <w:tcW w:w="709" w:type="dxa"/>
            <w:tcBorders>
              <w:top w:val="nil"/>
              <w:bottom w:val="nil"/>
            </w:tcBorders>
            <w:shd w:val="clear" w:color="auto" w:fill="92D050"/>
          </w:tcPr>
          <w:p w14:paraId="03978376" w14:textId="032235A1" w:rsidR="009B502F" w:rsidRPr="00E53359" w:rsidRDefault="00E53359" w:rsidP="00E53359">
            <w:pPr>
              <w:pStyle w:val="TableTextEntries"/>
              <w:jc w:val="center"/>
            </w:pPr>
            <w:r w:rsidRPr="00E53359">
              <w:t>6</w:t>
            </w:r>
          </w:p>
        </w:tc>
        <w:tc>
          <w:tcPr>
            <w:tcW w:w="849" w:type="dxa"/>
            <w:tcBorders>
              <w:top w:val="nil"/>
              <w:bottom w:val="nil"/>
            </w:tcBorders>
            <w:shd w:val="clear" w:color="auto" w:fill="92D050"/>
          </w:tcPr>
          <w:p w14:paraId="669AE689" w14:textId="0B0F8E1A" w:rsidR="009B502F" w:rsidRPr="00E53359" w:rsidRDefault="00E53359" w:rsidP="00E53359">
            <w:pPr>
              <w:pStyle w:val="TableTextEntries"/>
              <w:jc w:val="center"/>
            </w:pPr>
            <w:r w:rsidRPr="00E53359">
              <w:t>6</w:t>
            </w:r>
          </w:p>
        </w:tc>
      </w:tr>
      <w:tr w:rsidR="009B502F" w:rsidRPr="003C4742" w14:paraId="2AC9861E" w14:textId="77777777" w:rsidTr="00E53359">
        <w:trPr>
          <w:tblCellSpacing w:w="14" w:type="dxa"/>
        </w:trPr>
        <w:tc>
          <w:tcPr>
            <w:tcW w:w="3402" w:type="dxa"/>
            <w:shd w:val="clear" w:color="auto" w:fill="auto"/>
          </w:tcPr>
          <w:p w14:paraId="71367869" w14:textId="70DED70B" w:rsidR="009B502F" w:rsidRDefault="009B502F" w:rsidP="00E53359">
            <w:pPr>
              <w:pStyle w:val="TableTextEntries"/>
            </w:pPr>
            <w:r>
              <w:t xml:space="preserve">Climate </w:t>
            </w:r>
            <w:r w:rsidR="0020193C">
              <w:t>c</w:t>
            </w:r>
            <w:r>
              <w:t xml:space="preserve">hange </w:t>
            </w:r>
            <w:r w:rsidR="00EC44C3">
              <w:t>programs</w:t>
            </w:r>
          </w:p>
        </w:tc>
        <w:tc>
          <w:tcPr>
            <w:tcW w:w="567" w:type="dxa"/>
            <w:tcBorders>
              <w:top w:val="nil"/>
              <w:bottom w:val="nil"/>
            </w:tcBorders>
            <w:shd w:val="clear" w:color="auto" w:fill="92D050"/>
          </w:tcPr>
          <w:p w14:paraId="51B6376C" w14:textId="5CB38010"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56791DFF" w14:textId="6108F46A"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7F80B1D3" w14:textId="74E797CD"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0732E4F7" w14:textId="46A26DDB" w:rsidR="009B502F" w:rsidRPr="00E53359" w:rsidRDefault="00E53359" w:rsidP="00E53359">
            <w:pPr>
              <w:pStyle w:val="TableTextEntries"/>
              <w:jc w:val="center"/>
            </w:pPr>
            <w:r w:rsidRPr="00E53359">
              <w:t>4</w:t>
            </w:r>
          </w:p>
        </w:tc>
        <w:tc>
          <w:tcPr>
            <w:tcW w:w="709" w:type="dxa"/>
            <w:tcBorders>
              <w:top w:val="nil"/>
              <w:bottom w:val="nil"/>
            </w:tcBorders>
            <w:shd w:val="clear" w:color="auto" w:fill="FFFF00"/>
          </w:tcPr>
          <w:p w14:paraId="46868E34" w14:textId="26DEE100" w:rsidR="009B502F" w:rsidRPr="00E53359" w:rsidRDefault="00E53359" w:rsidP="00E53359">
            <w:pPr>
              <w:pStyle w:val="TableTextEntries"/>
              <w:jc w:val="center"/>
            </w:pPr>
            <w:r w:rsidRPr="00E53359">
              <w:t>4</w:t>
            </w:r>
          </w:p>
        </w:tc>
        <w:tc>
          <w:tcPr>
            <w:tcW w:w="849" w:type="dxa"/>
            <w:tcBorders>
              <w:top w:val="nil"/>
              <w:bottom w:val="nil"/>
            </w:tcBorders>
            <w:shd w:val="clear" w:color="auto" w:fill="92D050"/>
          </w:tcPr>
          <w:p w14:paraId="330A3CC1" w14:textId="034CCB7D" w:rsidR="009B502F" w:rsidRPr="00E53359" w:rsidRDefault="00E53359" w:rsidP="00E53359">
            <w:pPr>
              <w:pStyle w:val="TableTextEntries"/>
              <w:jc w:val="center"/>
            </w:pPr>
            <w:r w:rsidRPr="00E53359">
              <w:t>6</w:t>
            </w:r>
          </w:p>
        </w:tc>
      </w:tr>
      <w:tr w:rsidR="009B502F" w:rsidRPr="003C4742" w14:paraId="2A767AC5" w14:textId="77777777" w:rsidTr="00E53359">
        <w:trPr>
          <w:tblCellSpacing w:w="14" w:type="dxa"/>
        </w:trPr>
        <w:tc>
          <w:tcPr>
            <w:tcW w:w="3402" w:type="dxa"/>
            <w:shd w:val="clear" w:color="auto" w:fill="auto"/>
          </w:tcPr>
          <w:p w14:paraId="102AE3C0" w14:textId="77777777" w:rsidR="009B502F" w:rsidRDefault="009B502F" w:rsidP="00E53359">
            <w:pPr>
              <w:pStyle w:val="TableTextEntries"/>
            </w:pPr>
            <w:r>
              <w:t>Power Sector Expansion Program</w:t>
            </w:r>
          </w:p>
        </w:tc>
        <w:tc>
          <w:tcPr>
            <w:tcW w:w="567" w:type="dxa"/>
            <w:tcBorders>
              <w:top w:val="nil"/>
              <w:bottom w:val="nil"/>
            </w:tcBorders>
            <w:shd w:val="clear" w:color="auto" w:fill="92D050"/>
          </w:tcPr>
          <w:p w14:paraId="586FEEBA" w14:textId="03A9C220" w:rsidR="009B502F" w:rsidRPr="00E53359" w:rsidRDefault="00E53359" w:rsidP="00E53359">
            <w:pPr>
              <w:pStyle w:val="TableTextEntries"/>
              <w:jc w:val="center"/>
            </w:pPr>
            <w:r w:rsidRPr="00E53359">
              <w:t>6</w:t>
            </w:r>
          </w:p>
        </w:tc>
        <w:tc>
          <w:tcPr>
            <w:tcW w:w="851" w:type="dxa"/>
            <w:tcBorders>
              <w:top w:val="nil"/>
              <w:bottom w:val="nil"/>
            </w:tcBorders>
            <w:shd w:val="clear" w:color="auto" w:fill="92D050"/>
          </w:tcPr>
          <w:p w14:paraId="59263554" w14:textId="1072E9F2" w:rsidR="009B502F" w:rsidRPr="00E53359" w:rsidRDefault="00E53359" w:rsidP="00E53359">
            <w:pPr>
              <w:pStyle w:val="TableTextEntries"/>
              <w:jc w:val="center"/>
            </w:pPr>
            <w:r w:rsidRPr="00E53359">
              <w:t>6</w:t>
            </w:r>
          </w:p>
        </w:tc>
        <w:tc>
          <w:tcPr>
            <w:tcW w:w="709" w:type="dxa"/>
            <w:tcBorders>
              <w:top w:val="nil"/>
              <w:bottom w:val="nil"/>
            </w:tcBorders>
            <w:shd w:val="clear" w:color="auto" w:fill="92D050"/>
          </w:tcPr>
          <w:p w14:paraId="29D8B69A" w14:textId="5B3FF24C" w:rsidR="009B502F" w:rsidRPr="00E53359" w:rsidRDefault="00E53359" w:rsidP="00E53359">
            <w:pPr>
              <w:pStyle w:val="TableTextEntries"/>
              <w:jc w:val="center"/>
            </w:pPr>
            <w:r w:rsidRPr="00E53359">
              <w:t>6</w:t>
            </w:r>
          </w:p>
        </w:tc>
        <w:tc>
          <w:tcPr>
            <w:tcW w:w="850" w:type="dxa"/>
            <w:tcBorders>
              <w:top w:val="nil"/>
              <w:bottom w:val="nil"/>
            </w:tcBorders>
            <w:shd w:val="clear" w:color="auto" w:fill="FFFF00"/>
          </w:tcPr>
          <w:p w14:paraId="79E1F8AD" w14:textId="7C2B3571" w:rsidR="009B502F" w:rsidRPr="00E53359" w:rsidRDefault="00E53359" w:rsidP="00E53359">
            <w:pPr>
              <w:pStyle w:val="TableTextEntries"/>
              <w:jc w:val="center"/>
            </w:pPr>
            <w:r w:rsidRPr="00E53359">
              <w:t>4</w:t>
            </w:r>
          </w:p>
        </w:tc>
        <w:tc>
          <w:tcPr>
            <w:tcW w:w="709" w:type="dxa"/>
            <w:tcBorders>
              <w:top w:val="nil"/>
              <w:bottom w:val="nil"/>
            </w:tcBorders>
            <w:shd w:val="clear" w:color="auto" w:fill="92D050"/>
          </w:tcPr>
          <w:p w14:paraId="6D0DF0AB" w14:textId="30CFDA2F" w:rsidR="009B502F" w:rsidRPr="00E53359" w:rsidRDefault="00E53359" w:rsidP="00E53359">
            <w:pPr>
              <w:pStyle w:val="TableTextEntries"/>
              <w:jc w:val="center"/>
            </w:pPr>
            <w:r w:rsidRPr="00E53359">
              <w:t>6</w:t>
            </w:r>
          </w:p>
        </w:tc>
        <w:tc>
          <w:tcPr>
            <w:tcW w:w="849" w:type="dxa"/>
            <w:tcBorders>
              <w:top w:val="nil"/>
              <w:bottom w:val="nil"/>
            </w:tcBorders>
            <w:shd w:val="clear" w:color="auto" w:fill="92D050"/>
          </w:tcPr>
          <w:p w14:paraId="4AD6B8A5" w14:textId="5E51AC8D" w:rsidR="009B502F" w:rsidRPr="00E53359" w:rsidRDefault="00E53359" w:rsidP="00E53359">
            <w:pPr>
              <w:pStyle w:val="TableTextEntries"/>
              <w:jc w:val="center"/>
            </w:pPr>
            <w:r w:rsidRPr="00E53359">
              <w:t>6</w:t>
            </w:r>
          </w:p>
        </w:tc>
      </w:tr>
      <w:tr w:rsidR="009B502F" w:rsidRPr="003C4742" w14:paraId="49DD24F9" w14:textId="77777777" w:rsidTr="00E53359">
        <w:trPr>
          <w:tblCellSpacing w:w="14" w:type="dxa"/>
        </w:trPr>
        <w:tc>
          <w:tcPr>
            <w:tcW w:w="3402" w:type="dxa"/>
            <w:shd w:val="clear" w:color="auto" w:fill="auto"/>
          </w:tcPr>
          <w:p w14:paraId="1E508F77" w14:textId="77777777" w:rsidR="009B502F" w:rsidRDefault="009B502F" w:rsidP="00E53359">
            <w:pPr>
              <w:pStyle w:val="TableTextEntries"/>
            </w:pPr>
            <w:r>
              <w:t>Law and Justice Sector Program</w:t>
            </w:r>
          </w:p>
        </w:tc>
        <w:tc>
          <w:tcPr>
            <w:tcW w:w="567" w:type="dxa"/>
            <w:tcBorders>
              <w:top w:val="nil"/>
              <w:bottom w:val="nil"/>
            </w:tcBorders>
            <w:shd w:val="clear" w:color="auto" w:fill="92D050"/>
          </w:tcPr>
          <w:p w14:paraId="139C8F0A" w14:textId="7C086945" w:rsidR="009B502F" w:rsidRPr="00E53359" w:rsidRDefault="00E53359" w:rsidP="00E53359">
            <w:pPr>
              <w:pStyle w:val="TableTextEntries"/>
              <w:jc w:val="center"/>
            </w:pPr>
            <w:r w:rsidRPr="00E53359">
              <w:t>6</w:t>
            </w:r>
          </w:p>
        </w:tc>
        <w:tc>
          <w:tcPr>
            <w:tcW w:w="851" w:type="dxa"/>
            <w:tcBorders>
              <w:top w:val="nil"/>
              <w:bottom w:val="nil"/>
            </w:tcBorders>
            <w:shd w:val="clear" w:color="auto" w:fill="FFFF00"/>
          </w:tcPr>
          <w:p w14:paraId="78283F0E" w14:textId="54DA26A8" w:rsidR="009B502F" w:rsidRPr="00E53359" w:rsidRDefault="00E53359" w:rsidP="00E53359">
            <w:pPr>
              <w:pStyle w:val="TableTextEntries"/>
              <w:jc w:val="center"/>
            </w:pPr>
            <w:r w:rsidRPr="00E53359">
              <w:t>4</w:t>
            </w:r>
          </w:p>
        </w:tc>
        <w:tc>
          <w:tcPr>
            <w:tcW w:w="709" w:type="dxa"/>
            <w:tcBorders>
              <w:top w:val="nil"/>
              <w:bottom w:val="nil"/>
            </w:tcBorders>
            <w:shd w:val="clear" w:color="auto" w:fill="FFFF00"/>
          </w:tcPr>
          <w:p w14:paraId="3B0806C7" w14:textId="24DC1950" w:rsidR="009B502F" w:rsidRPr="00E53359" w:rsidRDefault="00E53359" w:rsidP="00E53359">
            <w:pPr>
              <w:pStyle w:val="TableTextEntries"/>
              <w:jc w:val="center"/>
            </w:pPr>
            <w:r w:rsidRPr="00E53359">
              <w:t>4</w:t>
            </w:r>
          </w:p>
        </w:tc>
        <w:tc>
          <w:tcPr>
            <w:tcW w:w="850" w:type="dxa"/>
            <w:tcBorders>
              <w:top w:val="nil"/>
              <w:bottom w:val="nil"/>
            </w:tcBorders>
            <w:shd w:val="clear" w:color="auto" w:fill="FF0000"/>
          </w:tcPr>
          <w:p w14:paraId="3DF8E286" w14:textId="506CF551" w:rsidR="009B502F" w:rsidRPr="00E53359" w:rsidRDefault="00E53359" w:rsidP="00E53359">
            <w:pPr>
              <w:pStyle w:val="TableTextEntries"/>
              <w:jc w:val="center"/>
            </w:pPr>
            <w:r w:rsidRPr="00E53359">
              <w:t>2</w:t>
            </w:r>
          </w:p>
        </w:tc>
        <w:tc>
          <w:tcPr>
            <w:tcW w:w="709" w:type="dxa"/>
            <w:tcBorders>
              <w:top w:val="nil"/>
              <w:bottom w:val="nil"/>
            </w:tcBorders>
            <w:shd w:val="clear" w:color="auto" w:fill="FFFF00"/>
          </w:tcPr>
          <w:p w14:paraId="10170D8B" w14:textId="38777784" w:rsidR="009B502F" w:rsidRPr="00E53359" w:rsidRDefault="00E53359" w:rsidP="00E53359">
            <w:pPr>
              <w:pStyle w:val="TableTextEntries"/>
              <w:jc w:val="center"/>
            </w:pPr>
            <w:r w:rsidRPr="00E53359">
              <w:t>4</w:t>
            </w:r>
          </w:p>
        </w:tc>
        <w:tc>
          <w:tcPr>
            <w:tcW w:w="849" w:type="dxa"/>
            <w:tcBorders>
              <w:top w:val="nil"/>
              <w:bottom w:val="nil"/>
            </w:tcBorders>
            <w:shd w:val="clear" w:color="auto" w:fill="F79646" w:themeFill="accent6"/>
          </w:tcPr>
          <w:p w14:paraId="5F6F3F52" w14:textId="1C20B120" w:rsidR="009B502F" w:rsidRPr="00E53359" w:rsidRDefault="00E53359" w:rsidP="00E53359">
            <w:pPr>
              <w:pStyle w:val="TableTextEntries"/>
              <w:jc w:val="center"/>
            </w:pPr>
            <w:r w:rsidRPr="00E53359">
              <w:t>3</w:t>
            </w:r>
          </w:p>
        </w:tc>
      </w:tr>
    </w:tbl>
    <w:p w14:paraId="4B6C4CF5" w14:textId="77777777" w:rsidR="00E53359" w:rsidRDefault="00E53359" w:rsidP="00E53359">
      <w:pPr>
        <w:pStyle w:val="Note"/>
      </w:pPr>
      <w:r>
        <w:t>Definitions of rating scale:</w:t>
      </w:r>
      <w:r>
        <w:tab/>
      </w:r>
    </w:p>
    <w:p w14:paraId="14D1274D" w14:textId="77777777" w:rsidR="00E53359" w:rsidRDefault="00E53359" w:rsidP="00E53359">
      <w:pPr>
        <w:pStyle w:val="Note"/>
      </w:pPr>
      <w:r>
        <w:t>Satisfactory (4, 5 and 6)</w:t>
      </w:r>
    </w:p>
    <w:p w14:paraId="36DD75B6" w14:textId="77777777" w:rsidR="00E53359" w:rsidRDefault="00E53359" w:rsidP="00E53359">
      <w:pPr>
        <w:pStyle w:val="Note"/>
      </w:pPr>
      <w:r w:rsidRPr="00FE4491">
        <w:rPr>
          <w:color w:val="92D050"/>
        </w:rPr>
        <w:sym w:font="Webdings" w:char="F067"/>
      </w:r>
      <w:r>
        <w:t xml:space="preserve"> Green = 6 = Very high quality</w:t>
      </w:r>
    </w:p>
    <w:p w14:paraId="68F99E8E" w14:textId="77777777" w:rsidR="00E53359" w:rsidRDefault="00E53359" w:rsidP="00E53359">
      <w:pPr>
        <w:pStyle w:val="Note"/>
      </w:pPr>
      <w:r w:rsidRPr="00FE4491">
        <w:rPr>
          <w:color w:val="92D050"/>
        </w:rPr>
        <w:sym w:font="Webdings" w:char="F067"/>
      </w:r>
      <w:r>
        <w:t xml:space="preserve"> Green = 5 = Good quality</w:t>
      </w:r>
    </w:p>
    <w:p w14:paraId="4B44ACD0" w14:textId="77777777" w:rsidR="00E53359" w:rsidRDefault="00E53359" w:rsidP="00E53359">
      <w:pPr>
        <w:pStyle w:val="Note"/>
      </w:pPr>
      <w:r w:rsidRPr="000774FD">
        <w:rPr>
          <w:color w:val="FFFF00"/>
        </w:rPr>
        <w:sym w:font="Webdings" w:char="F067"/>
      </w:r>
      <w:r>
        <w:t xml:space="preserve"> Yellow = 4 = Adequate quality, needs some work</w:t>
      </w:r>
    </w:p>
    <w:p w14:paraId="24A691BD" w14:textId="77777777" w:rsidR="00E53359" w:rsidRDefault="00E53359" w:rsidP="00E53359">
      <w:pPr>
        <w:pStyle w:val="Note"/>
      </w:pPr>
      <w:r>
        <w:t>Less than satisfactory (1, 2 and 3)</w:t>
      </w:r>
    </w:p>
    <w:p w14:paraId="2531C1E6" w14:textId="77777777" w:rsidR="00E53359" w:rsidRDefault="00E53359" w:rsidP="00E53359">
      <w:pPr>
        <w:pStyle w:val="Note"/>
      </w:pPr>
      <w:r w:rsidRPr="00FD710F">
        <w:rPr>
          <w:color w:val="F79646"/>
        </w:rPr>
        <w:sym w:font="Webdings" w:char="F067"/>
      </w:r>
      <w:r>
        <w:t xml:space="preserve"> Amber = 3 = Less than adequate quality; needs significant work</w:t>
      </w:r>
    </w:p>
    <w:p w14:paraId="00E85DEA" w14:textId="77777777" w:rsidR="00E53359" w:rsidRDefault="00E53359" w:rsidP="00E53359">
      <w:pPr>
        <w:pStyle w:val="Note"/>
      </w:pPr>
      <w:r w:rsidRPr="000774FD">
        <w:rPr>
          <w:color w:val="FF0000"/>
        </w:rPr>
        <w:sym w:font="Webdings" w:char="F067"/>
      </w:r>
      <w:r>
        <w:t xml:space="preserve"> Red = 2 = Poor quality; needs major work to improve</w:t>
      </w:r>
    </w:p>
    <w:p w14:paraId="6D6786D0" w14:textId="77777777" w:rsidR="00E53359" w:rsidRDefault="00E53359" w:rsidP="00E53359">
      <w:pPr>
        <w:pStyle w:val="Note"/>
      </w:pPr>
      <w:r w:rsidRPr="000774FD">
        <w:rPr>
          <w:color w:val="FF0000"/>
        </w:rPr>
        <w:sym w:font="Webdings" w:char="F067"/>
      </w:r>
      <w:r>
        <w:t xml:space="preserve"> Red = 1 = Very poor quality; needs major overhaul</w:t>
      </w:r>
    </w:p>
    <w:p w14:paraId="08205090" w14:textId="77777777" w:rsidR="009B502F" w:rsidRDefault="009B502F" w:rsidP="00E53359">
      <w:pPr>
        <w:pStyle w:val="BodyText"/>
      </w:pPr>
    </w:p>
    <w:p w14:paraId="657760BD" w14:textId="4030FCD0" w:rsidR="002266BC" w:rsidRPr="00D33FDF" w:rsidRDefault="002266BC" w:rsidP="00D33FDF">
      <w:pPr>
        <w:pStyle w:val="BodyText"/>
      </w:pPr>
      <w:r w:rsidRPr="00D33FDF">
        <w:t>Relevance ratings remain high reflecting ongoing linkages between programs and key development needs in Samoa</w:t>
      </w:r>
      <w:r w:rsidR="007737ED" w:rsidRPr="00D33FDF">
        <w:t xml:space="preserve">. </w:t>
      </w:r>
      <w:r w:rsidRPr="00D33FDF">
        <w:t>Streamlined six</w:t>
      </w:r>
      <w:r w:rsidR="002A480D" w:rsidRPr="00D33FDF">
        <w:t>-</w:t>
      </w:r>
      <w:r w:rsidRPr="00D33FDF">
        <w:t>monthly reporting cycles increase</w:t>
      </w:r>
      <w:r w:rsidR="009D4118" w:rsidRPr="00D33FDF">
        <w:t xml:space="preserve">d </w:t>
      </w:r>
      <w:r w:rsidRPr="00D33FDF">
        <w:t>program management</w:t>
      </w:r>
      <w:r w:rsidR="002A480D" w:rsidRPr="00D33FDF">
        <w:t xml:space="preserve"> efficiencies</w:t>
      </w:r>
      <w:r w:rsidRPr="00D33FDF">
        <w:t>. Ratings for gender equality improved slightly</w:t>
      </w:r>
      <w:r w:rsidR="002A480D" w:rsidRPr="00D33FDF">
        <w:t>,</w:t>
      </w:r>
      <w:r w:rsidRPr="00D33FDF">
        <w:t xml:space="preserve"> but reports reveal</w:t>
      </w:r>
      <w:r w:rsidR="009D4118" w:rsidRPr="00D33FDF">
        <w:t>ed</w:t>
      </w:r>
      <w:r w:rsidRPr="00D33FDF">
        <w:t xml:space="preserve"> a lack of </w:t>
      </w:r>
      <w:r w:rsidR="00244B0A" w:rsidRPr="00D33FDF">
        <w:t xml:space="preserve">disaggregated </w:t>
      </w:r>
      <w:r w:rsidRPr="00D33FDF">
        <w:t>data on the impact of programs on men and women.</w:t>
      </w:r>
    </w:p>
    <w:p w14:paraId="6DCF4E87" w14:textId="44DE9C37" w:rsidR="0041406D" w:rsidRPr="00D33FDF" w:rsidRDefault="0041406D" w:rsidP="00D33FDF">
      <w:pPr>
        <w:pStyle w:val="BodyText"/>
      </w:pPr>
      <w:r w:rsidRPr="00D33FDF">
        <w:t xml:space="preserve">Monitoring and evaluation continues to be a </w:t>
      </w:r>
      <w:r w:rsidR="002266BC" w:rsidRPr="00D33FDF">
        <w:t>concern</w:t>
      </w:r>
      <w:r w:rsidR="007737ED" w:rsidRPr="00D33FDF">
        <w:t xml:space="preserve">. </w:t>
      </w:r>
      <w:r w:rsidR="002266BC" w:rsidRPr="00D33FDF">
        <w:t>M</w:t>
      </w:r>
      <w:r w:rsidRPr="00D33FDF">
        <w:t xml:space="preserve">ost programs </w:t>
      </w:r>
      <w:r w:rsidR="002266BC" w:rsidRPr="00D33FDF">
        <w:t>lack effective mechanisms</w:t>
      </w:r>
      <w:r w:rsidRPr="00D33FDF">
        <w:t xml:space="preserve"> to </w:t>
      </w:r>
      <w:r w:rsidR="007176C8" w:rsidRPr="00D33FDF">
        <w:t xml:space="preserve">collect </w:t>
      </w:r>
      <w:r w:rsidR="002A480D" w:rsidRPr="00D33FDF">
        <w:t xml:space="preserve">information </w:t>
      </w:r>
      <w:r w:rsidR="007176C8" w:rsidRPr="00D33FDF">
        <w:t>and report on how their outputs contribut</w:t>
      </w:r>
      <w:r w:rsidR="002A480D" w:rsidRPr="00D33FDF">
        <w:t xml:space="preserve">e </w:t>
      </w:r>
      <w:r w:rsidR="007176C8" w:rsidRPr="00D33FDF">
        <w:t xml:space="preserve">to intended development outcomes. </w:t>
      </w:r>
      <w:r w:rsidRPr="00D33FDF">
        <w:t xml:space="preserve">In </w:t>
      </w:r>
      <w:r w:rsidR="007176C8" w:rsidRPr="00D33FDF">
        <w:t>some</w:t>
      </w:r>
      <w:r w:rsidRPr="00D33FDF">
        <w:t xml:space="preserve"> cases this result</w:t>
      </w:r>
      <w:r w:rsidR="002A480D" w:rsidRPr="00D33FDF">
        <w:t>s from</w:t>
      </w:r>
      <w:r w:rsidRPr="00D33FDF">
        <w:t xml:space="preserve"> design flaws</w:t>
      </w:r>
      <w:r w:rsidR="009D4118" w:rsidRPr="00D33FDF">
        <w:t>,</w:t>
      </w:r>
      <w:r w:rsidR="002A480D" w:rsidRPr="00D33FDF">
        <w:t xml:space="preserve"> with</w:t>
      </w:r>
      <w:r w:rsidRPr="00D33FDF">
        <w:t xml:space="preserve"> design outcomes </w:t>
      </w:r>
      <w:r w:rsidR="002A480D" w:rsidRPr="00D33FDF">
        <w:t>overly</w:t>
      </w:r>
      <w:r w:rsidRPr="00D33FDF">
        <w:t xml:space="preserve"> ambitious and not </w:t>
      </w:r>
      <w:r w:rsidR="00EC44C3" w:rsidRPr="00D33FDF">
        <w:t>based on</w:t>
      </w:r>
      <w:r w:rsidR="002A480D" w:rsidRPr="00D33FDF">
        <w:t xml:space="preserve"> </w:t>
      </w:r>
      <w:r w:rsidRPr="00D33FDF">
        <w:t>a theory of change or a suitable monitoring and evaluation framework, as is the case with ESP II</w:t>
      </w:r>
      <w:r w:rsidR="007737ED" w:rsidRPr="00D33FDF">
        <w:t xml:space="preserve">. </w:t>
      </w:r>
    </w:p>
    <w:p w14:paraId="41849FB5" w14:textId="26008396" w:rsidR="007176C8" w:rsidRPr="00D33FDF" w:rsidRDefault="0041406D" w:rsidP="00D33FDF">
      <w:pPr>
        <w:pStyle w:val="BodyText"/>
      </w:pPr>
      <w:r w:rsidRPr="00D33FDF">
        <w:t>In some</w:t>
      </w:r>
      <w:r w:rsidR="007176C8" w:rsidRPr="00D33FDF">
        <w:t xml:space="preserve"> programs, such as PSIF, </w:t>
      </w:r>
      <w:r w:rsidR="004152C6" w:rsidRPr="00D33FDF">
        <w:t>H</w:t>
      </w:r>
      <w:r w:rsidR="007176C8" w:rsidRPr="00D33FDF">
        <w:t xml:space="preserve">ealth </w:t>
      </w:r>
      <w:proofErr w:type="spellStart"/>
      <w:r w:rsidR="007176C8" w:rsidRPr="00D33FDF">
        <w:t>SWAp</w:t>
      </w:r>
      <w:proofErr w:type="spellEnd"/>
      <w:r w:rsidR="007176C8" w:rsidRPr="00D33FDF">
        <w:t xml:space="preserve"> and </w:t>
      </w:r>
      <w:r w:rsidR="00210205" w:rsidRPr="00D33FDF">
        <w:t>Samoa Inclusive Education Demonstration Program</w:t>
      </w:r>
      <w:r w:rsidR="002A480D" w:rsidRPr="00D33FDF">
        <w:t>,</w:t>
      </w:r>
      <w:r w:rsidR="00210205" w:rsidRPr="00D33FDF">
        <w:t xml:space="preserve"> </w:t>
      </w:r>
      <w:r w:rsidRPr="00D33FDF">
        <w:t xml:space="preserve">monitoring and evaluation frameworks </w:t>
      </w:r>
      <w:r w:rsidR="007176C8" w:rsidRPr="00D33FDF">
        <w:t xml:space="preserve">and baselines </w:t>
      </w:r>
      <w:r w:rsidR="002A480D" w:rsidRPr="00D33FDF">
        <w:t xml:space="preserve">for reporting </w:t>
      </w:r>
      <w:r w:rsidRPr="00D33FDF">
        <w:t>w</w:t>
      </w:r>
      <w:r w:rsidR="007176C8" w:rsidRPr="00D33FDF">
        <w:t>ere</w:t>
      </w:r>
      <w:r w:rsidRPr="00D33FDF">
        <w:t xml:space="preserve"> to</w:t>
      </w:r>
      <w:r w:rsidR="007176C8" w:rsidRPr="00D33FDF">
        <w:t xml:space="preserve"> be developed</w:t>
      </w:r>
      <w:r w:rsidRPr="00D33FDF">
        <w:t xml:space="preserve"> during program implementation</w:t>
      </w:r>
      <w:r w:rsidR="00EC5F87" w:rsidRPr="00D33FDF">
        <w:t>.</w:t>
      </w:r>
      <w:r w:rsidRPr="00D33FDF">
        <w:t xml:space="preserve"> </w:t>
      </w:r>
      <w:r w:rsidR="007176C8" w:rsidRPr="00D33FDF">
        <w:t xml:space="preserve">However, this either did not happen or was not done well enough to </w:t>
      </w:r>
      <w:r w:rsidR="002A480D" w:rsidRPr="00D33FDF">
        <w:t xml:space="preserve">generate </w:t>
      </w:r>
      <w:r w:rsidR="007176C8" w:rsidRPr="00D33FDF">
        <w:t>meaningful, reliable and consistent data</w:t>
      </w:r>
      <w:r w:rsidR="007737ED" w:rsidRPr="00D33FDF">
        <w:t xml:space="preserve">. </w:t>
      </w:r>
      <w:r w:rsidR="007176C8" w:rsidRPr="00D33FDF">
        <w:t xml:space="preserve">Possible contributing factors include lack of skills and prioritisation by program staff and weaknesses in funding and governance arrangements </w:t>
      </w:r>
      <w:r w:rsidR="001B658C" w:rsidRPr="00D33FDF">
        <w:t xml:space="preserve">that </w:t>
      </w:r>
      <w:r w:rsidR="002A480D" w:rsidRPr="00D33FDF">
        <w:t xml:space="preserve">do not </w:t>
      </w:r>
      <w:r w:rsidR="007176C8" w:rsidRPr="00D33FDF">
        <w:t>reward monitoring and evaluation</w:t>
      </w:r>
      <w:r w:rsidR="002A480D" w:rsidRPr="00D33FDF">
        <w:t xml:space="preserve"> efforts</w:t>
      </w:r>
      <w:r w:rsidR="007176C8" w:rsidRPr="00D33FDF">
        <w:t xml:space="preserve">. </w:t>
      </w:r>
      <w:r w:rsidR="008C33CC" w:rsidRPr="00D33FDF">
        <w:t>Government of Samoa</w:t>
      </w:r>
      <w:r w:rsidR="005D54F0" w:rsidRPr="00D33FDF">
        <w:t xml:space="preserve"> systems often struggle to meet </w:t>
      </w:r>
      <w:r w:rsidR="00F32E28">
        <w:t xml:space="preserve">Australian Government </w:t>
      </w:r>
      <w:r w:rsidR="005D54F0" w:rsidRPr="00D33FDF">
        <w:t>reporting system</w:t>
      </w:r>
      <w:r w:rsidR="00B61F83" w:rsidRPr="00D33FDF">
        <w:t xml:space="preserve"> requirement</w:t>
      </w:r>
      <w:r w:rsidR="005D54F0" w:rsidRPr="00D33FDF">
        <w:t>s, particularly at outcome level. For example, national outcome</w:t>
      </w:r>
      <w:r w:rsidR="00B61F83" w:rsidRPr="00D33FDF">
        <w:t>-</w:t>
      </w:r>
      <w:r w:rsidR="005D54F0" w:rsidRPr="00D33FDF">
        <w:t xml:space="preserve">based budgeting was only introduced </w:t>
      </w:r>
      <w:r w:rsidR="001B658C" w:rsidRPr="00D33FDF">
        <w:t>i</w:t>
      </w:r>
      <w:r w:rsidR="005D54F0" w:rsidRPr="00D33FDF">
        <w:t>n 2011</w:t>
      </w:r>
      <w:r w:rsidR="007E5E0E" w:rsidRPr="00D33FDF">
        <w:t>–</w:t>
      </w:r>
      <w:r w:rsidR="005D54F0" w:rsidRPr="00D33FDF">
        <w:t>12</w:t>
      </w:r>
      <w:r w:rsidR="00B61F83" w:rsidRPr="00D33FDF">
        <w:t xml:space="preserve"> in Samoa</w:t>
      </w:r>
      <w:r w:rsidR="005D54F0" w:rsidRPr="00D33FDF">
        <w:t xml:space="preserve"> and is only just being institutionalised in many sectors. </w:t>
      </w:r>
    </w:p>
    <w:p w14:paraId="7A584963" w14:textId="68762DDC" w:rsidR="009B502F" w:rsidRPr="00D33FDF" w:rsidRDefault="007176C8" w:rsidP="00D33FDF">
      <w:pPr>
        <w:pStyle w:val="BodyText"/>
      </w:pPr>
      <w:r w:rsidRPr="00D33FDF">
        <w:t>Recognition of th</w:t>
      </w:r>
      <w:r w:rsidR="00B61F83" w:rsidRPr="00D33FDF">
        <w:t xml:space="preserve">e monitoring and evaluation </w:t>
      </w:r>
      <w:r w:rsidRPr="00D33FDF">
        <w:t>problem has led to a change in approach to new designs</w:t>
      </w:r>
      <w:r w:rsidR="00B61F83" w:rsidRPr="00D33FDF">
        <w:t xml:space="preserve"> in Samoa.</w:t>
      </w:r>
      <w:r w:rsidR="00EC44C3" w:rsidRPr="00D33FDF">
        <w:t xml:space="preserve"> M</w:t>
      </w:r>
      <w:r w:rsidRPr="00D33FDF">
        <w:t xml:space="preserve">id-term reviews </w:t>
      </w:r>
      <w:r w:rsidR="00B61F83" w:rsidRPr="00D33FDF">
        <w:t xml:space="preserve">now </w:t>
      </w:r>
      <w:r w:rsidRPr="00D33FDF">
        <w:t>focus more explicitly on monitoring and evaluation</w:t>
      </w:r>
      <w:r w:rsidR="007737ED" w:rsidRPr="00D33FDF">
        <w:t xml:space="preserve">. </w:t>
      </w:r>
      <w:r w:rsidR="00B61F83" w:rsidRPr="00D33FDF">
        <w:t>T</w:t>
      </w:r>
      <w:r w:rsidRPr="00D33FDF">
        <w:t>heory</w:t>
      </w:r>
      <w:r w:rsidR="00EC44C3" w:rsidRPr="00D33FDF">
        <w:t xml:space="preserve"> </w:t>
      </w:r>
      <w:r w:rsidRPr="00D33FDF">
        <w:t>of</w:t>
      </w:r>
      <w:r w:rsidR="00EC44C3" w:rsidRPr="00D33FDF">
        <w:t xml:space="preserve"> </w:t>
      </w:r>
      <w:r w:rsidRPr="00D33FDF">
        <w:t>change workshops a</w:t>
      </w:r>
      <w:r w:rsidR="00B61F83" w:rsidRPr="00D33FDF">
        <w:t>re now</w:t>
      </w:r>
      <w:r w:rsidRPr="00D33FDF">
        <w:t xml:space="preserve"> part of design processes, additional training and technical assistance for monitoring and evaluation </w:t>
      </w:r>
      <w:r w:rsidR="00B61F83" w:rsidRPr="00D33FDF">
        <w:t>is being provided, as is</w:t>
      </w:r>
      <w:r w:rsidRPr="00D33FDF">
        <w:t xml:space="preserve"> support to the </w:t>
      </w:r>
      <w:r w:rsidR="008C33CC" w:rsidRPr="00D33FDF">
        <w:t>Government of Samoa</w:t>
      </w:r>
      <w:r w:rsidRPr="00D33FDF">
        <w:t xml:space="preserve"> </w:t>
      </w:r>
      <w:r w:rsidR="00B61F83" w:rsidRPr="00D33FDF">
        <w:t xml:space="preserve">to </w:t>
      </w:r>
      <w:r w:rsidRPr="00D33FDF">
        <w:t>improve data analysis, particularly on vulnerability issues</w:t>
      </w:r>
      <w:r w:rsidR="007737ED" w:rsidRPr="00D33FDF">
        <w:t xml:space="preserve">. </w:t>
      </w:r>
      <w:r w:rsidR="00F32E28">
        <w:t xml:space="preserve">DFAT </w:t>
      </w:r>
      <w:r w:rsidR="007F5F40" w:rsidRPr="00D33FDF">
        <w:t>will raise m</w:t>
      </w:r>
      <w:r w:rsidRPr="00D33FDF">
        <w:t xml:space="preserve">onitoring and evaluation challenges at the 2013 Partnership </w:t>
      </w:r>
      <w:r w:rsidR="006101B2" w:rsidRPr="00D33FDF">
        <w:t>T</w:t>
      </w:r>
      <w:r w:rsidRPr="00D33FDF">
        <w:t xml:space="preserve">alks to </w:t>
      </w:r>
      <w:r w:rsidR="007F5F40" w:rsidRPr="00D33FDF">
        <w:t xml:space="preserve">determine </w:t>
      </w:r>
      <w:r w:rsidRPr="00D33FDF">
        <w:t xml:space="preserve">what other measures </w:t>
      </w:r>
      <w:r w:rsidR="007F5F40" w:rsidRPr="00D33FDF">
        <w:t xml:space="preserve">can </w:t>
      </w:r>
      <w:r w:rsidRPr="00D33FDF">
        <w:t xml:space="preserve">be taken to improve the collection and reporting of performance information. </w:t>
      </w:r>
      <w:r w:rsidR="007F5F40" w:rsidRPr="00D33FDF">
        <w:t xml:space="preserve">Also at the talks, Australia and Samoa </w:t>
      </w:r>
      <w:r w:rsidRPr="00D33FDF">
        <w:t>will</w:t>
      </w:r>
      <w:r w:rsidR="007F5F40" w:rsidRPr="00D33FDF">
        <w:t xml:space="preserve"> </w:t>
      </w:r>
      <w:r w:rsidRPr="00D33FDF">
        <w:t xml:space="preserve">reaffirm mutual recognition that improved monitoring and evaluation is critical to making informed decisions on aid programming. </w:t>
      </w:r>
    </w:p>
    <w:p w14:paraId="367D2C64" w14:textId="05A3B082" w:rsidR="00180B19" w:rsidRPr="00D33FDF" w:rsidRDefault="00180B19" w:rsidP="00D33FDF">
      <w:pPr>
        <w:pStyle w:val="Heading1"/>
      </w:pPr>
      <w:r w:rsidRPr="00D33FDF">
        <w:t xml:space="preserve">Management </w:t>
      </w:r>
      <w:r w:rsidR="007E5E0E" w:rsidRPr="00D33FDF">
        <w:t>c</w:t>
      </w:r>
      <w:r w:rsidRPr="00D33FDF">
        <w:t>onsequences</w:t>
      </w:r>
    </w:p>
    <w:p w14:paraId="5ED72AF5" w14:textId="5EE85232" w:rsidR="001D3D95" w:rsidRDefault="00F32E28" w:rsidP="00D33FDF">
      <w:pPr>
        <w:pStyle w:val="BodyText"/>
      </w:pPr>
      <w:r>
        <w:t xml:space="preserve">DFAT </w:t>
      </w:r>
      <w:r w:rsidR="007F5F40">
        <w:t>will undertake t</w:t>
      </w:r>
      <w:r w:rsidR="001D3D95" w:rsidRPr="001D3D95">
        <w:t>h</w:t>
      </w:r>
      <w:r w:rsidR="007F5F40">
        <w:t>is</w:t>
      </w:r>
      <w:r w:rsidR="001D3D95" w:rsidRPr="001D3D95">
        <w:t xml:space="preserve"> list of priority </w:t>
      </w:r>
      <w:r w:rsidR="00EC44C3" w:rsidRPr="001D3D95">
        <w:t>actions in</w:t>
      </w:r>
      <w:r w:rsidR="001D3D95" w:rsidRPr="001D3D95">
        <w:t xml:space="preserve"> </w:t>
      </w:r>
      <w:r w:rsidR="007F5F40">
        <w:t>2013–14</w:t>
      </w:r>
      <w:r w:rsidR="001D3D95" w:rsidRPr="001D3D95">
        <w:t xml:space="preserve"> to address </w:t>
      </w:r>
      <w:r w:rsidR="007F5F40">
        <w:t xml:space="preserve">the </w:t>
      </w:r>
      <w:r w:rsidR="001D3D95" w:rsidRPr="001D3D95">
        <w:t xml:space="preserve">issues raised in this </w:t>
      </w:r>
      <w:r w:rsidR="00412611">
        <w:t>APPR</w:t>
      </w:r>
      <w:r w:rsidR="001D3D95" w:rsidRPr="001D3D95">
        <w:t xml:space="preserve">. A summary of </w:t>
      </w:r>
      <w:r w:rsidR="007F5F40">
        <w:t>the m</w:t>
      </w:r>
      <w:r w:rsidR="001D3D95" w:rsidRPr="001D3D95">
        <w:t xml:space="preserve">anagement </w:t>
      </w:r>
      <w:r w:rsidR="007F5F40">
        <w:t>c</w:t>
      </w:r>
      <w:r w:rsidR="001D3D95" w:rsidRPr="001D3D95">
        <w:t xml:space="preserve">onsequences </w:t>
      </w:r>
      <w:r w:rsidR="007F5F40">
        <w:t xml:space="preserve">from the 2011–12 APPR is </w:t>
      </w:r>
      <w:r w:rsidR="001B658C">
        <w:t xml:space="preserve">in </w:t>
      </w:r>
      <w:r w:rsidR="00E73E0C">
        <w:t xml:space="preserve">Annex </w:t>
      </w:r>
      <w:r w:rsidR="00F17CEB">
        <w:t>E</w:t>
      </w:r>
      <w:r w:rsidR="001D3D95">
        <w:t>.</w:t>
      </w:r>
    </w:p>
    <w:p w14:paraId="42929C8D" w14:textId="5B52AAA3" w:rsidR="00C36A47" w:rsidRPr="00795609" w:rsidRDefault="007F5F40" w:rsidP="00D33FDF">
      <w:pPr>
        <w:pStyle w:val="BodyText"/>
      </w:pPr>
      <w:r w:rsidRPr="00EC44C3">
        <w:rPr>
          <w:b/>
        </w:rPr>
        <w:t>Reducing poverty and vulnerability</w:t>
      </w:r>
      <w:r w:rsidR="00C36A47" w:rsidRPr="00795609">
        <w:t xml:space="preserve"> is </w:t>
      </w:r>
      <w:r w:rsidR="00C36A47">
        <w:t>the objective of</w:t>
      </w:r>
      <w:r w:rsidR="00C36A47" w:rsidRPr="00795609">
        <w:t xml:space="preserve"> Australian aid to Samoa. To support the </w:t>
      </w:r>
      <w:r w:rsidR="008C33CC">
        <w:t>Government of Samoa</w:t>
      </w:r>
      <w:r w:rsidR="00C36A47" w:rsidRPr="00795609">
        <w:t xml:space="preserve">’s response to poverty, </w:t>
      </w:r>
      <w:r w:rsidR="00F32E28">
        <w:t xml:space="preserve">DFAT </w:t>
      </w:r>
      <w:r w:rsidR="00C36A47" w:rsidRPr="00795609">
        <w:t xml:space="preserve">and Ministry of Finance counterparts will discuss how </w:t>
      </w:r>
      <w:r w:rsidR="001B658C">
        <w:t xml:space="preserve">to </w:t>
      </w:r>
      <w:r>
        <w:t>strengthen</w:t>
      </w:r>
      <w:r w:rsidR="00C36A47" w:rsidRPr="00E3485B">
        <w:t xml:space="preserve"> links between the</w:t>
      </w:r>
      <w:r>
        <w:t xml:space="preserve"> </w:t>
      </w:r>
      <w:r w:rsidR="00C36A47" w:rsidRPr="00E3485B">
        <w:t>budget support payments</w:t>
      </w:r>
      <w:r>
        <w:t xml:space="preserve"> made through the </w:t>
      </w:r>
      <w:r w:rsidRPr="00E3485B">
        <w:t>Joint Policy Action Matrix</w:t>
      </w:r>
      <w:r w:rsidR="00C36A47" w:rsidRPr="00E3485B">
        <w:t xml:space="preserve"> and targeted poverty and service delivery outcomes. This will support</w:t>
      </w:r>
      <w:r>
        <w:t xml:space="preserve"> the</w:t>
      </w:r>
      <w:r w:rsidR="00C36A47" w:rsidRPr="00E3485B">
        <w:t xml:space="preserve"> initial work undertaken by the </w:t>
      </w:r>
      <w:r w:rsidR="001B658C">
        <w:t>m</w:t>
      </w:r>
      <w:r w:rsidR="00C36A47" w:rsidRPr="00E3485B">
        <w:t>inistry in 2012 to identify</w:t>
      </w:r>
      <w:r w:rsidR="00C36A47" w:rsidRPr="00795609">
        <w:t xml:space="preserve"> vulnerable groups in Samoa.</w:t>
      </w:r>
      <w:r w:rsidR="00E3485B">
        <w:t xml:space="preserve"> </w:t>
      </w:r>
      <w:r w:rsidR="00F32E28">
        <w:t xml:space="preserve">DFAT </w:t>
      </w:r>
      <w:r w:rsidR="00E3485B">
        <w:t>will fund work to increase the availability of data on poverty to policy makers</w:t>
      </w:r>
      <w:r w:rsidR="007737ED">
        <w:t xml:space="preserve">. </w:t>
      </w:r>
      <w:r w:rsidR="00EC5F87">
        <w:t>Recommendations from the CSSP mid-term review will be implemented and a program targeting people with disabilit</w:t>
      </w:r>
      <w:r>
        <w:t>y</w:t>
      </w:r>
      <w:r w:rsidR="00EC5F87">
        <w:t xml:space="preserve"> will</w:t>
      </w:r>
      <w:r w:rsidR="00E3485B">
        <w:t xml:space="preserve"> </w:t>
      </w:r>
      <w:r>
        <w:t>begin</w:t>
      </w:r>
      <w:r w:rsidR="00EC5F87">
        <w:t>.</w:t>
      </w:r>
    </w:p>
    <w:p w14:paraId="38751CF8" w14:textId="23B640D5" w:rsidR="00C36A47" w:rsidRDefault="00C36A47" w:rsidP="00D33FDF">
      <w:pPr>
        <w:pStyle w:val="BodyText"/>
      </w:pPr>
      <w:r w:rsidRPr="00795609">
        <w:t xml:space="preserve">Samoa faces a substantial challenge in </w:t>
      </w:r>
      <w:r w:rsidRPr="00EC44C3">
        <w:rPr>
          <w:b/>
        </w:rPr>
        <w:t>managing debt</w:t>
      </w:r>
      <w:r w:rsidRPr="00795609">
        <w:t xml:space="preserve"> to bilateral and multilateral development partners</w:t>
      </w:r>
      <w:r w:rsidR="005422E9">
        <w:t>. This challenge became worse after</w:t>
      </w:r>
      <w:r w:rsidRPr="00795609">
        <w:t xml:space="preserve"> Cyclone Evan. </w:t>
      </w:r>
      <w:r w:rsidRPr="001D3D95">
        <w:t xml:space="preserve">Australia will continue </w:t>
      </w:r>
      <w:r w:rsidR="005422E9">
        <w:t xml:space="preserve">to </w:t>
      </w:r>
      <w:r w:rsidRPr="001D3D95">
        <w:t>support Samoa’s sound debt management by including this issue in the 2013</w:t>
      </w:r>
      <w:r w:rsidR="007E5E0E">
        <w:t>–</w:t>
      </w:r>
      <w:r w:rsidRPr="001D3D95">
        <w:t>14 Joint Policy Action Matrix targets</w:t>
      </w:r>
      <w:r w:rsidRPr="00795609">
        <w:t xml:space="preserve">. </w:t>
      </w:r>
      <w:r w:rsidR="008A6C9B">
        <w:t xml:space="preserve">Debt levels and </w:t>
      </w:r>
      <w:r w:rsidR="005422E9">
        <w:t xml:space="preserve">debt </w:t>
      </w:r>
      <w:r w:rsidR="008A6C9B">
        <w:t>management will be a</w:t>
      </w:r>
      <w:r w:rsidR="00B8362D">
        <w:t xml:space="preserve"> central</w:t>
      </w:r>
      <w:r w:rsidR="008A6C9B">
        <w:t xml:space="preserve"> issue discuss</w:t>
      </w:r>
      <w:r w:rsidR="005422E9">
        <w:t>ed</w:t>
      </w:r>
      <w:r w:rsidR="008A6C9B">
        <w:t xml:space="preserve"> at the 2013 Partnership Talks.</w:t>
      </w:r>
    </w:p>
    <w:p w14:paraId="168F33F2" w14:textId="0D691E30" w:rsidR="00C36A47" w:rsidRPr="00795609" w:rsidRDefault="00C36A47" w:rsidP="00D33FDF">
      <w:pPr>
        <w:pStyle w:val="BodyText"/>
      </w:pPr>
      <w:r w:rsidRPr="00795609">
        <w:t>In 2013</w:t>
      </w:r>
      <w:r w:rsidR="005422E9">
        <w:t>,</w:t>
      </w:r>
      <w:r w:rsidRPr="00795609">
        <w:t xml:space="preserve"> a new initiative</w:t>
      </w:r>
      <w:r w:rsidR="005422E9">
        <w:t xml:space="preserve"> will be designed</w:t>
      </w:r>
      <w:r w:rsidRPr="00795609">
        <w:t xml:space="preserve"> to </w:t>
      </w:r>
      <w:r w:rsidRPr="00EC44C3">
        <w:rPr>
          <w:b/>
        </w:rPr>
        <w:t>improve gender outcomes</w:t>
      </w:r>
      <w:r w:rsidRPr="00795609">
        <w:t xml:space="preserve"> in Samoa. </w:t>
      </w:r>
      <w:r w:rsidR="00F32E28">
        <w:t xml:space="preserve">DFAT </w:t>
      </w:r>
      <w:r w:rsidRPr="00795609">
        <w:t>will use the design process to develop a stand-alon</w:t>
      </w:r>
      <w:r w:rsidR="001B658C">
        <w:t>e</w:t>
      </w:r>
      <w:r w:rsidRPr="00795609">
        <w:t xml:space="preserve"> program </w:t>
      </w:r>
      <w:r w:rsidR="005422E9">
        <w:t>as well as</w:t>
      </w:r>
      <w:r w:rsidRPr="00795609">
        <w:t xml:space="preserve"> broader strategies for integrating gender and monitoring</w:t>
      </w:r>
      <w:r w:rsidR="005422E9">
        <w:t xml:space="preserve"> its performance</w:t>
      </w:r>
      <w:r w:rsidRPr="00795609">
        <w:t xml:space="preserve"> across the bilateral program</w:t>
      </w:r>
      <w:r w:rsidR="00244B0A">
        <w:t>, including</w:t>
      </w:r>
      <w:r w:rsidR="005422E9">
        <w:t xml:space="preserve"> through collecting</w:t>
      </w:r>
      <w:r w:rsidR="00244B0A">
        <w:t xml:space="preserve"> basic sex disaggregated data on poverty</w:t>
      </w:r>
      <w:r w:rsidRPr="00795609">
        <w:t>. This</w:t>
      </w:r>
      <w:r w:rsidR="005422E9">
        <w:t xml:space="preserve"> work</w:t>
      </w:r>
      <w:r w:rsidRPr="00795609">
        <w:t xml:space="preserve"> will build on</w:t>
      </w:r>
      <w:r w:rsidR="001B658C">
        <w:t xml:space="preserve"> the</w:t>
      </w:r>
      <w:r w:rsidRPr="00795609">
        <w:t xml:space="preserve"> analysis of gender programming</w:t>
      </w:r>
      <w:r w:rsidR="005422E9">
        <w:t xml:space="preserve"> challenges</w:t>
      </w:r>
      <w:r w:rsidRPr="00795609">
        <w:t xml:space="preserve"> conducted during the 2010 APPR process as well as the work of other development partners</w:t>
      </w:r>
      <w:r w:rsidR="00014D00">
        <w:t xml:space="preserve"> operating</w:t>
      </w:r>
      <w:r w:rsidRPr="00795609">
        <w:t xml:space="preserve"> in</w:t>
      </w:r>
      <w:r w:rsidR="005422E9">
        <w:t>-</w:t>
      </w:r>
      <w:r w:rsidRPr="00795609">
        <w:t xml:space="preserve">country. </w:t>
      </w:r>
    </w:p>
    <w:p w14:paraId="40B06571" w14:textId="74528F3D" w:rsidR="00C36A47" w:rsidRDefault="00C36A47" w:rsidP="00D33FDF">
      <w:pPr>
        <w:pStyle w:val="BodyText"/>
      </w:pPr>
      <w:r w:rsidRPr="00795609">
        <w:t xml:space="preserve">Samoan and Australian officials have worked collaboratively on a number of assessments of </w:t>
      </w:r>
      <w:r w:rsidR="008C33CC">
        <w:t>Government of Samoa</w:t>
      </w:r>
      <w:r w:rsidRPr="00795609">
        <w:t xml:space="preserve"> PFM systems over the past </w:t>
      </w:r>
      <w:r w:rsidR="00EC44C3">
        <w:t xml:space="preserve">financial </w:t>
      </w:r>
      <w:r w:rsidRPr="00795609">
        <w:t xml:space="preserve">year. </w:t>
      </w:r>
      <w:r w:rsidR="005422E9">
        <w:t>At t</w:t>
      </w:r>
      <w:r w:rsidRPr="00795609">
        <w:t>he 2013 Partnership Talks</w:t>
      </w:r>
      <w:r w:rsidR="005422E9">
        <w:t>, the two government</w:t>
      </w:r>
      <w:r w:rsidR="001B658C">
        <w:t>s</w:t>
      </w:r>
      <w:r w:rsidRPr="00795609">
        <w:t xml:space="preserve"> will discuss and agree on a </w:t>
      </w:r>
      <w:r w:rsidRPr="00EC44C3">
        <w:rPr>
          <w:b/>
        </w:rPr>
        <w:t>joint approach to managing the risks</w:t>
      </w:r>
      <w:r w:rsidRPr="00795609">
        <w:t xml:space="preserve"> identified </w:t>
      </w:r>
      <w:r w:rsidR="005422E9">
        <w:t>through official reporting</w:t>
      </w:r>
      <w:r w:rsidRPr="00795609">
        <w:t xml:space="preserve">. A </w:t>
      </w:r>
      <w:r w:rsidR="00B8362D">
        <w:t>fundamental</w:t>
      </w:r>
      <w:r w:rsidR="00B8362D" w:rsidRPr="00795609">
        <w:t xml:space="preserve"> </w:t>
      </w:r>
      <w:r w:rsidRPr="00795609">
        <w:t xml:space="preserve">principle will be </w:t>
      </w:r>
      <w:r w:rsidR="008C33CC">
        <w:t>Government of Samoa</w:t>
      </w:r>
      <w:r w:rsidRPr="00795609">
        <w:t xml:space="preserve"> leadership of risk management through the Ministry of Finance</w:t>
      </w:r>
      <w:r w:rsidR="001B658C">
        <w:t>’s</w:t>
      </w:r>
      <w:r w:rsidRPr="00795609">
        <w:t xml:space="preserve"> PFM Reform Plan and </w:t>
      </w:r>
      <w:r w:rsidR="005422E9">
        <w:t xml:space="preserve">the need for </w:t>
      </w:r>
      <w:r w:rsidRPr="00795609">
        <w:t>six</w:t>
      </w:r>
      <w:r w:rsidR="005422E9">
        <w:t>-</w:t>
      </w:r>
      <w:r w:rsidRPr="00795609">
        <w:t>monthly di</w:t>
      </w:r>
      <w:r w:rsidR="005422E9">
        <w:t>scussion</w:t>
      </w:r>
      <w:r w:rsidR="001B658C">
        <w:t>s</w:t>
      </w:r>
      <w:r w:rsidRPr="00795609">
        <w:t xml:space="preserve"> on risks and reform progress. This approach will be incorporated into the 2013</w:t>
      </w:r>
      <w:r w:rsidR="007E5E0E">
        <w:t>–</w:t>
      </w:r>
      <w:r w:rsidRPr="00795609">
        <w:t>1</w:t>
      </w:r>
      <w:r w:rsidR="00357769">
        <w:t>4</w:t>
      </w:r>
      <w:r w:rsidRPr="00795609">
        <w:t xml:space="preserve"> Samoa Risk and Fraud Management Plan</w:t>
      </w:r>
      <w:r>
        <w:t>.</w:t>
      </w:r>
      <w:r>
        <w:tab/>
      </w:r>
    </w:p>
    <w:p w14:paraId="336E93ED" w14:textId="11A62DC5" w:rsidR="00C36A47" w:rsidRPr="00795609" w:rsidRDefault="00C36A47" w:rsidP="00D33FDF">
      <w:pPr>
        <w:pStyle w:val="BodyText"/>
      </w:pPr>
      <w:r w:rsidRPr="00795609">
        <w:t>The 2012</w:t>
      </w:r>
      <w:r w:rsidR="007E5E0E">
        <w:t>–</w:t>
      </w:r>
      <w:r w:rsidRPr="00795609">
        <w:t>2016 SDS outline</w:t>
      </w:r>
      <w:r w:rsidR="005422E9">
        <w:t>s</w:t>
      </w:r>
      <w:r w:rsidRPr="00795609">
        <w:t xml:space="preserve"> Samoa’s development plans for four years</w:t>
      </w:r>
      <w:r w:rsidR="007737ED">
        <w:t xml:space="preserve">. </w:t>
      </w:r>
      <w:r w:rsidRPr="00795609">
        <w:t xml:space="preserve">Australia’s support for </w:t>
      </w:r>
      <w:r w:rsidR="00EC44C3">
        <w:t>SDS</w:t>
      </w:r>
      <w:r w:rsidRPr="00795609">
        <w:t xml:space="preserve"> priorities will be reflected in changes to the current </w:t>
      </w:r>
      <w:r w:rsidRPr="00EC44C3">
        <w:rPr>
          <w:b/>
        </w:rPr>
        <w:t>Partnership for Development</w:t>
      </w:r>
      <w:r w:rsidRPr="005422E9">
        <w:t xml:space="preserve">. </w:t>
      </w:r>
      <w:r w:rsidR="005422E9">
        <w:t>For example, l</w:t>
      </w:r>
      <w:r w:rsidRPr="005422E9">
        <w:t xml:space="preserve">aw and </w:t>
      </w:r>
      <w:r w:rsidR="005422E9">
        <w:t>j</w:t>
      </w:r>
      <w:r w:rsidRPr="005422E9">
        <w:t xml:space="preserve">ustice activities will be integrated within the </w:t>
      </w:r>
      <w:r w:rsidR="00A215AB">
        <w:t>g</w:t>
      </w:r>
      <w:r w:rsidRPr="005422E9">
        <w:t xml:space="preserve">overnance and </w:t>
      </w:r>
      <w:r w:rsidR="00A215AB">
        <w:t>e</w:t>
      </w:r>
      <w:r w:rsidRPr="005422E9">
        <w:t>conomic</w:t>
      </w:r>
      <w:r w:rsidRPr="00795609">
        <w:t xml:space="preserve"> </w:t>
      </w:r>
      <w:r w:rsidR="00A215AB">
        <w:t>s</w:t>
      </w:r>
      <w:r w:rsidRPr="00795609">
        <w:t xml:space="preserve">tability priority outcome. </w:t>
      </w:r>
      <w:r w:rsidR="005422E9">
        <w:t>At t</w:t>
      </w:r>
      <w:r w:rsidRPr="00795609">
        <w:t>he 2013 Partnership Talks</w:t>
      </w:r>
      <w:r w:rsidR="005422E9">
        <w:t>, officials</w:t>
      </w:r>
      <w:r w:rsidRPr="00795609">
        <w:t xml:space="preserve"> will discuss establish</w:t>
      </w:r>
      <w:r w:rsidR="005422E9">
        <w:t>ing</w:t>
      </w:r>
      <w:r w:rsidRPr="00795609">
        <w:t xml:space="preserve"> a new priority outcome for </w:t>
      </w:r>
      <w:r w:rsidR="005422E9">
        <w:t>e</w:t>
      </w:r>
      <w:r w:rsidRPr="00795609">
        <w:t xml:space="preserve">conomic </w:t>
      </w:r>
      <w:r w:rsidR="005422E9">
        <w:t>i</w:t>
      </w:r>
      <w:r w:rsidRPr="00795609">
        <w:t>nfrastructure</w:t>
      </w:r>
      <w:r w:rsidR="008A6C9B">
        <w:t xml:space="preserve"> a</w:t>
      </w:r>
      <w:r w:rsidR="005422E9">
        <w:t>nd</w:t>
      </w:r>
      <w:r w:rsidR="008A6C9B">
        <w:t xml:space="preserve"> improved climate change targets.</w:t>
      </w:r>
      <w:r w:rsidR="002B5528">
        <w:t xml:space="preserve"> </w:t>
      </w:r>
      <w:r w:rsidR="00C83A68">
        <w:t>The current Partnership</w:t>
      </w:r>
      <w:r w:rsidR="005422E9">
        <w:t xml:space="preserve"> for Development</w:t>
      </w:r>
      <w:r w:rsidR="00C83A68">
        <w:t xml:space="preserve"> will end in 2015. A new </w:t>
      </w:r>
      <w:r w:rsidR="005422E9">
        <w:t>one</w:t>
      </w:r>
      <w:r w:rsidR="00714A83">
        <w:t xml:space="preserve"> will be negotiated in 2014</w:t>
      </w:r>
      <w:r w:rsidR="007E5E0E">
        <w:t>–</w:t>
      </w:r>
      <w:r w:rsidR="00C83A68">
        <w:t>15</w:t>
      </w:r>
      <w:r w:rsidR="005422E9">
        <w:t>,</w:t>
      </w:r>
      <w:r w:rsidR="00C83A68">
        <w:t xml:space="preserve"> i</w:t>
      </w:r>
      <w:r w:rsidR="002B5528">
        <w:t>ncluding</w:t>
      </w:r>
      <w:r w:rsidR="005422E9">
        <w:t xml:space="preserve"> the</w:t>
      </w:r>
      <w:r w:rsidR="002B5528">
        <w:t xml:space="preserve"> development of a </w:t>
      </w:r>
      <w:r w:rsidR="005422E9">
        <w:t>p</w:t>
      </w:r>
      <w:r w:rsidR="002B5528">
        <w:t xml:space="preserve">erformance </w:t>
      </w:r>
      <w:r w:rsidR="005422E9">
        <w:t>a</w:t>
      </w:r>
      <w:r w:rsidR="002B5528">
        <w:t xml:space="preserve">ssessment </w:t>
      </w:r>
      <w:r w:rsidR="005422E9">
        <w:t>f</w:t>
      </w:r>
      <w:r w:rsidR="002B5528">
        <w:t>ramework</w:t>
      </w:r>
      <w:r w:rsidR="00C83A68">
        <w:t xml:space="preserve">. </w:t>
      </w:r>
      <w:r w:rsidR="00EF554F">
        <w:t>Progress will be covered</w:t>
      </w:r>
      <w:r w:rsidR="00211B01">
        <w:t xml:space="preserve"> in the 201</w:t>
      </w:r>
      <w:r w:rsidR="00C83A68">
        <w:t>4</w:t>
      </w:r>
      <w:r w:rsidR="007E5E0E">
        <w:t>–</w:t>
      </w:r>
      <w:r w:rsidR="00C83A68">
        <w:t>15</w:t>
      </w:r>
      <w:r w:rsidR="00211B01">
        <w:t xml:space="preserve"> APPR</w:t>
      </w:r>
      <w:r w:rsidR="002B5528">
        <w:t xml:space="preserve">. </w:t>
      </w:r>
    </w:p>
    <w:p w14:paraId="3FAEDFCB" w14:textId="68E7B20D" w:rsidR="00795609" w:rsidRPr="00795609" w:rsidRDefault="00EF554F" w:rsidP="00D33FDF">
      <w:pPr>
        <w:pStyle w:val="BodyText"/>
      </w:pPr>
      <w:r w:rsidRPr="00EC44C3">
        <w:rPr>
          <w:b/>
        </w:rPr>
        <w:t>Improving monitoring and evaluation</w:t>
      </w:r>
      <w:r>
        <w:t xml:space="preserve"> </w:t>
      </w:r>
      <w:r w:rsidR="00795609" w:rsidRPr="00795609">
        <w:t>will be a key priority for the Samoa program in 2013</w:t>
      </w:r>
      <w:r w:rsidR="007E5E0E">
        <w:t>–</w:t>
      </w:r>
      <w:r w:rsidR="00795609" w:rsidRPr="00795609">
        <w:t>14. The need for joint efforts and support for</w:t>
      </w:r>
      <w:r>
        <w:t xml:space="preserve"> this</w:t>
      </w:r>
      <w:r w:rsidR="00795609" w:rsidRPr="00795609">
        <w:t xml:space="preserve"> by both Samoan and Australian officials will be raised at the 2013 Partnership Talks, including </w:t>
      </w:r>
      <w:r>
        <w:t xml:space="preserve">through a </w:t>
      </w:r>
      <w:r w:rsidR="00795609" w:rsidRPr="00795609">
        <w:t>discussion o</w:t>
      </w:r>
      <w:r>
        <w:t>n</w:t>
      </w:r>
      <w:r w:rsidR="00795609" w:rsidRPr="00795609">
        <w:t xml:space="preserve"> how best to resource this </w:t>
      </w:r>
      <w:r w:rsidR="00B8362D">
        <w:t>crucial</w:t>
      </w:r>
      <w:r w:rsidR="00B8362D" w:rsidRPr="00795609">
        <w:t xml:space="preserve"> </w:t>
      </w:r>
      <w:r w:rsidR="00795609" w:rsidRPr="00795609">
        <w:t>program function</w:t>
      </w:r>
      <w:r w:rsidR="007737ED">
        <w:t xml:space="preserve">. </w:t>
      </w:r>
      <w:r w:rsidR="00F32E28">
        <w:t xml:space="preserve">DFAT </w:t>
      </w:r>
      <w:r w:rsidR="00795609" w:rsidRPr="00795609">
        <w:t xml:space="preserve">will contract independent monitoring and evaluation support to assist </w:t>
      </w:r>
      <w:r w:rsidR="00E8100A">
        <w:t>d</w:t>
      </w:r>
      <w:r w:rsidR="00BF3906">
        <w:t xml:space="preserve">epartment </w:t>
      </w:r>
      <w:r w:rsidR="00795609" w:rsidRPr="00795609">
        <w:t>staff and their counterparts</w:t>
      </w:r>
      <w:r w:rsidR="001B658C">
        <w:t xml:space="preserve"> to</w:t>
      </w:r>
      <w:r w:rsidR="00795609" w:rsidRPr="00795609">
        <w:t xml:space="preserve"> manage and improve monitoring and evaluation practices, including </w:t>
      </w:r>
      <w:r>
        <w:t>through collecting</w:t>
      </w:r>
      <w:r w:rsidR="00795609" w:rsidRPr="00795609">
        <w:t xml:space="preserve"> gender-disaggregated data and related outcomes.</w:t>
      </w:r>
    </w:p>
    <w:p w14:paraId="74C91C13" w14:textId="2F369DBB" w:rsidR="00795609" w:rsidRPr="00795609" w:rsidRDefault="001D3D95" w:rsidP="00D33FDF">
      <w:pPr>
        <w:pStyle w:val="BodyText"/>
      </w:pPr>
      <w:r>
        <w:t>S</w:t>
      </w:r>
      <w:r w:rsidR="00795609" w:rsidRPr="00795609">
        <w:t xml:space="preserve">ubstantial </w:t>
      </w:r>
      <w:r w:rsidR="00795609" w:rsidRPr="00EC44C3">
        <w:rPr>
          <w:b/>
        </w:rPr>
        <w:t>design work</w:t>
      </w:r>
      <w:r w:rsidR="00795609" w:rsidRPr="00795609">
        <w:t xml:space="preserve"> will be undertaken in 2013</w:t>
      </w:r>
      <w:r w:rsidR="007E5E0E">
        <w:t>–</w:t>
      </w:r>
      <w:r w:rsidR="00795609" w:rsidRPr="00795609">
        <w:t xml:space="preserve">14 to meet policy commitments and </w:t>
      </w:r>
      <w:r w:rsidR="00EC44C3">
        <w:t xml:space="preserve">future </w:t>
      </w:r>
      <w:r w:rsidR="00795609" w:rsidRPr="00795609">
        <w:t xml:space="preserve">funding </w:t>
      </w:r>
      <w:r w:rsidR="00EC44C3">
        <w:t>commitments</w:t>
      </w:r>
      <w:r w:rsidR="007E5E0E">
        <w:t>.</w:t>
      </w:r>
      <w:r w:rsidR="00F47036">
        <w:rPr>
          <w:rStyle w:val="FootnoteReference"/>
        </w:rPr>
        <w:footnoteReference w:id="77"/>
      </w:r>
      <w:r w:rsidR="00795609" w:rsidRPr="00795609">
        <w:t xml:space="preserve"> </w:t>
      </w:r>
      <w:r w:rsidR="00F32E28">
        <w:t xml:space="preserve">DFAT </w:t>
      </w:r>
      <w:r w:rsidR="00EF554F">
        <w:t xml:space="preserve">and Samoa counterparts will aim </w:t>
      </w:r>
      <w:r w:rsidR="00E67F9A">
        <w:t xml:space="preserve">to </w:t>
      </w:r>
      <w:r w:rsidR="00EC44C3">
        <w:t xml:space="preserve">develop programs and contracts for </w:t>
      </w:r>
      <w:r w:rsidR="00E67F9A">
        <w:t xml:space="preserve">at least 70 per cent of </w:t>
      </w:r>
      <w:r w:rsidR="00EF554F">
        <w:t xml:space="preserve">funds allocated in </w:t>
      </w:r>
      <w:r w:rsidR="00E67F9A">
        <w:t>2014</w:t>
      </w:r>
      <w:r w:rsidR="007E5E0E">
        <w:t>–</w:t>
      </w:r>
      <w:r w:rsidR="00E67F9A">
        <w:t>1</w:t>
      </w:r>
      <w:r w:rsidR="00357769">
        <w:t>5</w:t>
      </w:r>
      <w:r w:rsidR="00E67F9A">
        <w:t xml:space="preserve"> </w:t>
      </w:r>
      <w:r w:rsidR="00F47036">
        <w:t xml:space="preserve">and </w:t>
      </w:r>
      <w:r w:rsidR="00E67F9A">
        <w:t xml:space="preserve">50 per cent </w:t>
      </w:r>
      <w:r w:rsidR="00275101">
        <w:t xml:space="preserve">in </w:t>
      </w:r>
      <w:r w:rsidR="00E67F9A">
        <w:t>2015</w:t>
      </w:r>
      <w:r w:rsidR="007E5E0E">
        <w:t>–</w:t>
      </w:r>
      <w:r w:rsidR="00E67F9A">
        <w:t>16 by the end of June 2014</w:t>
      </w:r>
      <w:r w:rsidR="007737ED">
        <w:t xml:space="preserve">. </w:t>
      </w:r>
      <w:r w:rsidR="00F47036">
        <w:t xml:space="preserve">A similar target was set, but not achieved, in </w:t>
      </w:r>
      <w:r w:rsidR="00EF554F">
        <w:t>t</w:t>
      </w:r>
      <w:r w:rsidR="00EC44C3">
        <w:t>he 20</w:t>
      </w:r>
      <w:r w:rsidR="00EF554F">
        <w:t>11</w:t>
      </w:r>
      <w:r w:rsidR="00F47036">
        <w:t xml:space="preserve"> APPR. </w:t>
      </w:r>
      <w:r w:rsidR="00EF554F">
        <w:t>T</w:t>
      </w:r>
      <w:r w:rsidR="00F47036">
        <w:t>o meet the target this</w:t>
      </w:r>
      <w:r w:rsidR="00EC44C3">
        <w:t xml:space="preserve"> financial</w:t>
      </w:r>
      <w:r w:rsidR="00F47036">
        <w:t xml:space="preserve"> year</w:t>
      </w:r>
      <w:r w:rsidR="00275101">
        <w:t>,</w:t>
      </w:r>
      <w:r w:rsidR="00F47036">
        <w:t xml:space="preserve"> Apia Post will need to access increased </w:t>
      </w:r>
      <w:r w:rsidR="00F32E28">
        <w:t xml:space="preserve">DFAT </w:t>
      </w:r>
      <w:r w:rsidR="00F47036">
        <w:t>and contracted adviser inputs</w:t>
      </w:r>
      <w:r w:rsidR="00C83A68">
        <w:t>.</w:t>
      </w:r>
      <w:r w:rsidR="00F47036">
        <w:t xml:space="preserve"> </w:t>
      </w:r>
    </w:p>
    <w:p w14:paraId="333719DA" w14:textId="1D142E6E" w:rsidR="00795609" w:rsidRPr="002205B3" w:rsidRDefault="00795609" w:rsidP="00795609">
      <w:pPr>
        <w:pStyle w:val="Heading3"/>
      </w:pPr>
      <w:r w:rsidRPr="00D33FDF">
        <w:t>Managing</w:t>
      </w:r>
      <w:r w:rsidRPr="002205B3">
        <w:t xml:space="preserve"> risks</w:t>
      </w:r>
    </w:p>
    <w:p w14:paraId="7085738D" w14:textId="4391F62B" w:rsidR="00EC5F87" w:rsidRDefault="00795609" w:rsidP="00D33FDF">
      <w:pPr>
        <w:pStyle w:val="BodyText"/>
      </w:pPr>
      <w:r w:rsidRPr="002205B3">
        <w:t>The Sa</w:t>
      </w:r>
      <w:r w:rsidRPr="00795609">
        <w:t xml:space="preserve">moa </w:t>
      </w:r>
      <w:r w:rsidR="001B658C">
        <w:t>p</w:t>
      </w:r>
      <w:r w:rsidRPr="00795609">
        <w:t xml:space="preserve">rogram complies with all </w:t>
      </w:r>
      <w:r w:rsidR="00F32E28">
        <w:t xml:space="preserve">DFAT </w:t>
      </w:r>
      <w:r w:rsidRPr="00795609">
        <w:t>risk-management processes</w:t>
      </w:r>
      <w:r w:rsidR="007E5E0E">
        <w:t>.</w:t>
      </w:r>
      <w:r w:rsidRPr="009E6B2D">
        <w:rPr>
          <w:rStyle w:val="FootnoteReference"/>
          <w:szCs w:val="16"/>
        </w:rPr>
        <w:footnoteReference w:id="78"/>
      </w:r>
      <w:r w:rsidR="009E6B2D">
        <w:t xml:space="preserve"> </w:t>
      </w:r>
      <w:r w:rsidRPr="00795609">
        <w:t xml:space="preserve">The Risk and Fraud Management Plan is monitored and updated quarterly by program staff. Table </w:t>
      </w:r>
      <w:r w:rsidR="004077F9">
        <w:t>9</w:t>
      </w:r>
      <w:r w:rsidRPr="00795609">
        <w:t xml:space="preserve"> outlines</w:t>
      </w:r>
      <w:r w:rsidR="002205B3">
        <w:t xml:space="preserve"> the</w:t>
      </w:r>
      <w:r w:rsidR="002D5B72">
        <w:t xml:space="preserve"> major risks </w:t>
      </w:r>
      <w:r w:rsidR="002205B3">
        <w:t xml:space="preserve">that </w:t>
      </w:r>
      <w:r w:rsidR="002D5B72">
        <w:t>will be managed in 2013</w:t>
      </w:r>
      <w:r w:rsidR="007E5E0E">
        <w:t>–</w:t>
      </w:r>
      <w:r w:rsidR="002D5B72">
        <w:t xml:space="preserve">14 through the </w:t>
      </w:r>
      <w:r w:rsidR="00275101">
        <w:t>p</w:t>
      </w:r>
      <w:r w:rsidRPr="00795609">
        <w:t>lan</w:t>
      </w:r>
      <w:r w:rsidR="002D5B72">
        <w:t>.</w:t>
      </w:r>
      <w:r w:rsidRPr="00795609">
        <w:t xml:space="preserve"> </w:t>
      </w:r>
    </w:p>
    <w:p w14:paraId="367D2C6C" w14:textId="2547B395" w:rsidR="00BE65E4" w:rsidRPr="00D33FDF" w:rsidRDefault="009E1476" w:rsidP="00D33FDF">
      <w:pPr>
        <w:pStyle w:val="Caption"/>
      </w:pPr>
      <w:r w:rsidRPr="00D33FDF">
        <w:t>T</w:t>
      </w:r>
      <w:r w:rsidR="00BE65E4" w:rsidRPr="00D33FDF">
        <w:t xml:space="preserve">able </w:t>
      </w:r>
      <w:r w:rsidR="005F0CC5" w:rsidRPr="00D33FDF">
        <w:t>9</w:t>
      </w:r>
      <w:r w:rsidR="00BE65E4" w:rsidRPr="00D33FDF">
        <w:t xml:space="preserve"> Risks associated with the program and management actions</w:t>
      </w:r>
    </w:p>
    <w:tbl>
      <w:tblPr>
        <w:tblStyle w:val="APPR"/>
        <w:tblW w:w="5000" w:type="pct"/>
        <w:tblLook w:val="0600" w:firstRow="0" w:lastRow="0" w:firstColumn="0" w:lastColumn="0" w:noHBand="1" w:noVBand="1"/>
      </w:tblPr>
      <w:tblGrid>
        <w:gridCol w:w="2521"/>
        <w:gridCol w:w="6085"/>
      </w:tblGrid>
      <w:tr w:rsidR="00180B19" w:rsidRPr="00180B19" w14:paraId="367D2C6F" w14:textId="77777777" w:rsidTr="00D33FDF">
        <w:trPr>
          <w:cantSplit/>
          <w:tblHeader w:val="0"/>
        </w:trPr>
        <w:tc>
          <w:tcPr>
            <w:tcW w:w="2463" w:type="dxa"/>
            <w:hideMark/>
          </w:tcPr>
          <w:p w14:paraId="367D2C6D" w14:textId="77777777" w:rsidR="00180B19" w:rsidRPr="004C4A3E" w:rsidRDefault="00180B19" w:rsidP="00D33FDF">
            <w:pPr>
              <w:pStyle w:val="TableTextColumnHeading"/>
            </w:pPr>
            <w:r w:rsidRPr="004C4A3E">
              <w:t>Most significant risks</w:t>
            </w:r>
          </w:p>
        </w:tc>
        <w:tc>
          <w:tcPr>
            <w:tcW w:w="6003" w:type="dxa"/>
          </w:tcPr>
          <w:p w14:paraId="367D2C6E" w14:textId="40A97500" w:rsidR="00180B19" w:rsidRPr="004C4A3E" w:rsidRDefault="00180B19" w:rsidP="00D33FDF">
            <w:pPr>
              <w:pStyle w:val="TableTextColumnHeading"/>
            </w:pPr>
            <w:r w:rsidRPr="004C4A3E">
              <w:t xml:space="preserve">Management </w:t>
            </w:r>
            <w:r w:rsidR="007E5E0E">
              <w:t>r</w:t>
            </w:r>
            <w:r w:rsidRPr="004C4A3E">
              <w:t xml:space="preserve">esponse </w:t>
            </w:r>
          </w:p>
        </w:tc>
      </w:tr>
      <w:tr w:rsidR="00795609" w:rsidRPr="00180B19" w14:paraId="367D2C72" w14:textId="77777777" w:rsidTr="00D33FDF">
        <w:trPr>
          <w:cantSplit/>
          <w:tblHeader w:val="0"/>
        </w:trPr>
        <w:tc>
          <w:tcPr>
            <w:tcW w:w="2463" w:type="dxa"/>
            <w:hideMark/>
          </w:tcPr>
          <w:p w14:paraId="367D2C70" w14:textId="0688769F" w:rsidR="00795609" w:rsidRPr="00D33FDF" w:rsidRDefault="00795609" w:rsidP="00D33FDF">
            <w:pPr>
              <w:pStyle w:val="TableTextEntries"/>
            </w:pPr>
            <w:r w:rsidRPr="00D33FDF">
              <w:t xml:space="preserve">Australian aid funds channelled through partner government systems are misused or misappropriated </w:t>
            </w:r>
          </w:p>
        </w:tc>
        <w:tc>
          <w:tcPr>
            <w:tcW w:w="6003" w:type="dxa"/>
            <w:vAlign w:val="center"/>
          </w:tcPr>
          <w:p w14:paraId="27DD19B7" w14:textId="519DB9DE" w:rsidR="00795609" w:rsidRPr="00481101" w:rsidRDefault="00F32E28" w:rsidP="00D33FDF">
            <w:pPr>
              <w:pStyle w:val="TableTextEntries"/>
            </w:pPr>
            <w:r>
              <w:t>The</w:t>
            </w:r>
            <w:r w:rsidR="002205B3" w:rsidRPr="00481101">
              <w:t xml:space="preserve"> </w:t>
            </w:r>
            <w:r w:rsidR="00795609" w:rsidRPr="00481101">
              <w:t xml:space="preserve">2011 Assessment of National Systems </w:t>
            </w:r>
            <w:r w:rsidR="00275101">
              <w:t xml:space="preserve">in partner countries </w:t>
            </w:r>
            <w:r w:rsidR="00795609" w:rsidRPr="00481101">
              <w:t xml:space="preserve">and sector </w:t>
            </w:r>
            <w:r w:rsidR="002D5B72">
              <w:t>assessments</w:t>
            </w:r>
            <w:r w:rsidR="00795609" w:rsidRPr="00481101">
              <w:t xml:space="preserve"> concluded that overall there is low to moderate risk associated with using government systems in Samoa. Identified risks are being managed at sector level and will be incorporated in</w:t>
            </w:r>
            <w:r w:rsidR="00275101">
              <w:t>to</w:t>
            </w:r>
            <w:r w:rsidR="00795609" w:rsidRPr="00481101">
              <w:t xml:space="preserve"> a program-wide framework during the 2013 Partnership Talks. </w:t>
            </w:r>
          </w:p>
          <w:p w14:paraId="367D2C71" w14:textId="06F42078" w:rsidR="00795609" w:rsidRPr="004C4A3E" w:rsidRDefault="00795609" w:rsidP="00D33FDF">
            <w:pPr>
              <w:pStyle w:val="TableTextEntries"/>
            </w:pPr>
            <w:r w:rsidRPr="00481101">
              <w:t>In 2013</w:t>
            </w:r>
            <w:r w:rsidR="00792787">
              <w:t>,</w:t>
            </w:r>
            <w:r w:rsidRPr="00481101">
              <w:t xml:space="preserve"> a</w:t>
            </w:r>
            <w:r w:rsidR="00275101">
              <w:t>n assessment of</w:t>
            </w:r>
            <w:r w:rsidRPr="00481101">
              <w:t xml:space="preserve"> </w:t>
            </w:r>
            <w:r>
              <w:t>national procurement systems</w:t>
            </w:r>
            <w:r w:rsidR="00275101">
              <w:t xml:space="preserve"> in Samoa</w:t>
            </w:r>
            <w:r>
              <w:t xml:space="preserve"> </w:t>
            </w:r>
            <w:r w:rsidRPr="00481101">
              <w:t xml:space="preserve">will be undertaken by the Ministry of Finance </w:t>
            </w:r>
            <w:r w:rsidR="00275101">
              <w:t>to</w:t>
            </w:r>
            <w:r w:rsidRPr="00481101">
              <w:t xml:space="preserve"> identify key procurement risks and priorities for reform</w:t>
            </w:r>
            <w:r w:rsidR="00120346">
              <w:t>.</w:t>
            </w:r>
            <w:r w:rsidR="00412611">
              <w:t xml:space="preserve"> </w:t>
            </w:r>
          </w:p>
        </w:tc>
      </w:tr>
      <w:tr w:rsidR="00795609" w:rsidRPr="00180B19" w14:paraId="367D2C75" w14:textId="77777777" w:rsidTr="00D33FDF">
        <w:trPr>
          <w:cantSplit/>
          <w:tblHeader w:val="0"/>
        </w:trPr>
        <w:tc>
          <w:tcPr>
            <w:tcW w:w="2463" w:type="dxa"/>
            <w:hideMark/>
          </w:tcPr>
          <w:p w14:paraId="367D2C73" w14:textId="72DE2B9F" w:rsidR="00795609" w:rsidRPr="00D33FDF" w:rsidRDefault="002D5B72" w:rsidP="00D33FDF">
            <w:pPr>
              <w:pStyle w:val="TableTextEntries"/>
            </w:pPr>
            <w:r w:rsidRPr="00D33FDF">
              <w:t>Cyclone Evan recovery programs are delayed</w:t>
            </w:r>
          </w:p>
        </w:tc>
        <w:tc>
          <w:tcPr>
            <w:tcW w:w="6003" w:type="dxa"/>
            <w:vAlign w:val="center"/>
          </w:tcPr>
          <w:p w14:paraId="367D2C74" w14:textId="64014E93" w:rsidR="00795609" w:rsidRPr="004C4A3E" w:rsidRDefault="00F32E28" w:rsidP="00F32E28">
            <w:pPr>
              <w:pStyle w:val="TableTextEntries"/>
            </w:pPr>
            <w:r>
              <w:t xml:space="preserve">DFAT </w:t>
            </w:r>
            <w:r w:rsidR="002D5B72">
              <w:t xml:space="preserve">is providing funding and technical assistance to </w:t>
            </w:r>
            <w:r w:rsidR="008C33CC">
              <w:t>Government of Samoa</w:t>
            </w:r>
            <w:r w:rsidR="002D5B72">
              <w:t xml:space="preserve"> recovery programs. Recovery progress will be monitored through the</w:t>
            </w:r>
            <w:r w:rsidR="00792787">
              <w:t xml:space="preserve"> government’s</w:t>
            </w:r>
            <w:r w:rsidR="002D5B72">
              <w:t xml:space="preserve"> Recovery Plan Committee, of which </w:t>
            </w:r>
            <w:r>
              <w:t xml:space="preserve">DFAT </w:t>
            </w:r>
            <w:r w:rsidR="002D5B72">
              <w:t>is a member</w:t>
            </w:r>
            <w:r w:rsidR="00A63C2F">
              <w:t xml:space="preserve">. </w:t>
            </w:r>
            <w:r w:rsidR="002D5B72">
              <w:t xml:space="preserve">Tranche payments of support are contingent on progress and integration of vulnerability and </w:t>
            </w:r>
            <w:r w:rsidR="00792787">
              <w:t>disaster risk recovery</w:t>
            </w:r>
            <w:r w:rsidR="002D5B72">
              <w:t xml:space="preserve"> principles. </w:t>
            </w:r>
          </w:p>
        </w:tc>
      </w:tr>
      <w:tr w:rsidR="002D5B72" w:rsidRPr="00180B19" w14:paraId="3F86EE3E" w14:textId="77777777" w:rsidTr="00D33FDF">
        <w:trPr>
          <w:cantSplit/>
          <w:tblHeader w:val="0"/>
        </w:trPr>
        <w:tc>
          <w:tcPr>
            <w:tcW w:w="2463" w:type="dxa"/>
          </w:tcPr>
          <w:p w14:paraId="4310E513" w14:textId="49E68FD6" w:rsidR="002D5B72" w:rsidRPr="00D33FDF" w:rsidRDefault="002D5B72" w:rsidP="00D33FDF">
            <w:pPr>
              <w:pStyle w:val="TableTextEntries"/>
            </w:pPr>
            <w:r w:rsidRPr="00D33FDF">
              <w:t>External shocks affect</w:t>
            </w:r>
            <w:r w:rsidR="00275101" w:rsidRPr="00D33FDF">
              <w:t>ing</w:t>
            </w:r>
            <w:r w:rsidRPr="00D33FDF">
              <w:t xml:space="preserve"> Samoa’s debt levels </w:t>
            </w:r>
            <w:r w:rsidR="002205B3" w:rsidRPr="00D33FDF">
              <w:t>have an</w:t>
            </w:r>
            <w:r w:rsidRPr="00D33FDF">
              <w:t xml:space="preserve"> impact on the program’s objectives</w:t>
            </w:r>
          </w:p>
        </w:tc>
        <w:tc>
          <w:tcPr>
            <w:tcW w:w="6003" w:type="dxa"/>
            <w:vAlign w:val="center"/>
          </w:tcPr>
          <w:p w14:paraId="7A30DC78" w14:textId="21305750" w:rsidR="002D5B72" w:rsidRPr="00D8719B" w:rsidRDefault="00F32E28" w:rsidP="00D33FDF">
            <w:pPr>
              <w:pStyle w:val="TableTextEntries"/>
            </w:pPr>
            <w:r>
              <w:t xml:space="preserve">DFAT </w:t>
            </w:r>
            <w:r w:rsidR="002D5B72">
              <w:t xml:space="preserve">staff work with </w:t>
            </w:r>
            <w:r w:rsidR="008C33CC">
              <w:t>Government of Samoa</w:t>
            </w:r>
            <w:r w:rsidR="002D5B72">
              <w:t xml:space="preserve"> officials and other development partners to closely monitor the impact of economic shocks and disasters to Samoa’s economy. Where required programs will be reorientated to address critical needs in the event of future shocks. </w:t>
            </w:r>
          </w:p>
        </w:tc>
      </w:tr>
      <w:tr w:rsidR="00795609" w:rsidRPr="00180B19" w14:paraId="367D2C78" w14:textId="77777777" w:rsidTr="00D33FDF">
        <w:trPr>
          <w:cantSplit/>
          <w:tblHeader w:val="0"/>
        </w:trPr>
        <w:tc>
          <w:tcPr>
            <w:tcW w:w="2463" w:type="dxa"/>
          </w:tcPr>
          <w:p w14:paraId="367D2C76" w14:textId="56925FD8" w:rsidR="00795609" w:rsidRPr="00D33FDF" w:rsidRDefault="00F32E28" w:rsidP="00D33FDF">
            <w:pPr>
              <w:pStyle w:val="TableTextEntries"/>
            </w:pPr>
            <w:r>
              <w:t>DFAT</w:t>
            </w:r>
            <w:r w:rsidR="00795609" w:rsidRPr="00D33FDF">
              <w:t xml:space="preserve">‘s Child Protection Policy is breached </w:t>
            </w:r>
          </w:p>
        </w:tc>
        <w:tc>
          <w:tcPr>
            <w:tcW w:w="6003" w:type="dxa"/>
            <w:vAlign w:val="center"/>
          </w:tcPr>
          <w:p w14:paraId="367D2C77" w14:textId="0A936C40" w:rsidR="00795609" w:rsidRPr="004C4A3E" w:rsidRDefault="00795609" w:rsidP="00F32E28">
            <w:pPr>
              <w:pStyle w:val="TableTextEntries"/>
            </w:pPr>
            <w:r w:rsidRPr="00D8719B">
              <w:t>In 2012</w:t>
            </w:r>
            <w:r w:rsidR="007E5E0E">
              <w:t>–</w:t>
            </w:r>
            <w:r w:rsidRPr="00D8719B">
              <w:t>13</w:t>
            </w:r>
            <w:r w:rsidR="00792787">
              <w:t>,</w:t>
            </w:r>
            <w:r w:rsidRPr="00D8719B">
              <w:t xml:space="preserve"> </w:t>
            </w:r>
            <w:r w:rsidR="00F32E28">
              <w:t xml:space="preserve">the Australian Government </w:t>
            </w:r>
            <w:r w:rsidRPr="00D8719B">
              <w:t xml:space="preserve">provided training and support to </w:t>
            </w:r>
            <w:r w:rsidR="008C33CC">
              <w:t>Government of Samoa</w:t>
            </w:r>
            <w:r w:rsidRPr="00D8719B">
              <w:t xml:space="preserve"> counterparts and other stakeholders to understand </w:t>
            </w:r>
            <w:r w:rsidR="00792787">
              <w:t xml:space="preserve">the </w:t>
            </w:r>
            <w:r w:rsidR="00BF3906">
              <w:t>department</w:t>
            </w:r>
            <w:r w:rsidR="00792787">
              <w:t xml:space="preserve">’s </w:t>
            </w:r>
            <w:r w:rsidRPr="00D8719B">
              <w:t xml:space="preserve">Child Protection Policy and to strengthen child protection systems in their organisations. </w:t>
            </w:r>
            <w:r w:rsidR="00F32E28">
              <w:t xml:space="preserve">DFAT </w:t>
            </w:r>
            <w:proofErr w:type="gramStart"/>
            <w:r w:rsidRPr="00D8719B">
              <w:t>staff</w:t>
            </w:r>
            <w:r w:rsidR="00A63C2F">
              <w:t xml:space="preserve"> </w:t>
            </w:r>
            <w:r w:rsidRPr="00D8719B">
              <w:t>are</w:t>
            </w:r>
            <w:proofErr w:type="gramEnd"/>
            <w:r w:rsidRPr="00D8719B">
              <w:t xml:space="preserve"> working collaboratively with all counterparts to monitor this risk. </w:t>
            </w:r>
          </w:p>
        </w:tc>
      </w:tr>
    </w:tbl>
    <w:p w14:paraId="367D2C82" w14:textId="77777777" w:rsidR="00522AB9" w:rsidRDefault="00522AB9" w:rsidP="002A1935">
      <w:pPr>
        <w:pStyle w:val="BodyText"/>
        <w:sectPr w:rsidR="00522AB9" w:rsidSect="00384536">
          <w:headerReference w:type="default" r:id="rId9"/>
          <w:footerReference w:type="default" r:id="rId10"/>
          <w:headerReference w:type="first" r:id="rId11"/>
          <w:footerReference w:type="first" r:id="rId12"/>
          <w:pgSz w:w="11906" w:h="16838" w:code="9"/>
          <w:pgMar w:top="2268" w:right="1701" w:bottom="907" w:left="1871" w:header="709" w:footer="454" w:gutter="0"/>
          <w:cols w:space="708"/>
          <w:titlePg/>
          <w:docGrid w:linePitch="360"/>
        </w:sectPr>
      </w:pPr>
    </w:p>
    <w:p w14:paraId="0929155C" w14:textId="77777777" w:rsidR="00086FA5" w:rsidRPr="00D33FDF" w:rsidRDefault="00086FA5" w:rsidP="00D33FDF">
      <w:pPr>
        <w:pStyle w:val="Heading1"/>
      </w:pPr>
      <w:r w:rsidRPr="00D33FDF">
        <w:t>Attachment A: Australian-funded regional programs in Samoa</w:t>
      </w:r>
    </w:p>
    <w:tbl>
      <w:tblPr>
        <w:tblStyle w:val="APPR"/>
        <w:tblW w:w="13935" w:type="dxa"/>
        <w:tblLayout w:type="fixed"/>
        <w:tblLook w:val="0000" w:firstRow="0" w:lastRow="0" w:firstColumn="0" w:lastColumn="0" w:noHBand="0" w:noVBand="0"/>
      </w:tblPr>
      <w:tblGrid>
        <w:gridCol w:w="2145"/>
        <w:gridCol w:w="1473"/>
        <w:gridCol w:w="1289"/>
        <w:gridCol w:w="4647"/>
        <w:gridCol w:w="4381"/>
      </w:tblGrid>
      <w:tr w:rsidR="00086FA5" w:rsidRPr="0020193C" w14:paraId="6D99E517" w14:textId="77777777" w:rsidTr="00D33FDF">
        <w:trPr>
          <w:cnfStyle w:val="000000010000" w:firstRow="0" w:lastRow="0" w:firstColumn="0" w:lastColumn="0" w:oddVBand="0" w:evenVBand="0" w:oddHBand="0" w:evenHBand="1" w:firstRowFirstColumn="0" w:firstRowLastColumn="0" w:lastRowFirstColumn="0" w:lastRowLastColumn="0"/>
          <w:cantSplit/>
        </w:trPr>
        <w:tc>
          <w:tcPr>
            <w:tcW w:w="2127" w:type="dxa"/>
          </w:tcPr>
          <w:p w14:paraId="08251E93" w14:textId="0F8FAC52" w:rsidR="00086FA5" w:rsidRPr="00D33FDF" w:rsidRDefault="00086FA5" w:rsidP="00D33FDF">
            <w:pPr>
              <w:pStyle w:val="TableTextColumnHeading"/>
            </w:pPr>
            <w:r w:rsidRPr="00D33FDF">
              <w:t xml:space="preserve">Program </w:t>
            </w:r>
            <w:r w:rsidR="007E5E0E" w:rsidRPr="00D33FDF">
              <w:t>n</w:t>
            </w:r>
            <w:r w:rsidRPr="00D33FDF">
              <w:t>ame</w:t>
            </w:r>
          </w:p>
        </w:tc>
        <w:tc>
          <w:tcPr>
            <w:tcW w:w="1461" w:type="dxa"/>
          </w:tcPr>
          <w:p w14:paraId="1312B111" w14:textId="78520F68" w:rsidR="00086FA5" w:rsidRPr="00D33FDF" w:rsidRDefault="00086FA5" w:rsidP="00BF3906">
            <w:pPr>
              <w:pStyle w:val="TableTextColumnHeading"/>
            </w:pPr>
            <w:r w:rsidRPr="00D33FDF">
              <w:t xml:space="preserve">Managing </w:t>
            </w:r>
            <w:r w:rsidR="00BF3906">
              <w:t>entity</w:t>
            </w:r>
          </w:p>
        </w:tc>
        <w:tc>
          <w:tcPr>
            <w:tcW w:w="1275" w:type="dxa"/>
          </w:tcPr>
          <w:p w14:paraId="4F1F8D7A" w14:textId="343C7642" w:rsidR="00086FA5" w:rsidRPr="00D33FDF" w:rsidRDefault="00086FA5" w:rsidP="00D33FDF">
            <w:pPr>
              <w:pStyle w:val="TableTextColumnHeading"/>
            </w:pPr>
            <w:r w:rsidRPr="00D33FDF">
              <w:t>Aust</w:t>
            </w:r>
            <w:r w:rsidR="008217CD" w:rsidRPr="00D33FDF">
              <w:t>ralian</w:t>
            </w:r>
            <w:r w:rsidR="00E53359">
              <w:t xml:space="preserve"> </w:t>
            </w:r>
            <w:r w:rsidR="007E5E0E" w:rsidRPr="00D33FDF">
              <w:t>c</w:t>
            </w:r>
            <w:r w:rsidRPr="00D33FDF">
              <w:t>ontribution</w:t>
            </w:r>
            <w:r w:rsidR="008217CD" w:rsidRPr="00D33FDF">
              <w:t xml:space="preserve"> and period</w:t>
            </w:r>
            <w:r w:rsidR="00FE3ABF" w:rsidRPr="00D33FDF">
              <w:rPr>
                <w:rStyle w:val="FootnoteReference"/>
                <w:rFonts w:ascii="Franklin Gothic Medium" w:hAnsi="Franklin Gothic Medium"/>
                <w:position w:val="0"/>
                <w:sz w:val="17"/>
                <w:szCs w:val="17"/>
              </w:rPr>
              <w:footnoteReference w:id="79"/>
            </w:r>
            <w:r w:rsidRPr="00D33FDF">
              <w:t xml:space="preserve"> </w:t>
            </w:r>
          </w:p>
        </w:tc>
        <w:tc>
          <w:tcPr>
            <w:tcW w:w="4678" w:type="dxa"/>
          </w:tcPr>
          <w:p w14:paraId="088352EC" w14:textId="77777777" w:rsidR="00086FA5" w:rsidRPr="00D33FDF" w:rsidRDefault="00086FA5" w:rsidP="00D33FDF">
            <w:pPr>
              <w:pStyle w:val="TableTextColumnHeading"/>
            </w:pPr>
            <w:r w:rsidRPr="00D33FDF">
              <w:t>Description</w:t>
            </w:r>
          </w:p>
        </w:tc>
        <w:tc>
          <w:tcPr>
            <w:tcW w:w="4394" w:type="dxa"/>
          </w:tcPr>
          <w:p w14:paraId="3110D3CB" w14:textId="710A4A3D" w:rsidR="00086FA5" w:rsidRPr="00D33FDF" w:rsidRDefault="00086FA5" w:rsidP="00D33FDF">
            <w:pPr>
              <w:pStyle w:val="TableTextColumnHeading"/>
            </w:pPr>
            <w:r w:rsidRPr="00D33FDF">
              <w:t>Activities</w:t>
            </w:r>
            <w:r w:rsidR="008217CD" w:rsidRPr="00D33FDF">
              <w:t xml:space="preserve"> and</w:t>
            </w:r>
            <w:r w:rsidR="00A63C2F" w:rsidRPr="00D33FDF">
              <w:t xml:space="preserve"> </w:t>
            </w:r>
            <w:r w:rsidR="007E5E0E" w:rsidRPr="00D33FDF">
              <w:t>a</w:t>
            </w:r>
            <w:r w:rsidRPr="00D33FDF">
              <w:t>chievements in Samoa in 2012</w:t>
            </w:r>
            <w:r w:rsidR="00A63C2F" w:rsidRPr="00D33FDF">
              <w:t>–</w:t>
            </w:r>
            <w:r w:rsidRPr="00D33FDF">
              <w:t>13</w:t>
            </w:r>
          </w:p>
        </w:tc>
      </w:tr>
      <w:tr w:rsidR="00086FA5" w:rsidRPr="0020193C" w14:paraId="65C2AFBB" w14:textId="77777777" w:rsidTr="00D33FDF">
        <w:trPr>
          <w:cantSplit/>
          <w:tblHeader w:val="0"/>
        </w:trPr>
        <w:tc>
          <w:tcPr>
            <w:tcW w:w="13935" w:type="dxa"/>
            <w:gridSpan w:val="5"/>
          </w:tcPr>
          <w:p w14:paraId="43F69519" w14:textId="77777777" w:rsidR="00086FA5" w:rsidRPr="0020193C" w:rsidRDefault="00086FA5" w:rsidP="00D33FDF">
            <w:pPr>
              <w:pStyle w:val="TableHeading2"/>
            </w:pPr>
            <w:r w:rsidRPr="0020193C">
              <w:t>Education</w:t>
            </w:r>
          </w:p>
        </w:tc>
      </w:tr>
      <w:tr w:rsidR="00086FA5" w:rsidRPr="004D4305" w14:paraId="344E07CE"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78DC75FE" w14:textId="77777777" w:rsidR="00086FA5" w:rsidRPr="00D33FDF" w:rsidRDefault="00086FA5" w:rsidP="00D33FDF">
            <w:pPr>
              <w:pStyle w:val="TableTextEntries"/>
            </w:pPr>
            <w:r w:rsidRPr="00D33FDF">
              <w:t>Australia-Pacific Technical College</w:t>
            </w:r>
          </w:p>
          <w:p w14:paraId="3CA7820B" w14:textId="77777777" w:rsidR="00086FA5" w:rsidRPr="00D33FDF" w:rsidRDefault="00086FA5" w:rsidP="00D33FDF">
            <w:pPr>
              <w:pStyle w:val="TableTextEntries"/>
            </w:pPr>
          </w:p>
        </w:tc>
        <w:tc>
          <w:tcPr>
            <w:tcW w:w="1461" w:type="dxa"/>
          </w:tcPr>
          <w:p w14:paraId="0134A1B6" w14:textId="7A76926A" w:rsidR="00086FA5" w:rsidRPr="00D33FDF" w:rsidRDefault="00086FA5" w:rsidP="00D33FDF">
            <w:pPr>
              <w:pStyle w:val="TableTextEntries"/>
            </w:pPr>
            <w:r w:rsidRPr="00D33FDF">
              <w:t>Aust</w:t>
            </w:r>
            <w:r w:rsidR="00792787" w:rsidRPr="00D33FDF">
              <w:t>ralian m</w:t>
            </w:r>
            <w:r w:rsidRPr="00D33FDF">
              <w:t xml:space="preserve">anaging </w:t>
            </w:r>
            <w:r w:rsidR="00792787" w:rsidRPr="00D33FDF">
              <w:t>c</w:t>
            </w:r>
            <w:r w:rsidRPr="00D33FDF">
              <w:t>ontractor</w:t>
            </w:r>
          </w:p>
        </w:tc>
        <w:tc>
          <w:tcPr>
            <w:tcW w:w="1275" w:type="dxa"/>
          </w:tcPr>
          <w:p w14:paraId="5B2C820E" w14:textId="31DBEDAF" w:rsidR="00086FA5" w:rsidRPr="00D33FDF" w:rsidRDefault="00086FA5" w:rsidP="00D33FDF">
            <w:pPr>
              <w:pStyle w:val="TableTextEntries"/>
            </w:pPr>
            <w:r w:rsidRPr="00D33FDF">
              <w:t>$152 million 2011</w:t>
            </w:r>
            <w:r w:rsidR="007E5E0E" w:rsidRPr="00D33FDF">
              <w:t>–</w:t>
            </w:r>
            <w:r w:rsidRPr="00D33FDF">
              <w:t>15</w:t>
            </w:r>
          </w:p>
        </w:tc>
        <w:tc>
          <w:tcPr>
            <w:tcW w:w="4678" w:type="dxa"/>
          </w:tcPr>
          <w:p w14:paraId="5586431B" w14:textId="5D3A321B" w:rsidR="00086FA5" w:rsidRPr="00D33FDF" w:rsidRDefault="00086FA5" w:rsidP="00D33FDF">
            <w:pPr>
              <w:pStyle w:val="TableTextEntries"/>
            </w:pPr>
            <w:r w:rsidRPr="00D33FDF">
              <w:t xml:space="preserve">In-country training for Pacific </w:t>
            </w:r>
            <w:proofErr w:type="gramStart"/>
            <w:r w:rsidR="007F1E41" w:rsidRPr="00D33FDF">
              <w:t>i</w:t>
            </w:r>
            <w:r w:rsidRPr="00D33FDF">
              <w:t>slanders</w:t>
            </w:r>
            <w:proofErr w:type="gramEnd"/>
            <w:r w:rsidR="007F1E41" w:rsidRPr="00D33FDF">
              <w:t xml:space="preserve"> in-country</w:t>
            </w:r>
            <w:r w:rsidRPr="00D33FDF">
              <w:t xml:space="preserve"> in Australian technical qualifications</w:t>
            </w:r>
            <w:r w:rsidR="00792787" w:rsidRPr="00D33FDF">
              <w:t>.</w:t>
            </w:r>
          </w:p>
        </w:tc>
        <w:tc>
          <w:tcPr>
            <w:tcW w:w="4394" w:type="dxa"/>
          </w:tcPr>
          <w:p w14:paraId="1AC936F5" w14:textId="4A0ECDA3" w:rsidR="00086FA5" w:rsidRPr="00D33FDF" w:rsidRDefault="00086FA5" w:rsidP="00D33FDF">
            <w:pPr>
              <w:pStyle w:val="TableTextEntries"/>
            </w:pPr>
            <w:r w:rsidRPr="00D33FDF">
              <w:t xml:space="preserve">Since 2007, </w:t>
            </w:r>
            <w:r w:rsidR="008C1F01" w:rsidRPr="00D33FDF">
              <w:t>557</w:t>
            </w:r>
            <w:r w:rsidRPr="00D33FDF">
              <w:t xml:space="preserve"> Samoans have graduated from the </w:t>
            </w:r>
            <w:r w:rsidR="001D4545" w:rsidRPr="00D33FDF">
              <w:t>college</w:t>
            </w:r>
            <w:r w:rsidRPr="00D33FDF">
              <w:t>. In 201</w:t>
            </w:r>
            <w:r w:rsidR="008C1F01" w:rsidRPr="00D33FDF">
              <w:t>2</w:t>
            </w:r>
            <w:r w:rsidRPr="00D33FDF">
              <w:t xml:space="preserve">, </w:t>
            </w:r>
            <w:r w:rsidR="008C1F01" w:rsidRPr="00D33FDF">
              <w:t>64</w:t>
            </w:r>
            <w:r w:rsidRPr="00D33FDF">
              <w:t xml:space="preserve"> Samoans graduated.</w:t>
            </w:r>
          </w:p>
        </w:tc>
      </w:tr>
      <w:tr w:rsidR="00086FA5" w:rsidRPr="004D4305" w14:paraId="4687CA9C" w14:textId="77777777" w:rsidTr="00D33FDF">
        <w:trPr>
          <w:cantSplit/>
          <w:tblHeader w:val="0"/>
        </w:trPr>
        <w:tc>
          <w:tcPr>
            <w:tcW w:w="2127" w:type="dxa"/>
          </w:tcPr>
          <w:p w14:paraId="308E4985" w14:textId="77777777" w:rsidR="00086FA5" w:rsidRPr="00D33FDF" w:rsidRDefault="00086FA5" w:rsidP="00D33FDF">
            <w:pPr>
              <w:pStyle w:val="TableTextEntries"/>
            </w:pPr>
            <w:r w:rsidRPr="00D33FDF">
              <w:t>University of the South Pacific Partnership</w:t>
            </w:r>
          </w:p>
        </w:tc>
        <w:tc>
          <w:tcPr>
            <w:tcW w:w="1461" w:type="dxa"/>
          </w:tcPr>
          <w:p w14:paraId="5DA74B6E" w14:textId="2908B915" w:rsidR="00086FA5" w:rsidRPr="00D33FDF" w:rsidRDefault="00086FA5" w:rsidP="00D33FDF">
            <w:pPr>
              <w:pStyle w:val="TableTextEntries"/>
            </w:pPr>
            <w:r w:rsidRPr="00D33FDF">
              <w:t>U</w:t>
            </w:r>
            <w:r w:rsidR="00792787" w:rsidRPr="00D33FDF">
              <w:t>niversity of the South Pacific</w:t>
            </w:r>
          </w:p>
        </w:tc>
        <w:tc>
          <w:tcPr>
            <w:tcW w:w="1275" w:type="dxa"/>
          </w:tcPr>
          <w:p w14:paraId="7605AC2D" w14:textId="7FCEF83A" w:rsidR="00086FA5" w:rsidRPr="00D33FDF" w:rsidRDefault="00086FA5" w:rsidP="00D33FDF">
            <w:pPr>
              <w:pStyle w:val="TableTextEntries"/>
            </w:pPr>
            <w:r w:rsidRPr="00D33FDF">
              <w:t>$7.5 million</w:t>
            </w:r>
            <w:r w:rsidR="00E53359">
              <w:t xml:space="preserve"> </w:t>
            </w:r>
            <w:r w:rsidRPr="00D33FDF">
              <w:t>2012</w:t>
            </w:r>
            <w:r w:rsidR="007E5E0E" w:rsidRPr="00D33FDF">
              <w:t>–</w:t>
            </w:r>
            <w:r w:rsidRPr="00D33FDF">
              <w:t>13</w:t>
            </w:r>
          </w:p>
        </w:tc>
        <w:tc>
          <w:tcPr>
            <w:tcW w:w="4678" w:type="dxa"/>
          </w:tcPr>
          <w:p w14:paraId="52AB25CB" w14:textId="5A4463AD" w:rsidR="00086FA5" w:rsidRPr="00D33FDF" w:rsidRDefault="009D24A4" w:rsidP="00D33FDF">
            <w:pPr>
              <w:pStyle w:val="TableTextEntries"/>
            </w:pPr>
            <w:r w:rsidRPr="00D33FDF">
              <w:t>Provides</w:t>
            </w:r>
            <w:r w:rsidR="00086FA5" w:rsidRPr="00D33FDF">
              <w:t xml:space="preserve"> opportunit</w:t>
            </w:r>
            <w:r w:rsidRPr="00D33FDF">
              <w:t>ies</w:t>
            </w:r>
            <w:r w:rsidR="00086FA5" w:rsidRPr="00D33FDF">
              <w:t xml:space="preserve"> in the Pacific for quality</w:t>
            </w:r>
            <w:r w:rsidR="00792787" w:rsidRPr="00D33FDF">
              <w:t>,</w:t>
            </w:r>
            <w:r w:rsidR="00086FA5" w:rsidRPr="00D33FDF">
              <w:t xml:space="preserve"> internationally-recogni</w:t>
            </w:r>
            <w:r w:rsidR="008217CD" w:rsidRPr="00D33FDF">
              <w:t>s</w:t>
            </w:r>
            <w:r w:rsidR="00086FA5" w:rsidRPr="00D33FDF">
              <w:t>ed higher education with graduates contributing to the development of the region</w:t>
            </w:r>
            <w:r w:rsidR="007737ED" w:rsidRPr="00D33FDF">
              <w:t>.</w:t>
            </w:r>
            <w:r w:rsidR="00E53359">
              <w:t xml:space="preserve"> </w:t>
            </w:r>
          </w:p>
        </w:tc>
        <w:tc>
          <w:tcPr>
            <w:tcW w:w="4394" w:type="dxa"/>
          </w:tcPr>
          <w:p w14:paraId="0AD5C8DF" w14:textId="0B925CFD" w:rsidR="00086FA5" w:rsidRPr="00D33FDF" w:rsidRDefault="00CC12D1" w:rsidP="00D33FDF">
            <w:pPr>
              <w:pStyle w:val="TableTextEntries"/>
            </w:pPr>
            <w:r w:rsidRPr="00D33FDF">
              <w:t>Ninety</w:t>
            </w:r>
            <w:r w:rsidR="00086FA5" w:rsidRPr="00D33FDF">
              <w:t xml:space="preserve"> Samoans graduated from the University of the South Pacific</w:t>
            </w:r>
            <w:r w:rsidR="00792787" w:rsidRPr="00D33FDF">
              <w:t>.</w:t>
            </w:r>
          </w:p>
        </w:tc>
      </w:tr>
      <w:tr w:rsidR="00086FA5" w:rsidRPr="004D4305" w14:paraId="0CC702B1"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627493F8" w14:textId="77777777" w:rsidR="00086FA5" w:rsidRPr="00D33FDF" w:rsidRDefault="00086FA5" w:rsidP="00D33FDF">
            <w:pPr>
              <w:pStyle w:val="TableTextEntries"/>
            </w:pPr>
            <w:r w:rsidRPr="00D33FDF">
              <w:t>International Seminar Support Scheme</w:t>
            </w:r>
          </w:p>
        </w:tc>
        <w:tc>
          <w:tcPr>
            <w:tcW w:w="1461" w:type="dxa"/>
          </w:tcPr>
          <w:p w14:paraId="2D5D6E02" w14:textId="7F25F294" w:rsidR="00086FA5" w:rsidRPr="00D33FDF" w:rsidRDefault="00F32E28" w:rsidP="00D33FDF">
            <w:pPr>
              <w:pStyle w:val="TableTextEntries"/>
            </w:pPr>
            <w:r>
              <w:t>The Australian Government</w:t>
            </w:r>
          </w:p>
        </w:tc>
        <w:tc>
          <w:tcPr>
            <w:tcW w:w="1275" w:type="dxa"/>
          </w:tcPr>
          <w:p w14:paraId="7451FF31" w14:textId="237A1275" w:rsidR="00086FA5" w:rsidRPr="00D33FDF" w:rsidRDefault="00086FA5" w:rsidP="00D33FDF">
            <w:pPr>
              <w:pStyle w:val="TableTextEntries"/>
            </w:pPr>
            <w:r w:rsidRPr="00D33FDF">
              <w:t>$5.2 million 2009</w:t>
            </w:r>
            <w:r w:rsidR="007E5E0E" w:rsidRPr="00D33FDF">
              <w:t>–</w:t>
            </w:r>
            <w:r w:rsidRPr="00D33FDF">
              <w:t>12</w:t>
            </w:r>
          </w:p>
        </w:tc>
        <w:tc>
          <w:tcPr>
            <w:tcW w:w="4678" w:type="dxa"/>
          </w:tcPr>
          <w:p w14:paraId="08B7EB0C" w14:textId="4C82FB1C" w:rsidR="00086FA5" w:rsidRPr="00D33FDF" w:rsidRDefault="009D24A4" w:rsidP="00D33FDF">
            <w:pPr>
              <w:pStyle w:val="TableTextEntries"/>
            </w:pPr>
            <w:r w:rsidRPr="00D33FDF">
              <w:t>F</w:t>
            </w:r>
            <w:r w:rsidR="00086FA5" w:rsidRPr="00D33FDF">
              <w:t>unds the attendance of partner country nationals to attend international development-oriented seminars in Australia and overseas</w:t>
            </w:r>
            <w:r w:rsidR="00792787" w:rsidRPr="00D33FDF">
              <w:t>.</w:t>
            </w:r>
          </w:p>
        </w:tc>
        <w:tc>
          <w:tcPr>
            <w:tcW w:w="4394" w:type="dxa"/>
          </w:tcPr>
          <w:p w14:paraId="12C0E2BC" w14:textId="57E85157" w:rsidR="00086FA5" w:rsidRPr="00D33FDF" w:rsidRDefault="00FE3ABF" w:rsidP="00D33FDF">
            <w:pPr>
              <w:pStyle w:val="TableTextEntries"/>
            </w:pPr>
            <w:r w:rsidRPr="00D33FDF">
              <w:t>Not provided.</w:t>
            </w:r>
          </w:p>
        </w:tc>
      </w:tr>
      <w:tr w:rsidR="00086FA5" w:rsidRPr="004D4305" w14:paraId="3FEB1053" w14:textId="77777777" w:rsidTr="00D33FDF">
        <w:trPr>
          <w:cantSplit/>
          <w:tblHeader w:val="0"/>
        </w:trPr>
        <w:tc>
          <w:tcPr>
            <w:tcW w:w="13935" w:type="dxa"/>
            <w:gridSpan w:val="5"/>
          </w:tcPr>
          <w:p w14:paraId="49BF0336" w14:textId="77777777" w:rsidR="00086FA5" w:rsidRPr="004D4305" w:rsidRDefault="00086FA5" w:rsidP="00D33FDF">
            <w:pPr>
              <w:pStyle w:val="TableHeading2"/>
            </w:pPr>
            <w:r w:rsidRPr="004D4305">
              <w:t>Health</w:t>
            </w:r>
          </w:p>
        </w:tc>
      </w:tr>
      <w:tr w:rsidR="00086FA5" w:rsidRPr="004D4305" w14:paraId="64345F39"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37DE1499" w14:textId="78B02D08" w:rsidR="00086FA5" w:rsidRPr="00D33FDF" w:rsidRDefault="00086FA5" w:rsidP="00D33FDF">
            <w:pPr>
              <w:pStyle w:val="TableTextEntries"/>
            </w:pPr>
            <w:r w:rsidRPr="00D33FDF">
              <w:t>Pacific Islands Program</w:t>
            </w:r>
          </w:p>
        </w:tc>
        <w:tc>
          <w:tcPr>
            <w:tcW w:w="1461" w:type="dxa"/>
          </w:tcPr>
          <w:p w14:paraId="5DC90041" w14:textId="77777777" w:rsidR="00086FA5" w:rsidRPr="00D33FDF" w:rsidRDefault="00086FA5" w:rsidP="00D33FDF">
            <w:pPr>
              <w:pStyle w:val="TableTextEntries"/>
            </w:pPr>
            <w:r w:rsidRPr="00D33FDF">
              <w:t>Royal Australian College of Surgeons</w:t>
            </w:r>
          </w:p>
        </w:tc>
        <w:tc>
          <w:tcPr>
            <w:tcW w:w="1275" w:type="dxa"/>
          </w:tcPr>
          <w:p w14:paraId="031BB32E" w14:textId="1D22DCFC" w:rsidR="00086FA5" w:rsidRPr="00D33FDF" w:rsidRDefault="00086FA5" w:rsidP="00D33FDF">
            <w:pPr>
              <w:pStyle w:val="TableTextEntries"/>
            </w:pPr>
            <w:r w:rsidRPr="00D33FDF">
              <w:t>$2.5 million 2011</w:t>
            </w:r>
            <w:r w:rsidR="007E5E0E" w:rsidRPr="00D33FDF">
              <w:t>–</w:t>
            </w:r>
            <w:r w:rsidRPr="00D33FDF">
              <w:t>12</w:t>
            </w:r>
          </w:p>
          <w:p w14:paraId="58B59EF6" w14:textId="77777777" w:rsidR="00086FA5" w:rsidRPr="00D33FDF" w:rsidRDefault="00086FA5" w:rsidP="00D33FDF">
            <w:pPr>
              <w:pStyle w:val="TableTextEntries"/>
            </w:pPr>
          </w:p>
        </w:tc>
        <w:tc>
          <w:tcPr>
            <w:tcW w:w="4678" w:type="dxa"/>
          </w:tcPr>
          <w:p w14:paraId="4AA02680" w14:textId="3E024A62" w:rsidR="00086FA5" w:rsidRPr="00D33FDF" w:rsidRDefault="00086FA5" w:rsidP="00D33FDF">
            <w:pPr>
              <w:pStyle w:val="TableTextEntries"/>
            </w:pPr>
            <w:r w:rsidRPr="00D33FDF">
              <w:t>Visit</w:t>
            </w:r>
            <w:r w:rsidR="007F1E41" w:rsidRPr="00D33FDF">
              <w:t>s by</w:t>
            </w:r>
            <w:r w:rsidRPr="00D33FDF">
              <w:t xml:space="preserve"> teams of health specialists undertake short</w:t>
            </w:r>
            <w:r w:rsidR="00792787" w:rsidRPr="00D33FDF">
              <w:t>-</w:t>
            </w:r>
            <w:r w:rsidRPr="00D33FDF">
              <w:t xml:space="preserve">term medical missions to Pacific Islands. </w:t>
            </w:r>
          </w:p>
        </w:tc>
        <w:tc>
          <w:tcPr>
            <w:tcW w:w="4394" w:type="dxa"/>
          </w:tcPr>
          <w:p w14:paraId="7CF1D2E4" w14:textId="1F2233E6" w:rsidR="00086FA5" w:rsidRPr="00D33FDF" w:rsidRDefault="006F6A20" w:rsidP="00D33FDF">
            <w:pPr>
              <w:pStyle w:val="TableTextEntries"/>
            </w:pPr>
            <w:r w:rsidRPr="00D33FDF">
              <w:t>In 2012</w:t>
            </w:r>
            <w:r w:rsidR="007E5E0E" w:rsidRPr="00D33FDF">
              <w:t>–</w:t>
            </w:r>
            <w:r w:rsidRPr="00D33FDF">
              <w:t xml:space="preserve">13, volunteer medical teams provided orthopaedics, </w:t>
            </w:r>
            <w:r w:rsidR="009D24A4" w:rsidRPr="00D33FDF">
              <w:t>ear nose and throat</w:t>
            </w:r>
            <w:r w:rsidRPr="00D33FDF">
              <w:t xml:space="preserve"> and plastic surgery to Samoan patients. The teams conducted 151 operations and </w:t>
            </w:r>
            <w:r w:rsidR="00792787" w:rsidRPr="00D33FDF">
              <w:t xml:space="preserve">more than </w:t>
            </w:r>
            <w:r w:rsidRPr="00D33FDF">
              <w:t>512 consultations.</w:t>
            </w:r>
          </w:p>
        </w:tc>
      </w:tr>
      <w:tr w:rsidR="00086FA5" w:rsidRPr="004D4305" w14:paraId="589A8914" w14:textId="77777777" w:rsidTr="00D33FDF">
        <w:trPr>
          <w:cantSplit/>
          <w:tblHeader w:val="0"/>
        </w:trPr>
        <w:tc>
          <w:tcPr>
            <w:tcW w:w="2127" w:type="dxa"/>
          </w:tcPr>
          <w:p w14:paraId="48360B36" w14:textId="12091831" w:rsidR="00086FA5" w:rsidRPr="00D33FDF" w:rsidRDefault="00086FA5" w:rsidP="00D33FDF">
            <w:pPr>
              <w:pStyle w:val="TableTextEntries"/>
            </w:pPr>
            <w:r w:rsidRPr="00D33FDF">
              <w:t xml:space="preserve">Australian Sports Outreach </w:t>
            </w:r>
            <w:r w:rsidR="0020193C" w:rsidRPr="00D33FDF">
              <w:t>P</w:t>
            </w:r>
            <w:r w:rsidRPr="00D33FDF">
              <w:t>rogram</w:t>
            </w:r>
          </w:p>
        </w:tc>
        <w:tc>
          <w:tcPr>
            <w:tcW w:w="1461" w:type="dxa"/>
          </w:tcPr>
          <w:p w14:paraId="5C58F9F8" w14:textId="77777777" w:rsidR="00086FA5" w:rsidRPr="00D33FDF" w:rsidRDefault="00086FA5" w:rsidP="00D33FDF">
            <w:pPr>
              <w:pStyle w:val="TableTextEntries"/>
            </w:pPr>
            <w:r w:rsidRPr="00D33FDF">
              <w:t>Australian Sports Commission</w:t>
            </w:r>
          </w:p>
        </w:tc>
        <w:tc>
          <w:tcPr>
            <w:tcW w:w="1275" w:type="dxa"/>
          </w:tcPr>
          <w:p w14:paraId="5C7A99C0" w14:textId="3E637CEB" w:rsidR="00086FA5" w:rsidRPr="00D33FDF" w:rsidRDefault="00086FA5" w:rsidP="00D33FDF">
            <w:pPr>
              <w:pStyle w:val="TableTextEntries"/>
            </w:pPr>
            <w:r w:rsidRPr="00D33FDF">
              <w:t>$1.32 million 2008</w:t>
            </w:r>
            <w:r w:rsidR="007E5E0E" w:rsidRPr="00D33FDF">
              <w:t>–</w:t>
            </w:r>
            <w:r w:rsidRPr="00D33FDF">
              <w:t>14</w:t>
            </w:r>
          </w:p>
        </w:tc>
        <w:tc>
          <w:tcPr>
            <w:tcW w:w="4678" w:type="dxa"/>
          </w:tcPr>
          <w:p w14:paraId="666941D9" w14:textId="01F1BE43" w:rsidR="00086FA5" w:rsidRPr="00D33FDF" w:rsidRDefault="00086FA5" w:rsidP="00D33FDF">
            <w:pPr>
              <w:pStyle w:val="TableTextEntries"/>
            </w:pPr>
            <w:r w:rsidRPr="00D33FDF">
              <w:t>Community</w:t>
            </w:r>
            <w:r w:rsidR="00792787" w:rsidRPr="00D33FDF">
              <w:t>-</w:t>
            </w:r>
            <w:r w:rsidRPr="00D33FDF">
              <w:t>level sports programs aimed at promoting healthy lifestyles</w:t>
            </w:r>
            <w:r w:rsidR="00792787" w:rsidRPr="00D33FDF">
              <w:t>.</w:t>
            </w:r>
          </w:p>
        </w:tc>
        <w:tc>
          <w:tcPr>
            <w:tcW w:w="4394" w:type="dxa"/>
          </w:tcPr>
          <w:p w14:paraId="6F101FA2" w14:textId="2979D514" w:rsidR="00086FA5" w:rsidRPr="00D33FDF" w:rsidRDefault="00086FA5" w:rsidP="00D33FDF">
            <w:pPr>
              <w:pStyle w:val="TableTextEntries"/>
            </w:pPr>
            <w:r w:rsidRPr="00D33FDF">
              <w:t xml:space="preserve">Increased number of and participation in physical activities in rural Samoa; including engaging </w:t>
            </w:r>
            <w:r w:rsidR="00792787" w:rsidRPr="00D33FDF">
              <w:t xml:space="preserve">more than </w:t>
            </w:r>
            <w:r w:rsidRPr="00D33FDF">
              <w:t>2100 people in inter-village sport tournaments and introduc</w:t>
            </w:r>
            <w:r w:rsidR="00792787" w:rsidRPr="00D33FDF">
              <w:t>ing</w:t>
            </w:r>
            <w:r w:rsidRPr="00D33FDF">
              <w:t xml:space="preserve"> the first rural </w:t>
            </w:r>
            <w:r w:rsidR="00792787" w:rsidRPr="00D33FDF">
              <w:t>s</w:t>
            </w:r>
            <w:r w:rsidRPr="00D33FDF">
              <w:t>occer league.</w:t>
            </w:r>
          </w:p>
        </w:tc>
      </w:tr>
      <w:tr w:rsidR="00086FA5" w:rsidRPr="004D4305" w14:paraId="151AA77F"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3B89AE97" w14:textId="41F02859" w:rsidR="00086FA5" w:rsidRPr="00D33FDF" w:rsidRDefault="00086FA5" w:rsidP="00D33FDF">
            <w:pPr>
              <w:pStyle w:val="TableTextEntries"/>
            </w:pPr>
            <w:r w:rsidRPr="00D33FDF">
              <w:t>Australian Sports Outreach Program</w:t>
            </w:r>
            <w:r w:rsidR="00792787" w:rsidRPr="00D33FDF">
              <w:t>—</w:t>
            </w:r>
            <w:r w:rsidRPr="00D33FDF">
              <w:t>Pacific Sport Partnerships</w:t>
            </w:r>
          </w:p>
        </w:tc>
        <w:tc>
          <w:tcPr>
            <w:tcW w:w="1461" w:type="dxa"/>
          </w:tcPr>
          <w:p w14:paraId="2BFBA708" w14:textId="77777777" w:rsidR="00086FA5" w:rsidRPr="00D33FDF" w:rsidRDefault="00086FA5" w:rsidP="00D33FDF">
            <w:pPr>
              <w:pStyle w:val="TableTextEntries"/>
            </w:pPr>
            <w:r w:rsidRPr="00D33FDF">
              <w:t>Australian Sports Commission</w:t>
            </w:r>
          </w:p>
        </w:tc>
        <w:tc>
          <w:tcPr>
            <w:tcW w:w="1275" w:type="dxa"/>
          </w:tcPr>
          <w:p w14:paraId="70439F04" w14:textId="3548AE22" w:rsidR="00086FA5" w:rsidRPr="00D33FDF" w:rsidRDefault="00086FA5" w:rsidP="00D33FDF">
            <w:pPr>
              <w:pStyle w:val="TableTextEntries"/>
            </w:pPr>
            <w:r w:rsidRPr="00D33FDF">
              <w:t>$1.1 million 2009</w:t>
            </w:r>
            <w:r w:rsidR="00207EF2" w:rsidRPr="00D33FDF">
              <w:t>–</w:t>
            </w:r>
            <w:r w:rsidRPr="00D33FDF">
              <w:t>14</w:t>
            </w:r>
          </w:p>
        </w:tc>
        <w:tc>
          <w:tcPr>
            <w:tcW w:w="4678" w:type="dxa"/>
          </w:tcPr>
          <w:p w14:paraId="6D3856BC" w14:textId="52CD394A" w:rsidR="00086FA5" w:rsidRPr="00D33FDF" w:rsidRDefault="007F1E41" w:rsidP="00D33FDF">
            <w:pPr>
              <w:pStyle w:val="TableTextEntries"/>
            </w:pPr>
            <w:r w:rsidRPr="00D33FDF">
              <w:t>P</w:t>
            </w:r>
            <w:r w:rsidR="00086FA5" w:rsidRPr="00D33FDF">
              <w:t xml:space="preserve">artnerships to develop the capacity of Samoan national sports organisations to plan, implement and monitor quality, inclusive mass-participation sports programs </w:t>
            </w:r>
            <w:r w:rsidR="00792787" w:rsidRPr="00D33FDF">
              <w:t xml:space="preserve">that </w:t>
            </w:r>
            <w:r w:rsidR="00086FA5" w:rsidRPr="00D33FDF">
              <w:t>promote healthy behaviours.</w:t>
            </w:r>
          </w:p>
        </w:tc>
        <w:tc>
          <w:tcPr>
            <w:tcW w:w="4394" w:type="dxa"/>
          </w:tcPr>
          <w:p w14:paraId="256454EC" w14:textId="66D76F2F" w:rsidR="00086FA5" w:rsidRPr="00D33FDF" w:rsidRDefault="007F1E41" w:rsidP="00D33FDF">
            <w:pPr>
              <w:pStyle w:val="TableTextEntries"/>
            </w:pPr>
            <w:r w:rsidRPr="00D33FDF">
              <w:t>S</w:t>
            </w:r>
            <w:r w:rsidR="00086FA5" w:rsidRPr="00D33FDF">
              <w:t>upported the Samoa Football Federation, Samoa Netball Association, Samoa International Cricket Association and Samoa Rugby Union.</w:t>
            </w:r>
          </w:p>
        </w:tc>
      </w:tr>
      <w:tr w:rsidR="00086FA5" w:rsidRPr="004D4305" w14:paraId="317CA035" w14:textId="77777777" w:rsidTr="00D33FDF">
        <w:trPr>
          <w:cantSplit/>
          <w:tblHeader w:val="0"/>
        </w:trPr>
        <w:tc>
          <w:tcPr>
            <w:tcW w:w="2127" w:type="dxa"/>
          </w:tcPr>
          <w:p w14:paraId="3A986ABC" w14:textId="77777777" w:rsidR="00086FA5" w:rsidRPr="00D33FDF" w:rsidRDefault="00086FA5" w:rsidP="00D33FDF">
            <w:pPr>
              <w:pStyle w:val="TableTextEntries"/>
            </w:pPr>
            <w:r w:rsidRPr="00D33FDF">
              <w:t>Pacific Sport Development Grants</w:t>
            </w:r>
          </w:p>
        </w:tc>
        <w:tc>
          <w:tcPr>
            <w:tcW w:w="1461" w:type="dxa"/>
          </w:tcPr>
          <w:p w14:paraId="04437F99" w14:textId="77777777" w:rsidR="00086FA5" w:rsidRPr="00D33FDF" w:rsidRDefault="00086FA5" w:rsidP="00D33FDF">
            <w:pPr>
              <w:pStyle w:val="TableTextEntries"/>
            </w:pPr>
            <w:r w:rsidRPr="00D33FDF">
              <w:t>Australian Sports Commission</w:t>
            </w:r>
          </w:p>
        </w:tc>
        <w:tc>
          <w:tcPr>
            <w:tcW w:w="1275" w:type="dxa"/>
          </w:tcPr>
          <w:p w14:paraId="2C82C722" w14:textId="097BB16A" w:rsidR="00086FA5" w:rsidRPr="00D33FDF" w:rsidRDefault="00086FA5" w:rsidP="00D33FDF">
            <w:pPr>
              <w:pStyle w:val="TableTextEntries"/>
            </w:pPr>
            <w:r w:rsidRPr="00D33FDF">
              <w:t>$110</w:t>
            </w:r>
            <w:r w:rsidR="00207EF2" w:rsidRPr="00D33FDF">
              <w:t xml:space="preserve"> </w:t>
            </w:r>
            <w:r w:rsidRPr="00D33FDF">
              <w:t>000 2007</w:t>
            </w:r>
            <w:r w:rsidR="00207EF2" w:rsidRPr="00D33FDF">
              <w:t>–</w:t>
            </w:r>
            <w:r w:rsidRPr="00D33FDF">
              <w:t>12</w:t>
            </w:r>
          </w:p>
        </w:tc>
        <w:tc>
          <w:tcPr>
            <w:tcW w:w="4678" w:type="dxa"/>
          </w:tcPr>
          <w:p w14:paraId="301E1FD2" w14:textId="69FC36C8" w:rsidR="00086FA5" w:rsidRPr="00D33FDF" w:rsidRDefault="007F1E41" w:rsidP="00D33FDF">
            <w:pPr>
              <w:pStyle w:val="TableTextEntries"/>
            </w:pPr>
            <w:r w:rsidRPr="00D33FDF">
              <w:t>Provide</w:t>
            </w:r>
            <w:r w:rsidR="009D24A4" w:rsidRPr="00D33FDF">
              <w:t>s</w:t>
            </w:r>
            <w:r w:rsidRPr="00D33FDF">
              <w:t xml:space="preserve"> g</w:t>
            </w:r>
            <w:r w:rsidR="00086FA5" w:rsidRPr="00D33FDF">
              <w:t>rants of up to $10000 to grassroots sporting organisations to deliver inclusive sports</w:t>
            </w:r>
            <w:r w:rsidR="00766E38" w:rsidRPr="00D33FDF">
              <w:t>-</w:t>
            </w:r>
            <w:r w:rsidR="00086FA5" w:rsidRPr="00D33FDF">
              <w:t>based programs that contribute to social development</w:t>
            </w:r>
            <w:r w:rsidR="00766E38" w:rsidRPr="00D33FDF">
              <w:t>.</w:t>
            </w:r>
          </w:p>
        </w:tc>
        <w:tc>
          <w:tcPr>
            <w:tcW w:w="4394" w:type="dxa"/>
          </w:tcPr>
          <w:p w14:paraId="0EB7852C" w14:textId="6040D534" w:rsidR="00086FA5" w:rsidRPr="00D33FDF" w:rsidRDefault="00086FA5" w:rsidP="00D33FDF">
            <w:pPr>
              <w:pStyle w:val="TableTextEntries"/>
            </w:pPr>
            <w:r w:rsidRPr="00D33FDF">
              <w:t xml:space="preserve">Funded a surf </w:t>
            </w:r>
            <w:r w:rsidR="006F6A20" w:rsidRPr="00D33FDF">
              <w:t>lifesaving</w:t>
            </w:r>
            <w:r w:rsidRPr="00D33FDF">
              <w:t xml:space="preserve"> program to increase local participation and support the sustainability of surf </w:t>
            </w:r>
            <w:r w:rsidR="006F6A20" w:rsidRPr="00D33FDF">
              <w:t>lifesaving</w:t>
            </w:r>
            <w:r w:rsidRPr="00D33FDF">
              <w:t xml:space="preserve"> in Samoa.</w:t>
            </w:r>
          </w:p>
        </w:tc>
      </w:tr>
      <w:tr w:rsidR="00086FA5" w:rsidRPr="004D4305" w14:paraId="1B79B77F"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151AE613" w14:textId="77777777" w:rsidR="00086FA5" w:rsidRPr="00D33FDF" w:rsidRDefault="00086FA5" w:rsidP="00D33FDF">
            <w:pPr>
              <w:pStyle w:val="TableTextEntries"/>
            </w:pPr>
            <w:r w:rsidRPr="00D33FDF">
              <w:t>Biomedical Equipment Maintenance Program</w:t>
            </w:r>
          </w:p>
        </w:tc>
        <w:tc>
          <w:tcPr>
            <w:tcW w:w="1461" w:type="dxa"/>
          </w:tcPr>
          <w:p w14:paraId="43F9320E" w14:textId="0D5C202B" w:rsidR="00086FA5" w:rsidRPr="00D33FDF" w:rsidRDefault="00086FA5" w:rsidP="00D33FDF">
            <w:pPr>
              <w:pStyle w:val="TableTextEntries"/>
            </w:pPr>
            <w:r w:rsidRPr="00D33FDF">
              <w:t>Aust</w:t>
            </w:r>
            <w:r w:rsidR="00766E38" w:rsidRPr="00D33FDF">
              <w:t>ralian m</w:t>
            </w:r>
            <w:r w:rsidRPr="00D33FDF">
              <w:t xml:space="preserve">anaging </w:t>
            </w:r>
            <w:r w:rsidR="00766E38" w:rsidRPr="00D33FDF">
              <w:t>c</w:t>
            </w:r>
            <w:r w:rsidRPr="00D33FDF">
              <w:t>ontractor</w:t>
            </w:r>
          </w:p>
        </w:tc>
        <w:tc>
          <w:tcPr>
            <w:tcW w:w="1275" w:type="dxa"/>
          </w:tcPr>
          <w:p w14:paraId="4A02240B" w14:textId="2BC2875F" w:rsidR="00086FA5" w:rsidRPr="00D33FDF" w:rsidRDefault="00086FA5" w:rsidP="00D33FDF">
            <w:pPr>
              <w:pStyle w:val="TableTextEntries"/>
            </w:pPr>
            <w:r w:rsidRPr="00D33FDF">
              <w:t>$4.2 million 2009</w:t>
            </w:r>
            <w:r w:rsidR="00207EF2" w:rsidRPr="00D33FDF">
              <w:t>–</w:t>
            </w:r>
            <w:r w:rsidRPr="00D33FDF">
              <w:t>14</w:t>
            </w:r>
          </w:p>
        </w:tc>
        <w:tc>
          <w:tcPr>
            <w:tcW w:w="4678" w:type="dxa"/>
          </w:tcPr>
          <w:p w14:paraId="4F2D957C" w14:textId="06CE1A11" w:rsidR="00086FA5" w:rsidRPr="00D33FDF" w:rsidRDefault="00086FA5" w:rsidP="00D33FDF">
            <w:pPr>
              <w:pStyle w:val="TableTextEntries"/>
            </w:pPr>
            <w:r w:rsidRPr="00D33FDF">
              <w:t>Provi</w:t>
            </w:r>
            <w:r w:rsidR="007F1E41" w:rsidRPr="00D33FDF">
              <w:t>de</w:t>
            </w:r>
            <w:r w:rsidR="009D24A4" w:rsidRPr="00D33FDF">
              <w:t>s</w:t>
            </w:r>
            <w:r w:rsidRPr="00D33FDF">
              <w:t xml:space="preserve"> regionally based </w:t>
            </w:r>
            <w:r w:rsidR="007F1E41" w:rsidRPr="00D33FDF">
              <w:t>b</w:t>
            </w:r>
            <w:r w:rsidRPr="00D33FDF">
              <w:t xml:space="preserve">iomedical </w:t>
            </w:r>
            <w:r w:rsidR="007F1E41" w:rsidRPr="00D33FDF">
              <w:t>e</w:t>
            </w:r>
            <w:r w:rsidRPr="00D33FDF">
              <w:t xml:space="preserve">quipment </w:t>
            </w:r>
            <w:r w:rsidR="007F1E41" w:rsidRPr="00D33FDF">
              <w:t>s</w:t>
            </w:r>
            <w:r w:rsidR="006F6A20" w:rsidRPr="00D33FDF">
              <w:t>pecialists</w:t>
            </w:r>
            <w:r w:rsidRPr="00D33FDF">
              <w:t xml:space="preserve"> to support national health services</w:t>
            </w:r>
            <w:r w:rsidR="00766E38" w:rsidRPr="00D33FDF">
              <w:t>.</w:t>
            </w:r>
          </w:p>
        </w:tc>
        <w:tc>
          <w:tcPr>
            <w:tcW w:w="4394" w:type="dxa"/>
          </w:tcPr>
          <w:p w14:paraId="22CC8792" w14:textId="1AE2DBC6" w:rsidR="00086FA5" w:rsidRPr="00D33FDF" w:rsidRDefault="00766E38" w:rsidP="00D33FDF">
            <w:pPr>
              <w:pStyle w:val="TableTextEntries"/>
            </w:pPr>
            <w:r w:rsidRPr="00D33FDF">
              <w:t>Deployed a</w:t>
            </w:r>
            <w:r w:rsidR="00BB28A4" w:rsidRPr="00D33FDF">
              <w:t xml:space="preserve"> biomedical engineer to assist manage the procurement and maintenance of equipment.</w:t>
            </w:r>
          </w:p>
        </w:tc>
      </w:tr>
      <w:tr w:rsidR="00086FA5" w:rsidRPr="004D4305" w14:paraId="3922B5BF" w14:textId="77777777" w:rsidTr="00D33FDF">
        <w:trPr>
          <w:cantSplit/>
          <w:tblHeader w:val="0"/>
        </w:trPr>
        <w:tc>
          <w:tcPr>
            <w:tcW w:w="2127" w:type="dxa"/>
          </w:tcPr>
          <w:p w14:paraId="2781333E" w14:textId="0C15EFE8" w:rsidR="00086FA5" w:rsidRPr="00D33FDF" w:rsidRDefault="00086FA5" w:rsidP="00D33FDF">
            <w:pPr>
              <w:pStyle w:val="TableTextEntries"/>
            </w:pPr>
            <w:r w:rsidRPr="00D33FDF">
              <w:t>Strengthening Clinical Services in the Pacific Initiative</w:t>
            </w:r>
          </w:p>
        </w:tc>
        <w:tc>
          <w:tcPr>
            <w:tcW w:w="1461" w:type="dxa"/>
          </w:tcPr>
          <w:p w14:paraId="22979C87" w14:textId="77777777" w:rsidR="00086FA5" w:rsidRPr="00D33FDF" w:rsidRDefault="00086FA5" w:rsidP="00D33FDF">
            <w:pPr>
              <w:pStyle w:val="TableTextEntries"/>
            </w:pPr>
            <w:r w:rsidRPr="00D33FDF">
              <w:t>Fiji School of Medicine</w:t>
            </w:r>
          </w:p>
        </w:tc>
        <w:tc>
          <w:tcPr>
            <w:tcW w:w="1275" w:type="dxa"/>
          </w:tcPr>
          <w:p w14:paraId="2D5CBA11" w14:textId="77777777" w:rsidR="00086FA5" w:rsidRPr="00D33FDF" w:rsidRDefault="00086FA5" w:rsidP="00D33FDF">
            <w:pPr>
              <w:pStyle w:val="TableTextEntries"/>
            </w:pPr>
            <w:r w:rsidRPr="00D33FDF">
              <w:t>$4.2 million</w:t>
            </w:r>
          </w:p>
          <w:p w14:paraId="595ADB8A" w14:textId="4F6F7CCF" w:rsidR="00086FA5" w:rsidRPr="00D33FDF" w:rsidRDefault="00086FA5" w:rsidP="00D33FDF">
            <w:pPr>
              <w:pStyle w:val="TableTextEntries"/>
            </w:pPr>
            <w:r w:rsidRPr="00D33FDF">
              <w:t>2007</w:t>
            </w:r>
            <w:r w:rsidR="00207EF2" w:rsidRPr="00D33FDF">
              <w:t>–</w:t>
            </w:r>
            <w:r w:rsidRPr="00D33FDF">
              <w:t>12</w:t>
            </w:r>
          </w:p>
          <w:p w14:paraId="0DA53446" w14:textId="77777777" w:rsidR="00086FA5" w:rsidRPr="00D33FDF" w:rsidRDefault="00086FA5" w:rsidP="00D33FDF">
            <w:pPr>
              <w:pStyle w:val="TableTextEntries"/>
            </w:pPr>
          </w:p>
        </w:tc>
        <w:tc>
          <w:tcPr>
            <w:tcW w:w="4678" w:type="dxa"/>
          </w:tcPr>
          <w:p w14:paraId="15D30D91" w14:textId="0552D37F" w:rsidR="00086FA5" w:rsidRPr="00D33FDF" w:rsidRDefault="00086FA5" w:rsidP="00D33FDF">
            <w:pPr>
              <w:pStyle w:val="TableTextEntries"/>
            </w:pPr>
            <w:r w:rsidRPr="00D33FDF">
              <w:t>Coordination mechanism based in</w:t>
            </w:r>
            <w:r w:rsidR="00766E38" w:rsidRPr="00D33FDF">
              <w:t xml:space="preserve"> the Fiji School of Medicine</w:t>
            </w:r>
            <w:r w:rsidRPr="00D33FDF">
              <w:t xml:space="preserve"> to improve ability of Ministries of Health to plan for, coordinate and monitor effectiveness of clinical visits (</w:t>
            </w:r>
            <w:r w:rsidR="00882172" w:rsidRPr="00D33FDF">
              <w:t>for example,</w:t>
            </w:r>
            <w:r w:rsidR="00A63C2F" w:rsidRPr="00D33FDF">
              <w:t xml:space="preserve"> </w:t>
            </w:r>
            <w:r w:rsidRPr="00D33FDF">
              <w:t>R</w:t>
            </w:r>
            <w:r w:rsidR="00766E38" w:rsidRPr="00D33FDF">
              <w:t>oyal Australasian College of Surgeons</w:t>
            </w:r>
            <w:r w:rsidRPr="00D33FDF">
              <w:t>) and associated capacity building</w:t>
            </w:r>
            <w:r w:rsidR="00766E38" w:rsidRPr="00D33FDF">
              <w:t>.</w:t>
            </w:r>
          </w:p>
        </w:tc>
        <w:tc>
          <w:tcPr>
            <w:tcW w:w="4394" w:type="dxa"/>
          </w:tcPr>
          <w:p w14:paraId="5CBC26A0" w14:textId="321CB521" w:rsidR="00086FA5" w:rsidRPr="00D33FDF" w:rsidRDefault="00766E38" w:rsidP="00D33FDF">
            <w:pPr>
              <w:pStyle w:val="TableTextEntries"/>
            </w:pPr>
            <w:r w:rsidRPr="00D33FDF">
              <w:t>S</w:t>
            </w:r>
            <w:r w:rsidR="00A974BE" w:rsidRPr="00D33FDF">
              <w:t>upported healthcare workers</w:t>
            </w:r>
            <w:r w:rsidRPr="00D33FDF">
              <w:t xml:space="preserve"> to</w:t>
            </w:r>
            <w:r w:rsidR="00A974BE" w:rsidRPr="00D33FDF">
              <w:t xml:space="preserve"> attend short courses and attachments</w:t>
            </w:r>
            <w:r w:rsidR="009024EE" w:rsidRPr="00D33FDF">
              <w:t>—</w:t>
            </w:r>
            <w:r w:rsidR="00A974BE" w:rsidRPr="00D33FDF">
              <w:t>surgery, anaesthesia, physiotherapy, ophthalmology, paediatrics abroad and long</w:t>
            </w:r>
            <w:r w:rsidRPr="00D33FDF">
              <w:t>-</w:t>
            </w:r>
            <w:r w:rsidR="00A974BE" w:rsidRPr="00D33FDF">
              <w:t>term support of three doctors in specialist training: and obstetrics</w:t>
            </w:r>
            <w:r w:rsidRPr="00D33FDF">
              <w:t>, ophthalmology and surgery.</w:t>
            </w:r>
          </w:p>
        </w:tc>
      </w:tr>
      <w:tr w:rsidR="00086FA5" w:rsidRPr="004D4305" w14:paraId="5EB9BD7C"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03A33044" w14:textId="77777777" w:rsidR="00086FA5" w:rsidRPr="00D33FDF" w:rsidRDefault="00086FA5" w:rsidP="00D33FDF">
            <w:pPr>
              <w:pStyle w:val="TableTextEntries"/>
            </w:pPr>
            <w:r w:rsidRPr="00D33FDF">
              <w:t>Pacific Human Resources for Health Alliance</w:t>
            </w:r>
          </w:p>
        </w:tc>
        <w:tc>
          <w:tcPr>
            <w:tcW w:w="1461" w:type="dxa"/>
          </w:tcPr>
          <w:p w14:paraId="267F45F2" w14:textId="125D93F3" w:rsidR="00086FA5" w:rsidRPr="00D33FDF" w:rsidRDefault="00086FA5" w:rsidP="00D33FDF">
            <w:pPr>
              <w:pStyle w:val="TableTextEntries"/>
            </w:pPr>
            <w:r w:rsidRPr="00D33FDF">
              <w:t>W</w:t>
            </w:r>
            <w:r w:rsidR="0020193C" w:rsidRPr="00D33FDF">
              <w:t>orld Health Organization</w:t>
            </w:r>
          </w:p>
        </w:tc>
        <w:tc>
          <w:tcPr>
            <w:tcW w:w="1275" w:type="dxa"/>
          </w:tcPr>
          <w:p w14:paraId="7BAB12F4" w14:textId="77777777" w:rsidR="00086FA5" w:rsidRPr="00D33FDF" w:rsidRDefault="00086FA5" w:rsidP="00D33FDF">
            <w:pPr>
              <w:pStyle w:val="TableTextEntries"/>
            </w:pPr>
            <w:r w:rsidRPr="00D33FDF">
              <w:t>$3.6 million</w:t>
            </w:r>
          </w:p>
          <w:p w14:paraId="6D0303C3" w14:textId="4F9EE07A" w:rsidR="00086FA5" w:rsidRPr="00D33FDF" w:rsidRDefault="00086FA5" w:rsidP="00D33FDF">
            <w:pPr>
              <w:pStyle w:val="TableTextEntries"/>
            </w:pPr>
            <w:r w:rsidRPr="00D33FDF">
              <w:t>2007</w:t>
            </w:r>
            <w:r w:rsidR="00207EF2" w:rsidRPr="00D33FDF">
              <w:t>–</w:t>
            </w:r>
            <w:r w:rsidRPr="00D33FDF">
              <w:t>12</w:t>
            </w:r>
          </w:p>
          <w:p w14:paraId="27B44A0D" w14:textId="77777777" w:rsidR="00086FA5" w:rsidRPr="00D33FDF" w:rsidRDefault="00086FA5" w:rsidP="00D33FDF">
            <w:pPr>
              <w:pStyle w:val="TableTextEntries"/>
            </w:pPr>
          </w:p>
        </w:tc>
        <w:tc>
          <w:tcPr>
            <w:tcW w:w="4678" w:type="dxa"/>
          </w:tcPr>
          <w:p w14:paraId="4A899217" w14:textId="02BD39E2" w:rsidR="00086FA5" w:rsidRPr="00D33FDF" w:rsidRDefault="00086FA5" w:rsidP="00D33FDF">
            <w:pPr>
              <w:pStyle w:val="TableTextEntries"/>
            </w:pPr>
            <w:r w:rsidRPr="00D33FDF">
              <w:t>Support to W</w:t>
            </w:r>
            <w:r w:rsidR="00882172" w:rsidRPr="00D33FDF">
              <w:t>orld Health Organization</w:t>
            </w:r>
            <w:r w:rsidRPr="00D33FDF">
              <w:t xml:space="preserve"> to address regional health workforce issues through the Pacific Human Resources for Health Alliance </w:t>
            </w:r>
            <w:r w:rsidR="00766E38" w:rsidRPr="00D33FDF">
              <w:t>S</w:t>
            </w:r>
            <w:r w:rsidRPr="00D33FDF">
              <w:t>ecretariat</w:t>
            </w:r>
            <w:r w:rsidR="00766E38" w:rsidRPr="00D33FDF">
              <w:t>.</w:t>
            </w:r>
          </w:p>
        </w:tc>
        <w:tc>
          <w:tcPr>
            <w:tcW w:w="4394" w:type="dxa"/>
          </w:tcPr>
          <w:p w14:paraId="1AB64D21" w14:textId="4ACC5B36" w:rsidR="00086FA5" w:rsidRPr="00D33FDF" w:rsidRDefault="00FE3ABF" w:rsidP="00D33FDF">
            <w:pPr>
              <w:pStyle w:val="TableTextEntries"/>
            </w:pPr>
            <w:r w:rsidRPr="00D33FDF">
              <w:t>Not yet provided.</w:t>
            </w:r>
          </w:p>
        </w:tc>
      </w:tr>
      <w:tr w:rsidR="00086FA5" w:rsidRPr="004D4305" w14:paraId="7015F1CF" w14:textId="77777777" w:rsidTr="00D33FDF">
        <w:trPr>
          <w:cantSplit/>
          <w:tblHeader w:val="0"/>
        </w:trPr>
        <w:tc>
          <w:tcPr>
            <w:tcW w:w="2127" w:type="dxa"/>
          </w:tcPr>
          <w:p w14:paraId="16A7175D" w14:textId="7566A3B7" w:rsidR="00086FA5" w:rsidRPr="00D33FDF" w:rsidRDefault="00086FA5" w:rsidP="00D33FDF">
            <w:pPr>
              <w:pStyle w:val="TableTextEntries"/>
            </w:pPr>
            <w:r w:rsidRPr="00D33FDF">
              <w:t xml:space="preserve">Pacific Regional HIV and </w:t>
            </w:r>
            <w:r w:rsidR="00766E38" w:rsidRPr="00D33FDF">
              <w:t>Sexually Transmissible Infections</w:t>
            </w:r>
            <w:r w:rsidR="00E53359">
              <w:t xml:space="preserve"> </w:t>
            </w:r>
            <w:r w:rsidRPr="00D33FDF">
              <w:t>Response Fund</w:t>
            </w:r>
          </w:p>
        </w:tc>
        <w:tc>
          <w:tcPr>
            <w:tcW w:w="1461" w:type="dxa"/>
          </w:tcPr>
          <w:p w14:paraId="2338120B" w14:textId="43A23FCE" w:rsidR="00086FA5" w:rsidRPr="00D33FDF" w:rsidRDefault="00086FA5" w:rsidP="00D33FDF">
            <w:pPr>
              <w:pStyle w:val="TableTextEntries"/>
            </w:pPr>
            <w:r w:rsidRPr="00D33FDF">
              <w:t>S</w:t>
            </w:r>
            <w:r w:rsidR="00766E38" w:rsidRPr="00D33FDF">
              <w:t>ecretariat of the Pacific Community</w:t>
            </w:r>
          </w:p>
        </w:tc>
        <w:tc>
          <w:tcPr>
            <w:tcW w:w="1275" w:type="dxa"/>
          </w:tcPr>
          <w:p w14:paraId="3918FFDF" w14:textId="5A5637FE" w:rsidR="00086FA5" w:rsidRPr="00D33FDF" w:rsidRDefault="00086FA5" w:rsidP="00D33FDF">
            <w:pPr>
              <w:pStyle w:val="TableTextEntries"/>
            </w:pPr>
            <w:r w:rsidRPr="00D33FDF">
              <w:t>$30 million 2008</w:t>
            </w:r>
            <w:r w:rsidR="00207EF2" w:rsidRPr="00D33FDF">
              <w:t>–</w:t>
            </w:r>
            <w:r w:rsidRPr="00D33FDF">
              <w:t>13</w:t>
            </w:r>
          </w:p>
        </w:tc>
        <w:tc>
          <w:tcPr>
            <w:tcW w:w="4678" w:type="dxa"/>
          </w:tcPr>
          <w:p w14:paraId="0F1CD99E" w14:textId="5334FFA1" w:rsidR="00086FA5" w:rsidRPr="00D33FDF" w:rsidRDefault="00766E38" w:rsidP="00D33FDF">
            <w:pPr>
              <w:pStyle w:val="TableTextEntries"/>
            </w:pPr>
            <w:r w:rsidRPr="00D33FDF">
              <w:t>S</w:t>
            </w:r>
            <w:r w:rsidR="00086FA5" w:rsidRPr="00D33FDF">
              <w:t>upport to Pacific islands in their response to</w:t>
            </w:r>
            <w:r w:rsidRPr="00D33FDF">
              <w:t xml:space="preserve"> the</w:t>
            </w:r>
            <w:r w:rsidR="00086FA5" w:rsidRPr="00D33FDF">
              <w:t xml:space="preserve"> priorities stated in the Regional HIV </w:t>
            </w:r>
            <w:r w:rsidR="00882172" w:rsidRPr="00D33FDF">
              <w:t>and</w:t>
            </w:r>
            <w:r w:rsidR="00086FA5" w:rsidRPr="00D33FDF">
              <w:t xml:space="preserve"> STI Strategy and respective national strategies. </w:t>
            </w:r>
          </w:p>
        </w:tc>
        <w:tc>
          <w:tcPr>
            <w:tcW w:w="4394" w:type="dxa"/>
          </w:tcPr>
          <w:p w14:paraId="12C2D777" w14:textId="2D3B3B2B" w:rsidR="00766E38" w:rsidRPr="00D33FDF" w:rsidRDefault="009024EE" w:rsidP="00D33FDF">
            <w:pPr>
              <w:pStyle w:val="TableTextEntries"/>
            </w:pPr>
            <w:r w:rsidRPr="00D33FDF">
              <w:t>In 2012, t</w:t>
            </w:r>
            <w:r w:rsidR="00766E38" w:rsidRPr="00D33FDF">
              <w:t>ested</w:t>
            </w:r>
            <w:r w:rsidR="00D02B30" w:rsidRPr="00D33FDF">
              <w:t xml:space="preserve"> 2356 male</w:t>
            </w:r>
            <w:r w:rsidR="00766E38" w:rsidRPr="00D33FDF">
              <w:t>s</w:t>
            </w:r>
            <w:r w:rsidR="00D02B30" w:rsidRPr="00D33FDF">
              <w:t xml:space="preserve"> and female</w:t>
            </w:r>
            <w:r w:rsidR="00766E38" w:rsidRPr="00D33FDF">
              <w:t>s aged</w:t>
            </w:r>
            <w:r w:rsidR="00D02B30" w:rsidRPr="00D33FDF">
              <w:t xml:space="preserve"> 10</w:t>
            </w:r>
            <w:r w:rsidR="00766E38" w:rsidRPr="00D33FDF">
              <w:t xml:space="preserve"> to </w:t>
            </w:r>
            <w:r w:rsidR="00D02B30" w:rsidRPr="00D33FDF">
              <w:t>24</w:t>
            </w:r>
            <w:r w:rsidR="00CC12D1" w:rsidRPr="00D33FDF">
              <w:t> </w:t>
            </w:r>
            <w:r w:rsidR="00D02B30" w:rsidRPr="00D33FDF">
              <w:t>year</w:t>
            </w:r>
            <w:r w:rsidR="00766E38" w:rsidRPr="00D33FDF">
              <w:t>s</w:t>
            </w:r>
            <w:r w:rsidR="00D02B30" w:rsidRPr="00D33FDF">
              <w:t xml:space="preserve"> old for HIV</w:t>
            </w:r>
            <w:r w:rsidR="00766E38" w:rsidRPr="00D33FDF">
              <w:t>.</w:t>
            </w:r>
          </w:p>
          <w:p w14:paraId="60D54070" w14:textId="1111AE3C" w:rsidR="00086FA5" w:rsidRPr="00D33FDF" w:rsidRDefault="00766E38" w:rsidP="00D33FDF">
            <w:pPr>
              <w:pStyle w:val="TableTextEntries"/>
            </w:pPr>
            <w:r w:rsidRPr="00D33FDF">
              <w:t>Trained</w:t>
            </w:r>
            <w:r w:rsidR="00D02B30" w:rsidRPr="00D33FDF">
              <w:t xml:space="preserve"> 45</w:t>
            </w:r>
            <w:r w:rsidRPr="00D33FDF">
              <w:t xml:space="preserve"> h</w:t>
            </w:r>
            <w:r w:rsidR="00D02B30" w:rsidRPr="00D33FDF">
              <w:t>ealth</w:t>
            </w:r>
            <w:r w:rsidRPr="00D33FDF">
              <w:t>c</w:t>
            </w:r>
            <w:r w:rsidR="00D02B30" w:rsidRPr="00D33FDF">
              <w:t xml:space="preserve">are </w:t>
            </w:r>
            <w:r w:rsidRPr="00D33FDF">
              <w:t>w</w:t>
            </w:r>
            <w:r w:rsidR="00D02B30" w:rsidRPr="00D33FDF">
              <w:t xml:space="preserve">orkers in </w:t>
            </w:r>
            <w:r w:rsidRPr="00D33FDF">
              <w:t>c</w:t>
            </w:r>
            <w:r w:rsidR="00D02B30" w:rsidRPr="00D33FDF">
              <w:t xml:space="preserve">ontinuum of </w:t>
            </w:r>
            <w:r w:rsidRPr="00D33FDF">
              <w:t>c</w:t>
            </w:r>
            <w:r w:rsidR="00D02B30" w:rsidRPr="00D33FDF">
              <w:t xml:space="preserve">are and </w:t>
            </w:r>
            <w:r w:rsidRPr="00D33FDF">
              <w:t>c</w:t>
            </w:r>
            <w:r w:rsidR="00D02B30" w:rsidRPr="00D33FDF">
              <w:t>omprehensive</w:t>
            </w:r>
            <w:r w:rsidR="009024EE" w:rsidRPr="00D33FDF">
              <w:t xml:space="preserve"> management of</w:t>
            </w:r>
            <w:r w:rsidR="00D02B30" w:rsidRPr="00D33FDF">
              <w:t xml:space="preserve"> </w:t>
            </w:r>
            <w:r w:rsidR="009024EE" w:rsidRPr="00D33FDF">
              <w:t>sexually transmitted infections</w:t>
            </w:r>
            <w:r w:rsidR="00D02B30" w:rsidRPr="00D33FDF">
              <w:t xml:space="preserve">. </w:t>
            </w:r>
          </w:p>
        </w:tc>
      </w:tr>
      <w:tr w:rsidR="00086FA5" w:rsidRPr="004D4305" w14:paraId="4BF1A5AD"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14EA8C56" w14:textId="57D0B2EA" w:rsidR="00086FA5" w:rsidRPr="00D33FDF" w:rsidRDefault="00086FA5" w:rsidP="00D33FDF">
            <w:pPr>
              <w:pStyle w:val="TableTextEntries"/>
            </w:pPr>
            <w:r w:rsidRPr="00D33FDF">
              <w:t>Pacific Regional Influenza Pandemic Preparedness Project</w:t>
            </w:r>
          </w:p>
        </w:tc>
        <w:tc>
          <w:tcPr>
            <w:tcW w:w="1461" w:type="dxa"/>
          </w:tcPr>
          <w:p w14:paraId="051675B8" w14:textId="5B84664A" w:rsidR="00086FA5" w:rsidRPr="00D33FDF" w:rsidRDefault="00766E38" w:rsidP="00D33FDF">
            <w:pPr>
              <w:pStyle w:val="TableTextEntries"/>
            </w:pPr>
            <w:r w:rsidRPr="00D33FDF">
              <w:t>Secretariat of the Pacific Community</w:t>
            </w:r>
          </w:p>
        </w:tc>
        <w:tc>
          <w:tcPr>
            <w:tcW w:w="1275" w:type="dxa"/>
          </w:tcPr>
          <w:p w14:paraId="49AEC958" w14:textId="0154FCC7" w:rsidR="00086FA5" w:rsidRPr="00D33FDF" w:rsidRDefault="00086FA5" w:rsidP="00D33FDF">
            <w:pPr>
              <w:pStyle w:val="TableTextEntries"/>
            </w:pPr>
            <w:r w:rsidRPr="00D33FDF">
              <w:t>July 2006</w:t>
            </w:r>
            <w:r w:rsidR="00207EF2" w:rsidRPr="00D33FDF">
              <w:t>–</w:t>
            </w:r>
            <w:r w:rsidRPr="00D33FDF">
              <w:t>June 2011</w:t>
            </w:r>
          </w:p>
        </w:tc>
        <w:tc>
          <w:tcPr>
            <w:tcW w:w="4678" w:type="dxa"/>
          </w:tcPr>
          <w:p w14:paraId="516F02F8" w14:textId="0C91A372" w:rsidR="00086FA5" w:rsidRPr="00D33FDF" w:rsidRDefault="00086FA5" w:rsidP="00D33FDF">
            <w:pPr>
              <w:pStyle w:val="TableTextEntries"/>
            </w:pPr>
            <w:r w:rsidRPr="00D33FDF">
              <w:t xml:space="preserve">Assistance for Pacific islands to develop </w:t>
            </w:r>
            <w:r w:rsidR="00766E38" w:rsidRPr="00D33FDF">
              <w:t>c</w:t>
            </w:r>
            <w:r w:rsidRPr="00D33FDF">
              <w:t xml:space="preserve">ountry </w:t>
            </w:r>
            <w:r w:rsidR="00766E38" w:rsidRPr="00D33FDF">
              <w:t>a</w:t>
            </w:r>
            <w:r w:rsidRPr="00D33FDF">
              <w:t xml:space="preserve">ction </w:t>
            </w:r>
            <w:r w:rsidR="00766E38" w:rsidRPr="00D33FDF">
              <w:t>p</w:t>
            </w:r>
            <w:r w:rsidRPr="00D33FDF">
              <w:t>lans for avian influenza and pandemic influenza preparedness.</w:t>
            </w:r>
          </w:p>
        </w:tc>
        <w:tc>
          <w:tcPr>
            <w:tcW w:w="4394" w:type="dxa"/>
          </w:tcPr>
          <w:p w14:paraId="2AD1C14E" w14:textId="4D62354F" w:rsidR="00086FA5" w:rsidRPr="00D33FDF" w:rsidRDefault="00FE3ABF" w:rsidP="00D33FDF">
            <w:pPr>
              <w:pStyle w:val="TableTextEntries"/>
            </w:pPr>
            <w:r w:rsidRPr="00D33FDF">
              <w:t xml:space="preserve">Not </w:t>
            </w:r>
            <w:r w:rsidR="009024EE" w:rsidRPr="00D33FDF">
              <w:t xml:space="preserve">yet </w:t>
            </w:r>
            <w:r w:rsidRPr="00D33FDF">
              <w:t>provided.</w:t>
            </w:r>
          </w:p>
        </w:tc>
      </w:tr>
      <w:tr w:rsidR="00086FA5" w:rsidRPr="004D4305" w14:paraId="15A044A3" w14:textId="77777777" w:rsidTr="00D33FDF">
        <w:trPr>
          <w:cantSplit/>
          <w:tblHeader w:val="0"/>
        </w:trPr>
        <w:tc>
          <w:tcPr>
            <w:tcW w:w="2127" w:type="dxa"/>
          </w:tcPr>
          <w:p w14:paraId="106DBD9C" w14:textId="6E55DF67" w:rsidR="00086FA5" w:rsidRPr="00D33FDF" w:rsidRDefault="00086FA5" w:rsidP="00D33FDF">
            <w:pPr>
              <w:pStyle w:val="TableTextEntries"/>
            </w:pPr>
            <w:r w:rsidRPr="00D33FDF">
              <w:t>Pacific Regional Non</w:t>
            </w:r>
            <w:r w:rsidR="0020193C" w:rsidRPr="00D33FDF">
              <w:t>-</w:t>
            </w:r>
            <w:r w:rsidRPr="00D33FDF">
              <w:t>Communicable Disease Program</w:t>
            </w:r>
          </w:p>
        </w:tc>
        <w:tc>
          <w:tcPr>
            <w:tcW w:w="1461" w:type="dxa"/>
          </w:tcPr>
          <w:p w14:paraId="5D0FC264" w14:textId="4A380F4A" w:rsidR="00086FA5" w:rsidRPr="00D33FDF" w:rsidRDefault="00766E38" w:rsidP="00D33FDF">
            <w:pPr>
              <w:pStyle w:val="TableTextEntries"/>
            </w:pPr>
            <w:r w:rsidRPr="00D33FDF">
              <w:t xml:space="preserve">Secretariat of the Pacific Community </w:t>
            </w:r>
          </w:p>
        </w:tc>
        <w:tc>
          <w:tcPr>
            <w:tcW w:w="1275" w:type="dxa"/>
          </w:tcPr>
          <w:p w14:paraId="40A1636D" w14:textId="77777777" w:rsidR="00086FA5" w:rsidRPr="00D33FDF" w:rsidRDefault="00086FA5" w:rsidP="00D33FDF">
            <w:pPr>
              <w:pStyle w:val="TableTextEntries"/>
            </w:pPr>
          </w:p>
        </w:tc>
        <w:tc>
          <w:tcPr>
            <w:tcW w:w="4678" w:type="dxa"/>
          </w:tcPr>
          <w:p w14:paraId="0A70120F" w14:textId="6087D841" w:rsidR="00086FA5" w:rsidRPr="00D33FDF" w:rsidRDefault="00086FA5" w:rsidP="00D33FDF">
            <w:pPr>
              <w:pStyle w:val="TableTextEntries"/>
            </w:pPr>
            <w:r w:rsidRPr="00D33FDF">
              <w:t xml:space="preserve">Funds for governments to implement national </w:t>
            </w:r>
            <w:r w:rsidR="00766E38" w:rsidRPr="00D33FDF">
              <w:t>non-communicable disease</w:t>
            </w:r>
            <w:r w:rsidRPr="00D33FDF">
              <w:t xml:space="preserve"> strategic plans and support community projects address</w:t>
            </w:r>
            <w:r w:rsidR="00766E38" w:rsidRPr="00D33FDF">
              <w:t>ing</w:t>
            </w:r>
            <w:r w:rsidRPr="00D33FDF">
              <w:t xml:space="preserve"> key </w:t>
            </w:r>
            <w:r w:rsidR="00766E38" w:rsidRPr="00D33FDF">
              <w:t>non-communicable disease</w:t>
            </w:r>
            <w:r w:rsidRPr="00D33FDF">
              <w:t xml:space="preserve"> risk factors</w:t>
            </w:r>
            <w:r w:rsidR="00766E38" w:rsidRPr="00D33FDF">
              <w:t>.</w:t>
            </w:r>
          </w:p>
          <w:p w14:paraId="08718B8A" w14:textId="77777777" w:rsidR="00086FA5" w:rsidRPr="00D33FDF" w:rsidRDefault="00086FA5" w:rsidP="00D33FDF">
            <w:pPr>
              <w:pStyle w:val="TableTextEntries"/>
            </w:pPr>
          </w:p>
        </w:tc>
        <w:tc>
          <w:tcPr>
            <w:tcW w:w="4394" w:type="dxa"/>
          </w:tcPr>
          <w:p w14:paraId="0702E88E" w14:textId="4BA40086" w:rsidR="00086FA5" w:rsidRPr="00D33FDF" w:rsidRDefault="00FE3ABF" w:rsidP="00D33FDF">
            <w:pPr>
              <w:pStyle w:val="TableTextEntries"/>
            </w:pPr>
            <w:r w:rsidRPr="00D33FDF">
              <w:t>Not</w:t>
            </w:r>
            <w:r w:rsidR="009024EE" w:rsidRPr="00D33FDF">
              <w:t xml:space="preserve"> yet</w:t>
            </w:r>
            <w:r w:rsidRPr="00D33FDF">
              <w:t xml:space="preserve"> provided.</w:t>
            </w:r>
          </w:p>
        </w:tc>
      </w:tr>
      <w:tr w:rsidR="00086FA5" w:rsidRPr="004D4305" w14:paraId="06E2B425"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13935" w:type="dxa"/>
            <w:gridSpan w:val="5"/>
          </w:tcPr>
          <w:p w14:paraId="4075EBC5" w14:textId="0B61B55B" w:rsidR="00086FA5" w:rsidRPr="004D4305" w:rsidRDefault="00086FA5" w:rsidP="00D33FDF">
            <w:pPr>
              <w:pStyle w:val="TableHeading2"/>
            </w:pPr>
            <w:r w:rsidRPr="004D4305">
              <w:t xml:space="preserve">Governance and </w:t>
            </w:r>
            <w:r w:rsidR="00207EF2">
              <w:t>e</w:t>
            </w:r>
            <w:r w:rsidRPr="004D4305">
              <w:t xml:space="preserve">conomic </w:t>
            </w:r>
            <w:r w:rsidR="00207EF2">
              <w:t>s</w:t>
            </w:r>
            <w:r w:rsidRPr="004D4305">
              <w:t>tability</w:t>
            </w:r>
          </w:p>
        </w:tc>
      </w:tr>
      <w:tr w:rsidR="00086FA5" w:rsidRPr="004D4305" w14:paraId="13E8597A" w14:textId="77777777" w:rsidTr="00D33FDF">
        <w:trPr>
          <w:cantSplit/>
          <w:tblHeader w:val="0"/>
        </w:trPr>
        <w:tc>
          <w:tcPr>
            <w:tcW w:w="2127" w:type="dxa"/>
          </w:tcPr>
          <w:p w14:paraId="42259F2C" w14:textId="77777777" w:rsidR="00086FA5" w:rsidRPr="004D4305" w:rsidRDefault="00086FA5" w:rsidP="00D33FDF">
            <w:pPr>
              <w:pStyle w:val="TableTextEntries"/>
            </w:pPr>
            <w:r w:rsidRPr="004D4305">
              <w:t>Pacific Parliamentary Partnerships</w:t>
            </w:r>
          </w:p>
        </w:tc>
        <w:tc>
          <w:tcPr>
            <w:tcW w:w="1461" w:type="dxa"/>
          </w:tcPr>
          <w:p w14:paraId="38582983" w14:textId="77777777" w:rsidR="00086FA5" w:rsidRPr="004D4305" w:rsidRDefault="00086FA5" w:rsidP="00D33FDF">
            <w:pPr>
              <w:pStyle w:val="TableTextEntries"/>
            </w:pPr>
            <w:r w:rsidRPr="004D4305">
              <w:t>House of Representatives</w:t>
            </w:r>
          </w:p>
        </w:tc>
        <w:tc>
          <w:tcPr>
            <w:tcW w:w="1275" w:type="dxa"/>
          </w:tcPr>
          <w:p w14:paraId="293D47DB" w14:textId="3E772A31" w:rsidR="00086FA5" w:rsidRPr="004D4305" w:rsidRDefault="00086FA5" w:rsidP="00D33FDF">
            <w:pPr>
              <w:pStyle w:val="TableTextEntries"/>
            </w:pPr>
            <w:r w:rsidRPr="004D4305">
              <w:t>$400</w:t>
            </w:r>
            <w:r w:rsidR="00207EF2">
              <w:t xml:space="preserve"> </w:t>
            </w:r>
            <w:r w:rsidRPr="004D4305">
              <w:t xml:space="preserve">000 </w:t>
            </w:r>
          </w:p>
          <w:p w14:paraId="2EFA580E" w14:textId="4C6A2B37" w:rsidR="00086FA5" w:rsidRPr="004D4305" w:rsidRDefault="00086FA5" w:rsidP="00D33FDF">
            <w:pPr>
              <w:pStyle w:val="TableTextEntries"/>
            </w:pPr>
            <w:r w:rsidRPr="004D4305">
              <w:t>2011</w:t>
            </w:r>
            <w:r w:rsidR="00207EF2">
              <w:t>–</w:t>
            </w:r>
            <w:r w:rsidRPr="004D4305">
              <w:t>14</w:t>
            </w:r>
          </w:p>
        </w:tc>
        <w:tc>
          <w:tcPr>
            <w:tcW w:w="4678" w:type="dxa"/>
          </w:tcPr>
          <w:p w14:paraId="5510CD1A" w14:textId="0A1DDF2C" w:rsidR="00086FA5" w:rsidRPr="004D4305" w:rsidRDefault="00086FA5" w:rsidP="00D33FDF">
            <w:pPr>
              <w:pStyle w:val="TableTextEntries"/>
            </w:pPr>
            <w:r w:rsidRPr="004D4305">
              <w:t>Strengthens the capacity of parliamentarians and parliamentary staff to discharge parliament</w:t>
            </w:r>
            <w:r w:rsidR="007F1E41">
              <w:t>ary</w:t>
            </w:r>
            <w:r w:rsidRPr="004D4305">
              <w:t xml:space="preserve"> constitutional mandates</w:t>
            </w:r>
            <w:r w:rsidR="007F1E41">
              <w:t>.</w:t>
            </w:r>
          </w:p>
        </w:tc>
        <w:tc>
          <w:tcPr>
            <w:tcW w:w="4394" w:type="dxa"/>
          </w:tcPr>
          <w:p w14:paraId="00994B3F" w14:textId="2BD666F4" w:rsidR="00086FA5" w:rsidRPr="004D4305" w:rsidRDefault="00086FA5" w:rsidP="00D33FDF">
            <w:pPr>
              <w:pStyle w:val="TableTextEntries"/>
            </w:pPr>
            <w:r w:rsidRPr="004D4305">
              <w:t xml:space="preserve">A </w:t>
            </w:r>
            <w:r w:rsidR="00833928">
              <w:t>P</w:t>
            </w:r>
            <w:r w:rsidRPr="004D4305">
              <w:t>arliamentar</w:t>
            </w:r>
            <w:r w:rsidR="00C8463D">
              <w:t xml:space="preserve">y Partnerships </w:t>
            </w:r>
            <w:r w:rsidRPr="004D4305">
              <w:t>project was launched in March 2013, with a visit to Samoa by a joint delegation from the</w:t>
            </w:r>
            <w:r w:rsidR="00833928">
              <w:t xml:space="preserve"> Australian Parliament and</w:t>
            </w:r>
            <w:r w:rsidRPr="004D4305">
              <w:t xml:space="preserve"> </w:t>
            </w:r>
            <w:r w:rsidR="009024EE">
              <w:t xml:space="preserve">Samoan </w:t>
            </w:r>
            <w:r w:rsidRPr="004D4305">
              <w:t>Parliament.</w:t>
            </w:r>
          </w:p>
        </w:tc>
      </w:tr>
      <w:tr w:rsidR="00086FA5" w:rsidRPr="004D4305" w14:paraId="369A95C3"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53BD4987" w14:textId="77777777" w:rsidR="00086FA5" w:rsidRPr="004D4305" w:rsidRDefault="00086FA5" w:rsidP="00D33FDF">
            <w:pPr>
              <w:pStyle w:val="TableTextEntries"/>
            </w:pPr>
            <w:r w:rsidRPr="004D4305">
              <w:t>Pacific Leadership Program</w:t>
            </w:r>
          </w:p>
        </w:tc>
        <w:tc>
          <w:tcPr>
            <w:tcW w:w="1461" w:type="dxa"/>
          </w:tcPr>
          <w:p w14:paraId="1FBAABD4" w14:textId="77777777" w:rsidR="00086FA5" w:rsidRPr="004D4305" w:rsidRDefault="00086FA5" w:rsidP="00D33FDF">
            <w:pPr>
              <w:pStyle w:val="TableTextEntries"/>
            </w:pPr>
            <w:r w:rsidRPr="004D4305">
              <w:t>Leadership Samoa</w:t>
            </w:r>
          </w:p>
          <w:p w14:paraId="575EB5D6" w14:textId="77777777" w:rsidR="00086FA5" w:rsidRPr="004D4305" w:rsidRDefault="00086FA5" w:rsidP="00D33FDF">
            <w:pPr>
              <w:pStyle w:val="TableTextEntries"/>
            </w:pPr>
          </w:p>
        </w:tc>
        <w:tc>
          <w:tcPr>
            <w:tcW w:w="1275" w:type="dxa"/>
          </w:tcPr>
          <w:p w14:paraId="6772BA11" w14:textId="77777777" w:rsidR="00086FA5" w:rsidRPr="004D4305" w:rsidRDefault="00086FA5" w:rsidP="00D33FDF">
            <w:pPr>
              <w:pStyle w:val="TableTextEntries"/>
            </w:pPr>
            <w:r w:rsidRPr="004D4305">
              <w:t>$5 million</w:t>
            </w:r>
          </w:p>
          <w:p w14:paraId="37590A86" w14:textId="2641A926" w:rsidR="00086FA5" w:rsidRPr="004D4305" w:rsidRDefault="00086FA5" w:rsidP="00D33FDF">
            <w:pPr>
              <w:pStyle w:val="TableTextEntries"/>
            </w:pPr>
            <w:r w:rsidRPr="004D4305">
              <w:t>2011</w:t>
            </w:r>
            <w:r w:rsidR="00207EF2">
              <w:t>–</w:t>
            </w:r>
            <w:r w:rsidRPr="004D4305">
              <w:t>12</w:t>
            </w:r>
          </w:p>
        </w:tc>
        <w:tc>
          <w:tcPr>
            <w:tcW w:w="4678" w:type="dxa"/>
          </w:tcPr>
          <w:p w14:paraId="6DF5832E" w14:textId="6F6867AE" w:rsidR="00086FA5" w:rsidRPr="004D4305" w:rsidRDefault="00086FA5" w:rsidP="00D33FDF">
            <w:pPr>
              <w:pStyle w:val="TableTextEntries"/>
            </w:pPr>
            <w:r w:rsidRPr="004D4305">
              <w:t>Works with organisations in positions of leadership and organisations delivering leadership development activities</w:t>
            </w:r>
            <w:r w:rsidR="007F1E41">
              <w:t>, supporting them</w:t>
            </w:r>
            <w:r w:rsidRPr="004D4305">
              <w:t xml:space="preserve"> to develop their own leadership, along with the capacity of their members or clients.</w:t>
            </w:r>
          </w:p>
        </w:tc>
        <w:tc>
          <w:tcPr>
            <w:tcW w:w="4394" w:type="dxa"/>
          </w:tcPr>
          <w:p w14:paraId="7EB66701" w14:textId="28B63A23" w:rsidR="00086FA5" w:rsidRPr="004D4305" w:rsidRDefault="00086FA5" w:rsidP="00D33FDF">
            <w:pPr>
              <w:pStyle w:val="TableTextEntries"/>
            </w:pPr>
            <w:r w:rsidRPr="004D4305">
              <w:t>In the 2012</w:t>
            </w:r>
            <w:r w:rsidR="00207EF2">
              <w:t>–</w:t>
            </w:r>
            <w:r w:rsidRPr="004D4305">
              <w:t xml:space="preserve">13 </w:t>
            </w:r>
            <w:proofErr w:type="gramStart"/>
            <w:r w:rsidRPr="004D4305">
              <w:t>intake</w:t>
            </w:r>
            <w:proofErr w:type="gramEnd"/>
            <w:r w:rsidRPr="004D4305">
              <w:t xml:space="preserve">, 20 emerging Samoan leaders participated in 21 study tours focused on areas including </w:t>
            </w:r>
            <w:r w:rsidR="00E34089">
              <w:t>e</w:t>
            </w:r>
            <w:r w:rsidRPr="004D4305">
              <w:t xml:space="preserve">ducation, </w:t>
            </w:r>
            <w:r w:rsidR="00E34089">
              <w:t>g</w:t>
            </w:r>
            <w:r w:rsidRPr="004D4305">
              <w:t xml:space="preserve">overnment </w:t>
            </w:r>
            <w:r w:rsidR="00E34089">
              <w:t>s</w:t>
            </w:r>
            <w:r w:rsidRPr="004D4305">
              <w:t xml:space="preserve">tability, </w:t>
            </w:r>
            <w:r w:rsidR="00E34089">
              <w:t>r</w:t>
            </w:r>
            <w:r w:rsidRPr="004D4305">
              <w:t xml:space="preserve">ole of women in community, business and politics, </w:t>
            </w:r>
            <w:r w:rsidR="00E34089">
              <w:t>h</w:t>
            </w:r>
            <w:r w:rsidRPr="004D4305">
              <w:t xml:space="preserve">ealth, </w:t>
            </w:r>
            <w:r w:rsidR="00E34089">
              <w:t>l</w:t>
            </w:r>
            <w:r w:rsidRPr="004D4305">
              <w:t xml:space="preserve">aw and </w:t>
            </w:r>
            <w:r w:rsidR="00E34089">
              <w:t>o</w:t>
            </w:r>
            <w:r w:rsidRPr="004D4305">
              <w:t xml:space="preserve">rder and </w:t>
            </w:r>
            <w:r w:rsidR="00E34089">
              <w:t>e</w:t>
            </w:r>
            <w:r w:rsidRPr="004D4305">
              <w:t>conomic development.</w:t>
            </w:r>
          </w:p>
        </w:tc>
      </w:tr>
      <w:tr w:rsidR="00086FA5" w:rsidRPr="004D4305" w14:paraId="78765B09" w14:textId="77777777" w:rsidTr="00D33FDF">
        <w:trPr>
          <w:cantSplit/>
          <w:tblHeader w:val="0"/>
        </w:trPr>
        <w:tc>
          <w:tcPr>
            <w:tcW w:w="2127" w:type="dxa"/>
          </w:tcPr>
          <w:p w14:paraId="6370322E" w14:textId="26F16AA0" w:rsidR="00086FA5" w:rsidRPr="004D4305" w:rsidRDefault="00086FA5" w:rsidP="00D33FDF">
            <w:pPr>
              <w:pStyle w:val="TableTextEntries"/>
            </w:pPr>
            <w:r w:rsidRPr="004D4305">
              <w:t>Pacific Financial Technical Assistance Centre</w:t>
            </w:r>
          </w:p>
        </w:tc>
        <w:tc>
          <w:tcPr>
            <w:tcW w:w="1461" w:type="dxa"/>
          </w:tcPr>
          <w:p w14:paraId="6241EE78" w14:textId="16943CDE" w:rsidR="00086FA5" w:rsidRPr="004D4305" w:rsidRDefault="00086FA5" w:rsidP="00D33FDF">
            <w:pPr>
              <w:pStyle w:val="TableTextEntries"/>
            </w:pPr>
            <w:r w:rsidRPr="004D4305">
              <w:t>I</w:t>
            </w:r>
            <w:r w:rsidR="0020193C">
              <w:t>nternational Monetary Fund</w:t>
            </w:r>
          </w:p>
        </w:tc>
        <w:tc>
          <w:tcPr>
            <w:tcW w:w="1275" w:type="dxa"/>
          </w:tcPr>
          <w:p w14:paraId="166650AE" w14:textId="71E11891" w:rsidR="00086FA5" w:rsidRPr="004D4305" w:rsidRDefault="00086FA5" w:rsidP="00D33FDF">
            <w:pPr>
              <w:pStyle w:val="TableTextEntries"/>
            </w:pPr>
            <w:r w:rsidRPr="004D4305">
              <w:t>$15.5 million 1995</w:t>
            </w:r>
            <w:r w:rsidR="00207EF2">
              <w:t>–</w:t>
            </w:r>
            <w:r w:rsidRPr="004D4305">
              <w:t>2014</w:t>
            </w:r>
          </w:p>
        </w:tc>
        <w:tc>
          <w:tcPr>
            <w:tcW w:w="4678" w:type="dxa"/>
          </w:tcPr>
          <w:p w14:paraId="6E31E9F1" w14:textId="3C94A6FE" w:rsidR="00086FA5" w:rsidRPr="004D4305" w:rsidRDefault="00086FA5" w:rsidP="00D33FDF">
            <w:pPr>
              <w:pStyle w:val="TableTextEntries"/>
            </w:pPr>
            <w:r w:rsidRPr="004D4305">
              <w:t>Builds institutional and human capacity in public financial management, revenue administration, financial sector supervision and statistics</w:t>
            </w:r>
            <w:r w:rsidR="007F1E41">
              <w:t>.</w:t>
            </w:r>
          </w:p>
        </w:tc>
        <w:tc>
          <w:tcPr>
            <w:tcW w:w="4394" w:type="dxa"/>
          </w:tcPr>
          <w:p w14:paraId="0BE8AE60" w14:textId="4FEFC1BA" w:rsidR="00086FA5" w:rsidRPr="004D4305" w:rsidRDefault="00086FA5" w:rsidP="00D33FDF">
            <w:pPr>
              <w:pStyle w:val="TableTextEntries"/>
            </w:pPr>
            <w:r w:rsidRPr="004D4305">
              <w:t xml:space="preserve">Eight missions </w:t>
            </w:r>
            <w:r w:rsidR="00833928">
              <w:t xml:space="preserve">were </w:t>
            </w:r>
            <w:r w:rsidRPr="004D4305">
              <w:t>undertaken</w:t>
            </w:r>
            <w:r w:rsidR="00833928">
              <w:t>,</w:t>
            </w:r>
            <w:r w:rsidRPr="004D4305">
              <w:t xml:space="preserve"> including assistance to improve revenue forecasting a</w:t>
            </w:r>
            <w:r w:rsidR="00833928">
              <w:t xml:space="preserve">nd work </w:t>
            </w:r>
            <w:r w:rsidRPr="004D4305">
              <w:t xml:space="preserve">with </w:t>
            </w:r>
            <w:r w:rsidR="00815D83">
              <w:t xml:space="preserve">the </w:t>
            </w:r>
            <w:r w:rsidR="008C33CC">
              <w:t>Government of Samoa</w:t>
            </w:r>
            <w:r w:rsidRPr="004D4305">
              <w:t xml:space="preserve"> on debt sustainability and the </w:t>
            </w:r>
            <w:r w:rsidR="009D24A4">
              <w:t>medium</w:t>
            </w:r>
            <w:r w:rsidR="009024EE">
              <w:t>-</w:t>
            </w:r>
            <w:r w:rsidR="009D24A4">
              <w:t>term expenditure framework</w:t>
            </w:r>
            <w:r w:rsidRPr="004D4305">
              <w:t xml:space="preserve">. </w:t>
            </w:r>
          </w:p>
        </w:tc>
      </w:tr>
      <w:tr w:rsidR="00086FA5" w:rsidRPr="004D4305" w14:paraId="63A1F8E6"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6F8F5104" w14:textId="77777777" w:rsidR="00086FA5" w:rsidRPr="004D4305" w:rsidRDefault="00086FA5" w:rsidP="00D33FDF">
            <w:pPr>
              <w:pStyle w:val="TableTextEntries"/>
            </w:pPr>
            <w:r w:rsidRPr="004D4305">
              <w:t>Pacific Public Sector Linkages Program</w:t>
            </w:r>
          </w:p>
        </w:tc>
        <w:tc>
          <w:tcPr>
            <w:tcW w:w="1461" w:type="dxa"/>
          </w:tcPr>
          <w:p w14:paraId="68240441" w14:textId="77777777" w:rsidR="00086FA5" w:rsidRPr="004D4305" w:rsidRDefault="00086FA5" w:rsidP="00D33FDF">
            <w:pPr>
              <w:pStyle w:val="TableTextEntries"/>
            </w:pPr>
          </w:p>
        </w:tc>
        <w:tc>
          <w:tcPr>
            <w:tcW w:w="1275" w:type="dxa"/>
          </w:tcPr>
          <w:p w14:paraId="48C430EB" w14:textId="1FF886C2" w:rsidR="00086FA5" w:rsidRPr="004D4305" w:rsidRDefault="00086FA5" w:rsidP="00D33FDF">
            <w:pPr>
              <w:pStyle w:val="TableTextEntries"/>
            </w:pPr>
            <w:r w:rsidRPr="004D4305">
              <w:t>$5.6 million 2012</w:t>
            </w:r>
            <w:r w:rsidR="00207EF2">
              <w:t>–</w:t>
            </w:r>
            <w:r w:rsidRPr="004D4305">
              <w:t>13</w:t>
            </w:r>
          </w:p>
        </w:tc>
        <w:tc>
          <w:tcPr>
            <w:tcW w:w="4678" w:type="dxa"/>
          </w:tcPr>
          <w:p w14:paraId="29957227" w14:textId="3FCA19DA" w:rsidR="00086FA5" w:rsidRPr="004D4305" w:rsidRDefault="007F1E41" w:rsidP="00D33FDF">
            <w:pPr>
              <w:pStyle w:val="TableTextEntries"/>
            </w:pPr>
            <w:r>
              <w:t>S</w:t>
            </w:r>
            <w:r w:rsidR="00086FA5" w:rsidRPr="004D4305">
              <w:t>upports Australian government agencies (and public universities) to undertake work with Pacific counterparts to address development issues.</w:t>
            </w:r>
          </w:p>
        </w:tc>
        <w:tc>
          <w:tcPr>
            <w:tcW w:w="4394" w:type="dxa"/>
          </w:tcPr>
          <w:p w14:paraId="65490048" w14:textId="4EFE13C2" w:rsidR="00086FA5" w:rsidRPr="004D4305" w:rsidRDefault="00086FA5" w:rsidP="00D33FDF">
            <w:pPr>
              <w:pStyle w:val="TableTextEntries"/>
            </w:pPr>
            <w:r w:rsidRPr="004D4305">
              <w:t xml:space="preserve">Two Pacific </w:t>
            </w:r>
            <w:r w:rsidR="00833928">
              <w:t>a</w:t>
            </w:r>
            <w:r w:rsidRPr="004D4305">
              <w:t>ctivities were delivered</w:t>
            </w:r>
            <w:r w:rsidR="00833928">
              <w:t xml:space="preserve"> with partner governments</w:t>
            </w:r>
            <w:r w:rsidRPr="004D4305">
              <w:t xml:space="preserve"> in 2012 in health and governance.</w:t>
            </w:r>
          </w:p>
          <w:p w14:paraId="3C9CBA40" w14:textId="77777777" w:rsidR="00086FA5" w:rsidRPr="004D4305" w:rsidRDefault="00086FA5" w:rsidP="00D33FDF">
            <w:pPr>
              <w:pStyle w:val="TableTextEntries"/>
            </w:pPr>
          </w:p>
        </w:tc>
      </w:tr>
      <w:tr w:rsidR="00086FA5" w:rsidRPr="004D4305" w14:paraId="342F0963" w14:textId="77777777" w:rsidTr="00D33FDF">
        <w:trPr>
          <w:cantSplit/>
          <w:tblHeader w:val="0"/>
        </w:trPr>
        <w:tc>
          <w:tcPr>
            <w:tcW w:w="2127" w:type="dxa"/>
          </w:tcPr>
          <w:p w14:paraId="57D66C9D" w14:textId="77777777" w:rsidR="00086FA5" w:rsidRPr="004D4305" w:rsidRDefault="00086FA5" w:rsidP="00D33FDF">
            <w:pPr>
              <w:pStyle w:val="TableTextEntries"/>
            </w:pPr>
            <w:r w:rsidRPr="004D4305">
              <w:t>Seasonal Workers Program</w:t>
            </w:r>
          </w:p>
        </w:tc>
        <w:tc>
          <w:tcPr>
            <w:tcW w:w="1461" w:type="dxa"/>
          </w:tcPr>
          <w:p w14:paraId="5811B3CD" w14:textId="2EC1441A" w:rsidR="00086FA5" w:rsidRPr="004D4305" w:rsidRDefault="00086FA5" w:rsidP="00D33FDF">
            <w:pPr>
              <w:pStyle w:val="TableTextEntries"/>
            </w:pPr>
            <w:r w:rsidRPr="004D4305">
              <w:t>Department of Immigration</w:t>
            </w:r>
            <w:r w:rsidR="009D24A4">
              <w:t xml:space="preserve"> and Citizenship</w:t>
            </w:r>
          </w:p>
        </w:tc>
        <w:tc>
          <w:tcPr>
            <w:tcW w:w="1275" w:type="dxa"/>
          </w:tcPr>
          <w:p w14:paraId="3A2BA779" w14:textId="0448E334" w:rsidR="00086FA5" w:rsidRPr="004D4305" w:rsidRDefault="00086FA5" w:rsidP="00D33FDF">
            <w:pPr>
              <w:pStyle w:val="TableTextEntries"/>
            </w:pPr>
            <w:r w:rsidRPr="004D4305">
              <w:t>$1.7 million 2012</w:t>
            </w:r>
            <w:r w:rsidR="00207EF2">
              <w:t>–</w:t>
            </w:r>
            <w:r w:rsidRPr="004D4305">
              <w:t>13</w:t>
            </w:r>
          </w:p>
        </w:tc>
        <w:tc>
          <w:tcPr>
            <w:tcW w:w="4678" w:type="dxa"/>
          </w:tcPr>
          <w:p w14:paraId="37C4AB4B" w14:textId="07C3F54C" w:rsidR="00086FA5" w:rsidRPr="004D4305" w:rsidRDefault="007F1E41" w:rsidP="00D33FDF">
            <w:pPr>
              <w:pStyle w:val="TableTextEntries"/>
            </w:pPr>
            <w:r>
              <w:t>Creates</w:t>
            </w:r>
            <w:r w:rsidR="00086FA5" w:rsidRPr="004D4305">
              <w:t xml:space="preserve"> opportunities for Pacific islanders to access additional income by obtaining seasonal employment in Australia.</w:t>
            </w:r>
          </w:p>
          <w:p w14:paraId="0EEC2A06" w14:textId="77777777" w:rsidR="00086FA5" w:rsidRPr="004D4305" w:rsidRDefault="00086FA5" w:rsidP="00D33FDF">
            <w:pPr>
              <w:pStyle w:val="TableTextEntries"/>
            </w:pPr>
          </w:p>
        </w:tc>
        <w:tc>
          <w:tcPr>
            <w:tcW w:w="4394" w:type="dxa"/>
          </w:tcPr>
          <w:p w14:paraId="1514F07D" w14:textId="40A96DAA" w:rsidR="00086FA5" w:rsidRPr="004D4305" w:rsidRDefault="00CC12D1" w:rsidP="00D33FDF">
            <w:pPr>
              <w:pStyle w:val="TableTextEntries"/>
            </w:pPr>
            <w:r>
              <w:t>Forty-six</w:t>
            </w:r>
            <w:r w:rsidR="00086FA5" w:rsidRPr="004D4305">
              <w:t xml:space="preserve"> visas were granted for workers from Samoa in 2012 with the average worker</w:t>
            </w:r>
            <w:r w:rsidR="00833928">
              <w:t xml:space="preserve"> </w:t>
            </w:r>
            <w:r w:rsidR="00086FA5" w:rsidRPr="004D4305">
              <w:t>remitting $5000</w:t>
            </w:r>
            <w:r w:rsidR="00207EF2">
              <w:t xml:space="preserve"> to </w:t>
            </w:r>
            <w:r w:rsidR="00086FA5" w:rsidRPr="004D4305">
              <w:t>$6000</w:t>
            </w:r>
            <w:r w:rsidR="000B628C">
              <w:t>.</w:t>
            </w:r>
          </w:p>
          <w:p w14:paraId="5F5AA9C0" w14:textId="77777777" w:rsidR="00086FA5" w:rsidRPr="004D4305" w:rsidRDefault="00086FA5" w:rsidP="00D33FDF">
            <w:pPr>
              <w:pStyle w:val="TableTextEntries"/>
            </w:pPr>
          </w:p>
        </w:tc>
      </w:tr>
      <w:tr w:rsidR="00086FA5" w:rsidRPr="004D4305" w14:paraId="73C834E0"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0B87DE41" w14:textId="77777777" w:rsidR="00086FA5" w:rsidRPr="004D4305" w:rsidRDefault="00086FA5" w:rsidP="00D33FDF">
            <w:pPr>
              <w:pStyle w:val="TableTextEntries"/>
            </w:pPr>
            <w:r w:rsidRPr="004D4305">
              <w:t>Labour Governance and Migration Project</w:t>
            </w:r>
          </w:p>
        </w:tc>
        <w:tc>
          <w:tcPr>
            <w:tcW w:w="1461" w:type="dxa"/>
          </w:tcPr>
          <w:p w14:paraId="76661B6F" w14:textId="64FAE50C" w:rsidR="00086FA5" w:rsidRPr="004D4305" w:rsidRDefault="00086FA5" w:rsidP="00D33FDF">
            <w:pPr>
              <w:pStyle w:val="TableTextEntries"/>
            </w:pPr>
            <w:r w:rsidRPr="004D4305">
              <w:t>International Labour Organi</w:t>
            </w:r>
            <w:r w:rsidR="007F1E41">
              <w:t>z</w:t>
            </w:r>
            <w:r w:rsidRPr="004D4305">
              <w:t>ation</w:t>
            </w:r>
          </w:p>
        </w:tc>
        <w:tc>
          <w:tcPr>
            <w:tcW w:w="1275" w:type="dxa"/>
          </w:tcPr>
          <w:p w14:paraId="46375787" w14:textId="7E3B8D1D" w:rsidR="00086FA5" w:rsidRPr="004D4305" w:rsidRDefault="00086FA5" w:rsidP="00D33FDF">
            <w:pPr>
              <w:pStyle w:val="TableTextEntries"/>
            </w:pPr>
            <w:r w:rsidRPr="004D4305">
              <w:t>$1.05 million 2010</w:t>
            </w:r>
            <w:r w:rsidR="00207EF2">
              <w:t>–</w:t>
            </w:r>
            <w:r w:rsidRPr="004D4305">
              <w:t>13</w:t>
            </w:r>
          </w:p>
        </w:tc>
        <w:tc>
          <w:tcPr>
            <w:tcW w:w="4678" w:type="dxa"/>
          </w:tcPr>
          <w:p w14:paraId="5425A697" w14:textId="2CA68E1E" w:rsidR="00086FA5" w:rsidRPr="004D4305" w:rsidRDefault="007F1E41" w:rsidP="00D33FDF">
            <w:pPr>
              <w:pStyle w:val="TableTextEntries"/>
            </w:pPr>
            <w:r>
              <w:t>R</w:t>
            </w:r>
            <w:r w:rsidR="00086FA5" w:rsidRPr="004D4305">
              <w:t>evise</w:t>
            </w:r>
            <w:r>
              <w:t>s</w:t>
            </w:r>
            <w:r w:rsidR="00086FA5" w:rsidRPr="004D4305">
              <w:t xml:space="preserve"> labour laws to give effect to international labour standards and strengthen reporting obligations.</w:t>
            </w:r>
          </w:p>
        </w:tc>
        <w:tc>
          <w:tcPr>
            <w:tcW w:w="4394" w:type="dxa"/>
          </w:tcPr>
          <w:p w14:paraId="4374D2CF" w14:textId="3BE7D570" w:rsidR="00086FA5" w:rsidRPr="004D4305" w:rsidRDefault="00086FA5" w:rsidP="00D33FDF">
            <w:pPr>
              <w:pStyle w:val="TableTextEntries"/>
            </w:pPr>
            <w:r w:rsidRPr="004D4305">
              <w:t>Advi</w:t>
            </w:r>
            <w:r w:rsidR="009024EE">
              <w:t>ce was provided to</w:t>
            </w:r>
            <w:r w:rsidRPr="004D4305">
              <w:t xml:space="preserve"> the Government of Samoa on amendments to occupational </w:t>
            </w:r>
            <w:r w:rsidR="00833928">
              <w:t>h</w:t>
            </w:r>
            <w:r w:rsidRPr="004D4305">
              <w:t xml:space="preserve">ealth and </w:t>
            </w:r>
            <w:r w:rsidR="00833928">
              <w:t>s</w:t>
            </w:r>
            <w:r w:rsidRPr="004D4305">
              <w:t xml:space="preserve">afety regulations. </w:t>
            </w:r>
          </w:p>
        </w:tc>
      </w:tr>
      <w:tr w:rsidR="00086FA5" w:rsidRPr="004D4305" w14:paraId="5CB7C2A0" w14:textId="77777777" w:rsidTr="00D33FDF">
        <w:trPr>
          <w:cantSplit/>
          <w:tblHeader w:val="0"/>
        </w:trPr>
        <w:tc>
          <w:tcPr>
            <w:tcW w:w="2127" w:type="dxa"/>
          </w:tcPr>
          <w:p w14:paraId="62A161DF" w14:textId="47F3ED7F" w:rsidR="00086FA5" w:rsidRPr="004D4305" w:rsidRDefault="00086FA5" w:rsidP="00D33FDF">
            <w:pPr>
              <w:pStyle w:val="TableTextEntries"/>
            </w:pPr>
            <w:r w:rsidRPr="004D4305">
              <w:t xml:space="preserve">Pacific Executive Program </w:t>
            </w:r>
          </w:p>
        </w:tc>
        <w:tc>
          <w:tcPr>
            <w:tcW w:w="1461" w:type="dxa"/>
          </w:tcPr>
          <w:p w14:paraId="64348273" w14:textId="2DEF9518" w:rsidR="00086FA5" w:rsidRPr="004D4305" w:rsidRDefault="00086FA5" w:rsidP="00D33FDF">
            <w:pPr>
              <w:pStyle w:val="TableTextEntries"/>
            </w:pPr>
            <w:r w:rsidRPr="004D4305">
              <w:t>A</w:t>
            </w:r>
            <w:r w:rsidR="007F1E41">
              <w:t>ustralia and New Zealand School of Government</w:t>
            </w:r>
          </w:p>
        </w:tc>
        <w:tc>
          <w:tcPr>
            <w:tcW w:w="1275" w:type="dxa"/>
          </w:tcPr>
          <w:p w14:paraId="4D7D58D5" w14:textId="7C9DB835" w:rsidR="00086FA5" w:rsidRPr="004D4305" w:rsidRDefault="00086FA5" w:rsidP="00D33FDF">
            <w:pPr>
              <w:pStyle w:val="TableTextEntries"/>
            </w:pPr>
            <w:r w:rsidRPr="004D4305">
              <w:t>$12.2 million 2008</w:t>
            </w:r>
            <w:r w:rsidR="00207EF2">
              <w:t>–</w:t>
            </w:r>
            <w:r w:rsidRPr="004D4305">
              <w:t>13</w:t>
            </w:r>
          </w:p>
        </w:tc>
        <w:tc>
          <w:tcPr>
            <w:tcW w:w="4678" w:type="dxa"/>
          </w:tcPr>
          <w:p w14:paraId="5CC5C229" w14:textId="49B0BA05" w:rsidR="00086FA5" w:rsidRPr="004D4305" w:rsidRDefault="00086FA5" w:rsidP="00D33FDF">
            <w:pPr>
              <w:pStyle w:val="TableTextEntries"/>
            </w:pPr>
            <w:r w:rsidRPr="004D4305">
              <w:t xml:space="preserve">Provides targeted training to Pacific public sector officials and emerging leaders </w:t>
            </w:r>
            <w:r w:rsidR="000B628C">
              <w:t>who</w:t>
            </w:r>
            <w:r w:rsidR="000B628C" w:rsidRPr="004D4305">
              <w:t xml:space="preserve"> </w:t>
            </w:r>
            <w:r w:rsidRPr="004D4305">
              <w:t>will contribute to improved leadership capabilities.</w:t>
            </w:r>
          </w:p>
        </w:tc>
        <w:tc>
          <w:tcPr>
            <w:tcW w:w="4394" w:type="dxa"/>
          </w:tcPr>
          <w:p w14:paraId="29B6967B" w14:textId="09A5E3EE" w:rsidR="00086FA5" w:rsidRPr="004D4305" w:rsidRDefault="00086FA5" w:rsidP="00D33FDF">
            <w:pPr>
              <w:pStyle w:val="TableTextEntries"/>
            </w:pPr>
            <w:r w:rsidRPr="004D4305">
              <w:t>In 2012</w:t>
            </w:r>
            <w:r w:rsidR="00207EF2">
              <w:t>–</w:t>
            </w:r>
            <w:r w:rsidRPr="004D4305">
              <w:t>13</w:t>
            </w:r>
            <w:r w:rsidR="00833928">
              <w:t>,</w:t>
            </w:r>
            <w:r w:rsidRPr="004D4305">
              <w:t xml:space="preserve"> four senior public servants from Samoa participated in</w:t>
            </w:r>
            <w:r w:rsidR="00833928">
              <w:t xml:space="preserve"> the program</w:t>
            </w:r>
            <w:r w:rsidR="00412611">
              <w:t>.</w:t>
            </w:r>
            <w:r w:rsidR="00E53359">
              <w:t xml:space="preserve"> </w:t>
            </w:r>
          </w:p>
        </w:tc>
      </w:tr>
      <w:tr w:rsidR="00086FA5" w:rsidRPr="004D4305" w14:paraId="767C232B"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10B25B14" w14:textId="73EB09BC" w:rsidR="00086FA5" w:rsidRPr="004D4305" w:rsidRDefault="00086FA5" w:rsidP="00D33FDF">
            <w:pPr>
              <w:pStyle w:val="TableTextEntries"/>
            </w:pPr>
            <w:r w:rsidRPr="004D4305">
              <w:t xml:space="preserve">Pacific Media Assistance Scheme </w:t>
            </w:r>
          </w:p>
        </w:tc>
        <w:tc>
          <w:tcPr>
            <w:tcW w:w="1461" w:type="dxa"/>
          </w:tcPr>
          <w:p w14:paraId="255CD7C6" w14:textId="77777777" w:rsidR="00086FA5" w:rsidRPr="004D4305" w:rsidRDefault="00086FA5" w:rsidP="00D33FDF">
            <w:pPr>
              <w:pStyle w:val="TableTextEntries"/>
            </w:pPr>
          </w:p>
        </w:tc>
        <w:tc>
          <w:tcPr>
            <w:tcW w:w="1275" w:type="dxa"/>
          </w:tcPr>
          <w:p w14:paraId="75CE81AC" w14:textId="254267D6" w:rsidR="00086FA5" w:rsidRPr="004D4305" w:rsidRDefault="00086FA5" w:rsidP="00D33FDF">
            <w:pPr>
              <w:pStyle w:val="TableTextEntries"/>
            </w:pPr>
            <w:r w:rsidRPr="004D4305">
              <w:t xml:space="preserve">$2.84 </w:t>
            </w:r>
            <w:r w:rsidR="00AE6C84">
              <w:t>m</w:t>
            </w:r>
            <w:r w:rsidRPr="004D4305">
              <w:t>illion 2012</w:t>
            </w:r>
            <w:r w:rsidR="00207EF2">
              <w:t>–</w:t>
            </w:r>
            <w:r w:rsidRPr="004D4305">
              <w:t>13</w:t>
            </w:r>
          </w:p>
        </w:tc>
        <w:tc>
          <w:tcPr>
            <w:tcW w:w="4678" w:type="dxa"/>
          </w:tcPr>
          <w:p w14:paraId="0E518CE9" w14:textId="483196AB" w:rsidR="00086FA5" w:rsidRPr="004D4305" w:rsidRDefault="009D24A4" w:rsidP="00D33FDF">
            <w:pPr>
              <w:pStyle w:val="TableTextEntries"/>
            </w:pPr>
            <w:r>
              <w:t>Provides support to improve media capacity and skills in the Pacific region.</w:t>
            </w:r>
          </w:p>
        </w:tc>
        <w:tc>
          <w:tcPr>
            <w:tcW w:w="4394" w:type="dxa"/>
          </w:tcPr>
          <w:p w14:paraId="69978FFF" w14:textId="2E9FD6F2" w:rsidR="00086FA5" w:rsidRPr="004D4305" w:rsidRDefault="00086FA5" w:rsidP="00D33FDF">
            <w:pPr>
              <w:pStyle w:val="TableTextEntries"/>
            </w:pPr>
            <w:r w:rsidRPr="004D4305">
              <w:t>Provided media equipment to strengthen the</w:t>
            </w:r>
            <w:r w:rsidR="009D24A4">
              <w:t xml:space="preserve"> National University of Samoa </w:t>
            </w:r>
            <w:r w:rsidRPr="004D4305">
              <w:t>media study program as part of the</w:t>
            </w:r>
            <w:r w:rsidR="00833928">
              <w:t xml:space="preserve"> t</w:t>
            </w:r>
            <w:r w:rsidR="00833928" w:rsidRPr="006773C2">
              <w:t xml:space="preserve">echnical and </w:t>
            </w:r>
            <w:r w:rsidR="00833928">
              <w:t>v</w:t>
            </w:r>
            <w:r w:rsidR="00833928" w:rsidRPr="000B628C">
              <w:t xml:space="preserve">ocational </w:t>
            </w:r>
            <w:r w:rsidR="00833928">
              <w:t>e</w:t>
            </w:r>
            <w:r w:rsidR="00833928" w:rsidRPr="000B628C">
              <w:t xml:space="preserve">ducation and </w:t>
            </w:r>
            <w:r w:rsidR="00833928">
              <w:t>t</w:t>
            </w:r>
            <w:r w:rsidR="00833928" w:rsidRPr="006773C2">
              <w:t>raining</w:t>
            </w:r>
            <w:r w:rsidRPr="004D4305">
              <w:t xml:space="preserve"> support under the first phase</w:t>
            </w:r>
            <w:r w:rsidR="00A63C2F">
              <w:t xml:space="preserve"> </w:t>
            </w:r>
            <w:r w:rsidRPr="004D4305">
              <w:t xml:space="preserve">of </w:t>
            </w:r>
            <w:r w:rsidR="00833928">
              <w:t>the program</w:t>
            </w:r>
            <w:r w:rsidRPr="004D4305">
              <w:t>.</w:t>
            </w:r>
          </w:p>
        </w:tc>
      </w:tr>
      <w:tr w:rsidR="00086FA5" w:rsidRPr="004D4305" w14:paraId="6D0ED7DD" w14:textId="77777777" w:rsidTr="00D33FDF">
        <w:trPr>
          <w:cantSplit/>
          <w:tblHeader w:val="0"/>
        </w:trPr>
        <w:tc>
          <w:tcPr>
            <w:tcW w:w="2127" w:type="dxa"/>
          </w:tcPr>
          <w:p w14:paraId="135E1A4A" w14:textId="77777777" w:rsidR="00086FA5" w:rsidRPr="004D4305" w:rsidRDefault="00086FA5" w:rsidP="00D33FDF">
            <w:pPr>
              <w:pStyle w:val="TableTextEntries"/>
            </w:pPr>
            <w:r w:rsidRPr="004D4305">
              <w:t>Pilot Program for Climate Resilience</w:t>
            </w:r>
          </w:p>
        </w:tc>
        <w:tc>
          <w:tcPr>
            <w:tcW w:w="1461" w:type="dxa"/>
          </w:tcPr>
          <w:p w14:paraId="1C23517E" w14:textId="1AE16104" w:rsidR="00086FA5" w:rsidRPr="004D4305" w:rsidRDefault="00086FA5" w:rsidP="00D33FDF">
            <w:pPr>
              <w:pStyle w:val="TableTextEntries"/>
            </w:pPr>
            <w:r w:rsidRPr="004D4305">
              <w:t>A</w:t>
            </w:r>
            <w:r w:rsidR="0020193C">
              <w:t>sian Development Bank</w:t>
            </w:r>
            <w:r w:rsidRPr="004D4305">
              <w:t>, World Bank</w:t>
            </w:r>
          </w:p>
        </w:tc>
        <w:tc>
          <w:tcPr>
            <w:tcW w:w="1275" w:type="dxa"/>
          </w:tcPr>
          <w:p w14:paraId="11FA02A1" w14:textId="0D5366B6" w:rsidR="00086FA5" w:rsidRPr="004D4305" w:rsidRDefault="00086FA5" w:rsidP="00D33FDF">
            <w:pPr>
              <w:pStyle w:val="TableTextEntries"/>
            </w:pPr>
            <w:r w:rsidRPr="004D4305">
              <w:t>$40 million 2009</w:t>
            </w:r>
            <w:r w:rsidR="00207EF2">
              <w:t>–</w:t>
            </w:r>
            <w:r w:rsidRPr="004D4305">
              <w:t>12</w:t>
            </w:r>
          </w:p>
        </w:tc>
        <w:tc>
          <w:tcPr>
            <w:tcW w:w="4678" w:type="dxa"/>
          </w:tcPr>
          <w:p w14:paraId="3F438247" w14:textId="5353A9B3" w:rsidR="00086FA5" w:rsidRPr="004D4305" w:rsidRDefault="0029109A" w:rsidP="00D33FDF">
            <w:pPr>
              <w:pStyle w:val="TableTextEntries"/>
            </w:pPr>
            <w:r>
              <w:t>Provides s</w:t>
            </w:r>
            <w:r w:rsidR="00086FA5" w:rsidRPr="004D4305">
              <w:t>upport for climate change adaptation in the region</w:t>
            </w:r>
            <w:r w:rsidR="000B628C">
              <w:t>,</w:t>
            </w:r>
            <w:r w:rsidR="00086FA5" w:rsidRPr="004D4305">
              <w:t xml:space="preserve"> including </w:t>
            </w:r>
            <w:r w:rsidR="000B628C">
              <w:t>for a</w:t>
            </w:r>
            <w:r w:rsidR="00086FA5" w:rsidRPr="004D4305">
              <w:t xml:space="preserve"> country pilot in Samoa focus</w:t>
            </w:r>
            <w:r w:rsidR="000B628C">
              <w:t>ing</w:t>
            </w:r>
            <w:r w:rsidR="00086FA5" w:rsidRPr="004D4305">
              <w:t xml:space="preserve"> on infrastructure</w:t>
            </w:r>
            <w:r w:rsidR="000B628C">
              <w:t>.</w:t>
            </w:r>
          </w:p>
        </w:tc>
        <w:tc>
          <w:tcPr>
            <w:tcW w:w="4394" w:type="dxa"/>
          </w:tcPr>
          <w:p w14:paraId="1BE9A294" w14:textId="422F3072" w:rsidR="00086FA5" w:rsidRPr="004D4305" w:rsidRDefault="00FE3ABF" w:rsidP="00D33FDF">
            <w:pPr>
              <w:pStyle w:val="TableTextEntries"/>
            </w:pPr>
            <w:r>
              <w:t>Not</w:t>
            </w:r>
            <w:r w:rsidR="009024EE">
              <w:t xml:space="preserve"> yet</w:t>
            </w:r>
            <w:r>
              <w:t xml:space="preserve"> provided.</w:t>
            </w:r>
          </w:p>
        </w:tc>
      </w:tr>
      <w:tr w:rsidR="00086FA5" w:rsidRPr="004D4305" w14:paraId="6CF28B7C"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6D7C19CA" w14:textId="74926B30" w:rsidR="00086FA5" w:rsidRPr="00D33FDF" w:rsidRDefault="00086FA5" w:rsidP="00D33FDF">
            <w:pPr>
              <w:pStyle w:val="TableTextEntries"/>
            </w:pPr>
            <w:r w:rsidRPr="00D33FDF">
              <w:t>Global Environment Facility</w:t>
            </w:r>
            <w:r w:rsidR="00833928" w:rsidRPr="00D33FDF">
              <w:t>—</w:t>
            </w:r>
            <w:r w:rsidRPr="00D33FDF">
              <w:t>Small Grants Program</w:t>
            </w:r>
          </w:p>
        </w:tc>
        <w:tc>
          <w:tcPr>
            <w:tcW w:w="1461" w:type="dxa"/>
          </w:tcPr>
          <w:p w14:paraId="4CF658C9" w14:textId="6A397932" w:rsidR="00086FA5" w:rsidRPr="00D33FDF" w:rsidRDefault="00086FA5" w:rsidP="00D33FDF">
            <w:pPr>
              <w:pStyle w:val="TableTextEntries"/>
            </w:pPr>
            <w:r w:rsidRPr="00D33FDF">
              <w:t>G</w:t>
            </w:r>
            <w:r w:rsidR="00833928" w:rsidRPr="00D33FDF">
              <w:t>lobal Environment Facility</w:t>
            </w:r>
            <w:r w:rsidRPr="00D33FDF">
              <w:t>, U</w:t>
            </w:r>
            <w:r w:rsidR="0020193C" w:rsidRPr="00D33FDF">
              <w:t>nited Nations Development Programme</w:t>
            </w:r>
          </w:p>
        </w:tc>
        <w:tc>
          <w:tcPr>
            <w:tcW w:w="1275" w:type="dxa"/>
          </w:tcPr>
          <w:p w14:paraId="21B90158" w14:textId="77777777" w:rsidR="00086FA5" w:rsidRPr="00D33FDF" w:rsidRDefault="00086FA5" w:rsidP="00D33FDF">
            <w:pPr>
              <w:pStyle w:val="TableTextEntries"/>
            </w:pPr>
            <w:r w:rsidRPr="00D33FDF">
              <w:t xml:space="preserve">$12 million </w:t>
            </w:r>
          </w:p>
          <w:p w14:paraId="51755D24" w14:textId="123289CF" w:rsidR="00086FA5" w:rsidRPr="00D33FDF" w:rsidRDefault="00086FA5" w:rsidP="00D33FDF">
            <w:pPr>
              <w:pStyle w:val="TableTextEntries"/>
            </w:pPr>
            <w:r w:rsidRPr="00D33FDF">
              <w:t>2008</w:t>
            </w:r>
            <w:r w:rsidR="00207EF2" w:rsidRPr="00D33FDF">
              <w:t>–</w:t>
            </w:r>
            <w:r w:rsidRPr="00D33FDF">
              <w:t>13</w:t>
            </w:r>
          </w:p>
        </w:tc>
        <w:tc>
          <w:tcPr>
            <w:tcW w:w="4678" w:type="dxa"/>
          </w:tcPr>
          <w:p w14:paraId="1E83158E" w14:textId="6BD4B9C0" w:rsidR="00086FA5" w:rsidRPr="00D33FDF" w:rsidRDefault="00361A8D" w:rsidP="00D33FDF">
            <w:pPr>
              <w:pStyle w:val="TableTextEntries"/>
            </w:pPr>
            <w:r w:rsidRPr="00D33FDF">
              <w:t>Implement</w:t>
            </w:r>
            <w:r w:rsidR="0029109A" w:rsidRPr="00D33FDF">
              <w:t>s</w:t>
            </w:r>
            <w:r w:rsidRPr="00D33FDF">
              <w:t xml:space="preserve"> (by UNDP) c</w:t>
            </w:r>
            <w:r w:rsidR="00086FA5" w:rsidRPr="00D33FDF">
              <w:t>ommunity</w:t>
            </w:r>
            <w:r w:rsidRPr="00D33FDF">
              <w:t>-</w:t>
            </w:r>
            <w:r w:rsidR="00086FA5" w:rsidRPr="00D33FDF">
              <w:t>based climate change adaptation activities</w:t>
            </w:r>
            <w:r w:rsidR="00833928" w:rsidRPr="00D33FDF">
              <w:t>.</w:t>
            </w:r>
          </w:p>
        </w:tc>
        <w:tc>
          <w:tcPr>
            <w:tcW w:w="4394" w:type="dxa"/>
          </w:tcPr>
          <w:p w14:paraId="25DEBC82" w14:textId="22E4CC66" w:rsidR="00086FA5" w:rsidRPr="00D33FDF" w:rsidRDefault="00086FA5" w:rsidP="00D33FDF">
            <w:pPr>
              <w:pStyle w:val="TableTextEntries"/>
            </w:pPr>
            <w:r w:rsidRPr="00D33FDF">
              <w:t>Three communities completed projects and a</w:t>
            </w:r>
            <w:r w:rsidR="00361A8D" w:rsidRPr="00D33FDF">
              <w:t>nother</w:t>
            </w:r>
            <w:r w:rsidRPr="00D33FDF">
              <w:t xml:space="preserve"> four </w:t>
            </w:r>
            <w:r w:rsidR="00361A8D" w:rsidRPr="00D33FDF">
              <w:t xml:space="preserve">started </w:t>
            </w:r>
            <w:r w:rsidRPr="00D33FDF">
              <w:t>activities t</w:t>
            </w:r>
            <w:r w:rsidR="00361A8D" w:rsidRPr="00D33FDF">
              <w:t>o</w:t>
            </w:r>
            <w:r w:rsidRPr="00D33FDF">
              <w:t xml:space="preserve"> improve community resilience to </w:t>
            </w:r>
            <w:r w:rsidR="002205B3" w:rsidRPr="00D33FDF">
              <w:t xml:space="preserve">the impacts of </w:t>
            </w:r>
            <w:r w:rsidRPr="00D33FDF">
              <w:t>climate change</w:t>
            </w:r>
            <w:r w:rsidR="002205B3" w:rsidRPr="00D33FDF">
              <w:t>.</w:t>
            </w:r>
            <w:r w:rsidRPr="00D33FDF">
              <w:t xml:space="preserve"> </w:t>
            </w:r>
          </w:p>
        </w:tc>
      </w:tr>
      <w:tr w:rsidR="00086FA5" w:rsidRPr="004D4305" w14:paraId="1EADE8F2" w14:textId="77777777" w:rsidTr="00D33FDF">
        <w:trPr>
          <w:cantSplit/>
          <w:tblHeader w:val="0"/>
        </w:trPr>
        <w:tc>
          <w:tcPr>
            <w:tcW w:w="2127" w:type="dxa"/>
          </w:tcPr>
          <w:p w14:paraId="2FDE0018" w14:textId="77777777" w:rsidR="00086FA5" w:rsidRPr="00D33FDF" w:rsidRDefault="00086FA5" w:rsidP="00D33FDF">
            <w:pPr>
              <w:pStyle w:val="TableTextEntries"/>
            </w:pPr>
            <w:r w:rsidRPr="00D33FDF">
              <w:t>Climate and Oceans Support Program</w:t>
            </w:r>
          </w:p>
        </w:tc>
        <w:tc>
          <w:tcPr>
            <w:tcW w:w="1461" w:type="dxa"/>
          </w:tcPr>
          <w:p w14:paraId="72B66FDC" w14:textId="68074EDE" w:rsidR="00086FA5" w:rsidRPr="00D33FDF" w:rsidRDefault="00833928" w:rsidP="00A47ECF">
            <w:pPr>
              <w:pStyle w:val="TableTextEntries"/>
            </w:pPr>
            <w:r w:rsidRPr="00D33FDF">
              <w:t>Department of Climate Change and Energy Efficienc</w:t>
            </w:r>
            <w:r w:rsidR="00A47ECF">
              <w:t>y</w:t>
            </w:r>
          </w:p>
        </w:tc>
        <w:tc>
          <w:tcPr>
            <w:tcW w:w="1275" w:type="dxa"/>
          </w:tcPr>
          <w:p w14:paraId="5BEE2E47" w14:textId="6131F796" w:rsidR="00086FA5" w:rsidRPr="00D33FDF" w:rsidRDefault="00086FA5" w:rsidP="00D33FDF">
            <w:pPr>
              <w:pStyle w:val="TableTextEntries"/>
            </w:pPr>
            <w:r w:rsidRPr="00D33FDF">
              <w:t>$8.3 million 2012</w:t>
            </w:r>
            <w:r w:rsidR="00207EF2" w:rsidRPr="00D33FDF">
              <w:t>–</w:t>
            </w:r>
            <w:r w:rsidRPr="00D33FDF">
              <w:t>13 over 14 countries</w:t>
            </w:r>
          </w:p>
        </w:tc>
        <w:tc>
          <w:tcPr>
            <w:tcW w:w="4678" w:type="dxa"/>
          </w:tcPr>
          <w:p w14:paraId="5B722E3C" w14:textId="2271F062" w:rsidR="00086FA5" w:rsidRPr="00D33FDF" w:rsidRDefault="00086FA5" w:rsidP="00D33FDF">
            <w:pPr>
              <w:pStyle w:val="TableTextEntries"/>
            </w:pPr>
            <w:r w:rsidRPr="00D33FDF">
              <w:t>Train</w:t>
            </w:r>
            <w:r w:rsidR="0029109A" w:rsidRPr="00D33FDF">
              <w:t>s</w:t>
            </w:r>
            <w:r w:rsidRPr="00D33FDF">
              <w:t xml:space="preserve"> </w:t>
            </w:r>
            <w:r w:rsidR="00361A8D" w:rsidRPr="00D33FDF">
              <w:t>m</w:t>
            </w:r>
            <w:r w:rsidRPr="00D33FDF">
              <w:t>eteorology and M</w:t>
            </w:r>
            <w:r w:rsidR="00361A8D" w:rsidRPr="00D33FDF">
              <w:t>inistry of Natural Resources and Environment</w:t>
            </w:r>
            <w:r w:rsidRPr="00D33FDF">
              <w:t xml:space="preserve"> officials in climate software and other workshops</w:t>
            </w:r>
            <w:r w:rsidR="00833928" w:rsidRPr="00D33FDF">
              <w:t>.</w:t>
            </w:r>
          </w:p>
        </w:tc>
        <w:tc>
          <w:tcPr>
            <w:tcW w:w="4394" w:type="dxa"/>
          </w:tcPr>
          <w:p w14:paraId="4664A8D6" w14:textId="311097A5" w:rsidR="00086FA5" w:rsidRPr="00D33FDF" w:rsidRDefault="00086FA5" w:rsidP="00D33FDF">
            <w:pPr>
              <w:pStyle w:val="TableTextEntries"/>
            </w:pPr>
            <w:r w:rsidRPr="00D33FDF">
              <w:t xml:space="preserve">Worked with the Samoan Meteorological Service to extend seasonal forecasting capacity. </w:t>
            </w:r>
          </w:p>
        </w:tc>
      </w:tr>
      <w:tr w:rsidR="00086FA5" w:rsidRPr="004D4305" w14:paraId="112E388D"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10CE3F2B" w14:textId="77777777" w:rsidR="00086FA5" w:rsidRPr="00D33FDF" w:rsidRDefault="00086FA5" w:rsidP="00D33FDF">
            <w:pPr>
              <w:pStyle w:val="TableTextEntries"/>
            </w:pPr>
            <w:r w:rsidRPr="00D33FDF">
              <w:t>South Pacific Sea Level and Climate Monitoring Project</w:t>
            </w:r>
          </w:p>
          <w:p w14:paraId="535A1163" w14:textId="77777777" w:rsidR="00086FA5" w:rsidRPr="00D33FDF" w:rsidRDefault="00086FA5" w:rsidP="00D33FDF">
            <w:pPr>
              <w:pStyle w:val="TableTextEntries"/>
            </w:pPr>
          </w:p>
        </w:tc>
        <w:tc>
          <w:tcPr>
            <w:tcW w:w="1461" w:type="dxa"/>
          </w:tcPr>
          <w:p w14:paraId="4159E8B8" w14:textId="77777777" w:rsidR="00086FA5" w:rsidRPr="00D33FDF" w:rsidRDefault="00086FA5" w:rsidP="00D33FDF">
            <w:pPr>
              <w:pStyle w:val="TableTextEntries"/>
            </w:pPr>
            <w:r w:rsidRPr="00D33FDF">
              <w:t>Geoscience Australia</w:t>
            </w:r>
          </w:p>
        </w:tc>
        <w:tc>
          <w:tcPr>
            <w:tcW w:w="1275" w:type="dxa"/>
          </w:tcPr>
          <w:p w14:paraId="3141A7F2" w14:textId="401A6A2F" w:rsidR="00086FA5" w:rsidRPr="00D33FDF" w:rsidRDefault="00086FA5" w:rsidP="00D33FDF">
            <w:pPr>
              <w:pStyle w:val="TableTextEntries"/>
            </w:pPr>
            <w:r w:rsidRPr="00D33FDF">
              <w:t>$32 million from 1991</w:t>
            </w:r>
            <w:r w:rsidR="00207EF2" w:rsidRPr="00D33FDF">
              <w:t>–</w:t>
            </w:r>
            <w:r w:rsidRPr="00D33FDF">
              <w:t>2010</w:t>
            </w:r>
          </w:p>
        </w:tc>
        <w:tc>
          <w:tcPr>
            <w:tcW w:w="4678" w:type="dxa"/>
          </w:tcPr>
          <w:p w14:paraId="3ED4C53B" w14:textId="486ED32F" w:rsidR="00086FA5" w:rsidRPr="00D33FDF" w:rsidRDefault="00086FA5" w:rsidP="00D33FDF">
            <w:pPr>
              <w:pStyle w:val="TableTextEntries"/>
            </w:pPr>
            <w:r w:rsidRPr="00D33FDF">
              <w:t>Collect</w:t>
            </w:r>
            <w:r w:rsidR="0029109A" w:rsidRPr="00D33FDF">
              <w:t>s</w:t>
            </w:r>
            <w:r w:rsidRPr="00D33FDF">
              <w:t xml:space="preserve"> data that contributes to international measurement of sea</w:t>
            </w:r>
            <w:r w:rsidR="00361A8D" w:rsidRPr="00D33FDF">
              <w:t>-</w:t>
            </w:r>
            <w:r w:rsidRPr="00D33FDF">
              <w:t>level changes, a</w:t>
            </w:r>
            <w:r w:rsidR="00361A8D" w:rsidRPr="00D33FDF">
              <w:t>nd</w:t>
            </w:r>
            <w:r w:rsidRPr="00D33FDF">
              <w:t xml:space="preserve"> data on local sea level</w:t>
            </w:r>
            <w:r w:rsidR="00361A8D" w:rsidRPr="00D33FDF">
              <w:t>s</w:t>
            </w:r>
            <w:r w:rsidRPr="00D33FDF">
              <w:t>, climatic conditions and movements in the earth’s crust</w:t>
            </w:r>
            <w:r w:rsidR="00833928" w:rsidRPr="00D33FDF">
              <w:t>.</w:t>
            </w:r>
          </w:p>
        </w:tc>
        <w:tc>
          <w:tcPr>
            <w:tcW w:w="4394" w:type="dxa"/>
          </w:tcPr>
          <w:p w14:paraId="039F4BDE" w14:textId="27626E64" w:rsidR="00086FA5" w:rsidRPr="00D33FDF" w:rsidRDefault="00FE3ABF" w:rsidP="00D33FDF">
            <w:pPr>
              <w:pStyle w:val="TableTextEntries"/>
            </w:pPr>
            <w:r w:rsidRPr="00D33FDF">
              <w:t xml:space="preserve">Not </w:t>
            </w:r>
            <w:r w:rsidR="009024EE" w:rsidRPr="00D33FDF">
              <w:t xml:space="preserve">yet </w:t>
            </w:r>
            <w:r w:rsidRPr="00D33FDF">
              <w:t>provided.</w:t>
            </w:r>
          </w:p>
        </w:tc>
      </w:tr>
      <w:tr w:rsidR="00086FA5" w:rsidRPr="004D4305" w14:paraId="2C506D0C" w14:textId="77777777" w:rsidTr="00D33FDF">
        <w:trPr>
          <w:cantSplit/>
          <w:tblHeader w:val="0"/>
        </w:trPr>
        <w:tc>
          <w:tcPr>
            <w:tcW w:w="2127" w:type="dxa"/>
          </w:tcPr>
          <w:p w14:paraId="353C35D7" w14:textId="77777777" w:rsidR="00086FA5" w:rsidRPr="00D33FDF" w:rsidRDefault="00086FA5" w:rsidP="00D33FDF">
            <w:pPr>
              <w:pStyle w:val="TableTextEntries"/>
            </w:pPr>
            <w:r w:rsidRPr="00D33FDF">
              <w:t xml:space="preserve">Pacific Australia Climate Change Science and Adaptation Planning Program </w:t>
            </w:r>
          </w:p>
        </w:tc>
        <w:tc>
          <w:tcPr>
            <w:tcW w:w="1461" w:type="dxa"/>
          </w:tcPr>
          <w:p w14:paraId="61EA50EB" w14:textId="0D550763" w:rsidR="00086FA5" w:rsidRPr="00D33FDF" w:rsidRDefault="00833928" w:rsidP="00D33FDF">
            <w:pPr>
              <w:pStyle w:val="TableTextEntries"/>
            </w:pPr>
            <w:r w:rsidRPr="00D33FDF">
              <w:t>Department of Climate Change and Energy Efficiency</w:t>
            </w:r>
            <w:r w:rsidR="00086FA5" w:rsidRPr="00D33FDF">
              <w:t>, B</w:t>
            </w:r>
            <w:r w:rsidRPr="00D33FDF">
              <w:t xml:space="preserve">ureau of </w:t>
            </w:r>
            <w:r w:rsidR="009D24A4" w:rsidRPr="00D33FDF">
              <w:t xml:space="preserve">Meteorology </w:t>
            </w:r>
            <w:r w:rsidR="00086FA5" w:rsidRPr="00D33FDF">
              <w:t>, CSIRO</w:t>
            </w:r>
          </w:p>
        </w:tc>
        <w:tc>
          <w:tcPr>
            <w:tcW w:w="1275" w:type="dxa"/>
          </w:tcPr>
          <w:p w14:paraId="752F4313" w14:textId="43AC4BD2" w:rsidR="00086FA5" w:rsidRPr="00D33FDF" w:rsidRDefault="00086FA5" w:rsidP="00D33FDF">
            <w:pPr>
              <w:pStyle w:val="TableTextEntries"/>
            </w:pPr>
            <w:r w:rsidRPr="00D33FDF">
              <w:t>$19 million 2012</w:t>
            </w:r>
            <w:r w:rsidR="00207EF2" w:rsidRPr="00D33FDF">
              <w:t>–</w:t>
            </w:r>
            <w:r w:rsidRPr="00D33FDF">
              <w:t>13 over</w:t>
            </w:r>
            <w:r w:rsidR="00AE6C84" w:rsidRPr="00D33FDF">
              <w:t xml:space="preserve"> </w:t>
            </w:r>
            <w:r w:rsidRPr="00D33FDF">
              <w:t>14 countries</w:t>
            </w:r>
          </w:p>
        </w:tc>
        <w:tc>
          <w:tcPr>
            <w:tcW w:w="4678" w:type="dxa"/>
          </w:tcPr>
          <w:p w14:paraId="312D2BD6" w14:textId="5EA87C54" w:rsidR="00086FA5" w:rsidRPr="00D33FDF" w:rsidRDefault="00361A8D" w:rsidP="00D33FDF">
            <w:pPr>
              <w:pStyle w:val="TableTextEntries"/>
            </w:pPr>
            <w:r w:rsidRPr="00D33FDF">
              <w:t>Develop</w:t>
            </w:r>
            <w:r w:rsidR="0029109A" w:rsidRPr="00D33FDF">
              <w:t>s</w:t>
            </w:r>
            <w:r w:rsidRPr="00D33FDF">
              <w:t xml:space="preserve"> c</w:t>
            </w:r>
            <w:r w:rsidR="00086FA5" w:rsidRPr="00D33FDF">
              <w:t>apacity in climatic modelling, forecasting and communication to government and industry</w:t>
            </w:r>
            <w:r w:rsidR="00833928" w:rsidRPr="00D33FDF">
              <w:t>.</w:t>
            </w:r>
          </w:p>
        </w:tc>
        <w:tc>
          <w:tcPr>
            <w:tcW w:w="4394" w:type="dxa"/>
          </w:tcPr>
          <w:p w14:paraId="2CF77501" w14:textId="22D1878C" w:rsidR="00086FA5" w:rsidRPr="00D33FDF" w:rsidRDefault="00086FA5" w:rsidP="00D33FDF">
            <w:pPr>
              <w:pStyle w:val="TableTextEntries"/>
            </w:pPr>
            <w:r w:rsidRPr="00D33FDF">
              <w:t>Collec</w:t>
            </w:r>
            <w:r w:rsidR="00361A8D" w:rsidRPr="00D33FDF">
              <w:t>ted</w:t>
            </w:r>
            <w:r w:rsidRPr="00D33FDF">
              <w:t xml:space="preserve"> elevation data to inform urban infrastructure planning and risk assessments.</w:t>
            </w:r>
          </w:p>
        </w:tc>
      </w:tr>
      <w:tr w:rsidR="00086FA5" w:rsidRPr="004D4305" w14:paraId="1A3C1E1E"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13935" w:type="dxa"/>
            <w:gridSpan w:val="5"/>
          </w:tcPr>
          <w:p w14:paraId="24743C5A" w14:textId="5B49BB0F" w:rsidR="00086FA5" w:rsidRPr="004D4305" w:rsidRDefault="00086FA5" w:rsidP="00D33FDF">
            <w:pPr>
              <w:pStyle w:val="TableHeading2"/>
            </w:pPr>
            <w:r w:rsidRPr="004D4305">
              <w:t xml:space="preserve">Law </w:t>
            </w:r>
            <w:r w:rsidR="00833928">
              <w:t>and j</w:t>
            </w:r>
            <w:r w:rsidRPr="004D4305">
              <w:t>ustice</w:t>
            </w:r>
          </w:p>
        </w:tc>
      </w:tr>
      <w:tr w:rsidR="00086FA5" w:rsidRPr="004D4305" w14:paraId="57266E83" w14:textId="77777777" w:rsidTr="00D33FDF">
        <w:trPr>
          <w:cantSplit/>
          <w:tblHeader w:val="0"/>
        </w:trPr>
        <w:tc>
          <w:tcPr>
            <w:tcW w:w="2127" w:type="dxa"/>
          </w:tcPr>
          <w:p w14:paraId="0F5C1B13" w14:textId="77777777" w:rsidR="00086FA5" w:rsidRPr="00D33FDF" w:rsidRDefault="00086FA5" w:rsidP="00D33FDF">
            <w:pPr>
              <w:pStyle w:val="TableTextEntries"/>
            </w:pPr>
            <w:r w:rsidRPr="00D33FDF">
              <w:t>Pacific Ombudsman Alliance</w:t>
            </w:r>
          </w:p>
        </w:tc>
        <w:tc>
          <w:tcPr>
            <w:tcW w:w="1461" w:type="dxa"/>
          </w:tcPr>
          <w:p w14:paraId="5B8767E4" w14:textId="77777777" w:rsidR="00086FA5" w:rsidRPr="00D33FDF" w:rsidRDefault="00086FA5" w:rsidP="00D33FDF">
            <w:pPr>
              <w:pStyle w:val="TableTextEntries"/>
            </w:pPr>
            <w:r w:rsidRPr="00D33FDF">
              <w:t>Commonwealth Ombudsman</w:t>
            </w:r>
          </w:p>
        </w:tc>
        <w:tc>
          <w:tcPr>
            <w:tcW w:w="1275" w:type="dxa"/>
          </w:tcPr>
          <w:p w14:paraId="74A9744F" w14:textId="4E0912E2" w:rsidR="00086FA5" w:rsidRPr="00D33FDF" w:rsidRDefault="00086FA5" w:rsidP="00D33FDF">
            <w:pPr>
              <w:pStyle w:val="TableTextEntries"/>
            </w:pPr>
            <w:r w:rsidRPr="00D33FDF">
              <w:t>$1.8 million 2009</w:t>
            </w:r>
            <w:r w:rsidR="00207EF2" w:rsidRPr="00D33FDF">
              <w:t>–</w:t>
            </w:r>
            <w:r w:rsidRPr="00D33FDF">
              <w:t>13</w:t>
            </w:r>
          </w:p>
        </w:tc>
        <w:tc>
          <w:tcPr>
            <w:tcW w:w="4678" w:type="dxa"/>
          </w:tcPr>
          <w:p w14:paraId="23DFFCC7" w14:textId="081FB33A" w:rsidR="00086FA5" w:rsidRPr="00D33FDF" w:rsidRDefault="009024EE" w:rsidP="00D33FDF">
            <w:pPr>
              <w:pStyle w:val="TableTextEntries"/>
            </w:pPr>
            <w:r w:rsidRPr="00D33FDF">
              <w:t>Provides s</w:t>
            </w:r>
            <w:r w:rsidR="00086FA5" w:rsidRPr="00D33FDF">
              <w:t>upport and</w:t>
            </w:r>
            <w:r w:rsidR="00361A8D" w:rsidRPr="00D33FDF">
              <w:t xml:space="preserve"> </w:t>
            </w:r>
            <w:r w:rsidR="00086FA5" w:rsidRPr="00D33FDF">
              <w:t>advice to strengthen Ombudsman services throughout the region in accordance with the Pacific Plan</w:t>
            </w:r>
            <w:r w:rsidR="00833928" w:rsidRPr="00D33FDF">
              <w:t>.</w:t>
            </w:r>
          </w:p>
        </w:tc>
        <w:tc>
          <w:tcPr>
            <w:tcW w:w="4394" w:type="dxa"/>
          </w:tcPr>
          <w:p w14:paraId="62F11E5B" w14:textId="545BB478" w:rsidR="00086FA5" w:rsidRPr="00D33FDF" w:rsidRDefault="00361A8D" w:rsidP="00D33FDF">
            <w:pPr>
              <w:pStyle w:val="TableTextEntries"/>
            </w:pPr>
            <w:r w:rsidRPr="00D33FDF">
              <w:t>Conducted a public awareness campaign that led to an i</w:t>
            </w:r>
            <w:r w:rsidR="00086FA5" w:rsidRPr="00D33FDF">
              <w:t>ncrease</w:t>
            </w:r>
            <w:r w:rsidRPr="00D33FDF">
              <w:t xml:space="preserve"> in</w:t>
            </w:r>
            <w:r w:rsidR="00086FA5" w:rsidRPr="00D33FDF">
              <w:t xml:space="preserve"> recognition</w:t>
            </w:r>
            <w:r w:rsidR="009D24A4" w:rsidRPr="00D33FDF">
              <w:t xml:space="preserve"> of the Ombudsman’s work</w:t>
            </w:r>
            <w:r w:rsidR="00086FA5" w:rsidRPr="00D33FDF">
              <w:t xml:space="preserve"> and</w:t>
            </w:r>
            <w:r w:rsidRPr="00D33FDF">
              <w:t xml:space="preserve"> number of</w:t>
            </w:r>
            <w:r w:rsidR="00086FA5" w:rsidRPr="00D33FDF">
              <w:t xml:space="preserve"> complaints received.</w:t>
            </w:r>
          </w:p>
        </w:tc>
      </w:tr>
      <w:tr w:rsidR="00086FA5" w:rsidRPr="004D4305" w14:paraId="26381E84"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13935" w:type="dxa"/>
            <w:gridSpan w:val="5"/>
          </w:tcPr>
          <w:p w14:paraId="786A6F2E" w14:textId="5D274532" w:rsidR="00086FA5" w:rsidRPr="004D4305" w:rsidRDefault="00086FA5" w:rsidP="00D33FDF">
            <w:pPr>
              <w:pStyle w:val="TableHeading2"/>
            </w:pPr>
            <w:r w:rsidRPr="004D4305">
              <w:t xml:space="preserve">Other </w:t>
            </w:r>
            <w:r w:rsidR="00833928">
              <w:t>s</w:t>
            </w:r>
            <w:r w:rsidRPr="004D4305">
              <w:t>ectors</w:t>
            </w:r>
          </w:p>
        </w:tc>
      </w:tr>
      <w:tr w:rsidR="00086FA5" w:rsidRPr="004D4305" w14:paraId="1CD629BD" w14:textId="77777777" w:rsidTr="00D33FDF">
        <w:trPr>
          <w:cantSplit/>
          <w:tblHeader w:val="0"/>
        </w:trPr>
        <w:tc>
          <w:tcPr>
            <w:tcW w:w="2127" w:type="dxa"/>
          </w:tcPr>
          <w:p w14:paraId="51F76985" w14:textId="77777777" w:rsidR="00086FA5" w:rsidRPr="004D4305" w:rsidRDefault="00086FA5" w:rsidP="00D33FDF">
            <w:pPr>
              <w:pStyle w:val="TableTextEntries"/>
            </w:pPr>
            <w:r w:rsidRPr="004D4305">
              <w:t>Australian Volunteer Program</w:t>
            </w:r>
          </w:p>
        </w:tc>
        <w:tc>
          <w:tcPr>
            <w:tcW w:w="1461" w:type="dxa"/>
          </w:tcPr>
          <w:p w14:paraId="1B97FCAB" w14:textId="17401F81" w:rsidR="00086FA5" w:rsidRPr="004D4305" w:rsidRDefault="00086FA5" w:rsidP="00D33FDF">
            <w:pPr>
              <w:pStyle w:val="TableTextEntries"/>
            </w:pPr>
            <w:proofErr w:type="spellStart"/>
            <w:r w:rsidRPr="004D4305">
              <w:t>Austraining</w:t>
            </w:r>
            <w:proofErr w:type="spellEnd"/>
            <w:r w:rsidR="00833928">
              <w:t xml:space="preserve"> International</w:t>
            </w:r>
          </w:p>
        </w:tc>
        <w:tc>
          <w:tcPr>
            <w:tcW w:w="1275" w:type="dxa"/>
          </w:tcPr>
          <w:p w14:paraId="30C4EE6F" w14:textId="150788DD" w:rsidR="00086FA5" w:rsidRPr="004D4305" w:rsidRDefault="00086FA5" w:rsidP="00D33FDF">
            <w:pPr>
              <w:pStyle w:val="TableTextEntries"/>
            </w:pPr>
            <w:r w:rsidRPr="004D4305">
              <w:t>$12.2 million 2011</w:t>
            </w:r>
            <w:r w:rsidR="00207EF2">
              <w:t>–</w:t>
            </w:r>
            <w:r w:rsidRPr="004D4305">
              <w:t>12</w:t>
            </w:r>
          </w:p>
        </w:tc>
        <w:tc>
          <w:tcPr>
            <w:tcW w:w="4678" w:type="dxa"/>
          </w:tcPr>
          <w:p w14:paraId="0DFBE8A7" w14:textId="5A1121FA" w:rsidR="00086FA5" w:rsidRPr="004D4305" w:rsidRDefault="009024EE" w:rsidP="00D33FDF">
            <w:pPr>
              <w:pStyle w:val="TableTextEntries"/>
            </w:pPr>
            <w:r>
              <w:rPr>
                <w:lang w:val="en"/>
              </w:rPr>
              <w:t>P</w:t>
            </w:r>
            <w:r w:rsidR="00361A8D">
              <w:rPr>
                <w:lang w:val="en"/>
              </w:rPr>
              <w:t>rovide</w:t>
            </w:r>
            <w:r>
              <w:rPr>
                <w:lang w:val="en"/>
              </w:rPr>
              <w:t>s</w:t>
            </w:r>
            <w:r w:rsidR="00086FA5" w:rsidRPr="004D4305">
              <w:rPr>
                <w:lang w:val="en"/>
              </w:rPr>
              <w:t xml:space="preserve"> services</w:t>
            </w:r>
            <w:r>
              <w:rPr>
                <w:lang w:val="en"/>
              </w:rPr>
              <w:t xml:space="preserve"> (Australian volunteers)</w:t>
            </w:r>
            <w:r w:rsidR="00086FA5" w:rsidRPr="004D4305">
              <w:rPr>
                <w:lang w:val="en"/>
              </w:rPr>
              <w:t xml:space="preserve"> in developing countries, in support of Australian Government aid program</w:t>
            </w:r>
            <w:r w:rsidR="00361A8D">
              <w:rPr>
                <w:lang w:val="en"/>
              </w:rPr>
              <w:t xml:space="preserve"> priorities</w:t>
            </w:r>
            <w:r w:rsidR="00086FA5" w:rsidRPr="004D4305">
              <w:rPr>
                <w:lang w:val="en"/>
              </w:rPr>
              <w:t>.</w:t>
            </w:r>
          </w:p>
        </w:tc>
        <w:tc>
          <w:tcPr>
            <w:tcW w:w="4394" w:type="dxa"/>
          </w:tcPr>
          <w:p w14:paraId="1418F75B" w14:textId="5E515766" w:rsidR="00086FA5" w:rsidRPr="004D4305" w:rsidRDefault="00086FA5" w:rsidP="00D33FDF">
            <w:pPr>
              <w:pStyle w:val="TableTextEntries"/>
            </w:pPr>
            <w:r w:rsidRPr="004D4305">
              <w:t>In 2012</w:t>
            </w:r>
            <w:r w:rsidR="00207EF2">
              <w:t>–</w:t>
            </w:r>
            <w:r w:rsidRPr="004D4305">
              <w:t xml:space="preserve">13, 35 new volunteers undertook placements in a range of sectors. </w:t>
            </w:r>
          </w:p>
        </w:tc>
      </w:tr>
      <w:tr w:rsidR="00086FA5" w:rsidRPr="004D4305" w14:paraId="7E558096"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5F0BFCAB" w14:textId="27D9115A" w:rsidR="00086FA5" w:rsidRPr="004D4305" w:rsidRDefault="00086FA5" w:rsidP="00D33FDF">
            <w:pPr>
              <w:pStyle w:val="TableTextEntries"/>
            </w:pPr>
            <w:r w:rsidRPr="004D4305">
              <w:t xml:space="preserve">Pacific Regional Agricultural Market Access </w:t>
            </w:r>
          </w:p>
        </w:tc>
        <w:tc>
          <w:tcPr>
            <w:tcW w:w="1461" w:type="dxa"/>
          </w:tcPr>
          <w:p w14:paraId="69E9111F" w14:textId="77777777" w:rsidR="00086FA5" w:rsidRPr="004D4305" w:rsidRDefault="00086FA5" w:rsidP="00D33FDF">
            <w:pPr>
              <w:pStyle w:val="TableTextEntries"/>
            </w:pPr>
          </w:p>
        </w:tc>
        <w:tc>
          <w:tcPr>
            <w:tcW w:w="1275" w:type="dxa"/>
          </w:tcPr>
          <w:p w14:paraId="2D42CCC5" w14:textId="3430AE84" w:rsidR="00086FA5" w:rsidRPr="004D4305" w:rsidRDefault="00086FA5" w:rsidP="00D33FDF">
            <w:pPr>
              <w:pStyle w:val="TableTextEntries"/>
            </w:pPr>
            <w:r w:rsidRPr="004D4305">
              <w:t>$5.3 million 2012</w:t>
            </w:r>
            <w:r w:rsidR="00207EF2">
              <w:t>–</w:t>
            </w:r>
            <w:r w:rsidRPr="004D4305">
              <w:t>13</w:t>
            </w:r>
          </w:p>
        </w:tc>
        <w:tc>
          <w:tcPr>
            <w:tcW w:w="4678" w:type="dxa"/>
          </w:tcPr>
          <w:p w14:paraId="76B67ABA" w14:textId="1E5462B9" w:rsidR="00086FA5" w:rsidRPr="004D4305" w:rsidRDefault="00086FA5" w:rsidP="00D33FDF">
            <w:pPr>
              <w:pStyle w:val="TableTextEntries"/>
            </w:pPr>
            <w:r w:rsidRPr="004D4305">
              <w:t>Assists Pacific countries to meet the customs and quarantine requirements of key trading partners</w:t>
            </w:r>
            <w:r w:rsidR="00361A8D">
              <w:t>.</w:t>
            </w:r>
          </w:p>
        </w:tc>
        <w:tc>
          <w:tcPr>
            <w:tcW w:w="4394" w:type="dxa"/>
          </w:tcPr>
          <w:p w14:paraId="518F379E" w14:textId="4AA3CC67" w:rsidR="00086FA5" w:rsidRPr="004D4305" w:rsidRDefault="00FE3ABF" w:rsidP="00D33FDF">
            <w:pPr>
              <w:pStyle w:val="TableTextEntries"/>
            </w:pPr>
            <w:r>
              <w:t>Not yet provided</w:t>
            </w:r>
          </w:p>
        </w:tc>
      </w:tr>
      <w:tr w:rsidR="00086FA5" w:rsidRPr="004D4305" w14:paraId="2DE6CCCE" w14:textId="77777777" w:rsidTr="00D33FDF">
        <w:trPr>
          <w:cantSplit/>
          <w:tblHeader w:val="0"/>
        </w:trPr>
        <w:tc>
          <w:tcPr>
            <w:tcW w:w="2127" w:type="dxa"/>
          </w:tcPr>
          <w:p w14:paraId="3132F2AE" w14:textId="797FD207" w:rsidR="00086FA5" w:rsidRPr="004D4305" w:rsidRDefault="00361A8D" w:rsidP="00D33FDF">
            <w:pPr>
              <w:pStyle w:val="TableTextEntries"/>
            </w:pPr>
            <w:r w:rsidRPr="009D24A4">
              <w:t>Pacific Agreement on Closer Economic Relations Plus</w:t>
            </w:r>
            <w:r w:rsidR="009D24A4">
              <w:t xml:space="preserve"> </w:t>
            </w:r>
          </w:p>
        </w:tc>
        <w:tc>
          <w:tcPr>
            <w:tcW w:w="1461" w:type="dxa"/>
          </w:tcPr>
          <w:p w14:paraId="0A94BE2D" w14:textId="6DD803E2" w:rsidR="00086FA5" w:rsidRPr="004D4305" w:rsidRDefault="00833928" w:rsidP="00D33FDF">
            <w:pPr>
              <w:pStyle w:val="TableTextEntries"/>
            </w:pPr>
            <w:r>
              <w:t>, Department of Foreign Affairs and Trade</w:t>
            </w:r>
          </w:p>
        </w:tc>
        <w:tc>
          <w:tcPr>
            <w:tcW w:w="1275" w:type="dxa"/>
          </w:tcPr>
          <w:p w14:paraId="07508A56" w14:textId="734A4857" w:rsidR="00086FA5" w:rsidRPr="004D4305" w:rsidRDefault="00086FA5" w:rsidP="00D33FDF">
            <w:pPr>
              <w:pStyle w:val="TableTextEntries"/>
            </w:pPr>
            <w:r w:rsidRPr="004D4305">
              <w:t>$1.2 million 2010</w:t>
            </w:r>
            <w:r w:rsidR="00207EF2">
              <w:t>–</w:t>
            </w:r>
            <w:r w:rsidRPr="004D4305">
              <w:t>11</w:t>
            </w:r>
          </w:p>
        </w:tc>
        <w:tc>
          <w:tcPr>
            <w:tcW w:w="4678" w:type="dxa"/>
          </w:tcPr>
          <w:p w14:paraId="37D7AB62" w14:textId="14079806" w:rsidR="00086FA5" w:rsidRPr="004D4305" w:rsidRDefault="00361A8D" w:rsidP="00D33FDF">
            <w:pPr>
              <w:pStyle w:val="TableTextEntries"/>
            </w:pPr>
            <w:r>
              <w:t>Provides t</w:t>
            </w:r>
            <w:r w:rsidR="00086FA5" w:rsidRPr="004D4305">
              <w:t>rade-related institutional support, capacity building and research</w:t>
            </w:r>
            <w:r w:rsidR="009024EE">
              <w:t>.</w:t>
            </w:r>
            <w:r w:rsidR="007737ED">
              <w:t xml:space="preserve"> </w:t>
            </w:r>
          </w:p>
        </w:tc>
        <w:tc>
          <w:tcPr>
            <w:tcW w:w="4394" w:type="dxa"/>
          </w:tcPr>
          <w:p w14:paraId="67D69389" w14:textId="5270EA6D" w:rsidR="00086FA5" w:rsidRPr="004D4305" w:rsidRDefault="00FE3ABF" w:rsidP="00D33FDF">
            <w:pPr>
              <w:pStyle w:val="TableTextEntries"/>
            </w:pPr>
            <w:r>
              <w:t>Not</w:t>
            </w:r>
            <w:r w:rsidR="0029109A">
              <w:t xml:space="preserve"> yet</w:t>
            </w:r>
            <w:r>
              <w:t xml:space="preserve"> provided</w:t>
            </w:r>
          </w:p>
        </w:tc>
      </w:tr>
      <w:tr w:rsidR="00086FA5" w:rsidRPr="004D4305" w14:paraId="1FF16822"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0A4BD31B" w14:textId="149FF341" w:rsidR="00086FA5" w:rsidRPr="004D4305" w:rsidRDefault="00086FA5" w:rsidP="00D33FDF">
            <w:pPr>
              <w:pStyle w:val="TableTextEntries"/>
            </w:pPr>
            <w:r w:rsidRPr="004D4305">
              <w:t>Pacific Horticultural and Agricultural Market Access program</w:t>
            </w:r>
            <w:r w:rsidR="00E53359">
              <w:t xml:space="preserve"> </w:t>
            </w:r>
          </w:p>
        </w:tc>
        <w:tc>
          <w:tcPr>
            <w:tcW w:w="1461" w:type="dxa"/>
          </w:tcPr>
          <w:p w14:paraId="19EE653D" w14:textId="68A60E06" w:rsidR="00086FA5" w:rsidRPr="004D4305" w:rsidRDefault="00086FA5" w:rsidP="00D33FDF">
            <w:pPr>
              <w:pStyle w:val="TableTextEntries"/>
            </w:pPr>
            <w:r w:rsidRPr="004D4305">
              <w:t xml:space="preserve">Australian </w:t>
            </w:r>
            <w:r w:rsidR="0029109A">
              <w:t>m</w:t>
            </w:r>
            <w:r w:rsidRPr="004D4305">
              <w:t xml:space="preserve">anaging </w:t>
            </w:r>
            <w:r w:rsidR="0029109A">
              <w:t>c</w:t>
            </w:r>
            <w:r w:rsidRPr="004D4305">
              <w:t>ontractor</w:t>
            </w:r>
          </w:p>
        </w:tc>
        <w:tc>
          <w:tcPr>
            <w:tcW w:w="1275" w:type="dxa"/>
          </w:tcPr>
          <w:p w14:paraId="69AE9200" w14:textId="4574D9EA" w:rsidR="00086FA5" w:rsidRPr="004D4305" w:rsidRDefault="00086FA5" w:rsidP="00D33FDF">
            <w:pPr>
              <w:pStyle w:val="TableTextEntries"/>
            </w:pPr>
            <w:r w:rsidRPr="004D4305">
              <w:t>$15 million 2009</w:t>
            </w:r>
            <w:r w:rsidR="00207EF2">
              <w:t>–</w:t>
            </w:r>
            <w:r w:rsidRPr="004D4305">
              <w:t>13</w:t>
            </w:r>
          </w:p>
        </w:tc>
        <w:tc>
          <w:tcPr>
            <w:tcW w:w="4678" w:type="dxa"/>
          </w:tcPr>
          <w:p w14:paraId="6923F6B8" w14:textId="754F72F0" w:rsidR="00086FA5" w:rsidRPr="004D4305" w:rsidRDefault="00086FA5" w:rsidP="00D33FDF">
            <w:pPr>
              <w:pStyle w:val="TableTextEntries"/>
            </w:pPr>
            <w:r w:rsidRPr="004D4305">
              <w:t>Addresses constraints to market access by providing practical and technical assistance to resolve priority issues of a technical</w:t>
            </w:r>
            <w:r w:rsidR="00361A8D">
              <w:t xml:space="preserve"> and/or </w:t>
            </w:r>
            <w:r w:rsidRPr="004D4305">
              <w:t>regulatory nature</w:t>
            </w:r>
            <w:r w:rsidR="00361A8D">
              <w:t>.</w:t>
            </w:r>
          </w:p>
        </w:tc>
        <w:tc>
          <w:tcPr>
            <w:tcW w:w="4394" w:type="dxa"/>
          </w:tcPr>
          <w:p w14:paraId="23BCE030" w14:textId="4DD0EF1F" w:rsidR="00086FA5" w:rsidRPr="004D4305" w:rsidRDefault="004C65B2" w:rsidP="00D33FDF">
            <w:pPr>
              <w:pStyle w:val="TableTextEntries"/>
            </w:pPr>
            <w:r>
              <w:t>Provided m</w:t>
            </w:r>
            <w:r w:rsidR="00086FA5" w:rsidRPr="004D4305">
              <w:t>arket access to New Zealand for export</w:t>
            </w:r>
            <w:r>
              <w:t>ing</w:t>
            </w:r>
            <w:r w:rsidR="00086FA5" w:rsidRPr="004D4305">
              <w:t xml:space="preserve"> pineapples and lemons</w:t>
            </w:r>
            <w:r w:rsidR="00833928">
              <w:t>.</w:t>
            </w:r>
            <w:r w:rsidR="00086FA5" w:rsidRPr="004D4305">
              <w:t xml:space="preserve"> </w:t>
            </w:r>
          </w:p>
        </w:tc>
      </w:tr>
      <w:tr w:rsidR="00086FA5" w:rsidRPr="004D4305" w14:paraId="06A2F33E" w14:textId="77777777" w:rsidTr="00D33FDF">
        <w:trPr>
          <w:cantSplit/>
          <w:tblHeader w:val="0"/>
        </w:trPr>
        <w:tc>
          <w:tcPr>
            <w:tcW w:w="2127" w:type="dxa"/>
          </w:tcPr>
          <w:p w14:paraId="0B3499E6" w14:textId="77777777" w:rsidR="00086FA5" w:rsidRPr="004D4305" w:rsidRDefault="00086FA5" w:rsidP="00D33FDF">
            <w:pPr>
              <w:pStyle w:val="TableTextEntries"/>
            </w:pPr>
            <w:r w:rsidRPr="004D4305">
              <w:t>Pacific Financial Inclusion Program</w:t>
            </w:r>
          </w:p>
        </w:tc>
        <w:tc>
          <w:tcPr>
            <w:tcW w:w="1461" w:type="dxa"/>
          </w:tcPr>
          <w:p w14:paraId="7C00D335" w14:textId="0F8BEB56" w:rsidR="00086FA5" w:rsidRPr="004D4305" w:rsidRDefault="00086FA5" w:rsidP="00D33FDF">
            <w:pPr>
              <w:pStyle w:val="TableTextEntries"/>
            </w:pPr>
            <w:r w:rsidRPr="004D4305">
              <w:t>U</w:t>
            </w:r>
            <w:r w:rsidR="00833928">
              <w:t>nited Nations Capital Development Fund</w:t>
            </w:r>
          </w:p>
        </w:tc>
        <w:tc>
          <w:tcPr>
            <w:tcW w:w="1275" w:type="dxa"/>
          </w:tcPr>
          <w:p w14:paraId="46B3A378" w14:textId="77777777" w:rsidR="00086FA5" w:rsidRPr="004D4305" w:rsidRDefault="00086FA5" w:rsidP="00D33FDF">
            <w:pPr>
              <w:pStyle w:val="TableTextEntries"/>
            </w:pPr>
            <w:r w:rsidRPr="004D4305">
              <w:t>$10.5 million</w:t>
            </w:r>
          </w:p>
          <w:p w14:paraId="74931F50" w14:textId="0C82309C" w:rsidR="00086FA5" w:rsidRPr="004D4305" w:rsidRDefault="00086FA5" w:rsidP="00D33FDF">
            <w:pPr>
              <w:pStyle w:val="TableTextEntries"/>
            </w:pPr>
            <w:r w:rsidRPr="004D4305">
              <w:t>2009</w:t>
            </w:r>
            <w:r w:rsidR="00207EF2">
              <w:t>–</w:t>
            </w:r>
            <w:r w:rsidRPr="004D4305">
              <w:t>13</w:t>
            </w:r>
          </w:p>
        </w:tc>
        <w:tc>
          <w:tcPr>
            <w:tcW w:w="4678" w:type="dxa"/>
          </w:tcPr>
          <w:p w14:paraId="4B252F68" w14:textId="025FE7B0" w:rsidR="00086FA5" w:rsidRPr="004D4305" w:rsidRDefault="00086FA5" w:rsidP="00D33FDF">
            <w:pPr>
              <w:pStyle w:val="TableTextEntries"/>
            </w:pPr>
            <w:r w:rsidRPr="004D4305">
              <w:t xml:space="preserve">Provides technical assistance to assist countries </w:t>
            </w:r>
            <w:r w:rsidR="009024EE">
              <w:t xml:space="preserve">to </w:t>
            </w:r>
            <w:r w:rsidRPr="004D4305">
              <w:t>develop regulations and policies that promote greater financial inclusion</w:t>
            </w:r>
            <w:r w:rsidR="00361A8D">
              <w:t>.</w:t>
            </w:r>
          </w:p>
        </w:tc>
        <w:tc>
          <w:tcPr>
            <w:tcW w:w="4394" w:type="dxa"/>
          </w:tcPr>
          <w:p w14:paraId="3C72E1D3" w14:textId="77777777" w:rsidR="009024EE" w:rsidRDefault="00086FA5" w:rsidP="00D33FDF">
            <w:pPr>
              <w:pStyle w:val="TableTextEntries"/>
            </w:pPr>
            <w:r w:rsidRPr="004D4305">
              <w:t>As of Dec</w:t>
            </w:r>
            <w:r w:rsidR="00361A8D">
              <w:t>ember</w:t>
            </w:r>
            <w:r w:rsidRPr="004D4305">
              <w:t xml:space="preserve"> 2012, 35</w:t>
            </w:r>
            <w:r w:rsidR="00361A8D">
              <w:t xml:space="preserve"> </w:t>
            </w:r>
            <w:r w:rsidRPr="004D4305">
              <w:t xml:space="preserve">935 people subscribed to </w:t>
            </w:r>
            <w:proofErr w:type="spellStart"/>
            <w:r w:rsidR="00361A8D">
              <w:t>Digicel</w:t>
            </w:r>
            <w:proofErr w:type="spellEnd"/>
            <w:r w:rsidR="00361A8D">
              <w:t xml:space="preserve"> </w:t>
            </w:r>
            <w:r w:rsidRPr="004D4305">
              <w:t>Mobile Money, a mobile wallet program. </w:t>
            </w:r>
          </w:p>
          <w:p w14:paraId="3164E49C" w14:textId="46489C3E" w:rsidR="00086FA5" w:rsidRPr="009D24A4" w:rsidRDefault="004C65B2" w:rsidP="00D33FDF">
            <w:pPr>
              <w:pStyle w:val="TableTextEntries"/>
            </w:pPr>
            <w:r>
              <w:t xml:space="preserve">Installed </w:t>
            </w:r>
            <w:r w:rsidR="00BA6BDB">
              <w:t>rural banking service points.</w:t>
            </w:r>
            <w:r w:rsidR="00086FA5" w:rsidRPr="004D4305">
              <w:t xml:space="preserve"> </w:t>
            </w:r>
          </w:p>
        </w:tc>
      </w:tr>
      <w:tr w:rsidR="00086FA5" w:rsidRPr="004D4305" w14:paraId="3A17AAD1"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345A3856" w14:textId="3C7524A3" w:rsidR="00086FA5" w:rsidRPr="004D4305" w:rsidRDefault="00086FA5" w:rsidP="00D33FDF">
            <w:pPr>
              <w:pStyle w:val="TableTextEntries"/>
            </w:pPr>
            <w:r w:rsidRPr="004D4305">
              <w:t>Private Enterprise Partnerships Pacific</w:t>
            </w:r>
          </w:p>
        </w:tc>
        <w:tc>
          <w:tcPr>
            <w:tcW w:w="1461" w:type="dxa"/>
          </w:tcPr>
          <w:p w14:paraId="04301888" w14:textId="77777777" w:rsidR="00086FA5" w:rsidRPr="004D4305" w:rsidRDefault="00086FA5" w:rsidP="00D33FDF">
            <w:pPr>
              <w:pStyle w:val="TableTextEntries"/>
            </w:pPr>
            <w:r w:rsidRPr="004D4305">
              <w:t>IFC</w:t>
            </w:r>
          </w:p>
        </w:tc>
        <w:tc>
          <w:tcPr>
            <w:tcW w:w="1275" w:type="dxa"/>
          </w:tcPr>
          <w:p w14:paraId="4429D25A" w14:textId="1B279ACC" w:rsidR="00086FA5" w:rsidRPr="004D4305" w:rsidRDefault="00086FA5" w:rsidP="00D33FDF">
            <w:pPr>
              <w:pStyle w:val="TableTextEntries"/>
            </w:pPr>
            <w:r w:rsidRPr="004D4305">
              <w:t>$12.5</w:t>
            </w:r>
            <w:r w:rsidR="00AE6C84">
              <w:t xml:space="preserve"> </w:t>
            </w:r>
            <w:r w:rsidRPr="004D4305">
              <w:t>m</w:t>
            </w:r>
            <w:r w:rsidR="00AE6C84">
              <w:t>illion</w:t>
            </w:r>
            <w:r w:rsidRPr="004D4305">
              <w:t xml:space="preserve"> over </w:t>
            </w:r>
            <w:r w:rsidR="00833928">
              <w:t>five</w:t>
            </w:r>
            <w:r w:rsidRPr="004D4305">
              <w:t xml:space="preserve"> years to Dec</w:t>
            </w:r>
            <w:r w:rsidR="00AE6C84">
              <w:t>ember</w:t>
            </w:r>
            <w:r w:rsidRPr="004D4305">
              <w:t xml:space="preserve"> 2011</w:t>
            </w:r>
          </w:p>
        </w:tc>
        <w:tc>
          <w:tcPr>
            <w:tcW w:w="4678" w:type="dxa"/>
          </w:tcPr>
          <w:p w14:paraId="1377A256" w14:textId="596A36AF" w:rsidR="00086FA5" w:rsidRPr="004D4305" w:rsidRDefault="00086FA5" w:rsidP="00D33FDF">
            <w:pPr>
              <w:pStyle w:val="TableTextEntries"/>
            </w:pPr>
            <w:r w:rsidRPr="004D4305">
              <w:t>Supports regulatory reforms, financial market infrastructure reforms and technology</w:t>
            </w:r>
            <w:r w:rsidR="00361A8D">
              <w:t>-</w:t>
            </w:r>
            <w:r w:rsidRPr="004D4305">
              <w:t>based products for an improved business environment</w:t>
            </w:r>
            <w:r w:rsidR="00361A8D">
              <w:t>.</w:t>
            </w:r>
          </w:p>
        </w:tc>
        <w:tc>
          <w:tcPr>
            <w:tcW w:w="4394" w:type="dxa"/>
          </w:tcPr>
          <w:p w14:paraId="6F9B7656" w14:textId="52BC4F31" w:rsidR="00086FA5" w:rsidRPr="004D4305" w:rsidRDefault="00FE3ABF" w:rsidP="00D33FDF">
            <w:pPr>
              <w:pStyle w:val="TableTextEntries"/>
            </w:pPr>
            <w:r>
              <w:t xml:space="preserve">Not </w:t>
            </w:r>
            <w:r w:rsidR="0029109A">
              <w:t xml:space="preserve">yet </w:t>
            </w:r>
            <w:r>
              <w:t>provided.</w:t>
            </w:r>
          </w:p>
        </w:tc>
      </w:tr>
      <w:tr w:rsidR="00086FA5" w:rsidRPr="00B237C1" w14:paraId="01BD8A89" w14:textId="77777777" w:rsidTr="00D33FDF">
        <w:trPr>
          <w:cantSplit/>
          <w:tblHeader w:val="0"/>
        </w:trPr>
        <w:tc>
          <w:tcPr>
            <w:tcW w:w="2127" w:type="dxa"/>
          </w:tcPr>
          <w:p w14:paraId="3900EB38" w14:textId="6A9ECAF7" w:rsidR="00086FA5" w:rsidRPr="004D4305" w:rsidRDefault="00086FA5" w:rsidP="00D33FDF">
            <w:pPr>
              <w:pStyle w:val="TableTextEntries"/>
            </w:pPr>
            <w:r w:rsidRPr="004D4305">
              <w:t>I</w:t>
            </w:r>
            <w:r w:rsidR="0020193C">
              <w:t>nternational Finance Corporation</w:t>
            </w:r>
            <w:r w:rsidRPr="004D4305">
              <w:t xml:space="preserve"> Foreign Investment Advisory Service</w:t>
            </w:r>
          </w:p>
        </w:tc>
        <w:tc>
          <w:tcPr>
            <w:tcW w:w="1461" w:type="dxa"/>
          </w:tcPr>
          <w:p w14:paraId="734C8E45" w14:textId="77777777" w:rsidR="00086FA5" w:rsidRPr="004D4305" w:rsidRDefault="00086FA5" w:rsidP="00D33FDF">
            <w:pPr>
              <w:pStyle w:val="TableTextEntries"/>
            </w:pPr>
            <w:r w:rsidRPr="004D4305">
              <w:t>IFC</w:t>
            </w:r>
          </w:p>
        </w:tc>
        <w:tc>
          <w:tcPr>
            <w:tcW w:w="1275" w:type="dxa"/>
          </w:tcPr>
          <w:p w14:paraId="5AFADF7B" w14:textId="41BBBF19" w:rsidR="00086FA5" w:rsidRPr="004D4305" w:rsidRDefault="00086FA5" w:rsidP="00D33FDF">
            <w:pPr>
              <w:pStyle w:val="TableTextEntries"/>
            </w:pPr>
            <w:r w:rsidRPr="004D4305">
              <w:t>$3.4</w:t>
            </w:r>
            <w:r w:rsidR="00AE6C84">
              <w:t xml:space="preserve"> </w:t>
            </w:r>
            <w:r w:rsidRPr="004D4305">
              <w:t>m</w:t>
            </w:r>
            <w:r w:rsidR="00AE6C84">
              <w:t>illion</w:t>
            </w:r>
            <w:r w:rsidRPr="004D4305">
              <w:t xml:space="preserve"> over </w:t>
            </w:r>
            <w:r w:rsidR="00833928">
              <w:t>three</w:t>
            </w:r>
            <w:r w:rsidRPr="004D4305">
              <w:t xml:space="preserve"> years to mid</w:t>
            </w:r>
            <w:r w:rsidR="00AE6C84">
              <w:t>-</w:t>
            </w:r>
            <w:r w:rsidRPr="004D4305">
              <w:t>2010</w:t>
            </w:r>
          </w:p>
        </w:tc>
        <w:tc>
          <w:tcPr>
            <w:tcW w:w="4678" w:type="dxa"/>
          </w:tcPr>
          <w:p w14:paraId="75A8AB73" w14:textId="77777777" w:rsidR="00361A8D" w:rsidRDefault="00086FA5" w:rsidP="00D33FDF">
            <w:pPr>
              <w:pStyle w:val="TableTextEntries"/>
            </w:pPr>
            <w:r w:rsidRPr="004D4305">
              <w:t>Monitors the World Bank’s Ease of Doing Business Indicators for the Pacific</w:t>
            </w:r>
            <w:r w:rsidR="00361A8D">
              <w:t>.</w:t>
            </w:r>
          </w:p>
          <w:p w14:paraId="655C599B" w14:textId="5A9EF1BB" w:rsidR="00086FA5" w:rsidRPr="004D4305" w:rsidRDefault="00361A8D" w:rsidP="00D33FDF">
            <w:pPr>
              <w:pStyle w:val="TableTextEntries"/>
            </w:pPr>
            <w:r>
              <w:t>S</w:t>
            </w:r>
            <w:r w:rsidR="00086FA5" w:rsidRPr="004D4305">
              <w:t>upports initiatives that improve countries’ performance in the indicators.</w:t>
            </w:r>
          </w:p>
        </w:tc>
        <w:tc>
          <w:tcPr>
            <w:tcW w:w="4394" w:type="dxa"/>
          </w:tcPr>
          <w:p w14:paraId="22E68D0A" w14:textId="4B1D95AE" w:rsidR="00086FA5" w:rsidRPr="004D4305" w:rsidRDefault="00CC12D1" w:rsidP="00D33FDF">
            <w:pPr>
              <w:pStyle w:val="TableTextEntries"/>
            </w:pPr>
            <w:r>
              <w:t>Held ongoing discussions on establishing a credit bureau.</w:t>
            </w:r>
          </w:p>
        </w:tc>
      </w:tr>
      <w:tr w:rsidR="00086FA5" w:rsidRPr="004D4305" w14:paraId="61224F8D"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5F784B56" w14:textId="62C645D9" w:rsidR="00086FA5" w:rsidRPr="004D4305" w:rsidRDefault="00B237C1" w:rsidP="00D33FDF">
            <w:pPr>
              <w:pStyle w:val="TableTextEntries"/>
            </w:pPr>
            <w:r>
              <w:t>P</w:t>
            </w:r>
            <w:r w:rsidR="00086FA5" w:rsidRPr="004D4305">
              <w:t>acific Microfinance Initiative</w:t>
            </w:r>
          </w:p>
        </w:tc>
        <w:tc>
          <w:tcPr>
            <w:tcW w:w="1461" w:type="dxa"/>
          </w:tcPr>
          <w:p w14:paraId="24EF0A79" w14:textId="77777777" w:rsidR="00086FA5" w:rsidRPr="004D4305" w:rsidRDefault="00086FA5" w:rsidP="00D33FDF">
            <w:pPr>
              <w:pStyle w:val="TableTextEntries"/>
            </w:pPr>
            <w:r w:rsidRPr="004D4305">
              <w:t>IFC</w:t>
            </w:r>
          </w:p>
        </w:tc>
        <w:tc>
          <w:tcPr>
            <w:tcW w:w="1275" w:type="dxa"/>
          </w:tcPr>
          <w:p w14:paraId="0171817A" w14:textId="33A0F337" w:rsidR="00086FA5" w:rsidRPr="004D4305" w:rsidRDefault="00086FA5" w:rsidP="00D33FDF">
            <w:pPr>
              <w:pStyle w:val="TableTextEntries"/>
            </w:pPr>
            <w:r w:rsidRPr="004D4305">
              <w:t xml:space="preserve">$9.5 million over </w:t>
            </w:r>
            <w:r w:rsidR="00833928">
              <w:t>four</w:t>
            </w:r>
            <w:r w:rsidRPr="004D4305">
              <w:t xml:space="preserve"> years to 2013</w:t>
            </w:r>
          </w:p>
        </w:tc>
        <w:tc>
          <w:tcPr>
            <w:tcW w:w="4678" w:type="dxa"/>
          </w:tcPr>
          <w:p w14:paraId="7A80DDAA" w14:textId="48483F57" w:rsidR="00086FA5" w:rsidRPr="004D4305" w:rsidRDefault="00361A8D" w:rsidP="00D33FDF">
            <w:pPr>
              <w:pStyle w:val="TableTextEntries"/>
            </w:pPr>
            <w:r>
              <w:t>B</w:t>
            </w:r>
            <w:r w:rsidR="00086FA5" w:rsidRPr="004D4305">
              <w:t>roaden</w:t>
            </w:r>
            <w:r>
              <w:t>s</w:t>
            </w:r>
            <w:r w:rsidR="00086FA5" w:rsidRPr="004D4305">
              <w:t xml:space="preserve"> access to financial services, including savings, insurance, money transfer and deposit banking</w:t>
            </w:r>
            <w:r>
              <w:t>.</w:t>
            </w:r>
          </w:p>
        </w:tc>
        <w:tc>
          <w:tcPr>
            <w:tcW w:w="4394" w:type="dxa"/>
          </w:tcPr>
          <w:p w14:paraId="3CC4B360" w14:textId="3EE0FCDB" w:rsidR="00086FA5" w:rsidRPr="004D4305" w:rsidRDefault="00BE269B" w:rsidP="00D33FDF">
            <w:pPr>
              <w:pStyle w:val="TableTextEntries"/>
            </w:pPr>
            <w:r>
              <w:t>Conducted r</w:t>
            </w:r>
            <w:r w:rsidR="00086FA5" w:rsidRPr="004D4305">
              <w:t xml:space="preserve">egional consolidation of </w:t>
            </w:r>
            <w:r w:rsidR="009024EE">
              <w:t>the</w:t>
            </w:r>
            <w:r w:rsidR="00CC12D1">
              <w:t xml:space="preserve"> </w:t>
            </w:r>
            <w:r w:rsidR="00086FA5" w:rsidRPr="004D4305">
              <w:t xml:space="preserve">South Pacific Business Development </w:t>
            </w:r>
            <w:r w:rsidR="00361A8D">
              <w:t>N</w:t>
            </w:r>
            <w:r w:rsidR="00086FA5" w:rsidRPr="004D4305">
              <w:t>etwork</w:t>
            </w:r>
            <w:r w:rsidR="00833928">
              <w:t>.</w:t>
            </w:r>
          </w:p>
        </w:tc>
      </w:tr>
      <w:tr w:rsidR="00086FA5" w:rsidRPr="004D4305" w14:paraId="7B63FD76" w14:textId="77777777" w:rsidTr="00D33FDF">
        <w:trPr>
          <w:cantSplit/>
          <w:tblHeader w:val="0"/>
        </w:trPr>
        <w:tc>
          <w:tcPr>
            <w:tcW w:w="2127" w:type="dxa"/>
          </w:tcPr>
          <w:p w14:paraId="7C52C0B7" w14:textId="77777777" w:rsidR="00086FA5" w:rsidRPr="004D4305" w:rsidRDefault="00086FA5" w:rsidP="00D33FDF">
            <w:pPr>
              <w:pStyle w:val="TableTextEntries"/>
            </w:pPr>
            <w:r w:rsidRPr="004D4305">
              <w:t xml:space="preserve">Private Sector Development Initiative </w:t>
            </w:r>
          </w:p>
        </w:tc>
        <w:tc>
          <w:tcPr>
            <w:tcW w:w="1461" w:type="dxa"/>
          </w:tcPr>
          <w:p w14:paraId="0DB82D49" w14:textId="77777777" w:rsidR="00086FA5" w:rsidRPr="004D4305" w:rsidRDefault="00086FA5" w:rsidP="00D33FDF">
            <w:pPr>
              <w:pStyle w:val="TableTextEntries"/>
            </w:pPr>
            <w:r w:rsidRPr="004D4305">
              <w:t>ADB</w:t>
            </w:r>
          </w:p>
        </w:tc>
        <w:tc>
          <w:tcPr>
            <w:tcW w:w="1275" w:type="dxa"/>
          </w:tcPr>
          <w:p w14:paraId="6DAE0649" w14:textId="1290469D" w:rsidR="00086FA5" w:rsidRPr="004D4305" w:rsidRDefault="00086FA5" w:rsidP="00D33FDF">
            <w:pPr>
              <w:pStyle w:val="TableTextEntries"/>
            </w:pPr>
            <w:r w:rsidRPr="004D4305">
              <w:t>Phase 2 for $11</w:t>
            </w:r>
            <w:r w:rsidR="00AE6C84">
              <w:t xml:space="preserve"> </w:t>
            </w:r>
            <w:r w:rsidRPr="004D4305">
              <w:t>m</w:t>
            </w:r>
            <w:r w:rsidR="00AE6C84">
              <w:t>illion</w:t>
            </w:r>
            <w:r w:rsidRPr="004D4305">
              <w:t xml:space="preserve"> over </w:t>
            </w:r>
            <w:r w:rsidR="00833928">
              <w:t>four</w:t>
            </w:r>
            <w:r w:rsidRPr="004D4305">
              <w:t xml:space="preserve"> years to end</w:t>
            </w:r>
            <w:r w:rsidR="00AE6C84">
              <w:t xml:space="preserve"> of</w:t>
            </w:r>
            <w:r w:rsidRPr="004D4305">
              <w:t>2013</w:t>
            </w:r>
          </w:p>
        </w:tc>
        <w:tc>
          <w:tcPr>
            <w:tcW w:w="4678" w:type="dxa"/>
          </w:tcPr>
          <w:p w14:paraId="48340446" w14:textId="35CC72A7" w:rsidR="00086FA5" w:rsidRPr="004D4305" w:rsidRDefault="00BE269B" w:rsidP="00D33FDF">
            <w:pPr>
              <w:pStyle w:val="TableTextEntries"/>
            </w:pPr>
            <w:r>
              <w:t>S</w:t>
            </w:r>
            <w:r w:rsidR="00086FA5" w:rsidRPr="004D4305">
              <w:t>trengthen</w:t>
            </w:r>
            <w:r>
              <w:t>s</w:t>
            </w:r>
            <w:r w:rsidR="00086FA5" w:rsidRPr="004D4305">
              <w:t xml:space="preserve"> the environment for</w:t>
            </w:r>
            <w:r>
              <w:t xml:space="preserve"> private sector development</w:t>
            </w:r>
            <w:r w:rsidR="00086FA5" w:rsidRPr="004D4305">
              <w:t xml:space="preserve"> through: increased access to finance</w:t>
            </w:r>
            <w:r>
              <w:t>;</w:t>
            </w:r>
            <w:r w:rsidR="00086FA5" w:rsidRPr="004D4305">
              <w:t xml:space="preserve"> business law reform</w:t>
            </w:r>
            <w:r>
              <w:t>;</w:t>
            </w:r>
            <w:r w:rsidR="00086FA5" w:rsidRPr="004D4305">
              <w:t xml:space="preserve"> state-owned enterprise reform</w:t>
            </w:r>
            <w:r>
              <w:t>;</w:t>
            </w:r>
            <w:r w:rsidR="00086FA5" w:rsidRPr="004D4305">
              <w:t xml:space="preserve"> implementation of public–private partnerships</w:t>
            </w:r>
            <w:r>
              <w:t>.</w:t>
            </w:r>
            <w:r w:rsidR="00086FA5" w:rsidRPr="004D4305">
              <w:t xml:space="preserve"> </w:t>
            </w:r>
          </w:p>
        </w:tc>
        <w:tc>
          <w:tcPr>
            <w:tcW w:w="4394" w:type="dxa"/>
          </w:tcPr>
          <w:p w14:paraId="5B3E6E93" w14:textId="518A7DA4" w:rsidR="00BE269B" w:rsidRDefault="00BE269B" w:rsidP="00D33FDF">
            <w:pPr>
              <w:pStyle w:val="TableTextEntries"/>
            </w:pPr>
            <w:r>
              <w:t>A</w:t>
            </w:r>
            <w:r w:rsidR="00337EAE" w:rsidRPr="00337EAE">
              <w:t>ssisted with new secured</w:t>
            </w:r>
            <w:r w:rsidR="00337EAE">
              <w:t xml:space="preserve"> </w:t>
            </w:r>
            <w:r w:rsidR="00337EAE" w:rsidRPr="00337EAE">
              <w:t>transactions legislation in 2011</w:t>
            </w:r>
            <w:r>
              <w:t>.</w:t>
            </w:r>
          </w:p>
          <w:p w14:paraId="0E94BEAF" w14:textId="68DD5AC4" w:rsidR="00086FA5" w:rsidRPr="004D4305" w:rsidRDefault="00BE269B" w:rsidP="00D33FDF">
            <w:pPr>
              <w:pStyle w:val="TableTextEntries"/>
            </w:pPr>
            <w:r>
              <w:t>F</w:t>
            </w:r>
            <w:r w:rsidR="00337EAE" w:rsidRPr="00337EAE">
              <w:t>inali</w:t>
            </w:r>
            <w:r>
              <w:t>s</w:t>
            </w:r>
            <w:r w:rsidR="00337EAE" w:rsidRPr="00337EAE">
              <w:t>ed a bill</w:t>
            </w:r>
            <w:r w:rsidR="009024EE">
              <w:t>, subsequently</w:t>
            </w:r>
            <w:r w:rsidR="00337EAE" w:rsidRPr="00337EAE">
              <w:t xml:space="preserve"> passed in 2013</w:t>
            </w:r>
            <w:r w:rsidR="00FE3ABF">
              <w:t>.</w:t>
            </w:r>
          </w:p>
        </w:tc>
      </w:tr>
      <w:tr w:rsidR="00086FA5" w:rsidRPr="004D4305" w14:paraId="6AB6815A"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45FF996B" w14:textId="0524E9C1" w:rsidR="00086FA5" w:rsidRPr="004D4305" w:rsidRDefault="00086FA5" w:rsidP="00D33FDF">
            <w:pPr>
              <w:pStyle w:val="TableTextEntries"/>
            </w:pPr>
            <w:r w:rsidRPr="004D4305">
              <w:t>Pacific Region Infrastructure Facility</w:t>
            </w:r>
          </w:p>
        </w:tc>
        <w:tc>
          <w:tcPr>
            <w:tcW w:w="1461" w:type="dxa"/>
          </w:tcPr>
          <w:p w14:paraId="79AD79F4" w14:textId="77777777" w:rsidR="00086FA5" w:rsidRPr="004D4305" w:rsidRDefault="00086FA5" w:rsidP="00D33FDF">
            <w:pPr>
              <w:pStyle w:val="TableTextEntries"/>
            </w:pPr>
            <w:r w:rsidRPr="004D4305">
              <w:t>World Bank, ADB</w:t>
            </w:r>
          </w:p>
        </w:tc>
        <w:tc>
          <w:tcPr>
            <w:tcW w:w="1275" w:type="dxa"/>
          </w:tcPr>
          <w:p w14:paraId="0F2C8EEA" w14:textId="062F5D57" w:rsidR="00086FA5" w:rsidRPr="004D4305" w:rsidRDefault="00086FA5" w:rsidP="00D33FDF">
            <w:pPr>
              <w:pStyle w:val="TableTextEntries"/>
            </w:pPr>
            <w:r w:rsidRPr="004D4305">
              <w:t>$66.4 million 2008</w:t>
            </w:r>
            <w:r w:rsidR="00207EF2">
              <w:t>–</w:t>
            </w:r>
            <w:r w:rsidRPr="004D4305">
              <w:t>14</w:t>
            </w:r>
          </w:p>
        </w:tc>
        <w:tc>
          <w:tcPr>
            <w:tcW w:w="4678" w:type="dxa"/>
          </w:tcPr>
          <w:p w14:paraId="3B73517E" w14:textId="1E00CBC9" w:rsidR="00086FA5" w:rsidRPr="004D4305" w:rsidRDefault="00086FA5" w:rsidP="00D33FDF">
            <w:pPr>
              <w:pStyle w:val="TableTextEntries"/>
            </w:pPr>
            <w:r w:rsidRPr="004D4305">
              <w:t>Support</w:t>
            </w:r>
            <w:r w:rsidR="00BE269B">
              <w:t>s</w:t>
            </w:r>
            <w:r w:rsidRPr="004D4305">
              <w:t xml:space="preserve"> new infrastructure and maintenance of existing assets through assistance for long-term infrastructur</w:t>
            </w:r>
            <w:r w:rsidR="00BE269B">
              <w:t>e</w:t>
            </w:r>
            <w:r w:rsidRPr="004D4305">
              <w:t xml:space="preserve"> planning and budgeting</w:t>
            </w:r>
            <w:r w:rsidR="00BE269B">
              <w:t>.</w:t>
            </w:r>
          </w:p>
        </w:tc>
        <w:tc>
          <w:tcPr>
            <w:tcW w:w="4394" w:type="dxa"/>
          </w:tcPr>
          <w:p w14:paraId="520A283D" w14:textId="0EF006C5" w:rsidR="00086FA5" w:rsidRPr="004D4305" w:rsidRDefault="00BE269B" w:rsidP="00D33FDF">
            <w:pPr>
              <w:pStyle w:val="TableTextEntries"/>
            </w:pPr>
            <w:r>
              <w:t>Began a</w:t>
            </w:r>
            <w:r w:rsidR="00086FA5" w:rsidRPr="004D4305">
              <w:t xml:space="preserve"> scoping study for Samoa’s </w:t>
            </w:r>
            <w:r>
              <w:t>p</w:t>
            </w:r>
            <w:r w:rsidR="00086FA5" w:rsidRPr="004D4305">
              <w:t xml:space="preserve">ort </w:t>
            </w:r>
            <w:r>
              <w:t>s</w:t>
            </w:r>
            <w:r w:rsidR="00086FA5" w:rsidRPr="004D4305">
              <w:t>ector</w:t>
            </w:r>
            <w:r>
              <w:t xml:space="preserve"> in </w:t>
            </w:r>
            <w:r w:rsidR="00086FA5" w:rsidRPr="004D4305">
              <w:t>partnership with the Samoa Ports Authority.</w:t>
            </w:r>
          </w:p>
        </w:tc>
      </w:tr>
      <w:tr w:rsidR="00086FA5" w:rsidRPr="004D4305" w14:paraId="36CBE4DF" w14:textId="77777777" w:rsidTr="00D33FDF">
        <w:trPr>
          <w:cantSplit/>
          <w:tblHeader w:val="0"/>
        </w:trPr>
        <w:tc>
          <w:tcPr>
            <w:tcW w:w="2127" w:type="dxa"/>
          </w:tcPr>
          <w:p w14:paraId="768D47B0" w14:textId="54496B9B" w:rsidR="00D33FDF" w:rsidRDefault="00086FA5" w:rsidP="00D33FDF">
            <w:pPr>
              <w:pStyle w:val="TableTextEntries"/>
            </w:pPr>
            <w:r w:rsidRPr="004D4305">
              <w:t>Pacific Islands Forum</w:t>
            </w:r>
          </w:p>
          <w:p w14:paraId="1FB20C2D" w14:textId="77777777" w:rsidR="00086FA5" w:rsidRPr="00D33FDF" w:rsidRDefault="00086FA5" w:rsidP="00D33FDF">
            <w:pPr>
              <w:pStyle w:val="TableTextEntries"/>
            </w:pPr>
          </w:p>
        </w:tc>
        <w:tc>
          <w:tcPr>
            <w:tcW w:w="1461" w:type="dxa"/>
          </w:tcPr>
          <w:p w14:paraId="25041DA8" w14:textId="1319F981" w:rsidR="00086FA5" w:rsidRPr="004D4305" w:rsidRDefault="00F32E28" w:rsidP="00D33FDF">
            <w:pPr>
              <w:pStyle w:val="TableTextEntries"/>
            </w:pPr>
            <w:r>
              <w:t>the Australian Government</w:t>
            </w:r>
          </w:p>
        </w:tc>
        <w:tc>
          <w:tcPr>
            <w:tcW w:w="1275" w:type="dxa"/>
          </w:tcPr>
          <w:p w14:paraId="29F26D1B" w14:textId="3E74B70E" w:rsidR="00086FA5" w:rsidRPr="004D4305" w:rsidRDefault="00086FA5" w:rsidP="00D33FDF">
            <w:pPr>
              <w:pStyle w:val="TableTextEntries"/>
            </w:pPr>
            <w:r w:rsidRPr="004D4305">
              <w:t>$6.9 million 2012</w:t>
            </w:r>
            <w:r w:rsidR="00207EF2">
              <w:t>–</w:t>
            </w:r>
            <w:r w:rsidRPr="004D4305">
              <w:t>13</w:t>
            </w:r>
          </w:p>
        </w:tc>
        <w:tc>
          <w:tcPr>
            <w:tcW w:w="4678" w:type="dxa"/>
          </w:tcPr>
          <w:p w14:paraId="54506BB1" w14:textId="294066D2" w:rsidR="00086FA5" w:rsidRPr="004D4305" w:rsidRDefault="00BE269B" w:rsidP="00D33FDF">
            <w:pPr>
              <w:pStyle w:val="TableTextEntries"/>
            </w:pPr>
            <w:r>
              <w:rPr>
                <w:rFonts w:cstheme="minorHAnsi"/>
                <w:color w:val="000000"/>
              </w:rPr>
              <w:t>Provides, as</w:t>
            </w:r>
            <w:r w:rsidR="00086FA5" w:rsidRPr="004D4305">
              <w:rPr>
                <w:rFonts w:cstheme="minorHAnsi"/>
                <w:color w:val="000000"/>
              </w:rPr>
              <w:t xml:space="preserve"> the premier regional political body</w:t>
            </w:r>
            <w:r>
              <w:rPr>
                <w:rFonts w:cstheme="minorHAnsi"/>
                <w:color w:val="000000"/>
              </w:rPr>
              <w:t>, the</w:t>
            </w:r>
            <w:r w:rsidR="00086FA5" w:rsidRPr="004D4305">
              <w:rPr>
                <w:rFonts w:cstheme="minorHAnsi"/>
                <w:color w:val="000000"/>
              </w:rPr>
              <w:t xml:space="preserve"> focal point for </w:t>
            </w:r>
            <w:r>
              <w:rPr>
                <w:rFonts w:cstheme="minorHAnsi"/>
                <w:color w:val="000000"/>
              </w:rPr>
              <w:t>l</w:t>
            </w:r>
            <w:r w:rsidR="00086FA5" w:rsidRPr="004D4305">
              <w:rPr>
                <w:rFonts w:cstheme="minorHAnsi"/>
                <w:color w:val="000000"/>
              </w:rPr>
              <w:t>eaders of member states to meet and discuss matters of regional importance.</w:t>
            </w:r>
          </w:p>
        </w:tc>
        <w:tc>
          <w:tcPr>
            <w:tcW w:w="4394" w:type="dxa"/>
          </w:tcPr>
          <w:p w14:paraId="2C4038B3" w14:textId="29353687" w:rsidR="00086FA5" w:rsidRPr="004D4305" w:rsidRDefault="00BE269B" w:rsidP="00D33FDF">
            <w:pPr>
              <w:pStyle w:val="TableTextEntries"/>
            </w:pPr>
            <w:r>
              <w:rPr>
                <w:rFonts w:cstheme="minorHAnsi"/>
                <w:color w:val="000000"/>
              </w:rPr>
              <w:t>P</w:t>
            </w:r>
            <w:r w:rsidR="00086FA5" w:rsidRPr="00D60F8D">
              <w:rPr>
                <w:rFonts w:cstheme="minorHAnsi"/>
                <w:color w:val="000000"/>
              </w:rPr>
              <w:t xml:space="preserve">layed a critical role in </w:t>
            </w:r>
            <w:r>
              <w:rPr>
                <w:rFonts w:cstheme="minorHAnsi"/>
                <w:color w:val="000000"/>
              </w:rPr>
              <w:t>endorsing</w:t>
            </w:r>
            <w:r w:rsidR="00086FA5" w:rsidRPr="00D60F8D">
              <w:rPr>
                <w:rFonts w:cstheme="minorHAnsi"/>
                <w:color w:val="000000"/>
              </w:rPr>
              <w:t xml:space="preserve"> the Pacific Leaders Gender Equality Declaration at the 2012 Forum Leaders meeting in Rarotonga</w:t>
            </w:r>
            <w:r>
              <w:rPr>
                <w:rFonts w:cstheme="minorHAnsi"/>
                <w:color w:val="000000"/>
              </w:rPr>
              <w:t>, Cook Islands</w:t>
            </w:r>
            <w:r w:rsidR="00086FA5" w:rsidRPr="00D60F8D">
              <w:rPr>
                <w:rFonts w:cstheme="minorHAnsi"/>
                <w:color w:val="000000"/>
              </w:rPr>
              <w:t>.</w:t>
            </w:r>
          </w:p>
        </w:tc>
      </w:tr>
      <w:tr w:rsidR="00086FA5" w14:paraId="1807A774"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127" w:type="dxa"/>
          </w:tcPr>
          <w:p w14:paraId="4718218B" w14:textId="39EB5DCA" w:rsidR="00086FA5" w:rsidRPr="004D4305" w:rsidRDefault="00086FA5" w:rsidP="00D33FDF">
            <w:pPr>
              <w:pStyle w:val="TableTextEntries"/>
            </w:pPr>
            <w:r w:rsidRPr="004D4305">
              <w:t>U</w:t>
            </w:r>
            <w:r w:rsidR="0020193C">
              <w:t>nited Nations Development Programme</w:t>
            </w:r>
          </w:p>
        </w:tc>
        <w:tc>
          <w:tcPr>
            <w:tcW w:w="1461" w:type="dxa"/>
          </w:tcPr>
          <w:p w14:paraId="03CBA5DF" w14:textId="77777777" w:rsidR="00086FA5" w:rsidRPr="004D4305" w:rsidRDefault="00086FA5" w:rsidP="00D33FDF">
            <w:pPr>
              <w:pStyle w:val="TableTextEntries"/>
            </w:pPr>
            <w:r w:rsidRPr="004D4305">
              <w:t>UNDP</w:t>
            </w:r>
          </w:p>
        </w:tc>
        <w:tc>
          <w:tcPr>
            <w:tcW w:w="1275" w:type="dxa"/>
          </w:tcPr>
          <w:p w14:paraId="36A6FD5B" w14:textId="6E0AD939" w:rsidR="00086FA5" w:rsidRPr="004D4305" w:rsidRDefault="00086FA5" w:rsidP="00D33FDF">
            <w:pPr>
              <w:pStyle w:val="TableTextEntries"/>
            </w:pPr>
            <w:r w:rsidRPr="004D4305">
              <w:t xml:space="preserve">$3.1 </w:t>
            </w:r>
            <w:r w:rsidR="00AE6C84">
              <w:t>m</w:t>
            </w:r>
            <w:r w:rsidRPr="004D4305">
              <w:t>illion 2012</w:t>
            </w:r>
            <w:r w:rsidR="00207EF2">
              <w:t>–</w:t>
            </w:r>
            <w:r w:rsidRPr="004D4305">
              <w:t xml:space="preserve">13 </w:t>
            </w:r>
          </w:p>
        </w:tc>
        <w:tc>
          <w:tcPr>
            <w:tcW w:w="4678" w:type="dxa"/>
          </w:tcPr>
          <w:p w14:paraId="3F525F61" w14:textId="125B5593" w:rsidR="00086FA5" w:rsidRPr="004D4305" w:rsidRDefault="00BE269B" w:rsidP="00D33FDF">
            <w:pPr>
              <w:pStyle w:val="TableTextEntries"/>
              <w:rPr>
                <w:rFonts w:cstheme="minorHAnsi"/>
                <w:color w:val="000000"/>
              </w:rPr>
            </w:pPr>
            <w:r>
              <w:rPr>
                <w:rFonts w:cstheme="minorHAnsi"/>
                <w:color w:val="000000"/>
              </w:rPr>
              <w:t>W</w:t>
            </w:r>
            <w:r w:rsidR="00086FA5" w:rsidRPr="004D4305">
              <w:rPr>
                <w:rFonts w:cstheme="minorHAnsi"/>
              </w:rPr>
              <w:t>ork</w:t>
            </w:r>
            <w:r>
              <w:rPr>
                <w:rFonts w:cstheme="minorHAnsi"/>
              </w:rPr>
              <w:t>s</w:t>
            </w:r>
            <w:r w:rsidR="00086FA5" w:rsidRPr="004D4305">
              <w:rPr>
                <w:rFonts w:cstheme="minorHAnsi"/>
              </w:rPr>
              <w:t xml:space="preserve"> across regional project themes: conflict prevention and recovery; democratic governance; poverty alleviation, MDG achievement; sustainable energy; climate change; HIV, health and development; and financial inclusion.</w:t>
            </w:r>
          </w:p>
        </w:tc>
        <w:tc>
          <w:tcPr>
            <w:tcW w:w="4394" w:type="dxa"/>
          </w:tcPr>
          <w:p w14:paraId="6D6D5FF8" w14:textId="42E94203" w:rsidR="00086FA5" w:rsidRPr="00D33FDF" w:rsidRDefault="00BE269B" w:rsidP="00D33FDF">
            <w:pPr>
              <w:pStyle w:val="TableTextEntries"/>
              <w:rPr>
                <w:rFonts w:cstheme="minorHAnsi"/>
                <w:color w:val="000000"/>
              </w:rPr>
            </w:pPr>
            <w:r>
              <w:rPr>
                <w:rFonts w:cstheme="minorHAnsi"/>
                <w:color w:val="000000"/>
              </w:rPr>
              <w:t>Provided t</w:t>
            </w:r>
            <w:r w:rsidR="00086FA5" w:rsidRPr="004D4305">
              <w:rPr>
                <w:rFonts w:cstheme="minorHAnsi"/>
                <w:color w:val="000000"/>
              </w:rPr>
              <w:t>echnical advice on a</w:t>
            </w:r>
            <w:r>
              <w:rPr>
                <w:rFonts w:cstheme="minorHAnsi"/>
                <w:color w:val="000000"/>
              </w:rPr>
              <w:t xml:space="preserve"> l</w:t>
            </w:r>
            <w:r w:rsidRPr="00A72845">
              <w:rPr>
                <w:rFonts w:cstheme="minorHAnsi"/>
                <w:color w:val="000000"/>
              </w:rPr>
              <w:t xml:space="preserve">esbian, gay, bisexual, and transgender </w:t>
            </w:r>
            <w:r w:rsidR="00086FA5" w:rsidRPr="004D4305">
              <w:rPr>
                <w:rFonts w:cstheme="minorHAnsi"/>
                <w:color w:val="000000"/>
              </w:rPr>
              <w:t xml:space="preserve">rights submission for Samoa’s revision of it Crimes </w:t>
            </w:r>
            <w:r>
              <w:rPr>
                <w:rFonts w:cstheme="minorHAnsi"/>
                <w:color w:val="000000"/>
              </w:rPr>
              <w:t>B</w:t>
            </w:r>
            <w:r w:rsidR="00086FA5" w:rsidRPr="004D4305">
              <w:rPr>
                <w:rFonts w:cstheme="minorHAnsi"/>
                <w:color w:val="000000"/>
              </w:rPr>
              <w:t xml:space="preserve">ill, </w:t>
            </w:r>
            <w:r>
              <w:rPr>
                <w:rFonts w:cstheme="minorHAnsi"/>
                <w:color w:val="000000"/>
              </w:rPr>
              <w:t>focusing in</w:t>
            </w:r>
            <w:r w:rsidRPr="004D4305">
              <w:rPr>
                <w:rFonts w:cstheme="minorHAnsi"/>
                <w:color w:val="000000"/>
              </w:rPr>
              <w:t xml:space="preserve"> </w:t>
            </w:r>
            <w:r w:rsidR="00086FA5" w:rsidRPr="004D4305">
              <w:rPr>
                <w:rFonts w:cstheme="minorHAnsi"/>
                <w:color w:val="000000"/>
              </w:rPr>
              <w:t>particular on existing criminali</w:t>
            </w:r>
            <w:r>
              <w:rPr>
                <w:rFonts w:cstheme="minorHAnsi"/>
                <w:color w:val="000000"/>
              </w:rPr>
              <w:t>s</w:t>
            </w:r>
            <w:r w:rsidR="00086FA5" w:rsidRPr="004D4305">
              <w:rPr>
                <w:rFonts w:cstheme="minorHAnsi"/>
                <w:color w:val="000000"/>
              </w:rPr>
              <w:t>ation of adult, same</w:t>
            </w:r>
            <w:r>
              <w:rPr>
                <w:rFonts w:cstheme="minorHAnsi"/>
                <w:color w:val="000000"/>
              </w:rPr>
              <w:t>-</w:t>
            </w:r>
            <w:r w:rsidR="00086FA5" w:rsidRPr="004D4305">
              <w:rPr>
                <w:rFonts w:cstheme="minorHAnsi"/>
                <w:color w:val="000000"/>
              </w:rPr>
              <w:t>sex consensual relationships.</w:t>
            </w:r>
          </w:p>
        </w:tc>
      </w:tr>
    </w:tbl>
    <w:p w14:paraId="4034AD0F" w14:textId="03744F8F" w:rsidR="009C61B4" w:rsidRDefault="009C61B4" w:rsidP="009C61B4">
      <w:r>
        <w:br w:type="page"/>
      </w:r>
    </w:p>
    <w:p w14:paraId="09661534" w14:textId="77777777" w:rsidR="009C61B4" w:rsidRDefault="009C61B4" w:rsidP="009C61B4">
      <w:pPr>
        <w:pStyle w:val="Heading1"/>
        <w:spacing w:before="460" w:after="100" w:line="320" w:lineRule="atLeast"/>
        <w:ind w:right="0"/>
        <w:sectPr w:rsidR="009C61B4" w:rsidSect="00A45A10">
          <w:headerReference w:type="default" r:id="rId13"/>
          <w:footerReference w:type="default" r:id="rId14"/>
          <w:headerReference w:type="first" r:id="rId15"/>
          <w:pgSz w:w="16838" w:h="11906" w:orient="landscape" w:code="9"/>
          <w:pgMar w:top="1814" w:right="1814" w:bottom="1814" w:left="851" w:header="709" w:footer="425" w:gutter="0"/>
          <w:cols w:space="708"/>
          <w:docGrid w:linePitch="360"/>
        </w:sectPr>
      </w:pPr>
    </w:p>
    <w:p w14:paraId="3FDFFF18" w14:textId="09963A6B" w:rsidR="009C61B4" w:rsidRPr="00D33FDF" w:rsidRDefault="009C61B4" w:rsidP="00D33FDF">
      <w:pPr>
        <w:pStyle w:val="Heading1"/>
      </w:pPr>
      <w:r w:rsidRPr="00D33FDF">
        <w:t xml:space="preserve">Annex B: </w:t>
      </w:r>
      <w:r w:rsidR="00440570" w:rsidRPr="00D33FDF">
        <w:t>The Samoa</w:t>
      </w:r>
      <w:r w:rsidR="00B31220" w:rsidRPr="00D33FDF">
        <w:t xml:space="preserve"> – </w:t>
      </w:r>
      <w:r w:rsidRPr="00D33FDF">
        <w:t xml:space="preserve">Australia Police </w:t>
      </w:r>
      <w:r w:rsidR="00440570" w:rsidRPr="00D33FDF">
        <w:t>Partnership</w:t>
      </w:r>
      <w:r w:rsidRPr="00D33FDF">
        <w:rPr>
          <w:rStyle w:val="FootnoteReference"/>
          <w:rFonts w:ascii="Franklin Gothic Demi" w:hAnsi="Franklin Gothic Demi"/>
          <w:position w:val="0"/>
          <w:sz w:val="28"/>
          <w:szCs w:val="28"/>
          <w:vertAlign w:val="superscript"/>
        </w:rPr>
        <w:footnoteReference w:id="80"/>
      </w:r>
    </w:p>
    <w:p w14:paraId="24FF4518" w14:textId="34321CAD" w:rsidR="009C61B4" w:rsidRPr="00D33FDF" w:rsidRDefault="009C61B4" w:rsidP="00D33FDF">
      <w:pPr>
        <w:pStyle w:val="BodyText"/>
      </w:pPr>
      <w:r w:rsidRPr="00D33FDF">
        <w:t>In 2012, the Samoa</w:t>
      </w:r>
      <w:r w:rsidR="00A779B1" w:rsidRPr="00D33FDF">
        <w:t xml:space="preserve"> – </w:t>
      </w:r>
      <w:r w:rsidRPr="00D33FDF">
        <w:t>Australia Police Partnership continued its work as a bilateral component of the A</w:t>
      </w:r>
      <w:r w:rsidR="00A779B1" w:rsidRPr="00D33FDF">
        <w:t>ustr</w:t>
      </w:r>
      <w:r w:rsidR="00AE6C84" w:rsidRPr="00D33FDF">
        <w:t>alian Federal Police</w:t>
      </w:r>
      <w:r w:rsidRPr="00D33FDF">
        <w:t xml:space="preserve"> Pacific Police Development Program. The</w:t>
      </w:r>
      <w:r w:rsidR="00A779B1" w:rsidRPr="00D33FDF">
        <w:t xml:space="preserve"> partnership</w:t>
      </w:r>
      <w:r w:rsidR="001423AF" w:rsidRPr="00D33FDF">
        <w:t xml:space="preserve"> is founded upon an institutional relationship between the Samoa Police and Prison Service and the Australian Federal Police. It</w:t>
      </w:r>
      <w:r w:rsidRPr="00D33FDF">
        <w:t xml:space="preserve"> operates within the framework of the Samoa</w:t>
      </w:r>
      <w:r w:rsidR="00A779B1" w:rsidRPr="00D33FDF">
        <w:t xml:space="preserve"> – </w:t>
      </w:r>
      <w:r w:rsidRPr="00D33FDF">
        <w:t>Australia Partnership for Development</w:t>
      </w:r>
      <w:r w:rsidR="001423AF" w:rsidRPr="00D33FDF">
        <w:t xml:space="preserve"> and the broader context of Australian support to Samoa’s law and justice sector.</w:t>
      </w:r>
      <w:r w:rsidRPr="00D33FDF">
        <w:t xml:space="preserve"> </w:t>
      </w:r>
    </w:p>
    <w:p w14:paraId="700A67FB" w14:textId="2F1194CB" w:rsidR="009C61B4" w:rsidRPr="00D33FDF" w:rsidRDefault="009C61B4" w:rsidP="00D33FDF">
      <w:pPr>
        <w:pStyle w:val="BodyText"/>
      </w:pPr>
      <w:r w:rsidRPr="00D33FDF">
        <w:t xml:space="preserve">The agreed objectives of the </w:t>
      </w:r>
      <w:r w:rsidR="00A779B1" w:rsidRPr="00D33FDF">
        <w:t xml:space="preserve">Samoa – Australia Police Partnership </w:t>
      </w:r>
      <w:r w:rsidRPr="00D33FDF">
        <w:t xml:space="preserve">include </w:t>
      </w:r>
      <w:r w:rsidR="001423AF" w:rsidRPr="00D33FDF">
        <w:t xml:space="preserve">enhancing </w:t>
      </w:r>
      <w:r w:rsidRPr="00D33FDF">
        <w:t xml:space="preserve">public safety </w:t>
      </w:r>
      <w:r w:rsidR="001423AF" w:rsidRPr="00D33FDF">
        <w:t>by improving</w:t>
      </w:r>
      <w:r w:rsidRPr="00D33FDF">
        <w:t xml:space="preserve"> investigations and general policing, improving</w:t>
      </w:r>
      <w:r w:rsidR="001423AF" w:rsidRPr="00D33FDF">
        <w:t xml:space="preserve"> the ability of the</w:t>
      </w:r>
      <w:r w:rsidRPr="00D33FDF">
        <w:t xml:space="preserve"> S</w:t>
      </w:r>
      <w:r w:rsidR="00A779B1" w:rsidRPr="00D33FDF">
        <w:t>amoa Police and Prison Service</w:t>
      </w:r>
      <w:r w:rsidRPr="00D33FDF">
        <w:t xml:space="preserve"> to respond to and positively shape community perceptions of police, and</w:t>
      </w:r>
      <w:r w:rsidR="00A779B1" w:rsidRPr="00D33FDF">
        <w:t xml:space="preserve"> improv</w:t>
      </w:r>
      <w:r w:rsidR="001423AF" w:rsidRPr="00D33FDF">
        <w:t>ing</w:t>
      </w:r>
      <w:r w:rsidR="00A779B1" w:rsidRPr="00D33FDF">
        <w:t xml:space="preserve"> </w:t>
      </w:r>
      <w:r w:rsidR="001423AF" w:rsidRPr="00D33FDF">
        <w:t>the service’s</w:t>
      </w:r>
      <w:r w:rsidRPr="00D33FDF">
        <w:t xml:space="preserve"> corporate support capacity to</w:t>
      </w:r>
      <w:r w:rsidR="001423AF" w:rsidRPr="00D33FDF">
        <w:t xml:space="preserve"> deliver</w:t>
      </w:r>
      <w:r w:rsidRPr="00D33FDF">
        <w:t xml:space="preserve">. </w:t>
      </w:r>
    </w:p>
    <w:p w14:paraId="5A440636" w14:textId="43C7D1EB" w:rsidR="009C61B4" w:rsidRPr="00D33FDF" w:rsidRDefault="001423AF" w:rsidP="00D33FDF">
      <w:pPr>
        <w:pStyle w:val="BodyText"/>
      </w:pPr>
      <w:r w:rsidRPr="00D33FDF">
        <w:t>A</w:t>
      </w:r>
      <w:r w:rsidR="009C61B4" w:rsidRPr="00D33FDF">
        <w:t>chievements in 2012 include:</w:t>
      </w:r>
    </w:p>
    <w:p w14:paraId="4A8F7B96" w14:textId="63CCF032" w:rsidR="009C61B4" w:rsidRDefault="009C61B4" w:rsidP="00D33FDF">
      <w:pPr>
        <w:pStyle w:val="ListBullet"/>
      </w:pPr>
      <w:r>
        <w:t xml:space="preserve">Emergency </w:t>
      </w:r>
      <w:r w:rsidR="00B31220">
        <w:t>m</w:t>
      </w:r>
      <w:r>
        <w:t xml:space="preserve">anagement: Provided disaster response assistance to the Samoa Police </w:t>
      </w:r>
      <w:r w:rsidR="00A779B1">
        <w:t xml:space="preserve">and Prison </w:t>
      </w:r>
      <w:r>
        <w:t xml:space="preserve">Service during tropical </w:t>
      </w:r>
      <w:r w:rsidR="00440570">
        <w:t>C</w:t>
      </w:r>
      <w:r>
        <w:t>yclone Evan</w:t>
      </w:r>
      <w:r w:rsidR="007737ED">
        <w:t xml:space="preserve">. </w:t>
      </w:r>
    </w:p>
    <w:p w14:paraId="7D84F6F7" w14:textId="38C06137" w:rsidR="009C61B4" w:rsidRDefault="009C61B4" w:rsidP="00D33FDF">
      <w:pPr>
        <w:pStyle w:val="ListBullet"/>
      </w:pPr>
      <w:r>
        <w:t xml:space="preserve">Training: Developed and implemented an </w:t>
      </w:r>
      <w:r w:rsidR="00B31220">
        <w:t>a</w:t>
      </w:r>
      <w:r>
        <w:t xml:space="preserve">dvanced </w:t>
      </w:r>
      <w:r w:rsidR="00B31220">
        <w:t>i</w:t>
      </w:r>
      <w:r>
        <w:t xml:space="preserve">nvestigations </w:t>
      </w:r>
      <w:r w:rsidR="00B31220">
        <w:t>c</w:t>
      </w:r>
      <w:r>
        <w:t>ourse (</w:t>
      </w:r>
      <w:r w:rsidR="00B31220">
        <w:t>d</w:t>
      </w:r>
      <w:r>
        <w:t xml:space="preserve">etective </w:t>
      </w:r>
      <w:r w:rsidR="00B31220">
        <w:t>t</w:t>
      </w:r>
      <w:r>
        <w:t>raining) for the first time as part of the new investigations training program for the Samoa Police</w:t>
      </w:r>
      <w:r w:rsidR="00A779B1">
        <w:t xml:space="preserve"> and Prison</w:t>
      </w:r>
      <w:r>
        <w:t xml:space="preserve"> Service. This resulted in the graduation of newly trained </w:t>
      </w:r>
      <w:r w:rsidR="00B31220">
        <w:t>d</w:t>
      </w:r>
      <w:r>
        <w:t>etectives.</w:t>
      </w:r>
    </w:p>
    <w:p w14:paraId="71035AE3" w14:textId="54B3B7B4" w:rsidR="009C61B4" w:rsidRDefault="009C61B4" w:rsidP="00D33FDF">
      <w:pPr>
        <w:pStyle w:val="ListBullet"/>
      </w:pPr>
      <w:r>
        <w:t xml:space="preserve">Radio </w:t>
      </w:r>
      <w:r w:rsidR="00B31220">
        <w:t>c</w:t>
      </w:r>
      <w:r>
        <w:t xml:space="preserve">ommunications: </w:t>
      </w:r>
      <w:r w:rsidR="001423AF">
        <w:t>Continued with s</w:t>
      </w:r>
      <w:r>
        <w:t xml:space="preserve">ignificant progress </w:t>
      </w:r>
      <w:r w:rsidR="001423AF">
        <w:t>on cons</w:t>
      </w:r>
      <w:r w:rsidR="00A215AB">
        <w:t>t</w:t>
      </w:r>
      <w:r w:rsidR="001423AF">
        <w:t>ructing</w:t>
      </w:r>
      <w:r>
        <w:t xml:space="preserve"> a shared radio communications network to involve police, fire and emergency services together with the Samoa National Disaster Management </w:t>
      </w:r>
      <w:r w:rsidR="009D24A4">
        <w:t>Office</w:t>
      </w:r>
      <w:r>
        <w:t xml:space="preserve">. Construction is nearing completion. </w:t>
      </w:r>
    </w:p>
    <w:p w14:paraId="4F42E2C0" w14:textId="54EEA578" w:rsidR="009C61B4" w:rsidRDefault="009C61B4" w:rsidP="00D33FDF">
      <w:pPr>
        <w:pStyle w:val="ListBullet"/>
      </w:pPr>
      <w:r>
        <w:t>Workshops: Conducted the A</w:t>
      </w:r>
      <w:r w:rsidR="00A779B1">
        <w:t>ustralian Federal Police</w:t>
      </w:r>
      <w:r>
        <w:t xml:space="preserve">’s pilot </w:t>
      </w:r>
      <w:r w:rsidR="00A779B1">
        <w:t>s</w:t>
      </w:r>
      <w:r>
        <w:t xml:space="preserve">exual </w:t>
      </w:r>
      <w:r w:rsidR="00A779B1">
        <w:t>o</w:t>
      </w:r>
      <w:r>
        <w:t xml:space="preserve">ffences </w:t>
      </w:r>
      <w:r w:rsidR="00A779B1">
        <w:t>f</w:t>
      </w:r>
      <w:r>
        <w:t xml:space="preserve">irst </w:t>
      </w:r>
      <w:r w:rsidR="0029109A">
        <w:t>r</w:t>
      </w:r>
      <w:r>
        <w:t xml:space="preserve">esponse </w:t>
      </w:r>
      <w:r w:rsidR="00B31220">
        <w:t>w</w:t>
      </w:r>
      <w:r>
        <w:t>orkshop for 31 members of the Samoa Police</w:t>
      </w:r>
      <w:r w:rsidR="00A779B1">
        <w:t xml:space="preserve"> and Prison</w:t>
      </w:r>
      <w:r>
        <w:t xml:space="preserve"> Service as a pre-cursor to rollout in other Pacific countries.</w:t>
      </w:r>
    </w:p>
    <w:p w14:paraId="6062113A" w14:textId="14FE5819" w:rsidR="009C61B4" w:rsidRPr="00D33FDF" w:rsidRDefault="009C61B4" w:rsidP="00D33FDF">
      <w:pPr>
        <w:pStyle w:val="BodyText"/>
      </w:pPr>
      <w:r w:rsidRPr="00D33FDF">
        <w:t xml:space="preserve">Samoa continues to maintain a high level of socio-political stability which many Samoans attribute to the strength of </w:t>
      </w:r>
      <w:r w:rsidR="00440570" w:rsidRPr="00D33FDF">
        <w:t>traditional culture</w:t>
      </w:r>
      <w:r w:rsidRPr="00D33FDF">
        <w:t>. However, as reported last year, crime figures indicate Samoa is facing a steady increase in crime. Factors contribut</w:t>
      </w:r>
      <w:r w:rsidR="001423AF" w:rsidRPr="00D33FDF">
        <w:t>ing</w:t>
      </w:r>
      <w:r w:rsidRPr="00D33FDF">
        <w:t xml:space="preserve"> to this include urbani</w:t>
      </w:r>
      <w:r w:rsidR="00A779B1" w:rsidRPr="00D33FDF">
        <w:t>s</w:t>
      </w:r>
      <w:r w:rsidRPr="00D33FDF">
        <w:t xml:space="preserve">ation and high unemployment </w:t>
      </w:r>
      <w:r w:rsidR="001423AF" w:rsidRPr="00D33FDF">
        <w:t xml:space="preserve">combined with </w:t>
      </w:r>
      <w:r w:rsidRPr="00D33FDF">
        <w:t>a widening gap between the rich and the poor. These challenges continue to pressure traditional Samoan practices</w:t>
      </w:r>
      <w:r w:rsidR="001423AF" w:rsidRPr="00D33FDF">
        <w:t xml:space="preserve"> which, </w:t>
      </w:r>
      <w:r w:rsidRPr="00D33FDF">
        <w:t>in turn</w:t>
      </w:r>
      <w:r w:rsidR="001423AF" w:rsidRPr="00D33FDF">
        <w:t>,</w:t>
      </w:r>
      <w:r w:rsidRPr="00D33FDF">
        <w:t xml:space="preserve"> pressure the </w:t>
      </w:r>
      <w:r w:rsidR="00E34089" w:rsidRPr="00D33FDF">
        <w:t>g</w:t>
      </w:r>
      <w:r w:rsidRPr="00D33FDF">
        <w:t xml:space="preserve">overnment and </w:t>
      </w:r>
      <w:r w:rsidR="00A779B1" w:rsidRPr="00D33FDF">
        <w:t>Samoa Police and Prison Service</w:t>
      </w:r>
      <w:r w:rsidR="001423AF" w:rsidRPr="00D33FDF">
        <w:t>. Pressures</w:t>
      </w:r>
      <w:r w:rsidRPr="00D33FDF">
        <w:t xml:space="preserve"> includ</w:t>
      </w:r>
      <w:r w:rsidR="001423AF" w:rsidRPr="00D33FDF">
        <w:t>e</w:t>
      </w:r>
      <w:r w:rsidRPr="00D33FDF">
        <w:t xml:space="preserve"> demands to more clearly define the respective roles of the state and traditional village council systems in maint</w:t>
      </w:r>
      <w:r w:rsidR="001423AF" w:rsidRPr="00D33FDF">
        <w:t>aining</w:t>
      </w:r>
      <w:r w:rsidRPr="00D33FDF">
        <w:t xml:space="preserve"> law and order.</w:t>
      </w:r>
    </w:p>
    <w:p w14:paraId="2D3BB9A2" w14:textId="0D6731CE" w:rsidR="009C61B4" w:rsidRPr="00D33FDF" w:rsidRDefault="009C61B4" w:rsidP="00D33FDF">
      <w:pPr>
        <w:pStyle w:val="BodyText"/>
      </w:pPr>
      <w:r w:rsidRPr="00D33FDF">
        <w:t>The</w:t>
      </w:r>
      <w:r w:rsidR="00A779B1" w:rsidRPr="00D33FDF">
        <w:t xml:space="preserve"> Samoa Police and Prison Service</w:t>
      </w:r>
      <w:r w:rsidRPr="00D33FDF">
        <w:t xml:space="preserve"> </w:t>
      </w:r>
      <w:r w:rsidR="001423AF" w:rsidRPr="00D33FDF">
        <w:t>also</w:t>
      </w:r>
      <w:r w:rsidRPr="00D33FDF">
        <w:t xml:space="preserve"> face challenges</w:t>
      </w:r>
      <w:r w:rsidR="007D410C" w:rsidRPr="00D33FDF">
        <w:t>,</w:t>
      </w:r>
      <w:r w:rsidRPr="00D33FDF">
        <w:t xml:space="preserve"> many of which remain outside</w:t>
      </w:r>
      <w:r w:rsidR="00A779B1" w:rsidRPr="00D33FDF">
        <w:t xml:space="preserve"> of its</w:t>
      </w:r>
      <w:r w:rsidRPr="00D33FDF">
        <w:t xml:space="preserve"> control. Of particular importance are:</w:t>
      </w:r>
    </w:p>
    <w:p w14:paraId="674D5457" w14:textId="35F94FAB" w:rsidR="009C61B4" w:rsidRDefault="009C61B4" w:rsidP="00D33FDF">
      <w:pPr>
        <w:pStyle w:val="ListBullet"/>
      </w:pPr>
      <w:r>
        <w:t>broad organisational responsibilities (including corrections, maritime policing, special response, emergency management and participation in peace</w:t>
      </w:r>
      <w:r w:rsidR="001423AF">
        <w:t>-</w:t>
      </w:r>
      <w:r>
        <w:t>keeping missions)</w:t>
      </w:r>
    </w:p>
    <w:p w14:paraId="1CA97B4E" w14:textId="387210F0" w:rsidR="009C61B4" w:rsidRDefault="009C61B4" w:rsidP="00D33FDF">
      <w:pPr>
        <w:pStyle w:val="ListBullet"/>
      </w:pPr>
      <w:r>
        <w:t xml:space="preserve">tight organisational budget </w:t>
      </w:r>
    </w:p>
    <w:p w14:paraId="41B28A7C" w14:textId="77777777" w:rsidR="001423AF" w:rsidRDefault="009C61B4" w:rsidP="00D33FDF">
      <w:pPr>
        <w:pStyle w:val="ListBullet"/>
      </w:pPr>
      <w:r>
        <w:t>limited infrastructure (including buildings and communications networks)</w:t>
      </w:r>
    </w:p>
    <w:p w14:paraId="2CEC0FD1" w14:textId="68CD2091" w:rsidR="009C61B4" w:rsidRDefault="009C61B4" w:rsidP="00D33FDF">
      <w:pPr>
        <w:pStyle w:val="ListBullet"/>
      </w:pPr>
      <w:r>
        <w:t>difficulty in maintaining infrastructure and equipment</w:t>
      </w:r>
    </w:p>
    <w:p w14:paraId="3A39246F" w14:textId="77777777" w:rsidR="001423AF" w:rsidRDefault="009C61B4" w:rsidP="00D33FDF">
      <w:pPr>
        <w:pStyle w:val="ListBullet"/>
      </w:pPr>
      <w:r>
        <w:t>limited performance management</w:t>
      </w:r>
    </w:p>
    <w:p w14:paraId="77278C68" w14:textId="06FE9281" w:rsidR="009C61B4" w:rsidRDefault="009C61B4" w:rsidP="00D33FDF">
      <w:pPr>
        <w:pStyle w:val="ListBullet"/>
      </w:pPr>
      <w:proofErr w:type="gramStart"/>
      <w:r>
        <w:t>problems</w:t>
      </w:r>
      <w:proofErr w:type="gramEnd"/>
      <w:r>
        <w:t xml:space="preserve"> with leadership and supervision (particularly at middle</w:t>
      </w:r>
      <w:r w:rsidR="00A779B1">
        <w:t>-</w:t>
      </w:r>
      <w:r>
        <w:t>management level)</w:t>
      </w:r>
      <w:r w:rsidR="00440570">
        <w:t>.</w:t>
      </w:r>
    </w:p>
    <w:p w14:paraId="7E3D6AA8" w14:textId="77777777" w:rsidR="009C61B4" w:rsidRDefault="009C61B4" w:rsidP="00A47ECF">
      <w:pPr>
        <w:pStyle w:val="BodyText"/>
      </w:pPr>
      <w:r>
        <w:br w:type="page"/>
      </w:r>
    </w:p>
    <w:p w14:paraId="5D159B4E" w14:textId="624EC7DB" w:rsidR="009C61B4" w:rsidRPr="00D33FDF" w:rsidRDefault="009C61B4" w:rsidP="00D33FDF">
      <w:pPr>
        <w:pStyle w:val="Heading1"/>
      </w:pPr>
      <w:r w:rsidRPr="00D33FDF">
        <w:t>Annex C</w:t>
      </w:r>
      <w:r w:rsidR="0002291B" w:rsidRPr="00D33FDF">
        <w:t xml:space="preserve">: </w:t>
      </w:r>
      <w:r w:rsidRPr="00D33FDF">
        <w:t xml:space="preserve">Quality at </w:t>
      </w:r>
      <w:r w:rsidR="007D410C" w:rsidRPr="00D33FDF">
        <w:t>i</w:t>
      </w:r>
      <w:r w:rsidRPr="00D33FDF">
        <w:t>mplementation ratings 2012 and 2011</w:t>
      </w:r>
    </w:p>
    <w:tbl>
      <w:tblPr>
        <w:tblStyle w:val="APPR"/>
        <w:tblW w:w="5000" w:type="pct"/>
        <w:tblLayout w:type="fixed"/>
        <w:tblLook w:val="0000" w:firstRow="0" w:lastRow="0" w:firstColumn="0" w:lastColumn="0" w:noHBand="0" w:noVBand="0"/>
      </w:tblPr>
      <w:tblGrid>
        <w:gridCol w:w="2793"/>
        <w:gridCol w:w="777"/>
        <w:gridCol w:w="225"/>
        <w:gridCol w:w="780"/>
        <w:gridCol w:w="697"/>
        <w:gridCol w:w="697"/>
        <w:gridCol w:w="733"/>
        <w:gridCol w:w="659"/>
        <w:gridCol w:w="617"/>
        <w:gridCol w:w="628"/>
      </w:tblGrid>
      <w:tr w:rsidR="009C61B4" w:rsidRPr="009D53C4" w14:paraId="0326AC8A" w14:textId="77777777" w:rsidTr="00D33FDF">
        <w:trPr>
          <w:trHeight w:val="1588"/>
          <w:tblHeader w:val="0"/>
        </w:trPr>
        <w:tc>
          <w:tcPr>
            <w:tcW w:w="1598" w:type="pct"/>
          </w:tcPr>
          <w:p w14:paraId="20F3F1E7" w14:textId="77777777" w:rsidR="009C61B4" w:rsidRPr="00FE4491" w:rsidRDefault="009C61B4" w:rsidP="00EA10CE">
            <w:pPr>
              <w:pStyle w:val="TableTextColumnHeading"/>
            </w:pPr>
            <w:r w:rsidRPr="00FE4491">
              <w:rPr>
                <w:noProof/>
                <w:lang w:eastAsia="en-AU"/>
              </w:rPr>
              <w:drawing>
                <wp:anchor distT="0" distB="0" distL="114300" distR="114300" simplePos="0" relativeHeight="251659264" behindDoc="0" locked="0" layoutInCell="1" allowOverlap="1" wp14:anchorId="222D1C71" wp14:editId="37A8EAED">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435" w:type="pct"/>
            <w:textDirection w:val="btLr"/>
          </w:tcPr>
          <w:p w14:paraId="4993FA57" w14:textId="77777777" w:rsidR="009C61B4" w:rsidRPr="00FE4491" w:rsidRDefault="009C61B4" w:rsidP="00EA10CE">
            <w:pPr>
              <w:pStyle w:val="TableTextColumnHeading"/>
            </w:pPr>
            <w:proofErr w:type="spellStart"/>
            <w:r w:rsidRPr="00FE4491">
              <w:t>QaI</w:t>
            </w:r>
            <w:proofErr w:type="spellEnd"/>
            <w:r w:rsidRPr="00FE4491">
              <w:t xml:space="preserve"> year</w:t>
            </w:r>
          </w:p>
        </w:tc>
        <w:tc>
          <w:tcPr>
            <w:tcW w:w="552" w:type="pct"/>
            <w:gridSpan w:val="2"/>
            <w:textDirection w:val="btLr"/>
            <w:vAlign w:val="center"/>
          </w:tcPr>
          <w:p w14:paraId="4CF7CA20" w14:textId="77777777" w:rsidR="009C61B4" w:rsidRPr="00FE4491" w:rsidRDefault="009C61B4" w:rsidP="00EA10CE">
            <w:pPr>
              <w:pStyle w:val="TableTextColumnHeading"/>
            </w:pPr>
            <w:r w:rsidRPr="00FE4491">
              <w:t>Relevance</w:t>
            </w:r>
          </w:p>
        </w:tc>
        <w:tc>
          <w:tcPr>
            <w:tcW w:w="389" w:type="pct"/>
            <w:textDirection w:val="btLr"/>
          </w:tcPr>
          <w:p w14:paraId="59120464" w14:textId="77777777" w:rsidR="009C61B4" w:rsidRPr="00FE4491" w:rsidRDefault="009C61B4" w:rsidP="00EA10CE">
            <w:pPr>
              <w:pStyle w:val="TableTextColumnHeading"/>
            </w:pPr>
            <w:r w:rsidRPr="00FE4491">
              <w:t>Effectiveness</w:t>
            </w:r>
          </w:p>
        </w:tc>
        <w:tc>
          <w:tcPr>
            <w:tcW w:w="389" w:type="pct"/>
            <w:textDirection w:val="btLr"/>
          </w:tcPr>
          <w:p w14:paraId="233F5735" w14:textId="77777777" w:rsidR="009C61B4" w:rsidRPr="00FE4491" w:rsidRDefault="009C61B4" w:rsidP="00EA10CE">
            <w:pPr>
              <w:pStyle w:val="TableTextColumnHeading"/>
            </w:pPr>
            <w:r w:rsidRPr="00FE4491">
              <w:t>Efficiency</w:t>
            </w:r>
          </w:p>
        </w:tc>
        <w:tc>
          <w:tcPr>
            <w:tcW w:w="410" w:type="pct"/>
            <w:textDirection w:val="btLr"/>
          </w:tcPr>
          <w:p w14:paraId="50014ECA" w14:textId="203A68BD" w:rsidR="009C61B4" w:rsidRPr="00FE4491" w:rsidRDefault="009C61B4" w:rsidP="007D410C">
            <w:pPr>
              <w:pStyle w:val="TableTextColumnHeading"/>
            </w:pPr>
            <w:r w:rsidRPr="00FE4491">
              <w:t xml:space="preserve">Monitoring and </w:t>
            </w:r>
            <w:r w:rsidR="007D410C">
              <w:t>e</w:t>
            </w:r>
            <w:r w:rsidRPr="00FE4491">
              <w:t>valuation</w:t>
            </w:r>
          </w:p>
        </w:tc>
        <w:tc>
          <w:tcPr>
            <w:tcW w:w="366" w:type="pct"/>
            <w:textDirection w:val="btLr"/>
          </w:tcPr>
          <w:p w14:paraId="5D38809C" w14:textId="77777777" w:rsidR="009C61B4" w:rsidRPr="00FE4491" w:rsidRDefault="009C61B4" w:rsidP="00EA10CE">
            <w:pPr>
              <w:pStyle w:val="TableTextColumnHeading"/>
            </w:pPr>
            <w:r w:rsidRPr="00FE4491">
              <w:t>Sustainability</w:t>
            </w:r>
          </w:p>
        </w:tc>
        <w:tc>
          <w:tcPr>
            <w:tcW w:w="342" w:type="pct"/>
            <w:textDirection w:val="btLr"/>
          </w:tcPr>
          <w:p w14:paraId="5BAAC9B8" w14:textId="77777777" w:rsidR="009C61B4" w:rsidRPr="00FE4491" w:rsidRDefault="009C61B4" w:rsidP="00EA10CE">
            <w:pPr>
              <w:pStyle w:val="TableTextColumnHeading"/>
            </w:pPr>
            <w:r w:rsidRPr="00FE4491">
              <w:t>Gender equality</w:t>
            </w:r>
          </w:p>
        </w:tc>
        <w:tc>
          <w:tcPr>
            <w:tcW w:w="340" w:type="pct"/>
            <w:textDirection w:val="btLr"/>
          </w:tcPr>
          <w:p w14:paraId="42098B02" w14:textId="7BD0DA6C" w:rsidR="009C61B4" w:rsidRPr="00FE4491" w:rsidRDefault="009C61B4" w:rsidP="007D410C">
            <w:pPr>
              <w:pStyle w:val="TableTextColumnHeading"/>
            </w:pPr>
            <w:r w:rsidRPr="00FE4491">
              <w:t xml:space="preserve">Risk </w:t>
            </w:r>
            <w:r w:rsidR="007D410C">
              <w:t>m</w:t>
            </w:r>
            <w:r w:rsidRPr="00FE4491">
              <w:t>anagement</w:t>
            </w:r>
          </w:p>
        </w:tc>
      </w:tr>
      <w:tr w:rsidR="009C61B4" w:rsidRPr="009D53C4" w14:paraId="5ED9D89A"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7DB5D151" w14:textId="77777777" w:rsidR="009C61B4" w:rsidRPr="00FE4491" w:rsidRDefault="009C61B4" w:rsidP="00D33FDF">
            <w:pPr>
              <w:pStyle w:val="TableTextEntries"/>
            </w:pPr>
            <w:r>
              <w:t>Education Sector Program II</w:t>
            </w:r>
          </w:p>
        </w:tc>
        <w:tc>
          <w:tcPr>
            <w:tcW w:w="550" w:type="pct"/>
            <w:gridSpan w:val="2"/>
          </w:tcPr>
          <w:p w14:paraId="432C108E" w14:textId="77777777" w:rsidR="009C61B4" w:rsidRPr="00FE4491" w:rsidRDefault="009C61B4" w:rsidP="00D33FDF">
            <w:pPr>
              <w:pStyle w:val="TableTextEntries"/>
            </w:pPr>
            <w:r w:rsidRPr="00FE4491">
              <w:t>2012</w:t>
            </w:r>
          </w:p>
        </w:tc>
        <w:tc>
          <w:tcPr>
            <w:tcW w:w="436" w:type="pct"/>
            <w:shd w:val="clear" w:color="auto" w:fill="92D050"/>
            <w:noWrap/>
          </w:tcPr>
          <w:p w14:paraId="0C83F95F" w14:textId="77777777" w:rsidR="009C61B4" w:rsidRPr="00FE4491" w:rsidRDefault="009C61B4" w:rsidP="00D33FDF">
            <w:pPr>
              <w:pStyle w:val="TableTextEntries"/>
              <w:jc w:val="center"/>
            </w:pPr>
            <w:r>
              <w:t>6</w:t>
            </w:r>
          </w:p>
        </w:tc>
        <w:tc>
          <w:tcPr>
            <w:tcW w:w="389" w:type="pct"/>
            <w:shd w:val="clear" w:color="auto" w:fill="92D050"/>
            <w:noWrap/>
          </w:tcPr>
          <w:p w14:paraId="3E026690" w14:textId="77777777" w:rsidR="009C61B4" w:rsidRPr="00FE4491" w:rsidRDefault="009C61B4" w:rsidP="00D33FDF">
            <w:pPr>
              <w:pStyle w:val="TableTextEntries"/>
              <w:jc w:val="center"/>
            </w:pPr>
            <w:r>
              <w:t>6</w:t>
            </w:r>
          </w:p>
        </w:tc>
        <w:tc>
          <w:tcPr>
            <w:tcW w:w="389" w:type="pct"/>
            <w:shd w:val="clear" w:color="auto" w:fill="92D050"/>
            <w:noWrap/>
          </w:tcPr>
          <w:p w14:paraId="7D256CDD" w14:textId="77777777" w:rsidR="009C61B4" w:rsidRPr="00FE4491" w:rsidRDefault="009C61B4" w:rsidP="00D33FDF">
            <w:pPr>
              <w:pStyle w:val="TableTextEntries"/>
              <w:jc w:val="center"/>
            </w:pPr>
            <w:r>
              <w:t>5</w:t>
            </w:r>
          </w:p>
        </w:tc>
        <w:tc>
          <w:tcPr>
            <w:tcW w:w="410" w:type="pct"/>
            <w:shd w:val="clear" w:color="auto" w:fill="FFFF00"/>
            <w:noWrap/>
          </w:tcPr>
          <w:p w14:paraId="1FCE5039" w14:textId="77777777" w:rsidR="009C61B4" w:rsidRPr="00FE4491" w:rsidRDefault="009C61B4" w:rsidP="00D33FDF">
            <w:pPr>
              <w:pStyle w:val="TableTextEntries"/>
              <w:jc w:val="center"/>
            </w:pPr>
            <w:r>
              <w:t>4</w:t>
            </w:r>
          </w:p>
        </w:tc>
        <w:tc>
          <w:tcPr>
            <w:tcW w:w="366" w:type="pct"/>
            <w:shd w:val="clear" w:color="auto" w:fill="92D050"/>
            <w:noWrap/>
          </w:tcPr>
          <w:p w14:paraId="48E870F3" w14:textId="77777777" w:rsidR="009C61B4" w:rsidRPr="00FE4491" w:rsidRDefault="009C61B4" w:rsidP="00D33FDF">
            <w:pPr>
              <w:pStyle w:val="TableTextEntries"/>
              <w:jc w:val="center"/>
            </w:pPr>
            <w:r>
              <w:t>6</w:t>
            </w:r>
          </w:p>
        </w:tc>
        <w:tc>
          <w:tcPr>
            <w:tcW w:w="342" w:type="pct"/>
            <w:shd w:val="clear" w:color="auto" w:fill="92D050"/>
            <w:noWrap/>
          </w:tcPr>
          <w:p w14:paraId="1841F6BE" w14:textId="77777777" w:rsidR="009C61B4" w:rsidRPr="00FE4491" w:rsidRDefault="009C61B4" w:rsidP="00D33FDF">
            <w:pPr>
              <w:pStyle w:val="TableTextEntries"/>
              <w:jc w:val="center"/>
            </w:pPr>
            <w:r>
              <w:t>5</w:t>
            </w:r>
          </w:p>
        </w:tc>
        <w:tc>
          <w:tcPr>
            <w:tcW w:w="340" w:type="pct"/>
            <w:shd w:val="clear" w:color="auto" w:fill="F79646" w:themeFill="accent6"/>
            <w:noWrap/>
          </w:tcPr>
          <w:p w14:paraId="35A3900B" w14:textId="77777777" w:rsidR="009C61B4" w:rsidRPr="00FE4491" w:rsidRDefault="009C61B4" w:rsidP="00D33FDF">
            <w:pPr>
              <w:pStyle w:val="TableTextEntries"/>
              <w:jc w:val="center"/>
            </w:pPr>
            <w:r>
              <w:t>I</w:t>
            </w:r>
          </w:p>
        </w:tc>
      </w:tr>
      <w:tr w:rsidR="009C61B4" w:rsidRPr="009D53C4" w14:paraId="4FC95954" w14:textId="77777777" w:rsidTr="00D33FDF">
        <w:trPr>
          <w:trHeight w:val="20"/>
          <w:tblHeader w:val="0"/>
        </w:trPr>
        <w:tc>
          <w:tcPr>
            <w:tcW w:w="1598" w:type="pct"/>
            <w:vMerge/>
          </w:tcPr>
          <w:p w14:paraId="66576748" w14:textId="77777777" w:rsidR="009C61B4" w:rsidRPr="00FE4491" w:rsidRDefault="009C61B4" w:rsidP="00D33FDF">
            <w:pPr>
              <w:pStyle w:val="TableTextEntries"/>
            </w:pPr>
          </w:p>
        </w:tc>
        <w:tc>
          <w:tcPr>
            <w:tcW w:w="550" w:type="pct"/>
            <w:gridSpan w:val="2"/>
          </w:tcPr>
          <w:p w14:paraId="42221F1B" w14:textId="77777777" w:rsidR="009C61B4" w:rsidRPr="00FE4491" w:rsidRDefault="009C61B4" w:rsidP="00D33FDF">
            <w:pPr>
              <w:pStyle w:val="TableTextEntries"/>
            </w:pPr>
            <w:r w:rsidRPr="00FE4491">
              <w:t>2011</w:t>
            </w:r>
          </w:p>
        </w:tc>
        <w:tc>
          <w:tcPr>
            <w:tcW w:w="436" w:type="pct"/>
            <w:shd w:val="clear" w:color="auto" w:fill="92D050"/>
            <w:noWrap/>
          </w:tcPr>
          <w:p w14:paraId="32102281" w14:textId="77777777" w:rsidR="009C61B4" w:rsidRPr="00FE4491" w:rsidRDefault="009C61B4" w:rsidP="00D33FDF">
            <w:pPr>
              <w:pStyle w:val="TableTextEntries"/>
              <w:jc w:val="center"/>
            </w:pPr>
            <w:r>
              <w:t>6</w:t>
            </w:r>
          </w:p>
        </w:tc>
        <w:tc>
          <w:tcPr>
            <w:tcW w:w="389" w:type="pct"/>
            <w:shd w:val="clear" w:color="auto" w:fill="92D050"/>
            <w:noWrap/>
          </w:tcPr>
          <w:p w14:paraId="30088495" w14:textId="77777777" w:rsidR="009C61B4" w:rsidRPr="00FE4491" w:rsidRDefault="009C61B4" w:rsidP="00D33FDF">
            <w:pPr>
              <w:pStyle w:val="TableTextEntries"/>
              <w:jc w:val="center"/>
            </w:pPr>
            <w:r>
              <w:t>5</w:t>
            </w:r>
          </w:p>
        </w:tc>
        <w:tc>
          <w:tcPr>
            <w:tcW w:w="389" w:type="pct"/>
            <w:shd w:val="clear" w:color="auto" w:fill="92D050"/>
            <w:noWrap/>
          </w:tcPr>
          <w:p w14:paraId="51D31A2D" w14:textId="77777777" w:rsidR="009C61B4" w:rsidRPr="00FE4491" w:rsidRDefault="009C61B4" w:rsidP="00D33FDF">
            <w:pPr>
              <w:pStyle w:val="TableTextEntries"/>
              <w:jc w:val="center"/>
            </w:pPr>
            <w:r>
              <w:t>5</w:t>
            </w:r>
          </w:p>
        </w:tc>
        <w:tc>
          <w:tcPr>
            <w:tcW w:w="410" w:type="pct"/>
            <w:shd w:val="clear" w:color="auto" w:fill="FFFF00"/>
            <w:noWrap/>
          </w:tcPr>
          <w:p w14:paraId="2AA00638" w14:textId="77777777" w:rsidR="009C61B4" w:rsidRPr="00FE4491" w:rsidRDefault="009C61B4" w:rsidP="00D33FDF">
            <w:pPr>
              <w:pStyle w:val="TableTextEntries"/>
              <w:jc w:val="center"/>
            </w:pPr>
            <w:r>
              <w:t>4</w:t>
            </w:r>
          </w:p>
        </w:tc>
        <w:tc>
          <w:tcPr>
            <w:tcW w:w="366" w:type="pct"/>
            <w:shd w:val="clear" w:color="auto" w:fill="92D050"/>
            <w:noWrap/>
          </w:tcPr>
          <w:p w14:paraId="581B4BF6" w14:textId="77777777" w:rsidR="009C61B4" w:rsidRPr="00FE4491" w:rsidRDefault="009C61B4" w:rsidP="00D33FDF">
            <w:pPr>
              <w:pStyle w:val="TableTextEntries"/>
              <w:jc w:val="center"/>
            </w:pPr>
            <w:r>
              <w:t>6</w:t>
            </w:r>
          </w:p>
        </w:tc>
        <w:tc>
          <w:tcPr>
            <w:tcW w:w="342" w:type="pct"/>
            <w:shd w:val="clear" w:color="auto" w:fill="92D050"/>
            <w:noWrap/>
          </w:tcPr>
          <w:p w14:paraId="2A3E105C" w14:textId="77777777" w:rsidR="009C61B4" w:rsidRPr="00FE4491" w:rsidRDefault="009C61B4" w:rsidP="00D33FDF">
            <w:pPr>
              <w:pStyle w:val="TableTextEntries"/>
              <w:jc w:val="center"/>
            </w:pPr>
            <w:r>
              <w:t>5</w:t>
            </w:r>
          </w:p>
        </w:tc>
        <w:tc>
          <w:tcPr>
            <w:tcW w:w="340" w:type="pct"/>
            <w:shd w:val="clear" w:color="auto" w:fill="auto"/>
            <w:noWrap/>
          </w:tcPr>
          <w:p w14:paraId="2A0653CB" w14:textId="77777777" w:rsidR="009C61B4" w:rsidRPr="00FE4491" w:rsidRDefault="009C61B4" w:rsidP="00D33FDF">
            <w:pPr>
              <w:pStyle w:val="TableTextEntries"/>
              <w:jc w:val="center"/>
            </w:pPr>
            <w:r>
              <w:t>N/A</w:t>
            </w:r>
          </w:p>
        </w:tc>
      </w:tr>
      <w:tr w:rsidR="009C61B4" w:rsidRPr="009D53C4" w14:paraId="529B289A"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7A74C966" w14:textId="77777777" w:rsidR="009C61B4" w:rsidRPr="00FE4491" w:rsidRDefault="009C61B4" w:rsidP="00D33FDF">
            <w:pPr>
              <w:pStyle w:val="TableTextEntries"/>
            </w:pPr>
            <w:r>
              <w:t>Inclusive Education Demonstration Program</w:t>
            </w:r>
          </w:p>
        </w:tc>
        <w:tc>
          <w:tcPr>
            <w:tcW w:w="550" w:type="pct"/>
            <w:gridSpan w:val="2"/>
          </w:tcPr>
          <w:p w14:paraId="6D5F3EBF" w14:textId="77777777" w:rsidR="009C61B4" w:rsidRPr="00FE4491" w:rsidRDefault="009C61B4" w:rsidP="00D33FDF">
            <w:pPr>
              <w:pStyle w:val="TableTextEntries"/>
            </w:pPr>
            <w:r w:rsidRPr="00FE4491">
              <w:t>2012</w:t>
            </w:r>
          </w:p>
        </w:tc>
        <w:tc>
          <w:tcPr>
            <w:tcW w:w="436" w:type="pct"/>
            <w:shd w:val="clear" w:color="auto" w:fill="92D050"/>
            <w:noWrap/>
          </w:tcPr>
          <w:p w14:paraId="79F7066A" w14:textId="77777777" w:rsidR="009C61B4" w:rsidRPr="00FE4491" w:rsidRDefault="009C61B4" w:rsidP="00D33FDF">
            <w:pPr>
              <w:pStyle w:val="TableTextEntries"/>
              <w:jc w:val="center"/>
            </w:pPr>
            <w:r>
              <w:t>5</w:t>
            </w:r>
          </w:p>
        </w:tc>
        <w:tc>
          <w:tcPr>
            <w:tcW w:w="389" w:type="pct"/>
            <w:shd w:val="clear" w:color="auto" w:fill="92D050"/>
            <w:noWrap/>
          </w:tcPr>
          <w:p w14:paraId="14BE1968" w14:textId="77777777" w:rsidR="009C61B4" w:rsidRPr="00FE4491" w:rsidRDefault="009C61B4" w:rsidP="00D33FDF">
            <w:pPr>
              <w:pStyle w:val="TableTextEntries"/>
              <w:jc w:val="center"/>
            </w:pPr>
            <w:r>
              <w:t>5</w:t>
            </w:r>
          </w:p>
        </w:tc>
        <w:tc>
          <w:tcPr>
            <w:tcW w:w="389" w:type="pct"/>
            <w:shd w:val="clear" w:color="auto" w:fill="92D050"/>
            <w:noWrap/>
          </w:tcPr>
          <w:p w14:paraId="5BE158DC" w14:textId="77777777" w:rsidR="009C61B4" w:rsidRPr="00FE4491" w:rsidRDefault="009C61B4" w:rsidP="00D33FDF">
            <w:pPr>
              <w:pStyle w:val="TableTextEntries"/>
              <w:jc w:val="center"/>
            </w:pPr>
            <w:r>
              <w:t>5</w:t>
            </w:r>
          </w:p>
        </w:tc>
        <w:tc>
          <w:tcPr>
            <w:tcW w:w="410" w:type="pct"/>
            <w:shd w:val="clear" w:color="auto" w:fill="F79646" w:themeFill="accent6"/>
            <w:noWrap/>
          </w:tcPr>
          <w:p w14:paraId="6F1AE4F5" w14:textId="77777777" w:rsidR="009C61B4" w:rsidRPr="00FE4491" w:rsidRDefault="009C61B4" w:rsidP="00D33FDF">
            <w:pPr>
              <w:pStyle w:val="TableTextEntries"/>
              <w:jc w:val="center"/>
            </w:pPr>
            <w:r>
              <w:t>3</w:t>
            </w:r>
          </w:p>
        </w:tc>
        <w:tc>
          <w:tcPr>
            <w:tcW w:w="366" w:type="pct"/>
            <w:shd w:val="clear" w:color="auto" w:fill="FFFF00"/>
            <w:noWrap/>
          </w:tcPr>
          <w:p w14:paraId="75CE8090" w14:textId="77777777" w:rsidR="009C61B4" w:rsidRPr="00FE4491" w:rsidRDefault="009C61B4" w:rsidP="00D33FDF">
            <w:pPr>
              <w:pStyle w:val="TableTextEntries"/>
              <w:jc w:val="center"/>
            </w:pPr>
            <w:r>
              <w:t>4</w:t>
            </w:r>
          </w:p>
        </w:tc>
        <w:tc>
          <w:tcPr>
            <w:tcW w:w="342" w:type="pct"/>
            <w:shd w:val="clear" w:color="auto" w:fill="92D050"/>
            <w:noWrap/>
          </w:tcPr>
          <w:p w14:paraId="0E27145E" w14:textId="77777777" w:rsidR="009C61B4" w:rsidRPr="00FE4491" w:rsidRDefault="009C61B4" w:rsidP="00D33FDF">
            <w:pPr>
              <w:pStyle w:val="TableTextEntries"/>
              <w:jc w:val="center"/>
            </w:pPr>
            <w:r>
              <w:t>5</w:t>
            </w:r>
          </w:p>
        </w:tc>
        <w:tc>
          <w:tcPr>
            <w:tcW w:w="340" w:type="pct"/>
            <w:shd w:val="clear" w:color="auto" w:fill="F79646" w:themeFill="accent6"/>
            <w:noWrap/>
          </w:tcPr>
          <w:p w14:paraId="0C451DF6" w14:textId="77777777" w:rsidR="009C61B4" w:rsidRPr="00FE4491" w:rsidRDefault="009C61B4" w:rsidP="00D33FDF">
            <w:pPr>
              <w:pStyle w:val="TableTextEntries"/>
              <w:jc w:val="center"/>
            </w:pPr>
            <w:r>
              <w:t>I</w:t>
            </w:r>
          </w:p>
        </w:tc>
      </w:tr>
      <w:tr w:rsidR="009C61B4" w:rsidRPr="009D53C4" w14:paraId="692D4202" w14:textId="77777777" w:rsidTr="00D33FDF">
        <w:trPr>
          <w:trHeight w:val="20"/>
          <w:tblHeader w:val="0"/>
        </w:trPr>
        <w:tc>
          <w:tcPr>
            <w:tcW w:w="1598" w:type="pct"/>
            <w:vMerge/>
          </w:tcPr>
          <w:p w14:paraId="25718BAA" w14:textId="77777777" w:rsidR="009C61B4" w:rsidRPr="00FE4491" w:rsidRDefault="009C61B4" w:rsidP="00D33FDF">
            <w:pPr>
              <w:pStyle w:val="TableTextEntries"/>
            </w:pPr>
          </w:p>
        </w:tc>
        <w:tc>
          <w:tcPr>
            <w:tcW w:w="550" w:type="pct"/>
            <w:gridSpan w:val="2"/>
          </w:tcPr>
          <w:p w14:paraId="1007CBEE" w14:textId="77777777" w:rsidR="009C61B4" w:rsidRPr="00FE4491" w:rsidRDefault="009C61B4" w:rsidP="00D33FDF">
            <w:pPr>
              <w:pStyle w:val="TableTextEntries"/>
            </w:pPr>
            <w:r w:rsidRPr="00FE4491">
              <w:t>2011</w:t>
            </w:r>
          </w:p>
        </w:tc>
        <w:tc>
          <w:tcPr>
            <w:tcW w:w="436" w:type="pct"/>
            <w:shd w:val="clear" w:color="auto" w:fill="92D050"/>
            <w:noWrap/>
          </w:tcPr>
          <w:p w14:paraId="162734C4" w14:textId="77777777" w:rsidR="009C61B4" w:rsidRPr="00FE4491" w:rsidRDefault="009C61B4" w:rsidP="00D33FDF">
            <w:pPr>
              <w:pStyle w:val="TableTextEntries"/>
              <w:jc w:val="center"/>
            </w:pPr>
            <w:r>
              <w:t>5</w:t>
            </w:r>
          </w:p>
        </w:tc>
        <w:tc>
          <w:tcPr>
            <w:tcW w:w="389" w:type="pct"/>
            <w:shd w:val="clear" w:color="auto" w:fill="FFFF00"/>
            <w:noWrap/>
          </w:tcPr>
          <w:p w14:paraId="79200BBB" w14:textId="77777777" w:rsidR="009C61B4" w:rsidRPr="00FE4491" w:rsidRDefault="009C61B4" w:rsidP="00D33FDF">
            <w:pPr>
              <w:pStyle w:val="TableTextEntries"/>
              <w:jc w:val="center"/>
            </w:pPr>
            <w:r>
              <w:t>4</w:t>
            </w:r>
          </w:p>
        </w:tc>
        <w:tc>
          <w:tcPr>
            <w:tcW w:w="389" w:type="pct"/>
            <w:shd w:val="clear" w:color="auto" w:fill="FFFF00"/>
            <w:noWrap/>
          </w:tcPr>
          <w:p w14:paraId="5D6EFE8A" w14:textId="77777777" w:rsidR="009C61B4" w:rsidRPr="00FE4491" w:rsidRDefault="009C61B4" w:rsidP="00D33FDF">
            <w:pPr>
              <w:pStyle w:val="TableTextEntries"/>
              <w:jc w:val="center"/>
            </w:pPr>
            <w:r>
              <w:t>4</w:t>
            </w:r>
          </w:p>
        </w:tc>
        <w:tc>
          <w:tcPr>
            <w:tcW w:w="410" w:type="pct"/>
            <w:shd w:val="clear" w:color="auto" w:fill="FFFF00"/>
            <w:noWrap/>
          </w:tcPr>
          <w:p w14:paraId="0627ECD9" w14:textId="77777777" w:rsidR="009C61B4" w:rsidRPr="00FE4491" w:rsidRDefault="009C61B4" w:rsidP="00D33FDF">
            <w:pPr>
              <w:pStyle w:val="TableTextEntries"/>
              <w:jc w:val="center"/>
            </w:pPr>
            <w:r>
              <w:t>4</w:t>
            </w:r>
          </w:p>
        </w:tc>
        <w:tc>
          <w:tcPr>
            <w:tcW w:w="366" w:type="pct"/>
            <w:shd w:val="clear" w:color="auto" w:fill="FFFF00"/>
            <w:noWrap/>
          </w:tcPr>
          <w:p w14:paraId="44B5E5D9" w14:textId="77777777" w:rsidR="009C61B4" w:rsidRPr="00FE4491" w:rsidRDefault="009C61B4" w:rsidP="00D33FDF">
            <w:pPr>
              <w:pStyle w:val="TableTextEntries"/>
              <w:jc w:val="center"/>
            </w:pPr>
            <w:r>
              <w:t>4</w:t>
            </w:r>
          </w:p>
        </w:tc>
        <w:tc>
          <w:tcPr>
            <w:tcW w:w="342" w:type="pct"/>
            <w:shd w:val="clear" w:color="auto" w:fill="FFFF00"/>
            <w:noWrap/>
          </w:tcPr>
          <w:p w14:paraId="113F8556" w14:textId="77777777" w:rsidR="009C61B4" w:rsidRPr="00FE4491" w:rsidRDefault="009C61B4" w:rsidP="00D33FDF">
            <w:pPr>
              <w:pStyle w:val="TableTextEntries"/>
              <w:jc w:val="center"/>
            </w:pPr>
            <w:r>
              <w:t>4</w:t>
            </w:r>
          </w:p>
        </w:tc>
        <w:tc>
          <w:tcPr>
            <w:tcW w:w="340" w:type="pct"/>
            <w:shd w:val="clear" w:color="auto" w:fill="auto"/>
            <w:noWrap/>
          </w:tcPr>
          <w:p w14:paraId="4CEADD01" w14:textId="77777777" w:rsidR="009C61B4" w:rsidRPr="00FE4491" w:rsidRDefault="009C61B4" w:rsidP="00D33FDF">
            <w:pPr>
              <w:pStyle w:val="TableTextEntries"/>
              <w:jc w:val="center"/>
            </w:pPr>
            <w:r>
              <w:t>N/A</w:t>
            </w:r>
          </w:p>
        </w:tc>
      </w:tr>
      <w:tr w:rsidR="009C61B4" w:rsidRPr="009D53C4" w14:paraId="6C514C93" w14:textId="77777777" w:rsidTr="00D33FDF">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084A2DFB" w14:textId="77777777" w:rsidR="009C61B4" w:rsidRPr="00FE4491" w:rsidRDefault="009C61B4" w:rsidP="00D33FDF">
            <w:pPr>
              <w:pStyle w:val="TableTextEntries"/>
            </w:pPr>
            <w:r>
              <w:t>Australia Awards</w:t>
            </w:r>
          </w:p>
        </w:tc>
        <w:tc>
          <w:tcPr>
            <w:tcW w:w="550" w:type="pct"/>
            <w:gridSpan w:val="2"/>
          </w:tcPr>
          <w:p w14:paraId="20D2B533" w14:textId="77777777" w:rsidR="009C61B4" w:rsidRPr="00FE4491" w:rsidRDefault="009C61B4" w:rsidP="00D33FDF">
            <w:pPr>
              <w:pStyle w:val="TableTextEntries"/>
            </w:pPr>
            <w:r w:rsidRPr="00FE4491">
              <w:t>2012</w:t>
            </w:r>
          </w:p>
        </w:tc>
        <w:tc>
          <w:tcPr>
            <w:tcW w:w="436" w:type="pct"/>
            <w:shd w:val="clear" w:color="auto" w:fill="92D050"/>
            <w:noWrap/>
          </w:tcPr>
          <w:p w14:paraId="4E7E3626" w14:textId="77777777" w:rsidR="009C61B4" w:rsidRPr="00FE4491" w:rsidRDefault="009C61B4" w:rsidP="00D33FDF">
            <w:pPr>
              <w:pStyle w:val="TableTextEntries"/>
              <w:jc w:val="center"/>
            </w:pPr>
            <w:r>
              <w:t>5</w:t>
            </w:r>
          </w:p>
        </w:tc>
        <w:tc>
          <w:tcPr>
            <w:tcW w:w="389" w:type="pct"/>
            <w:shd w:val="clear" w:color="auto" w:fill="92D050"/>
            <w:noWrap/>
          </w:tcPr>
          <w:p w14:paraId="5AF03ABA" w14:textId="77777777" w:rsidR="009C61B4" w:rsidRPr="00FE4491" w:rsidRDefault="009C61B4" w:rsidP="00D33FDF">
            <w:pPr>
              <w:pStyle w:val="TableTextEntries"/>
              <w:jc w:val="center"/>
            </w:pPr>
            <w:r>
              <w:t>6</w:t>
            </w:r>
          </w:p>
        </w:tc>
        <w:tc>
          <w:tcPr>
            <w:tcW w:w="389" w:type="pct"/>
            <w:shd w:val="clear" w:color="auto" w:fill="92D050"/>
            <w:noWrap/>
          </w:tcPr>
          <w:p w14:paraId="4D09D320" w14:textId="77777777" w:rsidR="009C61B4" w:rsidRPr="00FE4491" w:rsidRDefault="009C61B4" w:rsidP="00D33FDF">
            <w:pPr>
              <w:pStyle w:val="TableTextEntries"/>
              <w:jc w:val="center"/>
            </w:pPr>
            <w:r>
              <w:t>5</w:t>
            </w:r>
          </w:p>
        </w:tc>
        <w:tc>
          <w:tcPr>
            <w:tcW w:w="410" w:type="pct"/>
            <w:shd w:val="clear" w:color="auto" w:fill="FFFF00"/>
            <w:noWrap/>
          </w:tcPr>
          <w:p w14:paraId="0CF55F80" w14:textId="77777777" w:rsidR="009C61B4" w:rsidRPr="00FE4491" w:rsidRDefault="009C61B4" w:rsidP="00D33FDF">
            <w:pPr>
              <w:pStyle w:val="TableTextEntries"/>
              <w:jc w:val="center"/>
            </w:pPr>
            <w:r>
              <w:t>4</w:t>
            </w:r>
          </w:p>
        </w:tc>
        <w:tc>
          <w:tcPr>
            <w:tcW w:w="366" w:type="pct"/>
            <w:shd w:val="clear" w:color="auto" w:fill="92D050"/>
            <w:noWrap/>
          </w:tcPr>
          <w:p w14:paraId="3C5D620E" w14:textId="77777777" w:rsidR="009C61B4" w:rsidRPr="00FE4491" w:rsidRDefault="009C61B4" w:rsidP="00D33FDF">
            <w:pPr>
              <w:pStyle w:val="TableTextEntries"/>
              <w:jc w:val="center"/>
            </w:pPr>
            <w:r>
              <w:t>6</w:t>
            </w:r>
          </w:p>
        </w:tc>
        <w:tc>
          <w:tcPr>
            <w:tcW w:w="342" w:type="pct"/>
            <w:shd w:val="clear" w:color="auto" w:fill="92D050"/>
            <w:noWrap/>
          </w:tcPr>
          <w:p w14:paraId="65878189" w14:textId="77777777" w:rsidR="009C61B4" w:rsidRPr="00FE4491" w:rsidRDefault="009C61B4" w:rsidP="00D33FDF">
            <w:pPr>
              <w:pStyle w:val="TableTextEntries"/>
              <w:jc w:val="center"/>
            </w:pPr>
            <w:r>
              <w:t>6</w:t>
            </w:r>
          </w:p>
        </w:tc>
        <w:tc>
          <w:tcPr>
            <w:tcW w:w="340" w:type="pct"/>
            <w:shd w:val="clear" w:color="auto" w:fill="FF0000"/>
            <w:noWrap/>
          </w:tcPr>
          <w:p w14:paraId="1A81456E" w14:textId="77777777" w:rsidR="009C61B4" w:rsidRPr="00FE4491" w:rsidRDefault="009C61B4" w:rsidP="00D33FDF">
            <w:pPr>
              <w:pStyle w:val="TableTextEntries"/>
              <w:jc w:val="center"/>
            </w:pPr>
            <w:r>
              <w:t>B</w:t>
            </w:r>
          </w:p>
        </w:tc>
      </w:tr>
      <w:tr w:rsidR="009C61B4" w:rsidRPr="009D53C4" w14:paraId="0B223BB8" w14:textId="77777777" w:rsidTr="00D33FDF">
        <w:trPr>
          <w:trHeight w:val="20"/>
          <w:tblHeader w:val="0"/>
        </w:trPr>
        <w:tc>
          <w:tcPr>
            <w:tcW w:w="1598" w:type="pct"/>
            <w:vMerge/>
          </w:tcPr>
          <w:p w14:paraId="05F3856A" w14:textId="77777777" w:rsidR="009C61B4" w:rsidRPr="00FE4491" w:rsidRDefault="009C61B4" w:rsidP="00D33FDF">
            <w:pPr>
              <w:pStyle w:val="TableTextEntries"/>
            </w:pPr>
          </w:p>
        </w:tc>
        <w:tc>
          <w:tcPr>
            <w:tcW w:w="550" w:type="pct"/>
            <w:gridSpan w:val="2"/>
          </w:tcPr>
          <w:p w14:paraId="6A51D719" w14:textId="77777777" w:rsidR="009C61B4" w:rsidRPr="00FE4491" w:rsidRDefault="009C61B4" w:rsidP="00D33FDF">
            <w:pPr>
              <w:pStyle w:val="TableTextEntries"/>
            </w:pPr>
            <w:r w:rsidRPr="00FE4491">
              <w:t>2011</w:t>
            </w:r>
          </w:p>
        </w:tc>
        <w:tc>
          <w:tcPr>
            <w:tcW w:w="436" w:type="pct"/>
            <w:shd w:val="clear" w:color="auto" w:fill="FFFF00"/>
            <w:noWrap/>
          </w:tcPr>
          <w:p w14:paraId="60B5BEA2" w14:textId="77777777" w:rsidR="009C61B4" w:rsidRPr="00FE4491" w:rsidRDefault="009C61B4" w:rsidP="00D33FDF">
            <w:pPr>
              <w:pStyle w:val="TableTextEntries"/>
              <w:jc w:val="center"/>
            </w:pPr>
            <w:r>
              <w:t>4</w:t>
            </w:r>
          </w:p>
        </w:tc>
        <w:tc>
          <w:tcPr>
            <w:tcW w:w="389" w:type="pct"/>
            <w:shd w:val="clear" w:color="auto" w:fill="92D050"/>
            <w:noWrap/>
          </w:tcPr>
          <w:p w14:paraId="375F43EA" w14:textId="77777777" w:rsidR="009C61B4" w:rsidRPr="00FE4491" w:rsidRDefault="009C61B4" w:rsidP="00D33FDF">
            <w:pPr>
              <w:pStyle w:val="TableTextEntries"/>
              <w:jc w:val="center"/>
            </w:pPr>
            <w:r>
              <w:t>5</w:t>
            </w:r>
          </w:p>
        </w:tc>
        <w:tc>
          <w:tcPr>
            <w:tcW w:w="389" w:type="pct"/>
            <w:shd w:val="clear" w:color="auto" w:fill="FFFF00"/>
            <w:noWrap/>
          </w:tcPr>
          <w:p w14:paraId="5CBD3389" w14:textId="77777777" w:rsidR="009C61B4" w:rsidRPr="00FE4491" w:rsidRDefault="009C61B4" w:rsidP="00D33FDF">
            <w:pPr>
              <w:pStyle w:val="TableTextEntries"/>
              <w:jc w:val="center"/>
            </w:pPr>
            <w:r>
              <w:t>4</w:t>
            </w:r>
          </w:p>
        </w:tc>
        <w:tc>
          <w:tcPr>
            <w:tcW w:w="410" w:type="pct"/>
            <w:shd w:val="clear" w:color="auto" w:fill="FFFF00"/>
            <w:noWrap/>
          </w:tcPr>
          <w:p w14:paraId="616EEC34" w14:textId="77777777" w:rsidR="009C61B4" w:rsidRPr="00FE4491" w:rsidRDefault="009C61B4" w:rsidP="00D33FDF">
            <w:pPr>
              <w:pStyle w:val="TableTextEntries"/>
              <w:jc w:val="center"/>
            </w:pPr>
            <w:r>
              <w:t>4</w:t>
            </w:r>
          </w:p>
        </w:tc>
        <w:tc>
          <w:tcPr>
            <w:tcW w:w="366" w:type="pct"/>
            <w:shd w:val="clear" w:color="auto" w:fill="92D050"/>
            <w:noWrap/>
          </w:tcPr>
          <w:p w14:paraId="77687422" w14:textId="77777777" w:rsidR="009C61B4" w:rsidRPr="00FE4491" w:rsidRDefault="009C61B4" w:rsidP="00D33FDF">
            <w:pPr>
              <w:pStyle w:val="TableTextEntries"/>
              <w:jc w:val="center"/>
            </w:pPr>
            <w:r>
              <w:t>5</w:t>
            </w:r>
          </w:p>
        </w:tc>
        <w:tc>
          <w:tcPr>
            <w:tcW w:w="342" w:type="pct"/>
            <w:shd w:val="clear" w:color="auto" w:fill="92D050"/>
            <w:noWrap/>
          </w:tcPr>
          <w:p w14:paraId="7D3C361B" w14:textId="77777777" w:rsidR="009C61B4" w:rsidRPr="00FE4491" w:rsidRDefault="009C61B4" w:rsidP="00D33FDF">
            <w:pPr>
              <w:pStyle w:val="TableTextEntries"/>
              <w:jc w:val="center"/>
            </w:pPr>
            <w:r>
              <w:t>5</w:t>
            </w:r>
          </w:p>
        </w:tc>
        <w:tc>
          <w:tcPr>
            <w:tcW w:w="340" w:type="pct"/>
            <w:shd w:val="clear" w:color="auto" w:fill="auto"/>
            <w:noWrap/>
          </w:tcPr>
          <w:p w14:paraId="09F4B075" w14:textId="77777777" w:rsidR="009C61B4" w:rsidRPr="00FE4491" w:rsidRDefault="009C61B4" w:rsidP="00D33FDF">
            <w:pPr>
              <w:pStyle w:val="TableTextEntries"/>
              <w:jc w:val="center"/>
            </w:pPr>
            <w:r>
              <w:t>N/A</w:t>
            </w:r>
          </w:p>
        </w:tc>
      </w:tr>
      <w:tr w:rsidR="009C61B4" w:rsidRPr="00FE4491" w14:paraId="54BE33A9"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3B59B2B3" w14:textId="0355FF8B" w:rsidR="009C61B4" w:rsidRPr="00FE4491" w:rsidRDefault="009C61B4" w:rsidP="00D33FDF">
            <w:pPr>
              <w:pStyle w:val="TableTextEntries"/>
            </w:pPr>
            <w:r>
              <w:t>Health S</w:t>
            </w:r>
            <w:r w:rsidR="0020193C">
              <w:t xml:space="preserve">ector-wide </w:t>
            </w:r>
            <w:bookmarkStart w:id="0" w:name="_GoBack"/>
            <w:r w:rsidR="0020193C">
              <w:t>Appr</w:t>
            </w:r>
            <w:bookmarkEnd w:id="0"/>
            <w:r w:rsidR="0020193C">
              <w:t>oach</w:t>
            </w:r>
          </w:p>
        </w:tc>
        <w:tc>
          <w:tcPr>
            <w:tcW w:w="550" w:type="pct"/>
            <w:gridSpan w:val="2"/>
          </w:tcPr>
          <w:p w14:paraId="7B2940FC" w14:textId="77777777" w:rsidR="009C61B4" w:rsidRPr="00FE4491" w:rsidRDefault="009C61B4" w:rsidP="00D33FDF">
            <w:pPr>
              <w:pStyle w:val="TableTextEntries"/>
            </w:pPr>
            <w:r w:rsidRPr="00FE4491">
              <w:t>2012</w:t>
            </w:r>
          </w:p>
        </w:tc>
        <w:tc>
          <w:tcPr>
            <w:tcW w:w="436" w:type="pct"/>
            <w:shd w:val="clear" w:color="auto" w:fill="FFFF00"/>
            <w:noWrap/>
          </w:tcPr>
          <w:p w14:paraId="78AEFA15" w14:textId="77777777" w:rsidR="009C61B4" w:rsidRPr="00FE4491" w:rsidRDefault="009C61B4" w:rsidP="00D33FDF">
            <w:pPr>
              <w:pStyle w:val="TableTextEntries"/>
              <w:jc w:val="center"/>
            </w:pPr>
            <w:r>
              <w:t>4</w:t>
            </w:r>
          </w:p>
        </w:tc>
        <w:tc>
          <w:tcPr>
            <w:tcW w:w="389" w:type="pct"/>
            <w:shd w:val="clear" w:color="auto" w:fill="FFFF00"/>
            <w:noWrap/>
          </w:tcPr>
          <w:p w14:paraId="6BBCDF41" w14:textId="77777777" w:rsidR="009C61B4" w:rsidRPr="00FE4491" w:rsidRDefault="009C61B4" w:rsidP="00D33FDF">
            <w:pPr>
              <w:pStyle w:val="TableTextEntries"/>
              <w:jc w:val="center"/>
            </w:pPr>
            <w:r>
              <w:t>4</w:t>
            </w:r>
          </w:p>
        </w:tc>
        <w:tc>
          <w:tcPr>
            <w:tcW w:w="389" w:type="pct"/>
            <w:shd w:val="clear" w:color="auto" w:fill="FFFF00"/>
            <w:noWrap/>
          </w:tcPr>
          <w:p w14:paraId="47CDA28B" w14:textId="77777777" w:rsidR="009C61B4" w:rsidRPr="00FE4491" w:rsidRDefault="009C61B4" w:rsidP="00D33FDF">
            <w:pPr>
              <w:pStyle w:val="TableTextEntries"/>
              <w:jc w:val="center"/>
            </w:pPr>
            <w:r>
              <w:t>4</w:t>
            </w:r>
          </w:p>
        </w:tc>
        <w:tc>
          <w:tcPr>
            <w:tcW w:w="410" w:type="pct"/>
            <w:shd w:val="clear" w:color="auto" w:fill="FFFF00"/>
            <w:noWrap/>
          </w:tcPr>
          <w:p w14:paraId="36E197EC" w14:textId="77777777" w:rsidR="009C61B4" w:rsidRPr="00FE4491" w:rsidRDefault="009C61B4" w:rsidP="00D33FDF">
            <w:pPr>
              <w:pStyle w:val="TableTextEntries"/>
              <w:jc w:val="center"/>
            </w:pPr>
            <w:r>
              <w:t>4</w:t>
            </w:r>
          </w:p>
        </w:tc>
        <w:tc>
          <w:tcPr>
            <w:tcW w:w="366" w:type="pct"/>
            <w:shd w:val="clear" w:color="auto" w:fill="FFFF00"/>
            <w:noWrap/>
          </w:tcPr>
          <w:p w14:paraId="078E0205" w14:textId="77777777" w:rsidR="009C61B4" w:rsidRPr="00FE4491" w:rsidRDefault="009C61B4" w:rsidP="00D33FDF">
            <w:pPr>
              <w:pStyle w:val="TableTextEntries"/>
              <w:jc w:val="center"/>
            </w:pPr>
            <w:r>
              <w:t>4</w:t>
            </w:r>
          </w:p>
        </w:tc>
        <w:tc>
          <w:tcPr>
            <w:tcW w:w="342" w:type="pct"/>
            <w:shd w:val="clear" w:color="auto" w:fill="FFFF00"/>
            <w:noWrap/>
          </w:tcPr>
          <w:p w14:paraId="6DF01FA7" w14:textId="77777777" w:rsidR="009C61B4" w:rsidRPr="00FE4491" w:rsidRDefault="009C61B4" w:rsidP="00D33FDF">
            <w:pPr>
              <w:pStyle w:val="TableTextEntries"/>
              <w:jc w:val="center"/>
            </w:pPr>
            <w:r>
              <w:t>4</w:t>
            </w:r>
          </w:p>
        </w:tc>
        <w:tc>
          <w:tcPr>
            <w:tcW w:w="340" w:type="pct"/>
            <w:shd w:val="clear" w:color="auto" w:fill="F79646" w:themeFill="accent6"/>
            <w:noWrap/>
          </w:tcPr>
          <w:p w14:paraId="2FFB3F75" w14:textId="77777777" w:rsidR="009C61B4" w:rsidRPr="00FE4491" w:rsidRDefault="009C61B4" w:rsidP="00D33FDF">
            <w:pPr>
              <w:pStyle w:val="TableTextEntries"/>
              <w:jc w:val="center"/>
            </w:pPr>
            <w:r>
              <w:t>I</w:t>
            </w:r>
          </w:p>
        </w:tc>
      </w:tr>
      <w:tr w:rsidR="009C61B4" w:rsidRPr="00FE4491" w14:paraId="2B6A367C" w14:textId="77777777" w:rsidTr="00E53359">
        <w:trPr>
          <w:trHeight w:val="20"/>
          <w:tblHeader w:val="0"/>
        </w:trPr>
        <w:tc>
          <w:tcPr>
            <w:tcW w:w="1598" w:type="pct"/>
            <w:vMerge/>
          </w:tcPr>
          <w:p w14:paraId="1FD0B12A" w14:textId="77777777" w:rsidR="009C61B4" w:rsidRPr="00FE4491" w:rsidRDefault="009C61B4" w:rsidP="00D33FDF">
            <w:pPr>
              <w:pStyle w:val="TableTextEntries"/>
            </w:pPr>
          </w:p>
        </w:tc>
        <w:tc>
          <w:tcPr>
            <w:tcW w:w="550" w:type="pct"/>
            <w:gridSpan w:val="2"/>
          </w:tcPr>
          <w:p w14:paraId="242958C6" w14:textId="77777777" w:rsidR="009C61B4" w:rsidRPr="00FE4491" w:rsidRDefault="009C61B4" w:rsidP="00D33FDF">
            <w:pPr>
              <w:pStyle w:val="TableTextEntries"/>
            </w:pPr>
            <w:r w:rsidRPr="00FE4491">
              <w:t>2011</w:t>
            </w:r>
          </w:p>
        </w:tc>
        <w:tc>
          <w:tcPr>
            <w:tcW w:w="436" w:type="pct"/>
            <w:shd w:val="clear" w:color="auto" w:fill="FFFF00"/>
            <w:noWrap/>
          </w:tcPr>
          <w:p w14:paraId="613F6677" w14:textId="77777777" w:rsidR="009C61B4" w:rsidRPr="00FE4491" w:rsidRDefault="009C61B4" w:rsidP="00D33FDF">
            <w:pPr>
              <w:pStyle w:val="TableTextEntries"/>
              <w:jc w:val="center"/>
            </w:pPr>
            <w:r>
              <w:t>4</w:t>
            </w:r>
          </w:p>
        </w:tc>
        <w:tc>
          <w:tcPr>
            <w:tcW w:w="389" w:type="pct"/>
            <w:tcBorders>
              <w:top w:val="nil"/>
              <w:bottom w:val="nil"/>
            </w:tcBorders>
            <w:shd w:val="clear" w:color="auto" w:fill="F79646" w:themeFill="accent6"/>
            <w:noWrap/>
          </w:tcPr>
          <w:p w14:paraId="584AC875" w14:textId="77777777" w:rsidR="009C61B4" w:rsidRPr="00FE4491" w:rsidRDefault="009C61B4" w:rsidP="00D33FDF">
            <w:pPr>
              <w:pStyle w:val="TableTextEntries"/>
              <w:jc w:val="center"/>
            </w:pPr>
            <w:r>
              <w:t>3</w:t>
            </w:r>
          </w:p>
        </w:tc>
        <w:tc>
          <w:tcPr>
            <w:tcW w:w="389" w:type="pct"/>
            <w:shd w:val="clear" w:color="auto" w:fill="FF0000"/>
            <w:noWrap/>
          </w:tcPr>
          <w:p w14:paraId="47F9198E" w14:textId="77777777" w:rsidR="009C61B4" w:rsidRPr="00FE4491" w:rsidRDefault="009C61B4" w:rsidP="00D33FDF">
            <w:pPr>
              <w:pStyle w:val="TableTextEntries"/>
              <w:jc w:val="center"/>
            </w:pPr>
            <w:r>
              <w:t>2</w:t>
            </w:r>
          </w:p>
        </w:tc>
        <w:tc>
          <w:tcPr>
            <w:tcW w:w="410" w:type="pct"/>
            <w:shd w:val="clear" w:color="auto" w:fill="FFFF00"/>
            <w:noWrap/>
          </w:tcPr>
          <w:p w14:paraId="3A562963" w14:textId="77777777" w:rsidR="009C61B4" w:rsidRPr="00FE4491" w:rsidRDefault="009C61B4" w:rsidP="00D33FDF">
            <w:pPr>
              <w:pStyle w:val="TableTextEntries"/>
              <w:jc w:val="center"/>
            </w:pPr>
            <w:r>
              <w:t>4</w:t>
            </w:r>
          </w:p>
        </w:tc>
        <w:tc>
          <w:tcPr>
            <w:tcW w:w="366" w:type="pct"/>
            <w:shd w:val="clear" w:color="auto" w:fill="FFFF00"/>
            <w:noWrap/>
          </w:tcPr>
          <w:p w14:paraId="167E9BC6" w14:textId="77777777" w:rsidR="009C61B4" w:rsidRPr="00FE4491" w:rsidRDefault="009C61B4" w:rsidP="00D33FDF">
            <w:pPr>
              <w:pStyle w:val="TableTextEntries"/>
              <w:jc w:val="center"/>
            </w:pPr>
            <w:r>
              <w:t>4</w:t>
            </w:r>
          </w:p>
        </w:tc>
        <w:tc>
          <w:tcPr>
            <w:tcW w:w="342" w:type="pct"/>
            <w:shd w:val="clear" w:color="auto" w:fill="FFFF00"/>
            <w:noWrap/>
          </w:tcPr>
          <w:p w14:paraId="122AC87C" w14:textId="77777777" w:rsidR="009C61B4" w:rsidRPr="00FE4491" w:rsidRDefault="009C61B4" w:rsidP="00D33FDF">
            <w:pPr>
              <w:pStyle w:val="TableTextEntries"/>
              <w:jc w:val="center"/>
            </w:pPr>
            <w:r>
              <w:t>4</w:t>
            </w:r>
          </w:p>
        </w:tc>
        <w:tc>
          <w:tcPr>
            <w:tcW w:w="340" w:type="pct"/>
            <w:shd w:val="clear" w:color="auto" w:fill="auto"/>
            <w:noWrap/>
          </w:tcPr>
          <w:p w14:paraId="0E59F073" w14:textId="77777777" w:rsidR="009C61B4" w:rsidRPr="00FE4491" w:rsidRDefault="009C61B4" w:rsidP="00D33FDF">
            <w:pPr>
              <w:pStyle w:val="TableTextEntries"/>
              <w:jc w:val="center"/>
            </w:pPr>
            <w:r>
              <w:t>N/A</w:t>
            </w:r>
          </w:p>
        </w:tc>
      </w:tr>
      <w:tr w:rsidR="009C61B4" w:rsidRPr="00FE4491" w14:paraId="649A9767"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24B8EA32" w14:textId="280C24FE" w:rsidR="009C61B4" w:rsidRPr="00FE4491" w:rsidRDefault="009C61B4" w:rsidP="00D33FDF">
            <w:pPr>
              <w:pStyle w:val="TableTextEntries"/>
            </w:pPr>
            <w:r>
              <w:t xml:space="preserve">Governance </w:t>
            </w:r>
            <w:r w:rsidR="0020193C">
              <w:t>p</w:t>
            </w:r>
            <w:r>
              <w:t>rograms</w:t>
            </w:r>
            <w:r w:rsidR="0020193C">
              <w:t>—</w:t>
            </w:r>
            <w:r>
              <w:t>JPAM, P</w:t>
            </w:r>
            <w:r w:rsidR="0020193C">
              <w:t>ublic Sector Infrastructure Facility</w:t>
            </w:r>
            <w:r>
              <w:t>, Parliamentary Strengthening</w:t>
            </w:r>
          </w:p>
        </w:tc>
        <w:tc>
          <w:tcPr>
            <w:tcW w:w="550" w:type="pct"/>
            <w:gridSpan w:val="2"/>
          </w:tcPr>
          <w:p w14:paraId="64FD4E03" w14:textId="77777777" w:rsidR="009C61B4" w:rsidRPr="00FE4491" w:rsidRDefault="009C61B4" w:rsidP="00D33FDF">
            <w:pPr>
              <w:pStyle w:val="TableTextEntries"/>
            </w:pPr>
            <w:r w:rsidRPr="00FE4491">
              <w:t>2012</w:t>
            </w:r>
          </w:p>
        </w:tc>
        <w:tc>
          <w:tcPr>
            <w:tcW w:w="436" w:type="pct"/>
            <w:shd w:val="clear" w:color="auto" w:fill="92D050"/>
            <w:noWrap/>
          </w:tcPr>
          <w:p w14:paraId="64A6BEBA" w14:textId="77777777" w:rsidR="009C61B4" w:rsidRPr="00FE4491" w:rsidRDefault="009C61B4" w:rsidP="00D33FDF">
            <w:pPr>
              <w:pStyle w:val="TableTextEntries"/>
              <w:jc w:val="center"/>
            </w:pPr>
            <w:r>
              <w:t>6</w:t>
            </w:r>
          </w:p>
        </w:tc>
        <w:tc>
          <w:tcPr>
            <w:tcW w:w="389" w:type="pct"/>
            <w:shd w:val="clear" w:color="auto" w:fill="92D050"/>
            <w:noWrap/>
          </w:tcPr>
          <w:p w14:paraId="6BEFC627" w14:textId="77777777" w:rsidR="009C61B4" w:rsidRPr="00FE4491" w:rsidRDefault="009C61B4" w:rsidP="00D33FDF">
            <w:pPr>
              <w:pStyle w:val="TableTextEntries"/>
              <w:jc w:val="center"/>
            </w:pPr>
            <w:r>
              <w:t>5</w:t>
            </w:r>
          </w:p>
        </w:tc>
        <w:tc>
          <w:tcPr>
            <w:tcW w:w="389" w:type="pct"/>
            <w:shd w:val="clear" w:color="auto" w:fill="92D050"/>
            <w:noWrap/>
          </w:tcPr>
          <w:p w14:paraId="6891A52D" w14:textId="77777777" w:rsidR="009C61B4" w:rsidRPr="00FE4491" w:rsidRDefault="009C61B4" w:rsidP="00D33FDF">
            <w:pPr>
              <w:pStyle w:val="TableTextEntries"/>
              <w:jc w:val="center"/>
            </w:pPr>
            <w:r>
              <w:t>5</w:t>
            </w:r>
          </w:p>
        </w:tc>
        <w:tc>
          <w:tcPr>
            <w:tcW w:w="410" w:type="pct"/>
            <w:shd w:val="clear" w:color="auto" w:fill="92D050"/>
            <w:noWrap/>
          </w:tcPr>
          <w:p w14:paraId="367A957A" w14:textId="77777777" w:rsidR="009C61B4" w:rsidRPr="00FE4491" w:rsidRDefault="009C61B4" w:rsidP="00D33FDF">
            <w:pPr>
              <w:pStyle w:val="TableTextEntries"/>
              <w:jc w:val="center"/>
            </w:pPr>
            <w:r>
              <w:t>5</w:t>
            </w:r>
          </w:p>
        </w:tc>
        <w:tc>
          <w:tcPr>
            <w:tcW w:w="366" w:type="pct"/>
            <w:shd w:val="clear" w:color="auto" w:fill="92D050"/>
            <w:noWrap/>
          </w:tcPr>
          <w:p w14:paraId="17C532E7" w14:textId="77777777" w:rsidR="009C61B4" w:rsidRPr="00FE4491" w:rsidRDefault="009C61B4" w:rsidP="00D33FDF">
            <w:pPr>
              <w:pStyle w:val="TableTextEntries"/>
              <w:jc w:val="center"/>
            </w:pPr>
            <w:r>
              <w:t>5</w:t>
            </w:r>
          </w:p>
        </w:tc>
        <w:tc>
          <w:tcPr>
            <w:tcW w:w="342" w:type="pct"/>
            <w:shd w:val="clear" w:color="auto" w:fill="92D050"/>
            <w:noWrap/>
          </w:tcPr>
          <w:p w14:paraId="033E89A2" w14:textId="77777777" w:rsidR="009C61B4" w:rsidRPr="00FE4491" w:rsidRDefault="009C61B4" w:rsidP="00D33FDF">
            <w:pPr>
              <w:pStyle w:val="TableTextEntries"/>
              <w:jc w:val="center"/>
            </w:pPr>
            <w:r>
              <w:t>5</w:t>
            </w:r>
          </w:p>
        </w:tc>
        <w:tc>
          <w:tcPr>
            <w:tcW w:w="340" w:type="pct"/>
            <w:shd w:val="clear" w:color="auto" w:fill="F79646" w:themeFill="accent6"/>
            <w:noWrap/>
          </w:tcPr>
          <w:p w14:paraId="1132CACB" w14:textId="77777777" w:rsidR="009C61B4" w:rsidRPr="00FE4491" w:rsidRDefault="009C61B4" w:rsidP="00D33FDF">
            <w:pPr>
              <w:pStyle w:val="TableTextEntries"/>
              <w:jc w:val="center"/>
            </w:pPr>
            <w:r>
              <w:t>I</w:t>
            </w:r>
          </w:p>
        </w:tc>
      </w:tr>
      <w:tr w:rsidR="009C61B4" w:rsidRPr="00FE4491" w14:paraId="13D99658" w14:textId="77777777" w:rsidTr="00D33FDF">
        <w:trPr>
          <w:trHeight w:val="20"/>
          <w:tblHeader w:val="0"/>
        </w:trPr>
        <w:tc>
          <w:tcPr>
            <w:tcW w:w="1598" w:type="pct"/>
            <w:vMerge/>
          </w:tcPr>
          <w:p w14:paraId="19AF2A1B" w14:textId="77777777" w:rsidR="009C61B4" w:rsidRPr="00FE4491" w:rsidRDefault="009C61B4" w:rsidP="00D33FDF">
            <w:pPr>
              <w:pStyle w:val="TableTextEntries"/>
            </w:pPr>
          </w:p>
        </w:tc>
        <w:tc>
          <w:tcPr>
            <w:tcW w:w="550" w:type="pct"/>
            <w:gridSpan w:val="2"/>
          </w:tcPr>
          <w:p w14:paraId="6FEEFF8F" w14:textId="77777777" w:rsidR="009C61B4" w:rsidRPr="00FE4491" w:rsidRDefault="009C61B4" w:rsidP="00D33FDF">
            <w:pPr>
              <w:pStyle w:val="TableTextEntries"/>
            </w:pPr>
            <w:r w:rsidRPr="00FE4491">
              <w:t>2011</w:t>
            </w:r>
          </w:p>
        </w:tc>
        <w:tc>
          <w:tcPr>
            <w:tcW w:w="436" w:type="pct"/>
            <w:shd w:val="clear" w:color="auto" w:fill="92D050"/>
            <w:noWrap/>
          </w:tcPr>
          <w:p w14:paraId="3ECF022B" w14:textId="77777777" w:rsidR="009C61B4" w:rsidRPr="00FE4491" w:rsidRDefault="009C61B4" w:rsidP="00D33FDF">
            <w:pPr>
              <w:pStyle w:val="TableTextEntries"/>
              <w:jc w:val="center"/>
            </w:pPr>
            <w:r>
              <w:t>5</w:t>
            </w:r>
          </w:p>
        </w:tc>
        <w:tc>
          <w:tcPr>
            <w:tcW w:w="389" w:type="pct"/>
            <w:shd w:val="clear" w:color="auto" w:fill="FFFF00"/>
            <w:noWrap/>
          </w:tcPr>
          <w:p w14:paraId="2692F0C8" w14:textId="77777777" w:rsidR="009C61B4" w:rsidRPr="00FE4491" w:rsidRDefault="009C61B4" w:rsidP="00D33FDF">
            <w:pPr>
              <w:pStyle w:val="TableTextEntries"/>
              <w:jc w:val="center"/>
            </w:pPr>
            <w:r>
              <w:t>4</w:t>
            </w:r>
          </w:p>
        </w:tc>
        <w:tc>
          <w:tcPr>
            <w:tcW w:w="389" w:type="pct"/>
            <w:shd w:val="clear" w:color="auto" w:fill="FFFF00"/>
            <w:noWrap/>
          </w:tcPr>
          <w:p w14:paraId="6E2BF53B" w14:textId="77777777" w:rsidR="009C61B4" w:rsidRPr="00FE4491" w:rsidRDefault="009C61B4" w:rsidP="00D33FDF">
            <w:pPr>
              <w:pStyle w:val="TableTextEntries"/>
              <w:jc w:val="center"/>
            </w:pPr>
            <w:r>
              <w:t>4</w:t>
            </w:r>
          </w:p>
        </w:tc>
        <w:tc>
          <w:tcPr>
            <w:tcW w:w="410" w:type="pct"/>
            <w:shd w:val="clear" w:color="auto" w:fill="FFFF00"/>
            <w:noWrap/>
          </w:tcPr>
          <w:p w14:paraId="276BCAB3" w14:textId="77777777" w:rsidR="009C61B4" w:rsidRPr="00FE4491" w:rsidRDefault="009C61B4" w:rsidP="00D33FDF">
            <w:pPr>
              <w:pStyle w:val="TableTextEntries"/>
              <w:jc w:val="center"/>
            </w:pPr>
            <w:r>
              <w:t>4</w:t>
            </w:r>
          </w:p>
        </w:tc>
        <w:tc>
          <w:tcPr>
            <w:tcW w:w="366" w:type="pct"/>
            <w:shd w:val="clear" w:color="auto" w:fill="FFFF00"/>
            <w:noWrap/>
          </w:tcPr>
          <w:p w14:paraId="6D4C0F04" w14:textId="77777777" w:rsidR="009C61B4" w:rsidRDefault="009C61B4" w:rsidP="00D33FDF">
            <w:pPr>
              <w:pStyle w:val="TableTextEntries"/>
              <w:jc w:val="center"/>
            </w:pPr>
            <w:r>
              <w:t>4</w:t>
            </w:r>
          </w:p>
        </w:tc>
        <w:tc>
          <w:tcPr>
            <w:tcW w:w="342" w:type="pct"/>
            <w:shd w:val="clear" w:color="auto" w:fill="92D050"/>
            <w:noWrap/>
          </w:tcPr>
          <w:p w14:paraId="19E8EC10" w14:textId="77777777" w:rsidR="009C61B4" w:rsidRDefault="009C61B4" w:rsidP="00D33FDF">
            <w:pPr>
              <w:pStyle w:val="TableTextEntries"/>
              <w:jc w:val="center"/>
            </w:pPr>
            <w:r>
              <w:t>5</w:t>
            </w:r>
          </w:p>
        </w:tc>
        <w:tc>
          <w:tcPr>
            <w:tcW w:w="340" w:type="pct"/>
            <w:shd w:val="clear" w:color="auto" w:fill="auto"/>
            <w:noWrap/>
          </w:tcPr>
          <w:p w14:paraId="17B4F2F6" w14:textId="77777777" w:rsidR="009C61B4" w:rsidRPr="00FE4491" w:rsidRDefault="009C61B4" w:rsidP="00D33FDF">
            <w:pPr>
              <w:pStyle w:val="TableTextEntries"/>
              <w:jc w:val="center"/>
            </w:pPr>
            <w:r>
              <w:t>N/A</w:t>
            </w:r>
          </w:p>
        </w:tc>
      </w:tr>
      <w:tr w:rsidR="009C61B4" w:rsidRPr="00FE4491" w14:paraId="76630ED6"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1D6972AE" w14:textId="77777777" w:rsidR="009C61B4" w:rsidRPr="00FE4491" w:rsidRDefault="009C61B4" w:rsidP="00D33FDF">
            <w:pPr>
              <w:pStyle w:val="TableTextEntries"/>
            </w:pPr>
            <w:r>
              <w:t>Civil Society Support Program</w:t>
            </w:r>
          </w:p>
        </w:tc>
        <w:tc>
          <w:tcPr>
            <w:tcW w:w="550" w:type="pct"/>
            <w:gridSpan w:val="2"/>
          </w:tcPr>
          <w:p w14:paraId="71614657" w14:textId="77777777" w:rsidR="009C61B4" w:rsidRPr="00FE4491" w:rsidRDefault="009C61B4" w:rsidP="00D33FDF">
            <w:pPr>
              <w:pStyle w:val="TableTextEntries"/>
            </w:pPr>
            <w:r w:rsidRPr="00FE4491">
              <w:t>2012</w:t>
            </w:r>
          </w:p>
        </w:tc>
        <w:tc>
          <w:tcPr>
            <w:tcW w:w="436" w:type="pct"/>
            <w:shd w:val="clear" w:color="auto" w:fill="92D050"/>
            <w:noWrap/>
          </w:tcPr>
          <w:p w14:paraId="3BD45C3C" w14:textId="77777777" w:rsidR="009C61B4" w:rsidRPr="00FE4491" w:rsidRDefault="009C61B4" w:rsidP="00D33FDF">
            <w:pPr>
              <w:pStyle w:val="TableTextEntries"/>
              <w:jc w:val="center"/>
            </w:pPr>
            <w:r>
              <w:t>6</w:t>
            </w:r>
          </w:p>
        </w:tc>
        <w:tc>
          <w:tcPr>
            <w:tcW w:w="389" w:type="pct"/>
            <w:shd w:val="clear" w:color="auto" w:fill="92D050"/>
            <w:noWrap/>
          </w:tcPr>
          <w:p w14:paraId="5CE34189" w14:textId="77777777" w:rsidR="009C61B4" w:rsidRPr="00FE4491" w:rsidRDefault="009C61B4" w:rsidP="00D33FDF">
            <w:pPr>
              <w:pStyle w:val="TableTextEntries"/>
              <w:jc w:val="center"/>
            </w:pPr>
            <w:r>
              <w:t>5</w:t>
            </w:r>
          </w:p>
        </w:tc>
        <w:tc>
          <w:tcPr>
            <w:tcW w:w="389" w:type="pct"/>
            <w:shd w:val="clear" w:color="auto" w:fill="92D050"/>
            <w:noWrap/>
          </w:tcPr>
          <w:p w14:paraId="15561983" w14:textId="77777777" w:rsidR="009C61B4" w:rsidRPr="00FE4491" w:rsidRDefault="009C61B4" w:rsidP="00D33FDF">
            <w:pPr>
              <w:pStyle w:val="TableTextEntries"/>
              <w:jc w:val="center"/>
            </w:pPr>
            <w:r>
              <w:t>5</w:t>
            </w:r>
          </w:p>
        </w:tc>
        <w:tc>
          <w:tcPr>
            <w:tcW w:w="410" w:type="pct"/>
            <w:shd w:val="clear" w:color="auto" w:fill="FFFF00"/>
            <w:noWrap/>
          </w:tcPr>
          <w:p w14:paraId="231D69EB" w14:textId="77777777" w:rsidR="009C61B4" w:rsidRPr="00FE4491" w:rsidRDefault="009C61B4" w:rsidP="00D33FDF">
            <w:pPr>
              <w:pStyle w:val="TableTextEntries"/>
              <w:jc w:val="center"/>
            </w:pPr>
            <w:r>
              <w:t>4</w:t>
            </w:r>
          </w:p>
        </w:tc>
        <w:tc>
          <w:tcPr>
            <w:tcW w:w="366" w:type="pct"/>
            <w:shd w:val="clear" w:color="auto" w:fill="FFFF00"/>
            <w:noWrap/>
          </w:tcPr>
          <w:p w14:paraId="3A75201B" w14:textId="77777777" w:rsidR="009C61B4" w:rsidRPr="00FE4491" w:rsidRDefault="009C61B4" w:rsidP="00D33FDF">
            <w:pPr>
              <w:pStyle w:val="TableTextEntries"/>
              <w:jc w:val="center"/>
            </w:pPr>
            <w:r>
              <w:t>4</w:t>
            </w:r>
          </w:p>
        </w:tc>
        <w:tc>
          <w:tcPr>
            <w:tcW w:w="342" w:type="pct"/>
            <w:shd w:val="clear" w:color="auto" w:fill="92D050"/>
            <w:noWrap/>
          </w:tcPr>
          <w:p w14:paraId="3A5D8D71" w14:textId="77777777" w:rsidR="009C61B4" w:rsidRPr="00FE4491" w:rsidRDefault="009C61B4" w:rsidP="00D33FDF">
            <w:pPr>
              <w:pStyle w:val="TableTextEntries"/>
              <w:jc w:val="center"/>
            </w:pPr>
            <w:r>
              <w:t>5</w:t>
            </w:r>
          </w:p>
        </w:tc>
        <w:tc>
          <w:tcPr>
            <w:tcW w:w="340" w:type="pct"/>
            <w:shd w:val="clear" w:color="auto" w:fill="F79646" w:themeFill="accent6"/>
            <w:noWrap/>
          </w:tcPr>
          <w:p w14:paraId="3207F587" w14:textId="77777777" w:rsidR="009C61B4" w:rsidRPr="00FE4491" w:rsidRDefault="009C61B4" w:rsidP="00D33FDF">
            <w:pPr>
              <w:pStyle w:val="TableTextEntries"/>
              <w:jc w:val="center"/>
            </w:pPr>
            <w:r>
              <w:t>I</w:t>
            </w:r>
          </w:p>
        </w:tc>
      </w:tr>
      <w:tr w:rsidR="009C61B4" w:rsidRPr="00FE4491" w14:paraId="6C3AD728" w14:textId="77777777" w:rsidTr="00E53359">
        <w:trPr>
          <w:trHeight w:val="20"/>
          <w:tblHeader w:val="0"/>
        </w:trPr>
        <w:tc>
          <w:tcPr>
            <w:tcW w:w="1598" w:type="pct"/>
            <w:vMerge/>
          </w:tcPr>
          <w:p w14:paraId="513D1CEE" w14:textId="77777777" w:rsidR="009C61B4" w:rsidRPr="00FE4491" w:rsidRDefault="009C61B4" w:rsidP="00D33FDF">
            <w:pPr>
              <w:pStyle w:val="TableTextEntries"/>
            </w:pPr>
          </w:p>
        </w:tc>
        <w:tc>
          <w:tcPr>
            <w:tcW w:w="550" w:type="pct"/>
            <w:gridSpan w:val="2"/>
          </w:tcPr>
          <w:p w14:paraId="308BB399" w14:textId="77777777" w:rsidR="009C61B4" w:rsidRPr="00FE4491" w:rsidRDefault="009C61B4" w:rsidP="00D33FDF">
            <w:pPr>
              <w:pStyle w:val="TableTextEntries"/>
            </w:pPr>
            <w:r w:rsidRPr="00FE4491">
              <w:t>2011</w:t>
            </w:r>
          </w:p>
        </w:tc>
        <w:tc>
          <w:tcPr>
            <w:tcW w:w="436" w:type="pct"/>
            <w:shd w:val="clear" w:color="auto" w:fill="92D050"/>
            <w:noWrap/>
          </w:tcPr>
          <w:p w14:paraId="7A75C5F3" w14:textId="77777777" w:rsidR="009C61B4" w:rsidRPr="00FE4491" w:rsidRDefault="009C61B4" w:rsidP="00D33FDF">
            <w:pPr>
              <w:pStyle w:val="TableTextEntries"/>
              <w:jc w:val="center"/>
            </w:pPr>
            <w:r>
              <w:t>5</w:t>
            </w:r>
          </w:p>
        </w:tc>
        <w:tc>
          <w:tcPr>
            <w:tcW w:w="389" w:type="pct"/>
            <w:shd w:val="clear" w:color="auto" w:fill="92D050"/>
            <w:noWrap/>
          </w:tcPr>
          <w:p w14:paraId="13380586" w14:textId="77777777" w:rsidR="009C61B4" w:rsidRPr="00FE4491" w:rsidRDefault="009C61B4" w:rsidP="00D33FDF">
            <w:pPr>
              <w:pStyle w:val="TableTextEntries"/>
              <w:jc w:val="center"/>
            </w:pPr>
            <w:r>
              <w:t>5</w:t>
            </w:r>
          </w:p>
        </w:tc>
        <w:tc>
          <w:tcPr>
            <w:tcW w:w="389" w:type="pct"/>
            <w:tcBorders>
              <w:top w:val="nil"/>
              <w:bottom w:val="nil"/>
            </w:tcBorders>
            <w:shd w:val="clear" w:color="auto" w:fill="F79646" w:themeFill="accent6"/>
            <w:noWrap/>
          </w:tcPr>
          <w:p w14:paraId="67389E19" w14:textId="77777777" w:rsidR="009C61B4" w:rsidRPr="00FE4491" w:rsidRDefault="009C61B4" w:rsidP="00D33FDF">
            <w:pPr>
              <w:pStyle w:val="TableTextEntries"/>
              <w:jc w:val="center"/>
            </w:pPr>
            <w:r>
              <w:t>3</w:t>
            </w:r>
          </w:p>
        </w:tc>
        <w:tc>
          <w:tcPr>
            <w:tcW w:w="410" w:type="pct"/>
            <w:shd w:val="clear" w:color="auto" w:fill="FFFF00"/>
            <w:noWrap/>
          </w:tcPr>
          <w:p w14:paraId="02161CAC" w14:textId="77777777" w:rsidR="009C61B4" w:rsidRPr="00FE4491" w:rsidRDefault="009C61B4" w:rsidP="00D33FDF">
            <w:pPr>
              <w:pStyle w:val="TableTextEntries"/>
              <w:jc w:val="center"/>
            </w:pPr>
            <w:r>
              <w:t>4</w:t>
            </w:r>
          </w:p>
        </w:tc>
        <w:tc>
          <w:tcPr>
            <w:tcW w:w="366" w:type="pct"/>
            <w:shd w:val="clear" w:color="auto" w:fill="FFFF00"/>
            <w:noWrap/>
          </w:tcPr>
          <w:p w14:paraId="2556A211" w14:textId="77777777" w:rsidR="009C61B4" w:rsidRPr="00FE4491" w:rsidRDefault="009C61B4" w:rsidP="00D33FDF">
            <w:pPr>
              <w:pStyle w:val="TableTextEntries"/>
              <w:jc w:val="center"/>
            </w:pPr>
            <w:r>
              <w:t>4</w:t>
            </w:r>
          </w:p>
        </w:tc>
        <w:tc>
          <w:tcPr>
            <w:tcW w:w="342" w:type="pct"/>
            <w:shd w:val="clear" w:color="auto" w:fill="92D050"/>
            <w:noWrap/>
          </w:tcPr>
          <w:p w14:paraId="079426C5" w14:textId="77777777" w:rsidR="009C61B4" w:rsidRPr="00FE4491" w:rsidRDefault="009C61B4" w:rsidP="00D33FDF">
            <w:pPr>
              <w:pStyle w:val="TableTextEntries"/>
              <w:jc w:val="center"/>
            </w:pPr>
            <w:r>
              <w:t>5</w:t>
            </w:r>
          </w:p>
        </w:tc>
        <w:tc>
          <w:tcPr>
            <w:tcW w:w="340" w:type="pct"/>
            <w:shd w:val="clear" w:color="auto" w:fill="auto"/>
            <w:noWrap/>
          </w:tcPr>
          <w:p w14:paraId="59A00DB6" w14:textId="77777777" w:rsidR="009C61B4" w:rsidRPr="00FE4491" w:rsidRDefault="009C61B4" w:rsidP="00D33FDF">
            <w:pPr>
              <w:pStyle w:val="TableTextEntries"/>
              <w:jc w:val="center"/>
            </w:pPr>
            <w:r>
              <w:t>N/A</w:t>
            </w:r>
          </w:p>
        </w:tc>
      </w:tr>
      <w:tr w:rsidR="009C61B4" w:rsidRPr="00FE4491" w14:paraId="641F640C"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285D03C8" w14:textId="77777777" w:rsidR="009C61B4" w:rsidRPr="00FE4491" w:rsidRDefault="009C61B4" w:rsidP="00D33FDF">
            <w:pPr>
              <w:pStyle w:val="TableTextEntries"/>
            </w:pPr>
            <w:r>
              <w:t>Climate Change</w:t>
            </w:r>
          </w:p>
        </w:tc>
        <w:tc>
          <w:tcPr>
            <w:tcW w:w="550" w:type="pct"/>
            <w:gridSpan w:val="2"/>
          </w:tcPr>
          <w:p w14:paraId="1366D904" w14:textId="77777777" w:rsidR="009C61B4" w:rsidRPr="00FE4491" w:rsidRDefault="009C61B4" w:rsidP="00D33FDF">
            <w:pPr>
              <w:pStyle w:val="TableTextEntries"/>
            </w:pPr>
            <w:r w:rsidRPr="00FE4491">
              <w:t>2012</w:t>
            </w:r>
          </w:p>
        </w:tc>
        <w:tc>
          <w:tcPr>
            <w:tcW w:w="436" w:type="pct"/>
            <w:shd w:val="clear" w:color="auto" w:fill="92D050"/>
            <w:noWrap/>
          </w:tcPr>
          <w:p w14:paraId="6BA01B42" w14:textId="77777777" w:rsidR="009C61B4" w:rsidRPr="00FE4491" w:rsidRDefault="009C61B4" w:rsidP="00D33FDF">
            <w:pPr>
              <w:pStyle w:val="TableTextEntries"/>
              <w:jc w:val="center"/>
            </w:pPr>
            <w:r>
              <w:t>6</w:t>
            </w:r>
          </w:p>
        </w:tc>
        <w:tc>
          <w:tcPr>
            <w:tcW w:w="389" w:type="pct"/>
            <w:shd w:val="clear" w:color="auto" w:fill="92D050"/>
            <w:noWrap/>
          </w:tcPr>
          <w:p w14:paraId="7842A4A4" w14:textId="77777777" w:rsidR="009C61B4" w:rsidRPr="00FE4491" w:rsidRDefault="009C61B4" w:rsidP="00D33FDF">
            <w:pPr>
              <w:pStyle w:val="TableTextEntries"/>
              <w:jc w:val="center"/>
            </w:pPr>
            <w:r>
              <w:t>5</w:t>
            </w:r>
          </w:p>
        </w:tc>
        <w:tc>
          <w:tcPr>
            <w:tcW w:w="389" w:type="pct"/>
            <w:shd w:val="clear" w:color="auto" w:fill="92D050"/>
            <w:noWrap/>
          </w:tcPr>
          <w:p w14:paraId="2FB3168C" w14:textId="77777777" w:rsidR="009C61B4" w:rsidRPr="00FE4491" w:rsidRDefault="009C61B4" w:rsidP="00D33FDF">
            <w:pPr>
              <w:pStyle w:val="TableTextEntries"/>
              <w:jc w:val="center"/>
            </w:pPr>
            <w:r>
              <w:t>5</w:t>
            </w:r>
          </w:p>
        </w:tc>
        <w:tc>
          <w:tcPr>
            <w:tcW w:w="410" w:type="pct"/>
            <w:shd w:val="clear" w:color="auto" w:fill="FFFF00"/>
            <w:noWrap/>
          </w:tcPr>
          <w:p w14:paraId="0474D327" w14:textId="77777777" w:rsidR="009C61B4" w:rsidRPr="00FE4491" w:rsidRDefault="009C61B4" w:rsidP="00D33FDF">
            <w:pPr>
              <w:pStyle w:val="TableTextEntries"/>
              <w:jc w:val="center"/>
            </w:pPr>
            <w:r>
              <w:t>4</w:t>
            </w:r>
          </w:p>
        </w:tc>
        <w:tc>
          <w:tcPr>
            <w:tcW w:w="366" w:type="pct"/>
            <w:shd w:val="clear" w:color="auto" w:fill="FFFF00"/>
            <w:noWrap/>
          </w:tcPr>
          <w:p w14:paraId="10D52DED" w14:textId="77777777" w:rsidR="009C61B4" w:rsidRPr="00FE4491" w:rsidRDefault="009C61B4" w:rsidP="00D33FDF">
            <w:pPr>
              <w:pStyle w:val="TableTextEntries"/>
              <w:jc w:val="center"/>
            </w:pPr>
            <w:r>
              <w:t>4</w:t>
            </w:r>
          </w:p>
        </w:tc>
        <w:tc>
          <w:tcPr>
            <w:tcW w:w="342" w:type="pct"/>
            <w:shd w:val="clear" w:color="auto" w:fill="92D050"/>
            <w:noWrap/>
          </w:tcPr>
          <w:p w14:paraId="5D4F9DC2" w14:textId="77777777" w:rsidR="009C61B4" w:rsidRPr="00FE4491" w:rsidRDefault="009C61B4" w:rsidP="00D33FDF">
            <w:pPr>
              <w:pStyle w:val="TableTextEntries"/>
              <w:jc w:val="center"/>
            </w:pPr>
            <w:r>
              <w:t>5</w:t>
            </w:r>
          </w:p>
        </w:tc>
        <w:tc>
          <w:tcPr>
            <w:tcW w:w="340" w:type="pct"/>
            <w:shd w:val="clear" w:color="auto" w:fill="F79646" w:themeFill="accent6"/>
            <w:noWrap/>
          </w:tcPr>
          <w:p w14:paraId="52641250" w14:textId="77777777" w:rsidR="009C61B4" w:rsidRPr="00FE4491" w:rsidRDefault="009C61B4" w:rsidP="00D33FDF">
            <w:pPr>
              <w:pStyle w:val="TableTextEntries"/>
              <w:jc w:val="center"/>
            </w:pPr>
            <w:r>
              <w:t>I</w:t>
            </w:r>
          </w:p>
        </w:tc>
      </w:tr>
      <w:tr w:rsidR="009C61B4" w:rsidRPr="00FE4491" w14:paraId="525E5009" w14:textId="77777777" w:rsidTr="00E53359">
        <w:trPr>
          <w:trHeight w:val="20"/>
          <w:tblHeader w:val="0"/>
        </w:trPr>
        <w:tc>
          <w:tcPr>
            <w:tcW w:w="1598" w:type="pct"/>
            <w:vMerge/>
          </w:tcPr>
          <w:p w14:paraId="234E0A29" w14:textId="77777777" w:rsidR="009C61B4" w:rsidRPr="00FE4491" w:rsidRDefault="009C61B4" w:rsidP="00D33FDF">
            <w:pPr>
              <w:pStyle w:val="TableTextEntries"/>
            </w:pPr>
          </w:p>
        </w:tc>
        <w:tc>
          <w:tcPr>
            <w:tcW w:w="550" w:type="pct"/>
            <w:gridSpan w:val="2"/>
          </w:tcPr>
          <w:p w14:paraId="03E88CA8" w14:textId="77777777" w:rsidR="009C61B4" w:rsidRPr="00FE4491" w:rsidRDefault="009C61B4" w:rsidP="00D33FDF">
            <w:pPr>
              <w:pStyle w:val="TableTextEntries"/>
            </w:pPr>
            <w:r w:rsidRPr="00FE4491">
              <w:t>2011</w:t>
            </w:r>
          </w:p>
        </w:tc>
        <w:tc>
          <w:tcPr>
            <w:tcW w:w="436" w:type="pct"/>
            <w:shd w:val="clear" w:color="auto" w:fill="92D050"/>
            <w:noWrap/>
          </w:tcPr>
          <w:p w14:paraId="0B68C0A2" w14:textId="77777777" w:rsidR="009C61B4" w:rsidRPr="00FE4491" w:rsidRDefault="009C61B4" w:rsidP="00D33FDF">
            <w:pPr>
              <w:pStyle w:val="TableTextEntries"/>
              <w:jc w:val="center"/>
            </w:pPr>
            <w:r>
              <w:t>5</w:t>
            </w:r>
          </w:p>
        </w:tc>
        <w:tc>
          <w:tcPr>
            <w:tcW w:w="389" w:type="pct"/>
            <w:shd w:val="clear" w:color="auto" w:fill="92D050"/>
            <w:noWrap/>
          </w:tcPr>
          <w:p w14:paraId="4CB2B1C9" w14:textId="77777777" w:rsidR="009C61B4" w:rsidRPr="00FE4491" w:rsidRDefault="009C61B4" w:rsidP="00D33FDF">
            <w:pPr>
              <w:pStyle w:val="TableTextEntries"/>
              <w:jc w:val="center"/>
            </w:pPr>
            <w:r>
              <w:t>5</w:t>
            </w:r>
          </w:p>
        </w:tc>
        <w:tc>
          <w:tcPr>
            <w:tcW w:w="389" w:type="pct"/>
            <w:tcBorders>
              <w:top w:val="nil"/>
              <w:bottom w:val="nil"/>
            </w:tcBorders>
            <w:shd w:val="clear" w:color="auto" w:fill="F79646" w:themeFill="accent6"/>
            <w:noWrap/>
          </w:tcPr>
          <w:p w14:paraId="7E5B48ED" w14:textId="77777777" w:rsidR="009C61B4" w:rsidRPr="00FE4491" w:rsidRDefault="009C61B4" w:rsidP="00D33FDF">
            <w:pPr>
              <w:pStyle w:val="TableTextEntries"/>
              <w:jc w:val="center"/>
            </w:pPr>
            <w:r>
              <w:t>3</w:t>
            </w:r>
          </w:p>
        </w:tc>
        <w:tc>
          <w:tcPr>
            <w:tcW w:w="410" w:type="pct"/>
            <w:shd w:val="clear" w:color="auto" w:fill="FFFF00"/>
            <w:noWrap/>
          </w:tcPr>
          <w:p w14:paraId="0F09B54B" w14:textId="77777777" w:rsidR="009C61B4" w:rsidRPr="00FE4491" w:rsidRDefault="009C61B4" w:rsidP="00D33FDF">
            <w:pPr>
              <w:pStyle w:val="TableTextEntries"/>
              <w:jc w:val="center"/>
            </w:pPr>
            <w:r>
              <w:t>4</w:t>
            </w:r>
          </w:p>
        </w:tc>
        <w:tc>
          <w:tcPr>
            <w:tcW w:w="366" w:type="pct"/>
            <w:shd w:val="clear" w:color="auto" w:fill="FFFF00"/>
            <w:noWrap/>
          </w:tcPr>
          <w:p w14:paraId="027CC834" w14:textId="77777777" w:rsidR="009C61B4" w:rsidRPr="00FE4491" w:rsidRDefault="009C61B4" w:rsidP="00D33FDF">
            <w:pPr>
              <w:pStyle w:val="TableTextEntries"/>
              <w:jc w:val="center"/>
            </w:pPr>
            <w:r>
              <w:t>4</w:t>
            </w:r>
          </w:p>
        </w:tc>
        <w:tc>
          <w:tcPr>
            <w:tcW w:w="342" w:type="pct"/>
            <w:shd w:val="clear" w:color="auto" w:fill="92D050"/>
            <w:noWrap/>
          </w:tcPr>
          <w:p w14:paraId="08193116" w14:textId="77777777" w:rsidR="009C61B4" w:rsidRPr="00FE4491" w:rsidRDefault="009C61B4" w:rsidP="00D33FDF">
            <w:pPr>
              <w:pStyle w:val="TableTextEntries"/>
              <w:jc w:val="center"/>
            </w:pPr>
            <w:r>
              <w:t>5</w:t>
            </w:r>
          </w:p>
        </w:tc>
        <w:tc>
          <w:tcPr>
            <w:tcW w:w="340" w:type="pct"/>
            <w:shd w:val="clear" w:color="auto" w:fill="auto"/>
            <w:noWrap/>
          </w:tcPr>
          <w:p w14:paraId="497CC354" w14:textId="77777777" w:rsidR="009C61B4" w:rsidRPr="00FE4491" w:rsidRDefault="009C61B4" w:rsidP="00D33FDF">
            <w:pPr>
              <w:pStyle w:val="TableTextEntries"/>
              <w:jc w:val="center"/>
            </w:pPr>
            <w:r>
              <w:t>N/A</w:t>
            </w:r>
          </w:p>
        </w:tc>
      </w:tr>
      <w:tr w:rsidR="009C61B4" w:rsidRPr="009D53C4" w14:paraId="5249BD45"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073154B8" w14:textId="77777777" w:rsidR="009C61B4" w:rsidRPr="00FE4491" w:rsidRDefault="009C61B4" w:rsidP="00D33FDF">
            <w:pPr>
              <w:pStyle w:val="TableTextEntries"/>
            </w:pPr>
            <w:r>
              <w:t>Power Sector Expansion Program</w:t>
            </w:r>
          </w:p>
        </w:tc>
        <w:tc>
          <w:tcPr>
            <w:tcW w:w="550" w:type="pct"/>
            <w:gridSpan w:val="2"/>
          </w:tcPr>
          <w:p w14:paraId="0A8BDC75" w14:textId="77777777" w:rsidR="009C61B4" w:rsidRPr="00FE4491" w:rsidRDefault="009C61B4" w:rsidP="00D33FDF">
            <w:pPr>
              <w:pStyle w:val="TableTextEntries"/>
            </w:pPr>
            <w:r w:rsidRPr="00FE4491">
              <w:t>2012</w:t>
            </w:r>
          </w:p>
        </w:tc>
        <w:tc>
          <w:tcPr>
            <w:tcW w:w="436" w:type="pct"/>
            <w:shd w:val="clear" w:color="auto" w:fill="92D050"/>
            <w:noWrap/>
          </w:tcPr>
          <w:p w14:paraId="32951E2A" w14:textId="77777777" w:rsidR="009C61B4" w:rsidRPr="00FE4491" w:rsidRDefault="009C61B4" w:rsidP="00D33FDF">
            <w:pPr>
              <w:pStyle w:val="TableTextEntries"/>
              <w:jc w:val="center"/>
            </w:pPr>
            <w:r>
              <w:t>6</w:t>
            </w:r>
          </w:p>
        </w:tc>
        <w:tc>
          <w:tcPr>
            <w:tcW w:w="389" w:type="pct"/>
            <w:shd w:val="clear" w:color="auto" w:fill="92D050"/>
            <w:noWrap/>
          </w:tcPr>
          <w:p w14:paraId="1DB30ACD" w14:textId="77777777" w:rsidR="009C61B4" w:rsidRPr="00FE4491" w:rsidRDefault="009C61B4" w:rsidP="00D33FDF">
            <w:pPr>
              <w:pStyle w:val="TableTextEntries"/>
              <w:jc w:val="center"/>
            </w:pPr>
            <w:r>
              <w:t>5</w:t>
            </w:r>
          </w:p>
        </w:tc>
        <w:tc>
          <w:tcPr>
            <w:tcW w:w="389" w:type="pct"/>
            <w:shd w:val="clear" w:color="auto" w:fill="92D050"/>
            <w:noWrap/>
          </w:tcPr>
          <w:p w14:paraId="78B21045" w14:textId="77777777" w:rsidR="009C61B4" w:rsidRPr="00FE4491" w:rsidRDefault="009C61B4" w:rsidP="00D33FDF">
            <w:pPr>
              <w:pStyle w:val="TableTextEntries"/>
              <w:jc w:val="center"/>
            </w:pPr>
            <w:r>
              <w:t>5</w:t>
            </w:r>
          </w:p>
        </w:tc>
        <w:tc>
          <w:tcPr>
            <w:tcW w:w="410" w:type="pct"/>
            <w:shd w:val="clear" w:color="auto" w:fill="FFFF00"/>
            <w:noWrap/>
          </w:tcPr>
          <w:p w14:paraId="622710F0" w14:textId="77777777" w:rsidR="009C61B4" w:rsidRPr="00FE4491" w:rsidRDefault="009C61B4" w:rsidP="00D33FDF">
            <w:pPr>
              <w:pStyle w:val="TableTextEntries"/>
              <w:jc w:val="center"/>
            </w:pPr>
            <w:r>
              <w:t>4</w:t>
            </w:r>
          </w:p>
        </w:tc>
        <w:tc>
          <w:tcPr>
            <w:tcW w:w="366" w:type="pct"/>
            <w:shd w:val="clear" w:color="auto" w:fill="92D050"/>
            <w:noWrap/>
          </w:tcPr>
          <w:p w14:paraId="0FC1BA5B" w14:textId="77777777" w:rsidR="009C61B4" w:rsidRPr="00FE4491" w:rsidRDefault="009C61B4" w:rsidP="00D33FDF">
            <w:pPr>
              <w:pStyle w:val="TableTextEntries"/>
              <w:jc w:val="center"/>
            </w:pPr>
            <w:r>
              <w:t>5</w:t>
            </w:r>
          </w:p>
        </w:tc>
        <w:tc>
          <w:tcPr>
            <w:tcW w:w="342" w:type="pct"/>
            <w:shd w:val="clear" w:color="auto" w:fill="92D050"/>
            <w:noWrap/>
          </w:tcPr>
          <w:p w14:paraId="1616EF81" w14:textId="77777777" w:rsidR="009C61B4" w:rsidRPr="00FE4491" w:rsidRDefault="009C61B4" w:rsidP="00D33FDF">
            <w:pPr>
              <w:pStyle w:val="TableTextEntries"/>
              <w:jc w:val="center"/>
            </w:pPr>
            <w:r>
              <w:t>5</w:t>
            </w:r>
          </w:p>
        </w:tc>
        <w:tc>
          <w:tcPr>
            <w:tcW w:w="340" w:type="pct"/>
            <w:shd w:val="clear" w:color="auto" w:fill="F79646" w:themeFill="accent6"/>
            <w:noWrap/>
          </w:tcPr>
          <w:p w14:paraId="08EEF56B" w14:textId="77777777" w:rsidR="009C61B4" w:rsidRPr="00FE4491" w:rsidRDefault="009C61B4" w:rsidP="00D33FDF">
            <w:pPr>
              <w:pStyle w:val="TableTextEntries"/>
              <w:jc w:val="center"/>
            </w:pPr>
            <w:r>
              <w:t>I</w:t>
            </w:r>
          </w:p>
        </w:tc>
      </w:tr>
      <w:tr w:rsidR="009C61B4" w:rsidRPr="009D53C4" w14:paraId="7B56E206" w14:textId="77777777" w:rsidTr="00D33FDF">
        <w:trPr>
          <w:trHeight w:val="20"/>
          <w:tblHeader w:val="0"/>
        </w:trPr>
        <w:tc>
          <w:tcPr>
            <w:tcW w:w="1598" w:type="pct"/>
            <w:vMerge/>
          </w:tcPr>
          <w:p w14:paraId="71EEF121" w14:textId="77777777" w:rsidR="009C61B4" w:rsidRPr="00FE4491" w:rsidRDefault="009C61B4" w:rsidP="00D33FDF">
            <w:pPr>
              <w:pStyle w:val="TableTextEntries"/>
            </w:pPr>
          </w:p>
        </w:tc>
        <w:tc>
          <w:tcPr>
            <w:tcW w:w="550" w:type="pct"/>
            <w:gridSpan w:val="2"/>
          </w:tcPr>
          <w:p w14:paraId="76A582DC" w14:textId="77777777" w:rsidR="009C61B4" w:rsidRPr="00FE4491" w:rsidRDefault="009C61B4" w:rsidP="00D33FDF">
            <w:pPr>
              <w:pStyle w:val="TableTextEntries"/>
            </w:pPr>
            <w:r w:rsidRPr="00FE4491">
              <w:t>2011</w:t>
            </w:r>
          </w:p>
        </w:tc>
        <w:tc>
          <w:tcPr>
            <w:tcW w:w="436" w:type="pct"/>
            <w:shd w:val="clear" w:color="auto" w:fill="92D050"/>
            <w:noWrap/>
          </w:tcPr>
          <w:p w14:paraId="469A2623" w14:textId="77777777" w:rsidR="009C61B4" w:rsidRPr="00FE4491" w:rsidRDefault="009C61B4" w:rsidP="00D33FDF">
            <w:pPr>
              <w:pStyle w:val="TableTextEntries"/>
              <w:jc w:val="center"/>
            </w:pPr>
            <w:r>
              <w:t>6</w:t>
            </w:r>
          </w:p>
        </w:tc>
        <w:tc>
          <w:tcPr>
            <w:tcW w:w="389" w:type="pct"/>
            <w:shd w:val="clear" w:color="auto" w:fill="92D050"/>
            <w:noWrap/>
          </w:tcPr>
          <w:p w14:paraId="22B5DC11" w14:textId="77777777" w:rsidR="009C61B4" w:rsidRPr="00FE4491" w:rsidRDefault="009C61B4" w:rsidP="00D33FDF">
            <w:pPr>
              <w:pStyle w:val="TableTextEntries"/>
              <w:jc w:val="center"/>
            </w:pPr>
            <w:r>
              <w:t>5</w:t>
            </w:r>
          </w:p>
        </w:tc>
        <w:tc>
          <w:tcPr>
            <w:tcW w:w="389" w:type="pct"/>
            <w:shd w:val="clear" w:color="auto" w:fill="92D050"/>
            <w:noWrap/>
          </w:tcPr>
          <w:p w14:paraId="35C8395D" w14:textId="77777777" w:rsidR="009C61B4" w:rsidRPr="00FE4491" w:rsidRDefault="009C61B4" w:rsidP="00D33FDF">
            <w:pPr>
              <w:pStyle w:val="TableTextEntries"/>
              <w:jc w:val="center"/>
            </w:pPr>
            <w:r>
              <w:t>5</w:t>
            </w:r>
          </w:p>
        </w:tc>
        <w:tc>
          <w:tcPr>
            <w:tcW w:w="410" w:type="pct"/>
            <w:shd w:val="clear" w:color="auto" w:fill="FFFF00"/>
            <w:noWrap/>
          </w:tcPr>
          <w:p w14:paraId="5D4D7FAC" w14:textId="77777777" w:rsidR="009C61B4" w:rsidRPr="00FE4491" w:rsidRDefault="009C61B4" w:rsidP="00D33FDF">
            <w:pPr>
              <w:pStyle w:val="TableTextEntries"/>
              <w:jc w:val="center"/>
            </w:pPr>
            <w:r>
              <w:t>4</w:t>
            </w:r>
          </w:p>
        </w:tc>
        <w:tc>
          <w:tcPr>
            <w:tcW w:w="366" w:type="pct"/>
            <w:shd w:val="clear" w:color="auto" w:fill="92D050"/>
            <w:noWrap/>
          </w:tcPr>
          <w:p w14:paraId="0127CFFE" w14:textId="77777777" w:rsidR="009C61B4" w:rsidRPr="00FE4491" w:rsidRDefault="009C61B4" w:rsidP="00D33FDF">
            <w:pPr>
              <w:pStyle w:val="TableTextEntries"/>
              <w:jc w:val="center"/>
            </w:pPr>
            <w:r>
              <w:t>5</w:t>
            </w:r>
          </w:p>
        </w:tc>
        <w:tc>
          <w:tcPr>
            <w:tcW w:w="342" w:type="pct"/>
            <w:shd w:val="clear" w:color="auto" w:fill="92D050"/>
            <w:noWrap/>
          </w:tcPr>
          <w:p w14:paraId="6F62E2F7" w14:textId="77777777" w:rsidR="009C61B4" w:rsidRPr="00FE4491" w:rsidRDefault="009C61B4" w:rsidP="00D33FDF">
            <w:pPr>
              <w:pStyle w:val="TableTextEntries"/>
              <w:jc w:val="center"/>
            </w:pPr>
            <w:r>
              <w:t>5</w:t>
            </w:r>
          </w:p>
        </w:tc>
        <w:tc>
          <w:tcPr>
            <w:tcW w:w="340" w:type="pct"/>
            <w:shd w:val="clear" w:color="auto" w:fill="auto"/>
            <w:noWrap/>
          </w:tcPr>
          <w:p w14:paraId="3FAA1791" w14:textId="77777777" w:rsidR="009C61B4" w:rsidRPr="00FE4491" w:rsidRDefault="009C61B4" w:rsidP="00D33FDF">
            <w:pPr>
              <w:pStyle w:val="TableTextEntries"/>
              <w:jc w:val="center"/>
            </w:pPr>
            <w:r>
              <w:t>N/A</w:t>
            </w:r>
          </w:p>
        </w:tc>
      </w:tr>
      <w:tr w:rsidR="009C61B4" w:rsidRPr="009D53C4" w14:paraId="6251B76A" w14:textId="77777777" w:rsidTr="00E53359">
        <w:trPr>
          <w:cnfStyle w:val="000000010000" w:firstRow="0" w:lastRow="0" w:firstColumn="0" w:lastColumn="0" w:oddVBand="0" w:evenVBand="0" w:oddHBand="0" w:evenHBand="1" w:firstRowFirstColumn="0" w:firstRowLastColumn="0" w:lastRowFirstColumn="0" w:lastRowLastColumn="0"/>
          <w:trHeight w:val="20"/>
          <w:tblHeader w:val="0"/>
        </w:trPr>
        <w:tc>
          <w:tcPr>
            <w:tcW w:w="1598" w:type="pct"/>
            <w:vMerge w:val="restart"/>
          </w:tcPr>
          <w:p w14:paraId="4F2A03E7" w14:textId="77777777" w:rsidR="009C61B4" w:rsidRPr="00FE4491" w:rsidRDefault="009C61B4" w:rsidP="00D33FDF">
            <w:pPr>
              <w:pStyle w:val="TableTextEntries"/>
            </w:pPr>
            <w:r>
              <w:t>Law and Justice Sector Program</w:t>
            </w:r>
          </w:p>
        </w:tc>
        <w:tc>
          <w:tcPr>
            <w:tcW w:w="550" w:type="pct"/>
            <w:gridSpan w:val="2"/>
          </w:tcPr>
          <w:p w14:paraId="19E49B59" w14:textId="77777777" w:rsidR="009C61B4" w:rsidRPr="00FE4491" w:rsidRDefault="009C61B4" w:rsidP="00D33FDF">
            <w:pPr>
              <w:pStyle w:val="TableTextEntries"/>
            </w:pPr>
            <w:r w:rsidRPr="00FE4491">
              <w:t>2012</w:t>
            </w:r>
          </w:p>
        </w:tc>
        <w:tc>
          <w:tcPr>
            <w:tcW w:w="436" w:type="pct"/>
            <w:shd w:val="clear" w:color="auto" w:fill="92D050"/>
            <w:noWrap/>
          </w:tcPr>
          <w:p w14:paraId="7228646B" w14:textId="77777777" w:rsidR="009C61B4" w:rsidRPr="00FE4491" w:rsidRDefault="009C61B4" w:rsidP="00D33FDF">
            <w:pPr>
              <w:pStyle w:val="TableTextEntries"/>
              <w:jc w:val="center"/>
            </w:pPr>
            <w:r>
              <w:t>6</w:t>
            </w:r>
          </w:p>
        </w:tc>
        <w:tc>
          <w:tcPr>
            <w:tcW w:w="389" w:type="pct"/>
            <w:shd w:val="clear" w:color="auto" w:fill="92D050"/>
            <w:noWrap/>
          </w:tcPr>
          <w:p w14:paraId="12A15AD4" w14:textId="77777777" w:rsidR="009C61B4" w:rsidRPr="00FE4491" w:rsidRDefault="009C61B4" w:rsidP="00D33FDF">
            <w:pPr>
              <w:pStyle w:val="TableTextEntries"/>
              <w:jc w:val="center"/>
            </w:pPr>
            <w:r>
              <w:t>4</w:t>
            </w:r>
          </w:p>
        </w:tc>
        <w:tc>
          <w:tcPr>
            <w:tcW w:w="389" w:type="pct"/>
            <w:shd w:val="clear" w:color="auto" w:fill="F79646" w:themeFill="accent6"/>
            <w:noWrap/>
          </w:tcPr>
          <w:p w14:paraId="53263787" w14:textId="77777777" w:rsidR="009C61B4" w:rsidRPr="00FE4491" w:rsidRDefault="009C61B4" w:rsidP="00D33FDF">
            <w:pPr>
              <w:pStyle w:val="TableTextEntries"/>
              <w:jc w:val="center"/>
            </w:pPr>
            <w:r>
              <w:t>3</w:t>
            </w:r>
          </w:p>
        </w:tc>
        <w:tc>
          <w:tcPr>
            <w:tcW w:w="410" w:type="pct"/>
            <w:shd w:val="clear" w:color="auto" w:fill="FF0000"/>
            <w:noWrap/>
          </w:tcPr>
          <w:p w14:paraId="7C2D1EF0" w14:textId="77777777" w:rsidR="009C61B4" w:rsidRPr="00FE4491" w:rsidRDefault="009C61B4" w:rsidP="00D33FDF">
            <w:pPr>
              <w:pStyle w:val="TableTextEntries"/>
              <w:jc w:val="center"/>
            </w:pPr>
            <w:r>
              <w:t>2</w:t>
            </w:r>
          </w:p>
        </w:tc>
        <w:tc>
          <w:tcPr>
            <w:tcW w:w="366" w:type="pct"/>
            <w:shd w:val="clear" w:color="auto" w:fill="FFFF00"/>
            <w:noWrap/>
          </w:tcPr>
          <w:p w14:paraId="6A08E8C7" w14:textId="77777777" w:rsidR="009C61B4" w:rsidRPr="00FE4491" w:rsidRDefault="009C61B4" w:rsidP="00D33FDF">
            <w:pPr>
              <w:pStyle w:val="TableTextEntries"/>
              <w:jc w:val="center"/>
            </w:pPr>
            <w:r>
              <w:t>4</w:t>
            </w:r>
          </w:p>
        </w:tc>
        <w:tc>
          <w:tcPr>
            <w:tcW w:w="342" w:type="pct"/>
            <w:shd w:val="clear" w:color="auto" w:fill="FFFF00"/>
            <w:noWrap/>
          </w:tcPr>
          <w:p w14:paraId="72D7036A" w14:textId="77777777" w:rsidR="009C61B4" w:rsidRPr="00FE4491" w:rsidRDefault="009C61B4" w:rsidP="00D33FDF">
            <w:pPr>
              <w:pStyle w:val="TableTextEntries"/>
              <w:jc w:val="center"/>
            </w:pPr>
            <w:r>
              <w:t>4</w:t>
            </w:r>
          </w:p>
        </w:tc>
        <w:tc>
          <w:tcPr>
            <w:tcW w:w="340" w:type="pct"/>
            <w:shd w:val="clear" w:color="auto" w:fill="F79646" w:themeFill="accent6"/>
            <w:noWrap/>
          </w:tcPr>
          <w:p w14:paraId="3DAAF3A4" w14:textId="77777777" w:rsidR="009C61B4" w:rsidRPr="00FE4491" w:rsidRDefault="009C61B4" w:rsidP="00D33FDF">
            <w:pPr>
              <w:pStyle w:val="TableTextEntries"/>
              <w:jc w:val="center"/>
            </w:pPr>
            <w:r>
              <w:t>I</w:t>
            </w:r>
          </w:p>
        </w:tc>
      </w:tr>
      <w:tr w:rsidR="009C61B4" w:rsidRPr="009D53C4" w14:paraId="4C9E115F" w14:textId="77777777" w:rsidTr="00E53359">
        <w:trPr>
          <w:trHeight w:val="20"/>
          <w:tblHeader w:val="0"/>
        </w:trPr>
        <w:tc>
          <w:tcPr>
            <w:tcW w:w="1598" w:type="pct"/>
            <w:vMerge/>
          </w:tcPr>
          <w:p w14:paraId="73F6395E" w14:textId="77777777" w:rsidR="009C61B4" w:rsidRPr="00FE4491" w:rsidRDefault="009C61B4" w:rsidP="00D33FDF">
            <w:pPr>
              <w:pStyle w:val="TableTextEntries"/>
            </w:pPr>
          </w:p>
        </w:tc>
        <w:tc>
          <w:tcPr>
            <w:tcW w:w="550" w:type="pct"/>
            <w:gridSpan w:val="2"/>
          </w:tcPr>
          <w:p w14:paraId="4803BF83" w14:textId="77777777" w:rsidR="009C61B4" w:rsidRPr="00FE4491" w:rsidRDefault="009C61B4" w:rsidP="00D33FDF">
            <w:pPr>
              <w:pStyle w:val="TableTextEntries"/>
            </w:pPr>
            <w:r w:rsidRPr="00FE4491">
              <w:t>2011</w:t>
            </w:r>
          </w:p>
        </w:tc>
        <w:tc>
          <w:tcPr>
            <w:tcW w:w="436" w:type="pct"/>
            <w:shd w:val="clear" w:color="auto" w:fill="92D050"/>
            <w:noWrap/>
          </w:tcPr>
          <w:p w14:paraId="52D6E1E0" w14:textId="77777777" w:rsidR="009C61B4" w:rsidRPr="00FE4491" w:rsidRDefault="009C61B4" w:rsidP="00D33FDF">
            <w:pPr>
              <w:pStyle w:val="TableTextEntries"/>
              <w:jc w:val="center"/>
            </w:pPr>
            <w:r>
              <w:t>6</w:t>
            </w:r>
          </w:p>
        </w:tc>
        <w:tc>
          <w:tcPr>
            <w:tcW w:w="389" w:type="pct"/>
            <w:shd w:val="clear" w:color="auto" w:fill="92D050"/>
            <w:noWrap/>
          </w:tcPr>
          <w:p w14:paraId="18A42DB0" w14:textId="77777777" w:rsidR="009C61B4" w:rsidRPr="00FE4491" w:rsidRDefault="009C61B4" w:rsidP="00D33FDF">
            <w:pPr>
              <w:pStyle w:val="TableTextEntries"/>
              <w:jc w:val="center"/>
            </w:pPr>
            <w:r>
              <w:t>5</w:t>
            </w:r>
          </w:p>
        </w:tc>
        <w:tc>
          <w:tcPr>
            <w:tcW w:w="389" w:type="pct"/>
            <w:shd w:val="clear" w:color="auto" w:fill="92D050"/>
            <w:noWrap/>
          </w:tcPr>
          <w:p w14:paraId="6D796E36" w14:textId="77777777" w:rsidR="009C61B4" w:rsidRPr="00FE4491" w:rsidRDefault="009C61B4" w:rsidP="00D33FDF">
            <w:pPr>
              <w:pStyle w:val="TableTextEntries"/>
              <w:jc w:val="center"/>
            </w:pPr>
            <w:r>
              <w:t>5</w:t>
            </w:r>
          </w:p>
        </w:tc>
        <w:tc>
          <w:tcPr>
            <w:tcW w:w="410" w:type="pct"/>
            <w:tcBorders>
              <w:top w:val="nil"/>
              <w:bottom w:val="nil"/>
            </w:tcBorders>
            <w:shd w:val="clear" w:color="auto" w:fill="F79646" w:themeFill="accent6"/>
            <w:noWrap/>
          </w:tcPr>
          <w:p w14:paraId="6685ED13" w14:textId="77777777" w:rsidR="009C61B4" w:rsidRPr="00FE4491" w:rsidRDefault="009C61B4" w:rsidP="00D33FDF">
            <w:pPr>
              <w:pStyle w:val="TableTextEntries"/>
              <w:jc w:val="center"/>
            </w:pPr>
            <w:r>
              <w:t>3</w:t>
            </w:r>
          </w:p>
        </w:tc>
        <w:tc>
          <w:tcPr>
            <w:tcW w:w="366" w:type="pct"/>
            <w:shd w:val="clear" w:color="auto" w:fill="FFFF00"/>
            <w:noWrap/>
          </w:tcPr>
          <w:p w14:paraId="3AE4DBA0" w14:textId="77777777" w:rsidR="009C61B4" w:rsidRPr="00FE4491" w:rsidRDefault="009C61B4" w:rsidP="00D33FDF">
            <w:pPr>
              <w:pStyle w:val="TableTextEntries"/>
              <w:jc w:val="center"/>
            </w:pPr>
            <w:r>
              <w:t>4</w:t>
            </w:r>
          </w:p>
        </w:tc>
        <w:tc>
          <w:tcPr>
            <w:tcW w:w="342" w:type="pct"/>
            <w:tcBorders>
              <w:top w:val="nil"/>
              <w:bottom w:val="nil"/>
            </w:tcBorders>
            <w:shd w:val="clear" w:color="auto" w:fill="F79646" w:themeFill="accent6"/>
            <w:noWrap/>
          </w:tcPr>
          <w:p w14:paraId="78CA6E46" w14:textId="77777777" w:rsidR="009C61B4" w:rsidRPr="00FE4491" w:rsidRDefault="009C61B4" w:rsidP="00D33FDF">
            <w:pPr>
              <w:pStyle w:val="TableTextEntries"/>
              <w:jc w:val="center"/>
            </w:pPr>
            <w:r>
              <w:t>3</w:t>
            </w:r>
          </w:p>
        </w:tc>
        <w:tc>
          <w:tcPr>
            <w:tcW w:w="340" w:type="pct"/>
            <w:shd w:val="clear" w:color="auto" w:fill="auto"/>
            <w:noWrap/>
          </w:tcPr>
          <w:p w14:paraId="08F57BE1" w14:textId="77777777" w:rsidR="009C61B4" w:rsidRPr="00FE4491" w:rsidRDefault="009C61B4" w:rsidP="00D33FDF">
            <w:pPr>
              <w:pStyle w:val="TableTextEntries"/>
              <w:jc w:val="center"/>
            </w:pPr>
            <w:r>
              <w:t>N/A</w:t>
            </w:r>
          </w:p>
        </w:tc>
      </w:tr>
    </w:tbl>
    <w:p w14:paraId="670D50E9" w14:textId="77777777" w:rsidR="009C61B4" w:rsidRDefault="009C61B4" w:rsidP="009C61B4">
      <w:pPr>
        <w:pStyle w:val="Note"/>
        <w:sectPr w:rsidR="009C61B4" w:rsidSect="00384536">
          <w:headerReference w:type="default" r:id="rId17"/>
          <w:footerReference w:type="default" r:id="rId18"/>
          <w:headerReference w:type="first" r:id="rId19"/>
          <w:footerReference w:type="first" r:id="rId20"/>
          <w:pgSz w:w="11906" w:h="16838" w:code="9"/>
          <w:pgMar w:top="2268" w:right="1701" w:bottom="907" w:left="1871" w:header="709" w:footer="454" w:gutter="0"/>
          <w:cols w:space="708"/>
          <w:docGrid w:linePitch="360"/>
        </w:sectPr>
      </w:pPr>
    </w:p>
    <w:p w14:paraId="04E5EDF7" w14:textId="77777777" w:rsidR="009C61B4" w:rsidRDefault="009C61B4" w:rsidP="009C61B4">
      <w:pPr>
        <w:pStyle w:val="Note"/>
      </w:pPr>
      <w:r>
        <w:t>Definitions of rating scale:</w:t>
      </w:r>
      <w:r>
        <w:tab/>
      </w:r>
    </w:p>
    <w:p w14:paraId="03E6BEC0" w14:textId="77777777" w:rsidR="009C61B4" w:rsidRDefault="009C61B4" w:rsidP="009C61B4">
      <w:pPr>
        <w:pStyle w:val="Note"/>
      </w:pPr>
      <w:r>
        <w:t>Satisfactory (4, 5 and 6)</w:t>
      </w:r>
    </w:p>
    <w:p w14:paraId="4630910F" w14:textId="634BDFBA" w:rsidR="009C61B4" w:rsidRDefault="009C61B4" w:rsidP="009C61B4">
      <w:pPr>
        <w:pStyle w:val="Note"/>
      </w:pPr>
      <w:r w:rsidRPr="00FE4491">
        <w:rPr>
          <w:color w:val="92D050"/>
        </w:rPr>
        <w:sym w:font="Webdings" w:char="F067"/>
      </w:r>
      <w:r>
        <w:t xml:space="preserve"> </w:t>
      </w:r>
      <w:r w:rsidR="00D33FDF">
        <w:t xml:space="preserve">Green </w:t>
      </w:r>
      <w:r>
        <w:t>= 6 = Very high quality</w:t>
      </w:r>
    </w:p>
    <w:p w14:paraId="5039C6F6" w14:textId="3C617A75" w:rsidR="009C61B4" w:rsidRDefault="009C61B4" w:rsidP="009C61B4">
      <w:pPr>
        <w:pStyle w:val="Note"/>
      </w:pPr>
      <w:r w:rsidRPr="00FE4491">
        <w:rPr>
          <w:color w:val="92D050"/>
        </w:rPr>
        <w:sym w:font="Webdings" w:char="F067"/>
      </w:r>
      <w:r>
        <w:t xml:space="preserve"> </w:t>
      </w:r>
      <w:r w:rsidR="00D33FDF">
        <w:t xml:space="preserve">Green </w:t>
      </w:r>
      <w:r>
        <w:t>= 5 = Good quality</w:t>
      </w:r>
    </w:p>
    <w:p w14:paraId="022CA89A" w14:textId="77777777" w:rsidR="00D33FDF" w:rsidRDefault="009C61B4" w:rsidP="009C61B4">
      <w:pPr>
        <w:pStyle w:val="Note"/>
      </w:pPr>
      <w:r w:rsidRPr="000774FD">
        <w:rPr>
          <w:color w:val="FFFF00"/>
        </w:rPr>
        <w:sym w:font="Webdings" w:char="F067"/>
      </w:r>
      <w:r>
        <w:t xml:space="preserve"> </w:t>
      </w:r>
      <w:r w:rsidR="00D33FDF">
        <w:t xml:space="preserve">Yellow </w:t>
      </w:r>
      <w:r>
        <w:t>= 4 = Ad</w:t>
      </w:r>
      <w:r w:rsidR="00D33FDF">
        <w:t>equate quality, needs some work</w:t>
      </w:r>
    </w:p>
    <w:p w14:paraId="3E4597FE" w14:textId="064CCB3B" w:rsidR="009C61B4" w:rsidRDefault="009C61B4" w:rsidP="009C61B4">
      <w:pPr>
        <w:pStyle w:val="Note"/>
      </w:pPr>
      <w:r>
        <w:t>Less than satisfactory (1, 2 and 3)</w:t>
      </w:r>
    </w:p>
    <w:p w14:paraId="0EE4BCE0" w14:textId="5A846595" w:rsidR="009C61B4" w:rsidRDefault="009C61B4" w:rsidP="009C61B4">
      <w:pPr>
        <w:pStyle w:val="Note"/>
      </w:pPr>
      <w:r w:rsidRPr="00FD710F">
        <w:rPr>
          <w:color w:val="F79646"/>
        </w:rPr>
        <w:sym w:font="Webdings" w:char="F067"/>
      </w:r>
      <w:r>
        <w:t xml:space="preserve"> </w:t>
      </w:r>
      <w:r w:rsidR="00D33FDF">
        <w:t xml:space="preserve">Amber </w:t>
      </w:r>
      <w:r>
        <w:t>= 3 = Less than adequate quality; needs significant work</w:t>
      </w:r>
    </w:p>
    <w:p w14:paraId="782E896E" w14:textId="2439F2FA" w:rsidR="009C61B4" w:rsidRDefault="009C61B4" w:rsidP="009C61B4">
      <w:pPr>
        <w:pStyle w:val="Note"/>
      </w:pPr>
      <w:r w:rsidRPr="000774FD">
        <w:rPr>
          <w:color w:val="FF0000"/>
        </w:rPr>
        <w:sym w:font="Webdings" w:char="F067"/>
      </w:r>
      <w:r>
        <w:t xml:space="preserve"> </w:t>
      </w:r>
      <w:r w:rsidR="00D33FDF">
        <w:t xml:space="preserve">Red </w:t>
      </w:r>
      <w:r>
        <w:t>= 2 = Poor quality; needs major work to improve</w:t>
      </w:r>
    </w:p>
    <w:p w14:paraId="2C5B39AC" w14:textId="5E2B363D" w:rsidR="009C61B4" w:rsidRDefault="009C61B4" w:rsidP="009C61B4">
      <w:pPr>
        <w:pStyle w:val="Note"/>
      </w:pPr>
      <w:r w:rsidRPr="000774FD">
        <w:rPr>
          <w:color w:val="FF0000"/>
        </w:rPr>
        <w:sym w:font="Webdings" w:char="F067"/>
      </w:r>
      <w:r>
        <w:t xml:space="preserve"> </w:t>
      </w:r>
      <w:r w:rsidR="00D33FDF">
        <w:t xml:space="preserve">Red </w:t>
      </w:r>
      <w:r>
        <w:t>= 1 = Very poor quality; needs major overhaul</w:t>
      </w:r>
    </w:p>
    <w:p w14:paraId="42C046F0" w14:textId="77777777" w:rsidR="009C61B4" w:rsidRDefault="009C61B4" w:rsidP="009C61B4">
      <w:pPr>
        <w:pStyle w:val="Note"/>
      </w:pPr>
    </w:p>
    <w:p w14:paraId="38685291" w14:textId="77777777" w:rsidR="009C61B4" w:rsidRDefault="009C61B4" w:rsidP="009C61B4">
      <w:pPr>
        <w:pStyle w:val="Note"/>
        <w:sectPr w:rsidR="009C61B4" w:rsidSect="00C72317">
          <w:type w:val="continuous"/>
          <w:pgSz w:w="11906" w:h="16838" w:code="9"/>
          <w:pgMar w:top="1814" w:right="1814" w:bottom="851" w:left="1814" w:header="709" w:footer="425" w:gutter="0"/>
          <w:cols w:num="2" w:space="708"/>
          <w:titlePg/>
          <w:docGrid w:linePitch="360"/>
        </w:sectPr>
      </w:pPr>
    </w:p>
    <w:p w14:paraId="5FDE38E2" w14:textId="1658512E" w:rsidR="009C61B4" w:rsidRDefault="009C61B4" w:rsidP="009C61B4">
      <w:pPr>
        <w:pStyle w:val="Note"/>
      </w:pPr>
      <w:r>
        <w:t xml:space="preserve">Risk </w:t>
      </w:r>
      <w:r w:rsidR="008217CD">
        <w:t>m</w:t>
      </w:r>
      <w:r>
        <w:t>anagement scale:</w:t>
      </w:r>
    </w:p>
    <w:p w14:paraId="6B391FF9" w14:textId="601BEC6F" w:rsidR="009C61B4" w:rsidRDefault="009C61B4" w:rsidP="009C61B4">
      <w:pPr>
        <w:pStyle w:val="Note"/>
      </w:pPr>
      <w:r w:rsidRPr="00FE4491">
        <w:rPr>
          <w:color w:val="92D050"/>
        </w:rPr>
        <w:sym w:font="Webdings" w:char="F067"/>
      </w:r>
      <w:r w:rsidR="00E53359">
        <w:t xml:space="preserve"> </w:t>
      </w:r>
      <w:r w:rsidR="00D33FDF">
        <w:t>Green =</w:t>
      </w:r>
      <w:r>
        <w:t xml:space="preserve"> Mature (M). Indicates the initiative manager conducts risk discussions on at least a monthly basis with all stakeholders and updates the risk registry quarterly. </w:t>
      </w:r>
    </w:p>
    <w:p w14:paraId="098C868D" w14:textId="7EFA16AA" w:rsidR="009C61B4" w:rsidRDefault="009C61B4" w:rsidP="009C61B4">
      <w:pPr>
        <w:pStyle w:val="Note"/>
      </w:pPr>
      <w:r w:rsidRPr="00FD710F">
        <w:rPr>
          <w:color w:val="F79646"/>
        </w:rPr>
        <w:sym w:font="Webdings" w:char="F067"/>
      </w:r>
      <w:r w:rsidR="00E53359">
        <w:t xml:space="preserve"> </w:t>
      </w:r>
      <w:r w:rsidR="00D33FDF">
        <w:t xml:space="preserve">Amber = </w:t>
      </w:r>
      <w:r>
        <w:t xml:space="preserve">Intermediate (I). Indicates the initiative manager conducts ad-hoc risk discussion and updates the risk register occasionally. </w:t>
      </w:r>
    </w:p>
    <w:p w14:paraId="6F1282B2" w14:textId="6BE073F1" w:rsidR="009C61B4" w:rsidRDefault="009C61B4" w:rsidP="009C61B4">
      <w:pPr>
        <w:pStyle w:val="Note"/>
      </w:pPr>
      <w:r w:rsidRPr="000774FD">
        <w:rPr>
          <w:color w:val="FF0000"/>
        </w:rPr>
        <w:sym w:font="Webdings" w:char="F067"/>
      </w:r>
      <w:r w:rsidR="00E53359">
        <w:t xml:space="preserve"> </w:t>
      </w:r>
      <w:r w:rsidR="00D33FDF">
        <w:t xml:space="preserve">Red = </w:t>
      </w:r>
      <w:r>
        <w:t>Basic</w:t>
      </w:r>
      <w:r w:rsidR="0002291B">
        <w:t xml:space="preserve"> </w:t>
      </w:r>
      <w:r>
        <w:t>(B). Indicates there are limited or few risk discussions and the risk register has not been updated in the past 12 months.</w:t>
      </w:r>
    </w:p>
    <w:p w14:paraId="656E3BA7" w14:textId="77777777" w:rsidR="009C61B4" w:rsidRDefault="009C61B4" w:rsidP="009C61B4">
      <w:pPr>
        <w:pStyle w:val="Note"/>
        <w:sectPr w:rsidR="009C61B4" w:rsidSect="009C61B4">
          <w:type w:val="continuous"/>
          <w:pgSz w:w="11906" w:h="16838" w:code="9"/>
          <w:pgMar w:top="1814" w:right="1814" w:bottom="851" w:left="1814" w:header="709" w:footer="425" w:gutter="0"/>
          <w:cols w:space="708"/>
          <w:titlePg/>
          <w:docGrid w:linePitch="360"/>
        </w:sectPr>
      </w:pPr>
    </w:p>
    <w:p w14:paraId="74D4CEA3" w14:textId="779C5DE2" w:rsidR="00EA10CE" w:rsidRPr="00D33FDF" w:rsidRDefault="00EA10CE" w:rsidP="00D33FDF">
      <w:pPr>
        <w:pStyle w:val="Heading1"/>
      </w:pPr>
      <w:r w:rsidRPr="00D33FDF">
        <w:t>Annex D</w:t>
      </w:r>
      <w:r w:rsidR="0094164F" w:rsidRPr="00D33FDF">
        <w:t>:</w:t>
      </w:r>
      <w:r w:rsidR="00E53359">
        <w:t xml:space="preserve"> </w:t>
      </w:r>
      <w:r w:rsidRPr="00D33FDF">
        <w:t xml:space="preserve">Evaluation and </w:t>
      </w:r>
      <w:r w:rsidR="007D410C" w:rsidRPr="00D33FDF">
        <w:t>r</w:t>
      </w:r>
      <w:r w:rsidRPr="00D33FDF">
        <w:t xml:space="preserve">eview </w:t>
      </w:r>
      <w:r w:rsidR="007D410C" w:rsidRPr="00D33FDF">
        <w:t>p</w:t>
      </w:r>
      <w:r w:rsidRPr="00D33FDF">
        <w:t xml:space="preserve">ipeline </w:t>
      </w:r>
      <w:r w:rsidR="007D410C" w:rsidRPr="00D33FDF">
        <w:t>p</w:t>
      </w:r>
      <w:r w:rsidRPr="00D33FDF">
        <w:t>lanning</w:t>
      </w:r>
      <w:r w:rsidR="00FE3ABF" w:rsidRPr="00D33FDF">
        <w:t xml:space="preserve"> </w:t>
      </w:r>
    </w:p>
    <w:p w14:paraId="0B7FFAB1" w14:textId="06C51FF6" w:rsidR="00EA10CE" w:rsidRPr="00071B95" w:rsidRDefault="00EA10CE" w:rsidP="00EA10CE">
      <w:pPr>
        <w:pStyle w:val="Caption"/>
      </w:pPr>
      <w:r w:rsidRPr="00071B95">
        <w:t xml:space="preserve">List of </w:t>
      </w:r>
      <w:r w:rsidR="007D410C">
        <w:t>e</w:t>
      </w:r>
      <w:r w:rsidRPr="00071B95">
        <w:t>valuations completed</w:t>
      </w:r>
      <w:r w:rsidRPr="00071B95">
        <w:rPr>
          <w:vertAlign w:val="superscript"/>
        </w:rPr>
        <w:footnoteReference w:id="81"/>
      </w:r>
      <w:r w:rsidRPr="00071B95">
        <w:t xml:space="preserve"> in the reporting period </w:t>
      </w:r>
    </w:p>
    <w:tbl>
      <w:tblPr>
        <w:tblStyle w:val="APPR"/>
        <w:tblW w:w="5000" w:type="pct"/>
        <w:tblLook w:val="04A0" w:firstRow="1" w:lastRow="0" w:firstColumn="1" w:lastColumn="0" w:noHBand="0" w:noVBand="1"/>
      </w:tblPr>
      <w:tblGrid>
        <w:gridCol w:w="2637"/>
        <w:gridCol w:w="1681"/>
        <w:gridCol w:w="2322"/>
        <w:gridCol w:w="2079"/>
        <w:gridCol w:w="2056"/>
        <w:gridCol w:w="1892"/>
        <w:gridCol w:w="1270"/>
      </w:tblGrid>
      <w:tr w:rsidR="00D33FDF" w:rsidRPr="00D33FDF" w14:paraId="5DCA8058" w14:textId="77777777" w:rsidTr="004615AF">
        <w:trPr>
          <w:cnfStyle w:val="100000000000" w:firstRow="1" w:lastRow="0" w:firstColumn="0" w:lastColumn="0" w:oddVBand="0" w:evenVBand="0" w:oddHBand="0" w:evenHBand="0" w:firstRowFirstColumn="0" w:firstRowLastColumn="0" w:lastRowFirstColumn="0" w:lastRowLastColumn="0"/>
          <w:cantSplit/>
        </w:trPr>
        <w:tc>
          <w:tcPr>
            <w:tcW w:w="2646" w:type="dxa"/>
          </w:tcPr>
          <w:p w14:paraId="3F815273" w14:textId="552F1392" w:rsidR="00305D9D" w:rsidRPr="004615AF" w:rsidRDefault="00305D9D" w:rsidP="004615AF">
            <w:pPr>
              <w:pStyle w:val="TableTextColumnHeading"/>
              <w:rPr>
                <w:b/>
              </w:rPr>
            </w:pPr>
            <w:r w:rsidRPr="004615AF">
              <w:rPr>
                <w:b/>
              </w:rPr>
              <w:t xml:space="preserve">Name of </w:t>
            </w:r>
            <w:r w:rsidR="007D410C" w:rsidRPr="004615AF">
              <w:rPr>
                <w:b/>
              </w:rPr>
              <w:t>i</w:t>
            </w:r>
            <w:r w:rsidRPr="004615AF">
              <w:rPr>
                <w:b/>
              </w:rPr>
              <w:t>nitiative</w:t>
            </w:r>
          </w:p>
        </w:tc>
        <w:tc>
          <w:tcPr>
            <w:tcW w:w="1683" w:type="dxa"/>
          </w:tcPr>
          <w:p w14:paraId="5F44D0B4" w14:textId="0A0EBB48" w:rsidR="00305D9D" w:rsidRPr="004615AF" w:rsidRDefault="00305D9D" w:rsidP="004615AF">
            <w:pPr>
              <w:pStyle w:val="TableTextColumnHeading"/>
              <w:rPr>
                <w:b/>
              </w:rPr>
            </w:pPr>
            <w:proofErr w:type="spellStart"/>
            <w:r w:rsidRPr="004615AF">
              <w:rPr>
                <w:b/>
              </w:rPr>
              <w:t>Aid</w:t>
            </w:r>
            <w:r w:rsidR="002E0ECC" w:rsidRPr="004615AF">
              <w:rPr>
                <w:b/>
              </w:rPr>
              <w:t>W</w:t>
            </w:r>
            <w:r w:rsidRPr="004615AF">
              <w:rPr>
                <w:b/>
              </w:rPr>
              <w:t>orks</w:t>
            </w:r>
            <w:proofErr w:type="spellEnd"/>
            <w:r w:rsidRPr="004615AF">
              <w:rPr>
                <w:b/>
              </w:rPr>
              <w:t xml:space="preserve"> number</w:t>
            </w:r>
          </w:p>
        </w:tc>
        <w:tc>
          <w:tcPr>
            <w:tcW w:w="2332" w:type="dxa"/>
          </w:tcPr>
          <w:p w14:paraId="6E077BCE" w14:textId="77777777" w:rsidR="00305D9D" w:rsidRPr="004615AF" w:rsidRDefault="00305D9D" w:rsidP="004615AF">
            <w:pPr>
              <w:pStyle w:val="TableTextColumnHeading"/>
              <w:rPr>
                <w:b/>
              </w:rPr>
            </w:pPr>
            <w:r w:rsidRPr="004615AF">
              <w:rPr>
                <w:b/>
              </w:rPr>
              <w:t>Type of evaluation</w:t>
            </w:r>
            <w:r w:rsidRPr="004615AF">
              <w:rPr>
                <w:b/>
              </w:rPr>
              <w:footnoteReference w:id="82"/>
            </w:r>
          </w:p>
        </w:tc>
        <w:tc>
          <w:tcPr>
            <w:tcW w:w="2094" w:type="dxa"/>
          </w:tcPr>
          <w:p w14:paraId="302575B0" w14:textId="72337A91" w:rsidR="00305D9D" w:rsidRPr="004615AF" w:rsidRDefault="00305D9D" w:rsidP="004615AF">
            <w:pPr>
              <w:pStyle w:val="TableTextColumnHeading"/>
              <w:rPr>
                <w:b/>
              </w:rPr>
            </w:pPr>
            <w:r w:rsidRPr="004615AF">
              <w:rPr>
                <w:b/>
              </w:rPr>
              <w:t xml:space="preserve">Date </w:t>
            </w:r>
            <w:r w:rsidR="007D410C" w:rsidRPr="004615AF">
              <w:rPr>
                <w:b/>
              </w:rPr>
              <w:t>e</w:t>
            </w:r>
            <w:r w:rsidRPr="004615AF">
              <w:rPr>
                <w:b/>
              </w:rPr>
              <w:t>valuation report received</w:t>
            </w:r>
          </w:p>
        </w:tc>
        <w:tc>
          <w:tcPr>
            <w:tcW w:w="2070" w:type="dxa"/>
          </w:tcPr>
          <w:p w14:paraId="2820B17D" w14:textId="4505307B" w:rsidR="00305D9D" w:rsidRPr="004615AF" w:rsidRDefault="00305D9D" w:rsidP="004615AF">
            <w:pPr>
              <w:pStyle w:val="TableTextColumnHeading"/>
              <w:rPr>
                <w:b/>
              </w:rPr>
            </w:pPr>
            <w:r w:rsidRPr="004615AF">
              <w:rPr>
                <w:b/>
              </w:rPr>
              <w:t xml:space="preserve">Date </w:t>
            </w:r>
            <w:r w:rsidR="007D410C" w:rsidRPr="004615AF">
              <w:rPr>
                <w:b/>
              </w:rPr>
              <w:t>e</w:t>
            </w:r>
            <w:r w:rsidRPr="004615AF">
              <w:rPr>
                <w:b/>
              </w:rPr>
              <w:t xml:space="preserve">valuation report </w:t>
            </w:r>
            <w:r w:rsidR="007D410C" w:rsidRPr="004615AF">
              <w:rPr>
                <w:b/>
              </w:rPr>
              <w:t>u</w:t>
            </w:r>
            <w:r w:rsidRPr="004615AF">
              <w:rPr>
                <w:b/>
              </w:rPr>
              <w:t xml:space="preserve">ploaded into </w:t>
            </w:r>
            <w:proofErr w:type="spellStart"/>
            <w:r w:rsidRPr="004615AF">
              <w:rPr>
                <w:b/>
              </w:rPr>
              <w:t>Aid</w:t>
            </w:r>
            <w:r w:rsidR="002E0ECC" w:rsidRPr="004615AF">
              <w:rPr>
                <w:b/>
              </w:rPr>
              <w:t>W</w:t>
            </w:r>
            <w:r w:rsidRPr="004615AF">
              <w:rPr>
                <w:b/>
              </w:rPr>
              <w:t>orks</w:t>
            </w:r>
            <w:proofErr w:type="spellEnd"/>
          </w:p>
        </w:tc>
        <w:tc>
          <w:tcPr>
            <w:tcW w:w="1891" w:type="dxa"/>
          </w:tcPr>
          <w:p w14:paraId="0945C601" w14:textId="6D271B94" w:rsidR="00305D9D" w:rsidRPr="004615AF" w:rsidRDefault="00305D9D" w:rsidP="004615AF">
            <w:pPr>
              <w:pStyle w:val="TableTextColumnHeading"/>
              <w:rPr>
                <w:b/>
              </w:rPr>
            </w:pPr>
            <w:r w:rsidRPr="004615AF">
              <w:rPr>
                <w:b/>
              </w:rPr>
              <w:t xml:space="preserve">Date </w:t>
            </w:r>
            <w:r w:rsidR="007D410C" w:rsidRPr="004615AF">
              <w:rPr>
                <w:b/>
              </w:rPr>
              <w:t>m</w:t>
            </w:r>
            <w:r w:rsidRPr="004615AF">
              <w:rPr>
                <w:b/>
              </w:rPr>
              <w:t xml:space="preserve">anagement response uploaded into </w:t>
            </w:r>
            <w:proofErr w:type="spellStart"/>
            <w:r w:rsidRPr="004615AF">
              <w:rPr>
                <w:b/>
              </w:rPr>
              <w:t>Aid</w:t>
            </w:r>
            <w:r w:rsidR="002E0ECC" w:rsidRPr="004615AF">
              <w:rPr>
                <w:b/>
              </w:rPr>
              <w:t>W</w:t>
            </w:r>
            <w:r w:rsidRPr="004615AF">
              <w:rPr>
                <w:b/>
              </w:rPr>
              <w:t>orks</w:t>
            </w:r>
            <w:proofErr w:type="spellEnd"/>
          </w:p>
        </w:tc>
        <w:tc>
          <w:tcPr>
            <w:tcW w:w="1240" w:type="dxa"/>
          </w:tcPr>
          <w:p w14:paraId="54C9D3AD" w14:textId="77777777" w:rsidR="00305D9D" w:rsidRPr="004615AF" w:rsidRDefault="00305D9D" w:rsidP="004615AF">
            <w:pPr>
              <w:pStyle w:val="TableTextColumnHeading"/>
              <w:rPr>
                <w:b/>
              </w:rPr>
            </w:pPr>
            <w:r w:rsidRPr="004615AF">
              <w:rPr>
                <w:b/>
              </w:rPr>
              <w:t>Published on website</w:t>
            </w:r>
          </w:p>
        </w:tc>
      </w:tr>
      <w:tr w:rsidR="00D33FDF" w:rsidRPr="00D33FDF" w14:paraId="62129B23" w14:textId="77777777" w:rsidTr="00D33FDF">
        <w:trPr>
          <w:cantSplit/>
          <w:tblHeader w:val="0"/>
        </w:trPr>
        <w:tc>
          <w:tcPr>
            <w:tcW w:w="2646" w:type="dxa"/>
          </w:tcPr>
          <w:p w14:paraId="3CAA8A68" w14:textId="77777777" w:rsidR="00305D9D" w:rsidRPr="004615AF" w:rsidRDefault="00305D9D" w:rsidP="00D33FDF">
            <w:pPr>
              <w:pStyle w:val="TableTextEntries"/>
              <w:rPr>
                <w:color w:val="000000" w:themeColor="text1"/>
              </w:rPr>
            </w:pPr>
            <w:r w:rsidRPr="004615AF">
              <w:rPr>
                <w:color w:val="000000" w:themeColor="text1"/>
              </w:rPr>
              <w:t>Samoa Health Sector Initiative</w:t>
            </w:r>
          </w:p>
        </w:tc>
        <w:tc>
          <w:tcPr>
            <w:tcW w:w="1683" w:type="dxa"/>
          </w:tcPr>
          <w:p w14:paraId="758C9AD5" w14:textId="77777777" w:rsidR="00305D9D" w:rsidRPr="004615AF" w:rsidRDefault="00305D9D" w:rsidP="00D33FDF">
            <w:pPr>
              <w:pStyle w:val="TableTextEntries"/>
              <w:rPr>
                <w:color w:val="000000" w:themeColor="text1"/>
              </w:rPr>
            </w:pPr>
            <w:r w:rsidRPr="004615AF">
              <w:rPr>
                <w:color w:val="000000" w:themeColor="text1"/>
              </w:rPr>
              <w:t>INH720</w:t>
            </w:r>
          </w:p>
        </w:tc>
        <w:tc>
          <w:tcPr>
            <w:tcW w:w="2332" w:type="dxa"/>
          </w:tcPr>
          <w:p w14:paraId="2E1CE287" w14:textId="50A39AA0" w:rsidR="00305D9D" w:rsidRPr="004615AF" w:rsidRDefault="004D7A3C" w:rsidP="00D33FDF">
            <w:pPr>
              <w:pStyle w:val="TableTextEntries"/>
              <w:rPr>
                <w:color w:val="000000" w:themeColor="text1"/>
              </w:rPr>
            </w:pPr>
            <w:hyperlink r:id="rId21"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mplementation 2012</w:t>
              </w:r>
            </w:hyperlink>
          </w:p>
        </w:tc>
        <w:tc>
          <w:tcPr>
            <w:tcW w:w="2094" w:type="dxa"/>
          </w:tcPr>
          <w:p w14:paraId="252B2658" w14:textId="77777777" w:rsidR="00305D9D" w:rsidRPr="004615AF" w:rsidRDefault="00305D9D" w:rsidP="00D33FDF">
            <w:pPr>
              <w:pStyle w:val="TableTextEntries"/>
              <w:rPr>
                <w:color w:val="000000" w:themeColor="text1"/>
              </w:rPr>
            </w:pPr>
            <w:r w:rsidRPr="004615AF">
              <w:rPr>
                <w:color w:val="000000" w:themeColor="text1"/>
              </w:rPr>
              <w:t>15 February 2013</w:t>
            </w:r>
          </w:p>
        </w:tc>
        <w:tc>
          <w:tcPr>
            <w:tcW w:w="2070" w:type="dxa"/>
          </w:tcPr>
          <w:p w14:paraId="036AB485" w14:textId="77777777" w:rsidR="00305D9D" w:rsidRPr="004615AF" w:rsidRDefault="00305D9D" w:rsidP="00D33FDF">
            <w:pPr>
              <w:pStyle w:val="TableTextEntries"/>
              <w:rPr>
                <w:color w:val="000000" w:themeColor="text1"/>
              </w:rPr>
            </w:pPr>
            <w:r w:rsidRPr="004615AF">
              <w:rPr>
                <w:color w:val="000000" w:themeColor="text1"/>
              </w:rPr>
              <w:t>26 February 2013</w:t>
            </w:r>
          </w:p>
        </w:tc>
        <w:tc>
          <w:tcPr>
            <w:tcW w:w="1891" w:type="dxa"/>
          </w:tcPr>
          <w:p w14:paraId="2F9C0EC9" w14:textId="77777777" w:rsidR="00305D9D" w:rsidRPr="004615AF" w:rsidRDefault="00305D9D" w:rsidP="00D33FDF">
            <w:pPr>
              <w:pStyle w:val="TableTextEntries"/>
              <w:rPr>
                <w:color w:val="000000" w:themeColor="text1"/>
              </w:rPr>
            </w:pPr>
            <w:r w:rsidRPr="004615AF">
              <w:rPr>
                <w:color w:val="000000" w:themeColor="text1"/>
              </w:rPr>
              <w:t>26 February 2013</w:t>
            </w:r>
          </w:p>
        </w:tc>
        <w:tc>
          <w:tcPr>
            <w:tcW w:w="1240" w:type="dxa"/>
          </w:tcPr>
          <w:p w14:paraId="10EFFEE7"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39BFB7E4"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7ED688E5" w14:textId="77777777" w:rsidR="00305D9D" w:rsidRPr="004615AF" w:rsidRDefault="00305D9D" w:rsidP="00D33FDF">
            <w:pPr>
              <w:pStyle w:val="TableTextEntries"/>
              <w:rPr>
                <w:color w:val="000000" w:themeColor="text1"/>
              </w:rPr>
            </w:pPr>
            <w:r w:rsidRPr="004615AF">
              <w:rPr>
                <w:color w:val="000000" w:themeColor="text1"/>
              </w:rPr>
              <w:t>Samoa Health Sector Initiative</w:t>
            </w:r>
          </w:p>
        </w:tc>
        <w:tc>
          <w:tcPr>
            <w:tcW w:w="1683" w:type="dxa"/>
          </w:tcPr>
          <w:p w14:paraId="074EAAB6" w14:textId="77777777" w:rsidR="00305D9D" w:rsidRPr="004615AF" w:rsidRDefault="00305D9D" w:rsidP="00D33FDF">
            <w:pPr>
              <w:pStyle w:val="TableTextEntries"/>
              <w:rPr>
                <w:color w:val="000000" w:themeColor="text1"/>
              </w:rPr>
            </w:pPr>
            <w:r w:rsidRPr="004615AF">
              <w:rPr>
                <w:color w:val="000000" w:themeColor="text1"/>
              </w:rPr>
              <w:t>INH720</w:t>
            </w:r>
          </w:p>
        </w:tc>
        <w:tc>
          <w:tcPr>
            <w:tcW w:w="2332" w:type="dxa"/>
          </w:tcPr>
          <w:p w14:paraId="6FF7C2C9" w14:textId="2F6FD926" w:rsidR="00305D9D" w:rsidRPr="004615AF" w:rsidRDefault="004D7A3C" w:rsidP="00D33FDF">
            <w:pPr>
              <w:pStyle w:val="TableTextEntries"/>
              <w:rPr>
                <w:color w:val="000000" w:themeColor="text1"/>
              </w:rPr>
            </w:pPr>
            <w:hyperlink r:id="rId22" w:history="1">
              <w:r w:rsidR="00305D9D" w:rsidRPr="004615AF">
                <w:rPr>
                  <w:rStyle w:val="Hyperlink"/>
                  <w:color w:val="000000" w:themeColor="text1"/>
                  <w:sz w:val="17"/>
                  <w:szCs w:val="17"/>
                </w:rPr>
                <w:t xml:space="preserve">Independent evaluation </w:t>
              </w:r>
            </w:hyperlink>
          </w:p>
        </w:tc>
        <w:tc>
          <w:tcPr>
            <w:tcW w:w="2094" w:type="dxa"/>
          </w:tcPr>
          <w:p w14:paraId="0EF87B7B" w14:textId="77777777" w:rsidR="00305D9D" w:rsidRPr="004615AF" w:rsidRDefault="00305D9D" w:rsidP="00D33FDF">
            <w:pPr>
              <w:pStyle w:val="TableTextEntries"/>
              <w:rPr>
                <w:color w:val="000000" w:themeColor="text1"/>
              </w:rPr>
            </w:pPr>
            <w:r w:rsidRPr="004615AF">
              <w:rPr>
                <w:color w:val="000000" w:themeColor="text1"/>
              </w:rPr>
              <w:t>21 May 2013</w:t>
            </w:r>
          </w:p>
        </w:tc>
        <w:tc>
          <w:tcPr>
            <w:tcW w:w="2070" w:type="dxa"/>
          </w:tcPr>
          <w:p w14:paraId="6DA5C4DE" w14:textId="77777777" w:rsidR="00305D9D" w:rsidRPr="004615AF" w:rsidRDefault="00305D9D" w:rsidP="00D33FDF">
            <w:pPr>
              <w:pStyle w:val="TableTextEntries"/>
              <w:rPr>
                <w:color w:val="000000" w:themeColor="text1"/>
              </w:rPr>
            </w:pPr>
            <w:r w:rsidRPr="004615AF">
              <w:rPr>
                <w:color w:val="000000" w:themeColor="text1"/>
              </w:rPr>
              <w:t>24 May 2013</w:t>
            </w:r>
          </w:p>
        </w:tc>
        <w:tc>
          <w:tcPr>
            <w:tcW w:w="1891" w:type="dxa"/>
          </w:tcPr>
          <w:p w14:paraId="0B7E78C8" w14:textId="77777777" w:rsidR="00305D9D" w:rsidRPr="004615AF" w:rsidRDefault="00305D9D" w:rsidP="00D33FDF">
            <w:pPr>
              <w:pStyle w:val="TableTextEntries"/>
              <w:rPr>
                <w:color w:val="000000" w:themeColor="text1"/>
              </w:rPr>
            </w:pPr>
            <w:r w:rsidRPr="004615AF">
              <w:rPr>
                <w:color w:val="000000" w:themeColor="text1"/>
              </w:rPr>
              <w:t>24 May 2013</w:t>
            </w:r>
          </w:p>
        </w:tc>
        <w:tc>
          <w:tcPr>
            <w:tcW w:w="1240" w:type="dxa"/>
          </w:tcPr>
          <w:p w14:paraId="0DEC3526"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582E0A32" w14:textId="77777777" w:rsidTr="00D33FDF">
        <w:trPr>
          <w:cantSplit/>
          <w:tblHeader w:val="0"/>
        </w:trPr>
        <w:tc>
          <w:tcPr>
            <w:tcW w:w="2646" w:type="dxa"/>
          </w:tcPr>
          <w:p w14:paraId="0AFE6B71" w14:textId="77777777" w:rsidR="00305D9D" w:rsidRPr="004615AF" w:rsidRDefault="00305D9D" w:rsidP="00D33FDF">
            <w:pPr>
              <w:pStyle w:val="TableTextEntries"/>
              <w:rPr>
                <w:color w:val="000000" w:themeColor="text1"/>
              </w:rPr>
            </w:pPr>
            <w:r w:rsidRPr="004615AF">
              <w:rPr>
                <w:color w:val="000000" w:themeColor="text1"/>
              </w:rPr>
              <w:t>Samoa Law and Justice Sector Program</w:t>
            </w:r>
          </w:p>
        </w:tc>
        <w:tc>
          <w:tcPr>
            <w:tcW w:w="1683" w:type="dxa"/>
          </w:tcPr>
          <w:p w14:paraId="5D6C77B6" w14:textId="77777777" w:rsidR="00305D9D" w:rsidRPr="004615AF" w:rsidRDefault="00305D9D" w:rsidP="00D33FDF">
            <w:pPr>
              <w:pStyle w:val="TableTextEntries"/>
              <w:rPr>
                <w:color w:val="000000" w:themeColor="text1"/>
              </w:rPr>
            </w:pPr>
            <w:r w:rsidRPr="004615AF">
              <w:rPr>
                <w:color w:val="000000" w:themeColor="text1"/>
              </w:rPr>
              <w:t>INH405</w:t>
            </w:r>
          </w:p>
        </w:tc>
        <w:tc>
          <w:tcPr>
            <w:tcW w:w="2332" w:type="dxa"/>
          </w:tcPr>
          <w:p w14:paraId="25395AA9" w14:textId="76A2F09C" w:rsidR="00305D9D" w:rsidRPr="004615AF" w:rsidRDefault="004D7A3C" w:rsidP="00D33FDF">
            <w:pPr>
              <w:pStyle w:val="TableTextEntries"/>
              <w:rPr>
                <w:color w:val="000000" w:themeColor="text1"/>
              </w:rPr>
            </w:pPr>
            <w:hyperlink r:id="rId23"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mplementation 2012</w:t>
              </w:r>
            </w:hyperlink>
          </w:p>
        </w:tc>
        <w:tc>
          <w:tcPr>
            <w:tcW w:w="2094" w:type="dxa"/>
          </w:tcPr>
          <w:p w14:paraId="2457BB32" w14:textId="77777777" w:rsidR="00305D9D" w:rsidRPr="004615AF" w:rsidRDefault="00305D9D" w:rsidP="00D33FDF">
            <w:pPr>
              <w:pStyle w:val="TableTextEntries"/>
              <w:rPr>
                <w:color w:val="000000" w:themeColor="text1"/>
              </w:rPr>
            </w:pPr>
            <w:r w:rsidRPr="004615AF">
              <w:rPr>
                <w:color w:val="000000" w:themeColor="text1"/>
              </w:rPr>
              <w:t>30 November 2012</w:t>
            </w:r>
          </w:p>
        </w:tc>
        <w:tc>
          <w:tcPr>
            <w:tcW w:w="2070" w:type="dxa"/>
          </w:tcPr>
          <w:p w14:paraId="54B530AC"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46192993" w14:textId="77777777" w:rsidR="00305D9D" w:rsidRPr="004615AF" w:rsidRDefault="00305D9D" w:rsidP="00D33FDF">
            <w:pPr>
              <w:pStyle w:val="TableTextEntries"/>
              <w:rPr>
                <w:color w:val="000000" w:themeColor="text1"/>
              </w:rPr>
            </w:pPr>
            <w:r w:rsidRPr="004615AF">
              <w:rPr>
                <w:color w:val="000000" w:themeColor="text1"/>
              </w:rPr>
              <w:t>14 January 2013</w:t>
            </w:r>
          </w:p>
        </w:tc>
        <w:tc>
          <w:tcPr>
            <w:tcW w:w="1240" w:type="dxa"/>
          </w:tcPr>
          <w:p w14:paraId="4E5CC63E"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0849F107"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7949F98D" w14:textId="77777777" w:rsidR="00305D9D" w:rsidRPr="004615AF" w:rsidRDefault="00305D9D" w:rsidP="00D33FDF">
            <w:pPr>
              <w:pStyle w:val="TableTextEntries"/>
              <w:rPr>
                <w:color w:val="000000" w:themeColor="text1"/>
              </w:rPr>
            </w:pPr>
            <w:r w:rsidRPr="004615AF">
              <w:rPr>
                <w:color w:val="000000" w:themeColor="text1"/>
              </w:rPr>
              <w:t>Samoa Civil Society Support Program</w:t>
            </w:r>
          </w:p>
        </w:tc>
        <w:tc>
          <w:tcPr>
            <w:tcW w:w="1683" w:type="dxa"/>
          </w:tcPr>
          <w:p w14:paraId="25F78AD0" w14:textId="77777777" w:rsidR="00305D9D" w:rsidRPr="004615AF" w:rsidRDefault="00305D9D" w:rsidP="00D33FDF">
            <w:pPr>
              <w:pStyle w:val="TableTextEntries"/>
              <w:rPr>
                <w:color w:val="000000" w:themeColor="text1"/>
              </w:rPr>
            </w:pPr>
            <w:r w:rsidRPr="004615AF">
              <w:rPr>
                <w:color w:val="000000" w:themeColor="text1"/>
              </w:rPr>
              <w:t>INJ402</w:t>
            </w:r>
          </w:p>
        </w:tc>
        <w:tc>
          <w:tcPr>
            <w:tcW w:w="2332" w:type="dxa"/>
          </w:tcPr>
          <w:p w14:paraId="24951951" w14:textId="0B0E4120" w:rsidR="00305D9D" w:rsidRPr="004615AF" w:rsidRDefault="004D7A3C" w:rsidP="00D33FDF">
            <w:pPr>
              <w:pStyle w:val="TableTextEntries"/>
              <w:rPr>
                <w:color w:val="000000" w:themeColor="text1"/>
              </w:rPr>
            </w:pPr>
            <w:hyperlink r:id="rId24"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mplementation 2012</w:t>
              </w:r>
            </w:hyperlink>
          </w:p>
        </w:tc>
        <w:tc>
          <w:tcPr>
            <w:tcW w:w="2094" w:type="dxa"/>
          </w:tcPr>
          <w:p w14:paraId="06F90468" w14:textId="77777777" w:rsidR="00305D9D" w:rsidRPr="004615AF" w:rsidRDefault="00305D9D" w:rsidP="00D33FDF">
            <w:pPr>
              <w:pStyle w:val="TableTextEntries"/>
              <w:rPr>
                <w:color w:val="000000" w:themeColor="text1"/>
              </w:rPr>
            </w:pPr>
            <w:r w:rsidRPr="004615AF">
              <w:rPr>
                <w:color w:val="000000" w:themeColor="text1"/>
              </w:rPr>
              <w:t>11 January 2013</w:t>
            </w:r>
          </w:p>
        </w:tc>
        <w:tc>
          <w:tcPr>
            <w:tcW w:w="2070" w:type="dxa"/>
          </w:tcPr>
          <w:p w14:paraId="1A2AC44E"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75B9927D" w14:textId="77777777" w:rsidR="00305D9D" w:rsidRPr="004615AF" w:rsidRDefault="00305D9D" w:rsidP="00D33FDF">
            <w:pPr>
              <w:pStyle w:val="TableTextEntries"/>
              <w:rPr>
                <w:color w:val="000000" w:themeColor="text1"/>
              </w:rPr>
            </w:pPr>
            <w:r w:rsidRPr="004615AF">
              <w:rPr>
                <w:color w:val="000000" w:themeColor="text1"/>
              </w:rPr>
              <w:t>16 January 2013</w:t>
            </w:r>
          </w:p>
        </w:tc>
        <w:tc>
          <w:tcPr>
            <w:tcW w:w="1240" w:type="dxa"/>
          </w:tcPr>
          <w:p w14:paraId="6B35C16A"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66FFBEBC" w14:textId="77777777" w:rsidTr="00D33FDF">
        <w:trPr>
          <w:cantSplit/>
          <w:tblHeader w:val="0"/>
        </w:trPr>
        <w:tc>
          <w:tcPr>
            <w:tcW w:w="2646" w:type="dxa"/>
          </w:tcPr>
          <w:p w14:paraId="17B05437" w14:textId="77777777" w:rsidR="00305D9D" w:rsidRPr="004615AF" w:rsidRDefault="00305D9D" w:rsidP="00D33FDF">
            <w:pPr>
              <w:pStyle w:val="TableTextEntries"/>
              <w:rPr>
                <w:color w:val="000000" w:themeColor="text1"/>
              </w:rPr>
            </w:pPr>
            <w:r w:rsidRPr="004615AF">
              <w:rPr>
                <w:color w:val="000000" w:themeColor="text1"/>
              </w:rPr>
              <w:t>Samoa Law and Justice Sector Program</w:t>
            </w:r>
          </w:p>
        </w:tc>
        <w:tc>
          <w:tcPr>
            <w:tcW w:w="1683" w:type="dxa"/>
          </w:tcPr>
          <w:p w14:paraId="629B7E12" w14:textId="77777777" w:rsidR="00305D9D" w:rsidRPr="004615AF" w:rsidRDefault="00305D9D" w:rsidP="00D33FDF">
            <w:pPr>
              <w:pStyle w:val="TableTextEntries"/>
              <w:rPr>
                <w:color w:val="000000" w:themeColor="text1"/>
              </w:rPr>
            </w:pPr>
            <w:r w:rsidRPr="004615AF">
              <w:rPr>
                <w:color w:val="000000" w:themeColor="text1"/>
              </w:rPr>
              <w:t>INH405</w:t>
            </w:r>
          </w:p>
        </w:tc>
        <w:tc>
          <w:tcPr>
            <w:tcW w:w="2332" w:type="dxa"/>
          </w:tcPr>
          <w:p w14:paraId="02406C4F" w14:textId="3CE51AAD" w:rsidR="00305D9D" w:rsidRPr="004615AF" w:rsidRDefault="004D7A3C" w:rsidP="00D33FDF">
            <w:pPr>
              <w:pStyle w:val="TableTextEntries"/>
              <w:rPr>
                <w:color w:val="000000" w:themeColor="text1"/>
              </w:rPr>
            </w:pPr>
            <w:hyperlink r:id="rId25" w:history="1">
              <w:r w:rsidR="00305D9D" w:rsidRPr="004615AF">
                <w:rPr>
                  <w:rStyle w:val="Hyperlink"/>
                  <w:color w:val="000000" w:themeColor="text1"/>
                  <w:sz w:val="17"/>
                  <w:szCs w:val="17"/>
                </w:rPr>
                <w:t xml:space="preserve">Partner quality systems </w:t>
              </w:r>
            </w:hyperlink>
          </w:p>
        </w:tc>
        <w:tc>
          <w:tcPr>
            <w:tcW w:w="2094" w:type="dxa"/>
          </w:tcPr>
          <w:p w14:paraId="7C87B829" w14:textId="77777777" w:rsidR="00305D9D" w:rsidRPr="004615AF" w:rsidRDefault="00305D9D" w:rsidP="00D33FDF">
            <w:pPr>
              <w:pStyle w:val="TableTextEntries"/>
              <w:rPr>
                <w:color w:val="000000" w:themeColor="text1"/>
              </w:rPr>
            </w:pPr>
            <w:r w:rsidRPr="004615AF">
              <w:rPr>
                <w:color w:val="000000" w:themeColor="text1"/>
              </w:rPr>
              <w:t>January 2013</w:t>
            </w:r>
          </w:p>
        </w:tc>
        <w:tc>
          <w:tcPr>
            <w:tcW w:w="2070" w:type="dxa"/>
          </w:tcPr>
          <w:p w14:paraId="7DB0F634" w14:textId="77777777" w:rsidR="00305D9D" w:rsidRPr="004615AF" w:rsidRDefault="00305D9D" w:rsidP="00D33FDF">
            <w:pPr>
              <w:pStyle w:val="TableTextEntries"/>
              <w:rPr>
                <w:color w:val="000000" w:themeColor="text1"/>
              </w:rPr>
            </w:pPr>
            <w:r w:rsidRPr="004615AF">
              <w:rPr>
                <w:color w:val="000000" w:themeColor="text1"/>
              </w:rPr>
              <w:t>28 May 2013</w:t>
            </w:r>
          </w:p>
        </w:tc>
        <w:tc>
          <w:tcPr>
            <w:tcW w:w="1891" w:type="dxa"/>
          </w:tcPr>
          <w:p w14:paraId="08E21CA9" w14:textId="77777777" w:rsidR="00305D9D" w:rsidRPr="004615AF" w:rsidRDefault="00305D9D" w:rsidP="00D33FDF">
            <w:pPr>
              <w:pStyle w:val="TableTextEntries"/>
              <w:rPr>
                <w:color w:val="000000" w:themeColor="text1"/>
              </w:rPr>
            </w:pPr>
            <w:r w:rsidRPr="004615AF">
              <w:rPr>
                <w:color w:val="000000" w:themeColor="text1"/>
              </w:rPr>
              <w:t>28 May 2013</w:t>
            </w:r>
          </w:p>
        </w:tc>
        <w:tc>
          <w:tcPr>
            <w:tcW w:w="1240" w:type="dxa"/>
          </w:tcPr>
          <w:p w14:paraId="657224EF"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060488F4"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7C45314C" w14:textId="77777777" w:rsidR="00305D9D" w:rsidRPr="004615AF" w:rsidRDefault="00305D9D" w:rsidP="00D33FDF">
            <w:pPr>
              <w:pStyle w:val="TableTextEntries"/>
              <w:rPr>
                <w:color w:val="000000" w:themeColor="text1"/>
              </w:rPr>
            </w:pPr>
            <w:r w:rsidRPr="004615AF">
              <w:rPr>
                <w:color w:val="000000" w:themeColor="text1"/>
              </w:rPr>
              <w:t>Samoa Civil Society Support Program</w:t>
            </w:r>
          </w:p>
        </w:tc>
        <w:tc>
          <w:tcPr>
            <w:tcW w:w="1683" w:type="dxa"/>
          </w:tcPr>
          <w:p w14:paraId="05812C3F" w14:textId="77777777" w:rsidR="00305D9D" w:rsidRPr="004615AF" w:rsidRDefault="00305D9D" w:rsidP="00D33FDF">
            <w:pPr>
              <w:pStyle w:val="TableTextEntries"/>
              <w:rPr>
                <w:color w:val="000000" w:themeColor="text1"/>
              </w:rPr>
            </w:pPr>
            <w:r w:rsidRPr="004615AF">
              <w:rPr>
                <w:color w:val="000000" w:themeColor="text1"/>
              </w:rPr>
              <w:t>INJ402</w:t>
            </w:r>
          </w:p>
        </w:tc>
        <w:tc>
          <w:tcPr>
            <w:tcW w:w="2332" w:type="dxa"/>
          </w:tcPr>
          <w:p w14:paraId="478B1546" w14:textId="07FEB9EB" w:rsidR="00305D9D" w:rsidRPr="004615AF" w:rsidRDefault="00305D9D" w:rsidP="00D33FDF">
            <w:pPr>
              <w:pStyle w:val="TableTextEntries"/>
              <w:rPr>
                <w:color w:val="000000" w:themeColor="text1"/>
              </w:rPr>
            </w:pPr>
            <w:r w:rsidRPr="004615AF">
              <w:rPr>
                <w:color w:val="000000" w:themeColor="text1"/>
              </w:rPr>
              <w:t>Other quality process</w:t>
            </w:r>
            <w:r w:rsidR="002E0ECC" w:rsidRPr="004615AF">
              <w:rPr>
                <w:color w:val="000000" w:themeColor="text1"/>
              </w:rPr>
              <w:t>—</w:t>
            </w:r>
            <w:r w:rsidRPr="004615AF">
              <w:rPr>
                <w:color w:val="000000" w:themeColor="text1"/>
              </w:rPr>
              <w:t>-</w:t>
            </w:r>
            <w:r w:rsidR="005D36CC" w:rsidRPr="004615AF">
              <w:rPr>
                <w:color w:val="000000" w:themeColor="text1"/>
              </w:rPr>
              <w:t>m</w:t>
            </w:r>
            <w:r w:rsidRPr="004615AF">
              <w:rPr>
                <w:color w:val="000000" w:themeColor="text1"/>
              </w:rPr>
              <w:t>id</w:t>
            </w:r>
            <w:r w:rsidR="005D36CC" w:rsidRPr="004615AF">
              <w:rPr>
                <w:color w:val="000000" w:themeColor="text1"/>
              </w:rPr>
              <w:t>-</w:t>
            </w:r>
            <w:r w:rsidR="007D410C" w:rsidRPr="004615AF">
              <w:rPr>
                <w:color w:val="000000" w:themeColor="text1"/>
              </w:rPr>
              <w:t>t</w:t>
            </w:r>
            <w:r w:rsidRPr="004615AF">
              <w:rPr>
                <w:color w:val="000000" w:themeColor="text1"/>
              </w:rPr>
              <w:t xml:space="preserve">erm </w:t>
            </w:r>
            <w:r w:rsidR="007D410C" w:rsidRPr="004615AF">
              <w:rPr>
                <w:color w:val="000000" w:themeColor="text1"/>
              </w:rPr>
              <w:t>r</w:t>
            </w:r>
            <w:r w:rsidRPr="004615AF">
              <w:rPr>
                <w:color w:val="000000" w:themeColor="text1"/>
              </w:rPr>
              <w:t>eview</w:t>
            </w:r>
          </w:p>
        </w:tc>
        <w:tc>
          <w:tcPr>
            <w:tcW w:w="2094" w:type="dxa"/>
          </w:tcPr>
          <w:p w14:paraId="3DBBF499" w14:textId="77777777" w:rsidR="00305D9D" w:rsidRPr="004615AF" w:rsidRDefault="00305D9D" w:rsidP="00D33FDF">
            <w:pPr>
              <w:pStyle w:val="TableTextEntries"/>
              <w:rPr>
                <w:color w:val="000000" w:themeColor="text1"/>
              </w:rPr>
            </w:pPr>
            <w:r w:rsidRPr="004615AF">
              <w:rPr>
                <w:color w:val="000000" w:themeColor="text1"/>
              </w:rPr>
              <w:t>March 2013</w:t>
            </w:r>
          </w:p>
        </w:tc>
        <w:tc>
          <w:tcPr>
            <w:tcW w:w="2070" w:type="dxa"/>
          </w:tcPr>
          <w:p w14:paraId="6EA36713" w14:textId="77777777" w:rsidR="00305D9D" w:rsidRPr="004615AF" w:rsidRDefault="00305D9D" w:rsidP="00D33FDF">
            <w:pPr>
              <w:pStyle w:val="TableTextEntries"/>
              <w:rPr>
                <w:color w:val="000000" w:themeColor="text1"/>
              </w:rPr>
            </w:pPr>
            <w:r w:rsidRPr="004615AF">
              <w:rPr>
                <w:color w:val="000000" w:themeColor="text1"/>
              </w:rPr>
              <w:t>28 May 2013</w:t>
            </w:r>
          </w:p>
        </w:tc>
        <w:tc>
          <w:tcPr>
            <w:tcW w:w="1891" w:type="dxa"/>
          </w:tcPr>
          <w:p w14:paraId="0DB62769"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240" w:type="dxa"/>
          </w:tcPr>
          <w:p w14:paraId="2012A304"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1640B190" w14:textId="77777777" w:rsidTr="00D33FDF">
        <w:trPr>
          <w:cantSplit/>
          <w:tblHeader w:val="0"/>
        </w:trPr>
        <w:tc>
          <w:tcPr>
            <w:tcW w:w="2646" w:type="dxa"/>
          </w:tcPr>
          <w:p w14:paraId="7706AA77" w14:textId="77777777" w:rsidR="00305D9D" w:rsidRPr="004615AF" w:rsidRDefault="00305D9D" w:rsidP="00D33FDF">
            <w:pPr>
              <w:pStyle w:val="TableTextEntries"/>
              <w:rPr>
                <w:color w:val="000000" w:themeColor="text1"/>
              </w:rPr>
            </w:pPr>
            <w:r w:rsidRPr="004615AF">
              <w:rPr>
                <w:color w:val="000000" w:themeColor="text1"/>
              </w:rPr>
              <w:t>Samoa Governance and Economic Stability</w:t>
            </w:r>
          </w:p>
        </w:tc>
        <w:tc>
          <w:tcPr>
            <w:tcW w:w="1683" w:type="dxa"/>
          </w:tcPr>
          <w:p w14:paraId="55C68F6A" w14:textId="77777777" w:rsidR="00305D9D" w:rsidRPr="004615AF" w:rsidRDefault="00305D9D" w:rsidP="00D33FDF">
            <w:pPr>
              <w:pStyle w:val="TableTextEntries"/>
              <w:rPr>
                <w:color w:val="000000" w:themeColor="text1"/>
              </w:rPr>
            </w:pPr>
            <w:r w:rsidRPr="004615AF">
              <w:rPr>
                <w:color w:val="000000" w:themeColor="text1"/>
              </w:rPr>
              <w:t>INJ406</w:t>
            </w:r>
          </w:p>
        </w:tc>
        <w:tc>
          <w:tcPr>
            <w:tcW w:w="2332" w:type="dxa"/>
          </w:tcPr>
          <w:p w14:paraId="3D78BCD6" w14:textId="73FFA3D9" w:rsidR="00305D9D" w:rsidRPr="004615AF" w:rsidRDefault="00305D9D" w:rsidP="00D33FDF">
            <w:pPr>
              <w:pStyle w:val="TableTextEntries"/>
              <w:rPr>
                <w:color w:val="000000" w:themeColor="text1"/>
              </w:rPr>
            </w:pPr>
            <w:r w:rsidRPr="004615AF">
              <w:rPr>
                <w:color w:val="000000" w:themeColor="text1"/>
              </w:rPr>
              <w:t xml:space="preserve">Quality at </w:t>
            </w:r>
            <w:r w:rsidR="007D410C" w:rsidRPr="004615AF">
              <w:rPr>
                <w:color w:val="000000" w:themeColor="text1"/>
              </w:rPr>
              <w:t>i</w:t>
            </w:r>
            <w:r w:rsidRPr="004615AF">
              <w:rPr>
                <w:color w:val="000000" w:themeColor="text1"/>
              </w:rPr>
              <w:t xml:space="preserve">mplementation </w:t>
            </w:r>
          </w:p>
        </w:tc>
        <w:tc>
          <w:tcPr>
            <w:tcW w:w="2094" w:type="dxa"/>
          </w:tcPr>
          <w:p w14:paraId="5BF123B9"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2070" w:type="dxa"/>
          </w:tcPr>
          <w:p w14:paraId="4CF46312"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568994D6"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240" w:type="dxa"/>
          </w:tcPr>
          <w:p w14:paraId="771FB3C6"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6D7BE6A8"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4AE893E4" w14:textId="77777777" w:rsidR="00305D9D" w:rsidRPr="004615AF" w:rsidRDefault="00305D9D" w:rsidP="00D33FDF">
            <w:pPr>
              <w:pStyle w:val="TableTextEntries"/>
              <w:rPr>
                <w:color w:val="000000" w:themeColor="text1"/>
              </w:rPr>
            </w:pPr>
            <w:r w:rsidRPr="004615AF">
              <w:rPr>
                <w:color w:val="000000" w:themeColor="text1"/>
              </w:rPr>
              <w:t>Samoa Governance and Economic Stability</w:t>
            </w:r>
          </w:p>
        </w:tc>
        <w:tc>
          <w:tcPr>
            <w:tcW w:w="1683" w:type="dxa"/>
          </w:tcPr>
          <w:p w14:paraId="577E5C9B" w14:textId="77777777" w:rsidR="00305D9D" w:rsidRPr="004615AF" w:rsidRDefault="00305D9D" w:rsidP="00D33FDF">
            <w:pPr>
              <w:pStyle w:val="TableTextEntries"/>
              <w:rPr>
                <w:color w:val="000000" w:themeColor="text1"/>
              </w:rPr>
            </w:pPr>
            <w:r w:rsidRPr="004615AF">
              <w:rPr>
                <w:color w:val="000000" w:themeColor="text1"/>
              </w:rPr>
              <w:t>INJ406</w:t>
            </w:r>
          </w:p>
        </w:tc>
        <w:tc>
          <w:tcPr>
            <w:tcW w:w="2332" w:type="dxa"/>
          </w:tcPr>
          <w:p w14:paraId="25B38ACA" w14:textId="655C56FA" w:rsidR="00305D9D" w:rsidRPr="004615AF" w:rsidRDefault="00305D9D" w:rsidP="00D33FDF">
            <w:pPr>
              <w:pStyle w:val="TableTextEntries"/>
              <w:rPr>
                <w:color w:val="000000" w:themeColor="text1"/>
              </w:rPr>
            </w:pPr>
            <w:r w:rsidRPr="004615AF">
              <w:rPr>
                <w:color w:val="000000" w:themeColor="text1"/>
              </w:rPr>
              <w:t>Other quality process</w:t>
            </w:r>
            <w:r w:rsidR="007D410C" w:rsidRPr="004615AF">
              <w:rPr>
                <w:color w:val="000000" w:themeColor="text1"/>
              </w:rPr>
              <w:t>—e</w:t>
            </w:r>
            <w:r w:rsidRPr="004615AF">
              <w:rPr>
                <w:color w:val="000000" w:themeColor="text1"/>
              </w:rPr>
              <w:t>nd</w:t>
            </w:r>
            <w:r w:rsidR="005D36CC" w:rsidRPr="004615AF">
              <w:rPr>
                <w:color w:val="000000" w:themeColor="text1"/>
              </w:rPr>
              <w:t xml:space="preserve"> of </w:t>
            </w:r>
            <w:r w:rsidR="007D410C" w:rsidRPr="004615AF">
              <w:rPr>
                <w:color w:val="000000" w:themeColor="text1"/>
              </w:rPr>
              <w:t>p</w:t>
            </w:r>
            <w:r w:rsidRPr="004615AF">
              <w:rPr>
                <w:color w:val="000000" w:themeColor="text1"/>
              </w:rPr>
              <w:t>rogram review</w:t>
            </w:r>
          </w:p>
        </w:tc>
        <w:tc>
          <w:tcPr>
            <w:tcW w:w="2094" w:type="dxa"/>
          </w:tcPr>
          <w:p w14:paraId="73E0311C" w14:textId="77777777" w:rsidR="00305D9D" w:rsidRPr="004615AF" w:rsidRDefault="00305D9D" w:rsidP="00D33FDF">
            <w:pPr>
              <w:pStyle w:val="TableTextEntries"/>
              <w:rPr>
                <w:color w:val="000000" w:themeColor="text1"/>
              </w:rPr>
            </w:pPr>
            <w:r w:rsidRPr="004615AF">
              <w:rPr>
                <w:color w:val="000000" w:themeColor="text1"/>
              </w:rPr>
              <w:t>30 April 2013</w:t>
            </w:r>
          </w:p>
        </w:tc>
        <w:tc>
          <w:tcPr>
            <w:tcW w:w="2070" w:type="dxa"/>
          </w:tcPr>
          <w:p w14:paraId="7AC8F52E" w14:textId="77777777" w:rsidR="00305D9D" w:rsidRPr="004615AF" w:rsidRDefault="00305D9D" w:rsidP="00D33FDF">
            <w:pPr>
              <w:pStyle w:val="TableTextEntries"/>
              <w:rPr>
                <w:color w:val="000000" w:themeColor="text1"/>
              </w:rPr>
            </w:pPr>
            <w:r w:rsidRPr="004615AF">
              <w:rPr>
                <w:color w:val="000000" w:themeColor="text1"/>
              </w:rPr>
              <w:t>27 May 2013</w:t>
            </w:r>
          </w:p>
        </w:tc>
        <w:tc>
          <w:tcPr>
            <w:tcW w:w="1891" w:type="dxa"/>
          </w:tcPr>
          <w:p w14:paraId="0A72E937"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240" w:type="dxa"/>
          </w:tcPr>
          <w:p w14:paraId="75698E10"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742038C2" w14:textId="77777777" w:rsidTr="00D33FDF">
        <w:trPr>
          <w:cantSplit/>
          <w:tblHeader w:val="0"/>
        </w:trPr>
        <w:tc>
          <w:tcPr>
            <w:tcW w:w="2646" w:type="dxa"/>
          </w:tcPr>
          <w:p w14:paraId="454CBC22" w14:textId="77777777" w:rsidR="00305D9D" w:rsidRPr="004615AF" w:rsidRDefault="00305D9D" w:rsidP="00D33FDF">
            <w:pPr>
              <w:pStyle w:val="TableTextEntries"/>
              <w:rPr>
                <w:color w:val="000000" w:themeColor="text1"/>
              </w:rPr>
            </w:pPr>
            <w:r w:rsidRPr="004615AF">
              <w:rPr>
                <w:color w:val="000000" w:themeColor="text1"/>
              </w:rPr>
              <w:t>Samoa Governance and Economic Stability</w:t>
            </w:r>
          </w:p>
        </w:tc>
        <w:tc>
          <w:tcPr>
            <w:tcW w:w="1683" w:type="dxa"/>
          </w:tcPr>
          <w:p w14:paraId="2BDA3CFE" w14:textId="77777777" w:rsidR="00305D9D" w:rsidRPr="004615AF" w:rsidRDefault="00305D9D" w:rsidP="00D33FDF">
            <w:pPr>
              <w:pStyle w:val="TableTextEntries"/>
              <w:rPr>
                <w:color w:val="000000" w:themeColor="text1"/>
              </w:rPr>
            </w:pPr>
            <w:r w:rsidRPr="004615AF">
              <w:rPr>
                <w:color w:val="000000" w:themeColor="text1"/>
              </w:rPr>
              <w:t>INJ406</w:t>
            </w:r>
          </w:p>
        </w:tc>
        <w:tc>
          <w:tcPr>
            <w:tcW w:w="2332" w:type="dxa"/>
          </w:tcPr>
          <w:p w14:paraId="6E62B18A" w14:textId="145549B7" w:rsidR="00305D9D" w:rsidRPr="004615AF" w:rsidRDefault="00305D9D" w:rsidP="00D33FDF">
            <w:pPr>
              <w:pStyle w:val="TableTextEntries"/>
              <w:rPr>
                <w:color w:val="000000" w:themeColor="text1"/>
              </w:rPr>
            </w:pPr>
            <w:r w:rsidRPr="004615AF">
              <w:rPr>
                <w:color w:val="000000" w:themeColor="text1"/>
              </w:rPr>
              <w:t xml:space="preserve">Quality at </w:t>
            </w:r>
            <w:r w:rsidR="007D410C" w:rsidRPr="004615AF">
              <w:rPr>
                <w:color w:val="000000" w:themeColor="text1"/>
              </w:rPr>
              <w:t>i</w:t>
            </w:r>
            <w:r w:rsidRPr="004615AF">
              <w:rPr>
                <w:color w:val="000000" w:themeColor="text1"/>
              </w:rPr>
              <w:t xml:space="preserve">mplementation </w:t>
            </w:r>
          </w:p>
        </w:tc>
        <w:tc>
          <w:tcPr>
            <w:tcW w:w="2094" w:type="dxa"/>
          </w:tcPr>
          <w:p w14:paraId="5B41F018" w14:textId="77777777" w:rsidR="00305D9D" w:rsidRPr="004615AF" w:rsidRDefault="00305D9D" w:rsidP="00D33FDF">
            <w:pPr>
              <w:pStyle w:val="TableTextEntries"/>
              <w:rPr>
                <w:color w:val="000000" w:themeColor="text1"/>
              </w:rPr>
            </w:pPr>
            <w:r w:rsidRPr="004615AF">
              <w:rPr>
                <w:color w:val="000000" w:themeColor="text1"/>
              </w:rPr>
              <w:t>19 November 2012</w:t>
            </w:r>
          </w:p>
        </w:tc>
        <w:tc>
          <w:tcPr>
            <w:tcW w:w="2070" w:type="dxa"/>
          </w:tcPr>
          <w:p w14:paraId="0BA4B764"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491C35AB" w14:textId="77777777" w:rsidR="00305D9D" w:rsidRPr="004615AF" w:rsidRDefault="00305D9D" w:rsidP="00D33FDF">
            <w:pPr>
              <w:pStyle w:val="TableTextEntries"/>
              <w:rPr>
                <w:color w:val="000000" w:themeColor="text1"/>
              </w:rPr>
            </w:pPr>
            <w:r w:rsidRPr="004615AF">
              <w:rPr>
                <w:color w:val="000000" w:themeColor="text1"/>
              </w:rPr>
              <w:t>26 March 2013</w:t>
            </w:r>
          </w:p>
        </w:tc>
        <w:tc>
          <w:tcPr>
            <w:tcW w:w="1240" w:type="dxa"/>
          </w:tcPr>
          <w:p w14:paraId="5A43BFC1"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714F6D3E"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132E6F07" w14:textId="74F3DC18" w:rsidR="00305D9D" w:rsidRPr="004615AF" w:rsidRDefault="00305D9D" w:rsidP="00D33FDF">
            <w:pPr>
              <w:pStyle w:val="TableTextEntries"/>
              <w:rPr>
                <w:color w:val="000000" w:themeColor="text1"/>
              </w:rPr>
            </w:pPr>
            <w:r w:rsidRPr="004615AF">
              <w:rPr>
                <w:color w:val="000000" w:themeColor="text1"/>
              </w:rPr>
              <w:t>Samoa A</w:t>
            </w:r>
            <w:r w:rsidR="00A215AB" w:rsidRPr="004615AF">
              <w:rPr>
                <w:color w:val="000000" w:themeColor="text1"/>
              </w:rPr>
              <w:t>ustralian Development Scholarships</w:t>
            </w:r>
            <w:r w:rsidRPr="004615AF">
              <w:rPr>
                <w:color w:val="000000" w:themeColor="text1"/>
              </w:rPr>
              <w:t xml:space="preserve"> </w:t>
            </w:r>
            <w:r w:rsidR="0029109A" w:rsidRPr="004615AF">
              <w:rPr>
                <w:color w:val="000000" w:themeColor="text1"/>
              </w:rPr>
              <w:t>i</w:t>
            </w:r>
            <w:r w:rsidRPr="004615AF">
              <w:rPr>
                <w:color w:val="000000" w:themeColor="text1"/>
              </w:rPr>
              <w:t>ntake 2011</w:t>
            </w:r>
          </w:p>
        </w:tc>
        <w:tc>
          <w:tcPr>
            <w:tcW w:w="1683" w:type="dxa"/>
          </w:tcPr>
          <w:p w14:paraId="77661F74" w14:textId="77777777" w:rsidR="00305D9D" w:rsidRPr="004615AF" w:rsidRDefault="00305D9D" w:rsidP="00D33FDF">
            <w:pPr>
              <w:pStyle w:val="TableTextEntries"/>
              <w:rPr>
                <w:color w:val="000000" w:themeColor="text1"/>
              </w:rPr>
            </w:pPr>
            <w:r w:rsidRPr="004615AF">
              <w:rPr>
                <w:color w:val="000000" w:themeColor="text1"/>
              </w:rPr>
              <w:t>INJ568</w:t>
            </w:r>
          </w:p>
        </w:tc>
        <w:tc>
          <w:tcPr>
            <w:tcW w:w="2332" w:type="dxa"/>
          </w:tcPr>
          <w:p w14:paraId="23D1A306" w14:textId="29D7DA43" w:rsidR="00305D9D" w:rsidRPr="004615AF" w:rsidRDefault="004D7A3C" w:rsidP="00D33FDF">
            <w:pPr>
              <w:pStyle w:val="TableTextEntries"/>
              <w:rPr>
                <w:color w:val="000000" w:themeColor="text1"/>
              </w:rPr>
            </w:pPr>
            <w:hyperlink r:id="rId26"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mplementation 2012</w:t>
              </w:r>
            </w:hyperlink>
          </w:p>
        </w:tc>
        <w:tc>
          <w:tcPr>
            <w:tcW w:w="2094" w:type="dxa"/>
          </w:tcPr>
          <w:p w14:paraId="3C67D6A6" w14:textId="77777777" w:rsidR="00305D9D" w:rsidRPr="004615AF" w:rsidRDefault="00305D9D" w:rsidP="00D33FDF">
            <w:pPr>
              <w:pStyle w:val="TableTextEntries"/>
              <w:rPr>
                <w:color w:val="000000" w:themeColor="text1"/>
              </w:rPr>
            </w:pPr>
            <w:r w:rsidRPr="004615AF">
              <w:rPr>
                <w:color w:val="000000" w:themeColor="text1"/>
              </w:rPr>
              <w:t>17 January 2013</w:t>
            </w:r>
          </w:p>
        </w:tc>
        <w:tc>
          <w:tcPr>
            <w:tcW w:w="2070" w:type="dxa"/>
          </w:tcPr>
          <w:p w14:paraId="76A2845B"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53BC8008" w14:textId="77777777" w:rsidR="00305D9D" w:rsidRPr="004615AF" w:rsidRDefault="00305D9D" w:rsidP="00D33FDF">
            <w:pPr>
              <w:pStyle w:val="TableTextEntries"/>
              <w:rPr>
                <w:color w:val="000000" w:themeColor="text1"/>
              </w:rPr>
            </w:pPr>
            <w:r w:rsidRPr="004615AF">
              <w:rPr>
                <w:color w:val="000000" w:themeColor="text1"/>
              </w:rPr>
              <w:t>26 February 2013</w:t>
            </w:r>
          </w:p>
        </w:tc>
        <w:tc>
          <w:tcPr>
            <w:tcW w:w="1240" w:type="dxa"/>
          </w:tcPr>
          <w:p w14:paraId="01889F2F"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60A4753D" w14:textId="77777777" w:rsidTr="00D33FDF">
        <w:trPr>
          <w:cantSplit/>
          <w:tblHeader w:val="0"/>
        </w:trPr>
        <w:tc>
          <w:tcPr>
            <w:tcW w:w="2646" w:type="dxa"/>
          </w:tcPr>
          <w:p w14:paraId="537B8CC4" w14:textId="58DD0F82" w:rsidR="00305D9D" w:rsidRPr="004615AF" w:rsidRDefault="00305D9D" w:rsidP="00D33FDF">
            <w:pPr>
              <w:pStyle w:val="TableTextEntries"/>
              <w:rPr>
                <w:color w:val="000000" w:themeColor="text1"/>
              </w:rPr>
            </w:pPr>
            <w:r w:rsidRPr="004615AF">
              <w:rPr>
                <w:color w:val="000000" w:themeColor="text1"/>
              </w:rPr>
              <w:t>Australian Development Scholarships</w:t>
            </w:r>
            <w:r w:rsidR="002E0ECC" w:rsidRPr="004615AF">
              <w:rPr>
                <w:color w:val="000000" w:themeColor="text1"/>
              </w:rPr>
              <w:t>—</w:t>
            </w:r>
            <w:r w:rsidRPr="004615AF">
              <w:rPr>
                <w:color w:val="000000" w:themeColor="text1"/>
              </w:rPr>
              <w:t>Apia</w:t>
            </w:r>
          </w:p>
        </w:tc>
        <w:tc>
          <w:tcPr>
            <w:tcW w:w="1683" w:type="dxa"/>
          </w:tcPr>
          <w:p w14:paraId="45D42EAB" w14:textId="77777777" w:rsidR="00305D9D" w:rsidRPr="004615AF" w:rsidRDefault="00305D9D" w:rsidP="00D33FDF">
            <w:pPr>
              <w:pStyle w:val="TableTextEntries"/>
              <w:rPr>
                <w:color w:val="000000" w:themeColor="text1"/>
              </w:rPr>
            </w:pPr>
            <w:r w:rsidRPr="004615AF">
              <w:rPr>
                <w:color w:val="000000" w:themeColor="text1"/>
              </w:rPr>
              <w:t>INJ299</w:t>
            </w:r>
          </w:p>
        </w:tc>
        <w:tc>
          <w:tcPr>
            <w:tcW w:w="2332" w:type="dxa"/>
          </w:tcPr>
          <w:p w14:paraId="780F2C6F" w14:textId="33A8DFE5" w:rsidR="00305D9D" w:rsidRPr="004615AF" w:rsidRDefault="004D7A3C" w:rsidP="00D33FDF">
            <w:pPr>
              <w:pStyle w:val="TableTextEntries"/>
              <w:rPr>
                <w:color w:val="000000" w:themeColor="text1"/>
              </w:rPr>
            </w:pPr>
            <w:hyperlink r:id="rId27"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 xml:space="preserve">mplementation </w:t>
              </w:r>
            </w:hyperlink>
          </w:p>
        </w:tc>
        <w:tc>
          <w:tcPr>
            <w:tcW w:w="2094" w:type="dxa"/>
          </w:tcPr>
          <w:p w14:paraId="7928A81D" w14:textId="77777777" w:rsidR="00305D9D" w:rsidRPr="004615AF" w:rsidRDefault="00305D9D" w:rsidP="00D33FDF">
            <w:pPr>
              <w:pStyle w:val="TableTextEntries"/>
              <w:rPr>
                <w:color w:val="000000" w:themeColor="text1"/>
              </w:rPr>
            </w:pPr>
            <w:r w:rsidRPr="004615AF">
              <w:rPr>
                <w:color w:val="000000" w:themeColor="text1"/>
              </w:rPr>
              <w:t>10 January 2013</w:t>
            </w:r>
          </w:p>
        </w:tc>
        <w:tc>
          <w:tcPr>
            <w:tcW w:w="2070" w:type="dxa"/>
          </w:tcPr>
          <w:p w14:paraId="27C6623D"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00B381D3" w14:textId="77777777" w:rsidR="00305D9D" w:rsidRPr="004615AF" w:rsidRDefault="00305D9D" w:rsidP="00D33FDF">
            <w:pPr>
              <w:pStyle w:val="TableTextEntries"/>
              <w:rPr>
                <w:color w:val="000000" w:themeColor="text1"/>
              </w:rPr>
            </w:pPr>
            <w:r w:rsidRPr="004615AF">
              <w:rPr>
                <w:color w:val="000000" w:themeColor="text1"/>
              </w:rPr>
              <w:t>15 March 2013</w:t>
            </w:r>
          </w:p>
        </w:tc>
        <w:tc>
          <w:tcPr>
            <w:tcW w:w="1240" w:type="dxa"/>
          </w:tcPr>
          <w:p w14:paraId="01882FF5"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71C3D95F"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20328315" w14:textId="77777777" w:rsidR="00305D9D" w:rsidRPr="004615AF" w:rsidRDefault="00305D9D" w:rsidP="00D33FDF">
            <w:pPr>
              <w:pStyle w:val="TableTextEntries"/>
              <w:rPr>
                <w:color w:val="000000" w:themeColor="text1"/>
              </w:rPr>
            </w:pPr>
            <w:r w:rsidRPr="004615AF">
              <w:rPr>
                <w:color w:val="000000" w:themeColor="text1"/>
              </w:rPr>
              <w:t>Samoa Human Resource Development</w:t>
            </w:r>
          </w:p>
        </w:tc>
        <w:tc>
          <w:tcPr>
            <w:tcW w:w="1683" w:type="dxa"/>
          </w:tcPr>
          <w:p w14:paraId="4CDB86A8" w14:textId="77777777" w:rsidR="00305D9D" w:rsidRPr="004615AF" w:rsidRDefault="00305D9D" w:rsidP="00D33FDF">
            <w:pPr>
              <w:pStyle w:val="TableTextEntries"/>
              <w:rPr>
                <w:color w:val="000000" w:themeColor="text1"/>
              </w:rPr>
            </w:pPr>
            <w:r w:rsidRPr="004615AF">
              <w:rPr>
                <w:color w:val="000000" w:themeColor="text1"/>
              </w:rPr>
              <w:t>INF246</w:t>
            </w:r>
          </w:p>
        </w:tc>
        <w:tc>
          <w:tcPr>
            <w:tcW w:w="2332" w:type="dxa"/>
          </w:tcPr>
          <w:p w14:paraId="1CC9C68E" w14:textId="70A21CB8" w:rsidR="00305D9D" w:rsidRPr="004615AF" w:rsidRDefault="004D7A3C" w:rsidP="00D33FDF">
            <w:pPr>
              <w:pStyle w:val="TableTextEntries"/>
              <w:rPr>
                <w:color w:val="000000" w:themeColor="text1"/>
              </w:rPr>
            </w:pPr>
            <w:hyperlink r:id="rId28"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 xml:space="preserve">mplementation </w:t>
              </w:r>
            </w:hyperlink>
          </w:p>
        </w:tc>
        <w:tc>
          <w:tcPr>
            <w:tcW w:w="2094" w:type="dxa"/>
          </w:tcPr>
          <w:p w14:paraId="03D3022B" w14:textId="77777777" w:rsidR="00305D9D" w:rsidRPr="004615AF" w:rsidRDefault="00305D9D" w:rsidP="00D33FDF">
            <w:pPr>
              <w:pStyle w:val="TableTextEntries"/>
              <w:rPr>
                <w:color w:val="000000" w:themeColor="text1"/>
              </w:rPr>
            </w:pPr>
            <w:r w:rsidRPr="004615AF">
              <w:rPr>
                <w:color w:val="000000" w:themeColor="text1"/>
              </w:rPr>
              <w:t>10 January 2013</w:t>
            </w:r>
          </w:p>
        </w:tc>
        <w:tc>
          <w:tcPr>
            <w:tcW w:w="2070" w:type="dxa"/>
          </w:tcPr>
          <w:p w14:paraId="5106D129"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0D92EBD0" w14:textId="77777777" w:rsidR="00305D9D" w:rsidRPr="004615AF" w:rsidRDefault="00305D9D" w:rsidP="00D33FDF">
            <w:pPr>
              <w:pStyle w:val="TableTextEntries"/>
              <w:rPr>
                <w:color w:val="000000" w:themeColor="text1"/>
              </w:rPr>
            </w:pPr>
            <w:r w:rsidRPr="004615AF">
              <w:rPr>
                <w:color w:val="000000" w:themeColor="text1"/>
              </w:rPr>
              <w:t>15 March 2013</w:t>
            </w:r>
          </w:p>
        </w:tc>
        <w:tc>
          <w:tcPr>
            <w:tcW w:w="1240" w:type="dxa"/>
          </w:tcPr>
          <w:p w14:paraId="586D3CD7"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57B23F90" w14:textId="77777777" w:rsidTr="00D33FDF">
        <w:trPr>
          <w:cantSplit/>
          <w:tblHeader w:val="0"/>
        </w:trPr>
        <w:tc>
          <w:tcPr>
            <w:tcW w:w="2646" w:type="dxa"/>
          </w:tcPr>
          <w:p w14:paraId="0177067B" w14:textId="4A4F6AEC" w:rsidR="00305D9D" w:rsidRPr="004615AF" w:rsidRDefault="00305D9D" w:rsidP="00D33FDF">
            <w:pPr>
              <w:pStyle w:val="TableTextEntries"/>
              <w:rPr>
                <w:color w:val="000000" w:themeColor="text1"/>
              </w:rPr>
            </w:pPr>
            <w:r w:rsidRPr="004615AF">
              <w:rPr>
                <w:color w:val="000000" w:themeColor="text1"/>
              </w:rPr>
              <w:t>Samoa E</w:t>
            </w:r>
            <w:r w:rsidR="0029109A" w:rsidRPr="004615AF">
              <w:rPr>
                <w:color w:val="000000" w:themeColor="text1"/>
              </w:rPr>
              <w:t>ducation Sector Program</w:t>
            </w:r>
            <w:r w:rsidR="00CC12D1" w:rsidRPr="004615AF">
              <w:rPr>
                <w:color w:val="000000" w:themeColor="text1"/>
              </w:rPr>
              <w:t xml:space="preserve"> II i</w:t>
            </w:r>
            <w:r w:rsidRPr="004615AF">
              <w:rPr>
                <w:color w:val="000000" w:themeColor="text1"/>
              </w:rPr>
              <w:t>mplementation</w:t>
            </w:r>
          </w:p>
        </w:tc>
        <w:tc>
          <w:tcPr>
            <w:tcW w:w="1683" w:type="dxa"/>
          </w:tcPr>
          <w:p w14:paraId="4E403EA0" w14:textId="77777777" w:rsidR="00305D9D" w:rsidRPr="004615AF" w:rsidRDefault="00305D9D" w:rsidP="00D33FDF">
            <w:pPr>
              <w:pStyle w:val="TableTextEntries"/>
              <w:rPr>
                <w:color w:val="000000" w:themeColor="text1"/>
              </w:rPr>
            </w:pPr>
            <w:r w:rsidRPr="004615AF">
              <w:rPr>
                <w:color w:val="000000" w:themeColor="text1"/>
              </w:rPr>
              <w:t>ING971</w:t>
            </w:r>
          </w:p>
        </w:tc>
        <w:tc>
          <w:tcPr>
            <w:tcW w:w="2332" w:type="dxa"/>
          </w:tcPr>
          <w:p w14:paraId="11AF64D5" w14:textId="1634B875" w:rsidR="00305D9D" w:rsidRPr="004615AF" w:rsidRDefault="00305D9D" w:rsidP="00D33FDF">
            <w:pPr>
              <w:pStyle w:val="TableTextEntries"/>
              <w:rPr>
                <w:color w:val="000000" w:themeColor="text1"/>
              </w:rPr>
            </w:pPr>
            <w:r w:rsidRPr="004615AF">
              <w:rPr>
                <w:color w:val="000000" w:themeColor="text1"/>
              </w:rPr>
              <w:t xml:space="preserve">Quality at </w:t>
            </w:r>
            <w:r w:rsidR="007D410C" w:rsidRPr="004615AF">
              <w:rPr>
                <w:color w:val="000000" w:themeColor="text1"/>
              </w:rPr>
              <w:t>i</w:t>
            </w:r>
            <w:r w:rsidRPr="004615AF">
              <w:rPr>
                <w:color w:val="000000" w:themeColor="text1"/>
              </w:rPr>
              <w:t>mplementation</w:t>
            </w:r>
          </w:p>
        </w:tc>
        <w:tc>
          <w:tcPr>
            <w:tcW w:w="2094" w:type="dxa"/>
          </w:tcPr>
          <w:p w14:paraId="10BC031E" w14:textId="77777777" w:rsidR="00305D9D" w:rsidRPr="004615AF" w:rsidRDefault="00305D9D" w:rsidP="00D33FDF">
            <w:pPr>
              <w:pStyle w:val="TableTextEntries"/>
              <w:rPr>
                <w:color w:val="000000" w:themeColor="text1"/>
              </w:rPr>
            </w:pPr>
            <w:r w:rsidRPr="004615AF">
              <w:rPr>
                <w:color w:val="000000" w:themeColor="text1"/>
              </w:rPr>
              <w:t>14 March 2013</w:t>
            </w:r>
          </w:p>
        </w:tc>
        <w:tc>
          <w:tcPr>
            <w:tcW w:w="2070" w:type="dxa"/>
          </w:tcPr>
          <w:p w14:paraId="17D0512B"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2DC6AC19" w14:textId="77777777" w:rsidR="00305D9D" w:rsidRPr="004615AF" w:rsidRDefault="00305D9D" w:rsidP="00D33FDF">
            <w:pPr>
              <w:pStyle w:val="TableTextEntries"/>
              <w:rPr>
                <w:color w:val="000000" w:themeColor="text1"/>
              </w:rPr>
            </w:pPr>
            <w:r w:rsidRPr="004615AF">
              <w:rPr>
                <w:color w:val="000000" w:themeColor="text1"/>
              </w:rPr>
              <w:t>10 April 2013</w:t>
            </w:r>
          </w:p>
        </w:tc>
        <w:tc>
          <w:tcPr>
            <w:tcW w:w="1240" w:type="dxa"/>
          </w:tcPr>
          <w:p w14:paraId="39C50DE1"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71011D08"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6C3D5472" w14:textId="77777777" w:rsidR="00305D9D" w:rsidRPr="004615AF" w:rsidRDefault="00305D9D" w:rsidP="00D33FDF">
            <w:pPr>
              <w:pStyle w:val="TableTextEntries"/>
              <w:rPr>
                <w:color w:val="000000" w:themeColor="text1"/>
              </w:rPr>
            </w:pPr>
            <w:r w:rsidRPr="004615AF">
              <w:rPr>
                <w:color w:val="000000" w:themeColor="text1"/>
              </w:rPr>
              <w:t>Samoa School Fee Grant Scheme</w:t>
            </w:r>
          </w:p>
        </w:tc>
        <w:tc>
          <w:tcPr>
            <w:tcW w:w="1683" w:type="dxa"/>
          </w:tcPr>
          <w:p w14:paraId="07DD9127" w14:textId="77777777" w:rsidR="00305D9D" w:rsidRPr="004615AF" w:rsidRDefault="00305D9D" w:rsidP="00D33FDF">
            <w:pPr>
              <w:pStyle w:val="TableTextEntries"/>
              <w:rPr>
                <w:color w:val="000000" w:themeColor="text1"/>
              </w:rPr>
            </w:pPr>
            <w:r w:rsidRPr="004615AF">
              <w:rPr>
                <w:color w:val="000000" w:themeColor="text1"/>
              </w:rPr>
              <w:t>INJ405</w:t>
            </w:r>
          </w:p>
        </w:tc>
        <w:tc>
          <w:tcPr>
            <w:tcW w:w="2332" w:type="dxa"/>
          </w:tcPr>
          <w:p w14:paraId="5A1642D5" w14:textId="7F950C7C" w:rsidR="00305D9D" w:rsidRPr="004615AF" w:rsidRDefault="00305D9D" w:rsidP="00D33FDF">
            <w:pPr>
              <w:pStyle w:val="TableTextEntries"/>
              <w:rPr>
                <w:color w:val="000000" w:themeColor="text1"/>
              </w:rPr>
            </w:pPr>
            <w:r w:rsidRPr="004615AF">
              <w:rPr>
                <w:color w:val="000000" w:themeColor="text1"/>
              </w:rPr>
              <w:t xml:space="preserve">Quality at </w:t>
            </w:r>
            <w:r w:rsidR="007D410C" w:rsidRPr="004615AF">
              <w:rPr>
                <w:color w:val="000000" w:themeColor="text1"/>
              </w:rPr>
              <w:t>i</w:t>
            </w:r>
            <w:r w:rsidRPr="004615AF">
              <w:rPr>
                <w:color w:val="000000" w:themeColor="text1"/>
              </w:rPr>
              <w:t>mplementation</w:t>
            </w:r>
          </w:p>
        </w:tc>
        <w:tc>
          <w:tcPr>
            <w:tcW w:w="2094" w:type="dxa"/>
          </w:tcPr>
          <w:p w14:paraId="230ED207" w14:textId="77777777" w:rsidR="00305D9D" w:rsidRPr="004615AF" w:rsidRDefault="00305D9D" w:rsidP="00D33FDF">
            <w:pPr>
              <w:pStyle w:val="TableTextEntries"/>
              <w:rPr>
                <w:color w:val="000000" w:themeColor="text1"/>
              </w:rPr>
            </w:pPr>
            <w:r w:rsidRPr="004615AF">
              <w:rPr>
                <w:color w:val="000000" w:themeColor="text1"/>
              </w:rPr>
              <w:t>14 March 2013</w:t>
            </w:r>
          </w:p>
        </w:tc>
        <w:tc>
          <w:tcPr>
            <w:tcW w:w="2070" w:type="dxa"/>
          </w:tcPr>
          <w:p w14:paraId="0A9C188F"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2166DA67" w14:textId="77777777" w:rsidR="00305D9D" w:rsidRPr="004615AF" w:rsidRDefault="00305D9D" w:rsidP="00D33FDF">
            <w:pPr>
              <w:pStyle w:val="TableTextEntries"/>
              <w:rPr>
                <w:color w:val="000000" w:themeColor="text1"/>
              </w:rPr>
            </w:pPr>
            <w:r w:rsidRPr="004615AF">
              <w:rPr>
                <w:color w:val="000000" w:themeColor="text1"/>
              </w:rPr>
              <w:t>15 March 2013</w:t>
            </w:r>
          </w:p>
        </w:tc>
        <w:tc>
          <w:tcPr>
            <w:tcW w:w="1240" w:type="dxa"/>
          </w:tcPr>
          <w:p w14:paraId="01D55A98"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27994562" w14:textId="77777777" w:rsidTr="00D33FDF">
        <w:trPr>
          <w:cantSplit/>
          <w:tblHeader w:val="0"/>
        </w:trPr>
        <w:tc>
          <w:tcPr>
            <w:tcW w:w="2646" w:type="dxa"/>
          </w:tcPr>
          <w:p w14:paraId="317083DA" w14:textId="202B8B0D" w:rsidR="00305D9D" w:rsidRPr="004615AF" w:rsidRDefault="004D7A3C" w:rsidP="00D33FDF">
            <w:pPr>
              <w:pStyle w:val="TableTextEntries"/>
              <w:rPr>
                <w:color w:val="000000" w:themeColor="text1"/>
              </w:rPr>
            </w:pPr>
            <w:hyperlink r:id="rId29" w:history="1">
              <w:r w:rsidR="00305D9D" w:rsidRPr="004615AF">
                <w:rPr>
                  <w:rStyle w:val="Hyperlink"/>
                  <w:color w:val="000000" w:themeColor="text1"/>
                  <w:sz w:val="17"/>
                  <w:szCs w:val="17"/>
                </w:rPr>
                <w:t xml:space="preserve">Samoa Cyclone Evan Response </w:t>
              </w:r>
              <w:r w:rsidR="002E0ECC" w:rsidRPr="004615AF">
                <w:rPr>
                  <w:rStyle w:val="Hyperlink"/>
                  <w:color w:val="000000" w:themeColor="text1"/>
                  <w:sz w:val="17"/>
                  <w:szCs w:val="17"/>
                </w:rPr>
                <w:t>and</w:t>
              </w:r>
              <w:r w:rsidR="00305D9D" w:rsidRPr="004615AF">
                <w:rPr>
                  <w:rStyle w:val="Hyperlink"/>
                  <w:color w:val="000000" w:themeColor="text1"/>
                  <w:sz w:val="17"/>
                  <w:szCs w:val="17"/>
                </w:rPr>
                <w:t xml:space="preserve"> Recovery Program</w:t>
              </w:r>
            </w:hyperlink>
          </w:p>
        </w:tc>
        <w:tc>
          <w:tcPr>
            <w:tcW w:w="1683" w:type="dxa"/>
          </w:tcPr>
          <w:p w14:paraId="447F0ACD" w14:textId="77777777" w:rsidR="00305D9D" w:rsidRPr="004615AF" w:rsidRDefault="00305D9D" w:rsidP="00D33FDF">
            <w:pPr>
              <w:pStyle w:val="TableTextEntries"/>
              <w:rPr>
                <w:color w:val="000000" w:themeColor="text1"/>
              </w:rPr>
            </w:pPr>
            <w:r w:rsidRPr="004615AF">
              <w:rPr>
                <w:color w:val="000000" w:themeColor="text1"/>
              </w:rPr>
              <w:t>INK887</w:t>
            </w:r>
          </w:p>
        </w:tc>
        <w:tc>
          <w:tcPr>
            <w:tcW w:w="2332" w:type="dxa"/>
          </w:tcPr>
          <w:p w14:paraId="58CE34AF" w14:textId="63C5B048" w:rsidR="00305D9D" w:rsidRPr="004615AF" w:rsidRDefault="004D7A3C" w:rsidP="00D33FDF">
            <w:pPr>
              <w:pStyle w:val="TableTextEntries"/>
              <w:rPr>
                <w:color w:val="000000" w:themeColor="text1"/>
              </w:rPr>
            </w:pPr>
            <w:hyperlink r:id="rId30" w:history="1">
              <w:r w:rsidR="00305D9D" w:rsidRPr="004615AF">
                <w:rPr>
                  <w:rStyle w:val="Hyperlink"/>
                  <w:color w:val="000000" w:themeColor="text1"/>
                  <w:sz w:val="17"/>
                  <w:szCs w:val="17"/>
                </w:rPr>
                <w:t>F</w:t>
              </w:r>
              <w:r w:rsidR="0029109A" w:rsidRPr="004615AF">
                <w:rPr>
                  <w:rStyle w:val="Hyperlink"/>
                  <w:color w:val="000000" w:themeColor="text1"/>
                  <w:sz w:val="17"/>
                  <w:szCs w:val="17"/>
                </w:rPr>
                <w:t>irst Assistant Director General</w:t>
              </w:r>
              <w:r w:rsidR="00305D9D" w:rsidRPr="004615AF">
                <w:rPr>
                  <w:rStyle w:val="Hyperlink"/>
                  <w:color w:val="000000" w:themeColor="text1"/>
                  <w:sz w:val="17"/>
                  <w:szCs w:val="17"/>
                </w:rPr>
                <w:t xml:space="preserve"> approval of investment concept </w:t>
              </w:r>
            </w:hyperlink>
          </w:p>
        </w:tc>
        <w:tc>
          <w:tcPr>
            <w:tcW w:w="2094" w:type="dxa"/>
          </w:tcPr>
          <w:p w14:paraId="79C81216" w14:textId="77777777" w:rsidR="00305D9D" w:rsidRPr="004615AF" w:rsidRDefault="00305D9D" w:rsidP="00D33FDF">
            <w:pPr>
              <w:pStyle w:val="TableTextEntries"/>
              <w:rPr>
                <w:color w:val="000000" w:themeColor="text1"/>
              </w:rPr>
            </w:pPr>
            <w:r w:rsidRPr="004615AF">
              <w:rPr>
                <w:color w:val="000000" w:themeColor="text1"/>
              </w:rPr>
              <w:t>6 February 2013</w:t>
            </w:r>
          </w:p>
        </w:tc>
        <w:tc>
          <w:tcPr>
            <w:tcW w:w="2070" w:type="dxa"/>
          </w:tcPr>
          <w:p w14:paraId="0B6AC125"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19805254" w14:textId="77777777" w:rsidR="00305D9D" w:rsidRPr="004615AF" w:rsidRDefault="00305D9D" w:rsidP="00D33FDF">
            <w:pPr>
              <w:pStyle w:val="TableTextEntries"/>
              <w:rPr>
                <w:color w:val="000000" w:themeColor="text1"/>
              </w:rPr>
            </w:pPr>
            <w:r w:rsidRPr="004615AF">
              <w:rPr>
                <w:color w:val="000000" w:themeColor="text1"/>
              </w:rPr>
              <w:t>24 May 2013</w:t>
            </w:r>
          </w:p>
        </w:tc>
        <w:tc>
          <w:tcPr>
            <w:tcW w:w="1240" w:type="dxa"/>
          </w:tcPr>
          <w:p w14:paraId="6AE32898"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59BAA540"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3E078550" w14:textId="3CCAF0CF" w:rsidR="00305D9D" w:rsidRPr="004615AF" w:rsidRDefault="004D7A3C" w:rsidP="00D33FDF">
            <w:pPr>
              <w:pStyle w:val="TableTextEntries"/>
              <w:rPr>
                <w:color w:val="000000" w:themeColor="text1"/>
              </w:rPr>
            </w:pPr>
            <w:hyperlink r:id="rId31" w:history="1">
              <w:r w:rsidR="00305D9D" w:rsidRPr="004615AF">
                <w:rPr>
                  <w:rStyle w:val="Hyperlink"/>
                  <w:color w:val="000000" w:themeColor="text1"/>
                  <w:sz w:val="17"/>
                  <w:szCs w:val="17"/>
                </w:rPr>
                <w:t xml:space="preserve">Samoa Cyclone Evan Response </w:t>
              </w:r>
              <w:r w:rsidR="002E0ECC" w:rsidRPr="004615AF">
                <w:rPr>
                  <w:rStyle w:val="Hyperlink"/>
                  <w:color w:val="000000" w:themeColor="text1"/>
                  <w:sz w:val="17"/>
                  <w:szCs w:val="17"/>
                </w:rPr>
                <w:t>and</w:t>
              </w:r>
              <w:r w:rsidR="00305D9D" w:rsidRPr="004615AF">
                <w:rPr>
                  <w:rStyle w:val="Hyperlink"/>
                  <w:color w:val="000000" w:themeColor="text1"/>
                  <w:sz w:val="17"/>
                  <w:szCs w:val="17"/>
                </w:rPr>
                <w:t xml:space="preserve"> Recovery Program</w:t>
              </w:r>
            </w:hyperlink>
          </w:p>
        </w:tc>
        <w:tc>
          <w:tcPr>
            <w:tcW w:w="1683" w:type="dxa"/>
          </w:tcPr>
          <w:p w14:paraId="41921731" w14:textId="77777777" w:rsidR="00305D9D" w:rsidRPr="004615AF" w:rsidRDefault="00305D9D" w:rsidP="00D33FDF">
            <w:pPr>
              <w:pStyle w:val="TableTextEntries"/>
              <w:rPr>
                <w:color w:val="000000" w:themeColor="text1"/>
              </w:rPr>
            </w:pPr>
            <w:r w:rsidRPr="004615AF">
              <w:rPr>
                <w:color w:val="000000" w:themeColor="text1"/>
              </w:rPr>
              <w:t>INK887</w:t>
            </w:r>
          </w:p>
        </w:tc>
        <w:tc>
          <w:tcPr>
            <w:tcW w:w="2332" w:type="dxa"/>
          </w:tcPr>
          <w:p w14:paraId="1C90976F" w14:textId="32089E1D" w:rsidR="00305D9D" w:rsidRPr="004615AF" w:rsidRDefault="004D7A3C" w:rsidP="00D33FDF">
            <w:pPr>
              <w:pStyle w:val="TableTextEntries"/>
              <w:rPr>
                <w:color w:val="000000" w:themeColor="text1"/>
              </w:rPr>
            </w:pPr>
            <w:hyperlink r:id="rId32" w:history="1">
              <w:r w:rsidR="00305D9D" w:rsidRPr="004615AF">
                <w:rPr>
                  <w:rStyle w:val="Hyperlink"/>
                  <w:color w:val="000000" w:themeColor="text1"/>
                  <w:sz w:val="17"/>
                  <w:szCs w:val="17"/>
                </w:rPr>
                <w:t>F</w:t>
              </w:r>
              <w:r w:rsidR="0029109A" w:rsidRPr="004615AF">
                <w:rPr>
                  <w:rStyle w:val="Hyperlink"/>
                  <w:color w:val="000000" w:themeColor="text1"/>
                  <w:sz w:val="17"/>
                  <w:szCs w:val="17"/>
                </w:rPr>
                <w:t>irst Assistant Director General</w:t>
              </w:r>
              <w:r w:rsidR="00305D9D" w:rsidRPr="004615AF">
                <w:rPr>
                  <w:rStyle w:val="Hyperlink"/>
                  <w:color w:val="000000" w:themeColor="text1"/>
                  <w:sz w:val="17"/>
                  <w:szCs w:val="17"/>
                </w:rPr>
                <w:t xml:space="preserve"> approval of investment design</w:t>
              </w:r>
            </w:hyperlink>
          </w:p>
        </w:tc>
        <w:tc>
          <w:tcPr>
            <w:tcW w:w="2094" w:type="dxa"/>
          </w:tcPr>
          <w:p w14:paraId="720E2EA0" w14:textId="77777777" w:rsidR="00305D9D" w:rsidRPr="004615AF" w:rsidRDefault="00305D9D" w:rsidP="00D33FDF">
            <w:pPr>
              <w:pStyle w:val="TableTextEntries"/>
              <w:rPr>
                <w:color w:val="000000" w:themeColor="text1"/>
              </w:rPr>
            </w:pPr>
            <w:r w:rsidRPr="004615AF">
              <w:rPr>
                <w:color w:val="000000" w:themeColor="text1"/>
              </w:rPr>
              <w:t>28 May 2013</w:t>
            </w:r>
          </w:p>
        </w:tc>
        <w:tc>
          <w:tcPr>
            <w:tcW w:w="2070" w:type="dxa"/>
          </w:tcPr>
          <w:p w14:paraId="251F9DE6"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48F93814" w14:textId="77777777" w:rsidR="00305D9D" w:rsidRPr="004615AF" w:rsidRDefault="00305D9D" w:rsidP="00D33FDF">
            <w:pPr>
              <w:pStyle w:val="TableTextEntries"/>
              <w:rPr>
                <w:color w:val="000000" w:themeColor="text1"/>
              </w:rPr>
            </w:pPr>
            <w:r w:rsidRPr="004615AF">
              <w:rPr>
                <w:color w:val="000000" w:themeColor="text1"/>
              </w:rPr>
              <w:t>29 May 2013</w:t>
            </w:r>
          </w:p>
        </w:tc>
        <w:tc>
          <w:tcPr>
            <w:tcW w:w="1240" w:type="dxa"/>
          </w:tcPr>
          <w:p w14:paraId="1BE92199"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38D20073" w14:textId="77777777" w:rsidTr="00D33FDF">
        <w:trPr>
          <w:cantSplit/>
          <w:tblHeader w:val="0"/>
        </w:trPr>
        <w:tc>
          <w:tcPr>
            <w:tcW w:w="2646" w:type="dxa"/>
          </w:tcPr>
          <w:p w14:paraId="68626AB4" w14:textId="1BE3C134" w:rsidR="00305D9D" w:rsidRPr="004615AF" w:rsidRDefault="004D7A3C" w:rsidP="00D33FDF">
            <w:pPr>
              <w:pStyle w:val="TableTextEntries"/>
              <w:rPr>
                <w:color w:val="000000" w:themeColor="text1"/>
              </w:rPr>
            </w:pPr>
            <w:hyperlink r:id="rId33" w:history="1">
              <w:r w:rsidR="00305D9D" w:rsidRPr="004615AF">
                <w:rPr>
                  <w:rStyle w:val="Hyperlink"/>
                  <w:color w:val="000000" w:themeColor="text1"/>
                  <w:sz w:val="17"/>
                  <w:szCs w:val="17"/>
                </w:rPr>
                <w:t xml:space="preserve">Samoa Cyclone Evan Response </w:t>
              </w:r>
              <w:r w:rsidR="002E0ECC" w:rsidRPr="004615AF">
                <w:rPr>
                  <w:rStyle w:val="Hyperlink"/>
                  <w:color w:val="000000" w:themeColor="text1"/>
                  <w:sz w:val="17"/>
                  <w:szCs w:val="17"/>
                </w:rPr>
                <w:t>and</w:t>
              </w:r>
              <w:r w:rsidR="00305D9D" w:rsidRPr="004615AF">
                <w:rPr>
                  <w:rStyle w:val="Hyperlink"/>
                  <w:color w:val="000000" w:themeColor="text1"/>
                  <w:sz w:val="17"/>
                  <w:szCs w:val="17"/>
                </w:rPr>
                <w:t xml:space="preserve"> Recovery Program</w:t>
              </w:r>
            </w:hyperlink>
          </w:p>
        </w:tc>
        <w:tc>
          <w:tcPr>
            <w:tcW w:w="1683" w:type="dxa"/>
          </w:tcPr>
          <w:p w14:paraId="22A46F28" w14:textId="77777777" w:rsidR="00305D9D" w:rsidRPr="004615AF" w:rsidRDefault="00305D9D" w:rsidP="00D33FDF">
            <w:pPr>
              <w:pStyle w:val="TableTextEntries"/>
              <w:rPr>
                <w:color w:val="000000" w:themeColor="text1"/>
              </w:rPr>
            </w:pPr>
            <w:r w:rsidRPr="004615AF">
              <w:rPr>
                <w:color w:val="000000" w:themeColor="text1"/>
              </w:rPr>
              <w:t>INK887</w:t>
            </w:r>
          </w:p>
        </w:tc>
        <w:tc>
          <w:tcPr>
            <w:tcW w:w="2332" w:type="dxa"/>
          </w:tcPr>
          <w:p w14:paraId="19491D5D" w14:textId="08EBDBAA" w:rsidR="00305D9D" w:rsidRPr="004615AF" w:rsidRDefault="004D7A3C" w:rsidP="00D33FDF">
            <w:pPr>
              <w:pStyle w:val="TableTextEntries"/>
              <w:rPr>
                <w:color w:val="000000" w:themeColor="text1"/>
              </w:rPr>
            </w:pPr>
            <w:hyperlink r:id="rId34" w:history="1">
              <w:r w:rsidR="00305D9D" w:rsidRPr="004615AF">
                <w:rPr>
                  <w:rStyle w:val="Hyperlink"/>
                  <w:color w:val="000000" w:themeColor="text1"/>
                  <w:sz w:val="17"/>
                  <w:szCs w:val="17"/>
                </w:rPr>
                <w:t xml:space="preserve">Independent </w:t>
              </w:r>
              <w:r w:rsidR="007D410C" w:rsidRPr="004615AF">
                <w:rPr>
                  <w:rStyle w:val="Hyperlink"/>
                  <w:color w:val="000000" w:themeColor="text1"/>
                  <w:sz w:val="17"/>
                  <w:szCs w:val="17"/>
                </w:rPr>
                <w:t>a</w:t>
              </w:r>
              <w:r w:rsidR="00305D9D" w:rsidRPr="004615AF">
                <w:rPr>
                  <w:rStyle w:val="Hyperlink"/>
                  <w:color w:val="000000" w:themeColor="text1"/>
                  <w:sz w:val="17"/>
                  <w:szCs w:val="17"/>
                </w:rPr>
                <w:t>ppraisal</w:t>
              </w:r>
            </w:hyperlink>
          </w:p>
        </w:tc>
        <w:tc>
          <w:tcPr>
            <w:tcW w:w="2094" w:type="dxa"/>
          </w:tcPr>
          <w:p w14:paraId="24F8255F" w14:textId="77777777" w:rsidR="00305D9D" w:rsidRPr="004615AF" w:rsidRDefault="00305D9D" w:rsidP="00D33FDF">
            <w:pPr>
              <w:pStyle w:val="TableTextEntries"/>
              <w:rPr>
                <w:color w:val="000000" w:themeColor="text1"/>
              </w:rPr>
            </w:pPr>
            <w:r w:rsidRPr="004615AF">
              <w:rPr>
                <w:color w:val="000000" w:themeColor="text1"/>
              </w:rPr>
              <w:t>8 May 2013</w:t>
            </w:r>
          </w:p>
        </w:tc>
        <w:tc>
          <w:tcPr>
            <w:tcW w:w="2070" w:type="dxa"/>
          </w:tcPr>
          <w:p w14:paraId="5EBE63E8"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490BB68A" w14:textId="77777777" w:rsidR="00305D9D" w:rsidRPr="004615AF" w:rsidRDefault="00305D9D" w:rsidP="00D33FDF">
            <w:pPr>
              <w:pStyle w:val="TableTextEntries"/>
              <w:rPr>
                <w:color w:val="000000" w:themeColor="text1"/>
              </w:rPr>
            </w:pPr>
            <w:r w:rsidRPr="004615AF">
              <w:rPr>
                <w:color w:val="000000" w:themeColor="text1"/>
              </w:rPr>
              <w:t>24 May 2013</w:t>
            </w:r>
          </w:p>
        </w:tc>
        <w:tc>
          <w:tcPr>
            <w:tcW w:w="1240" w:type="dxa"/>
          </w:tcPr>
          <w:p w14:paraId="61669E41"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18333533"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6B6817A3" w14:textId="5B56CCB7" w:rsidR="00305D9D" w:rsidRPr="004615AF" w:rsidRDefault="004D7A3C" w:rsidP="00D33FDF">
            <w:pPr>
              <w:pStyle w:val="TableTextEntries"/>
              <w:rPr>
                <w:color w:val="000000" w:themeColor="text1"/>
              </w:rPr>
            </w:pPr>
            <w:hyperlink r:id="rId35" w:history="1">
              <w:r w:rsidR="00305D9D" w:rsidRPr="004615AF">
                <w:rPr>
                  <w:rStyle w:val="Hyperlink"/>
                  <w:color w:val="000000" w:themeColor="text1"/>
                  <w:sz w:val="17"/>
                  <w:szCs w:val="17"/>
                </w:rPr>
                <w:t xml:space="preserve">Samoa Cyclone Evan Response </w:t>
              </w:r>
              <w:r w:rsidR="002E0ECC" w:rsidRPr="004615AF">
                <w:rPr>
                  <w:rStyle w:val="Hyperlink"/>
                  <w:color w:val="000000" w:themeColor="text1"/>
                  <w:sz w:val="17"/>
                  <w:szCs w:val="17"/>
                </w:rPr>
                <w:t>and</w:t>
              </w:r>
              <w:r w:rsidR="00305D9D" w:rsidRPr="004615AF">
                <w:rPr>
                  <w:rStyle w:val="Hyperlink"/>
                  <w:color w:val="000000" w:themeColor="text1"/>
                  <w:sz w:val="17"/>
                  <w:szCs w:val="17"/>
                </w:rPr>
                <w:t xml:space="preserve"> Recovery Program</w:t>
              </w:r>
            </w:hyperlink>
          </w:p>
        </w:tc>
        <w:tc>
          <w:tcPr>
            <w:tcW w:w="1683" w:type="dxa"/>
          </w:tcPr>
          <w:p w14:paraId="135FBC95" w14:textId="77777777" w:rsidR="00305D9D" w:rsidRPr="004615AF" w:rsidRDefault="00305D9D" w:rsidP="00D33FDF">
            <w:pPr>
              <w:pStyle w:val="TableTextEntries"/>
              <w:rPr>
                <w:color w:val="000000" w:themeColor="text1"/>
              </w:rPr>
            </w:pPr>
            <w:r w:rsidRPr="004615AF">
              <w:rPr>
                <w:color w:val="000000" w:themeColor="text1"/>
              </w:rPr>
              <w:t>INK887</w:t>
            </w:r>
          </w:p>
        </w:tc>
        <w:tc>
          <w:tcPr>
            <w:tcW w:w="2332" w:type="dxa"/>
          </w:tcPr>
          <w:p w14:paraId="5AD2570D" w14:textId="2BF87F05" w:rsidR="00305D9D" w:rsidRPr="004615AF" w:rsidRDefault="004D7A3C" w:rsidP="00D33FDF">
            <w:pPr>
              <w:pStyle w:val="TableTextEntries"/>
              <w:rPr>
                <w:color w:val="000000" w:themeColor="text1"/>
              </w:rPr>
            </w:pPr>
            <w:hyperlink r:id="rId36" w:history="1">
              <w:r w:rsidR="00305D9D" w:rsidRPr="004615AF">
                <w:rPr>
                  <w:rStyle w:val="Hyperlink"/>
                  <w:color w:val="000000" w:themeColor="text1"/>
                  <w:sz w:val="17"/>
                  <w:szCs w:val="17"/>
                </w:rPr>
                <w:t xml:space="preserve">Peer review </w:t>
              </w:r>
            </w:hyperlink>
          </w:p>
        </w:tc>
        <w:tc>
          <w:tcPr>
            <w:tcW w:w="2094" w:type="dxa"/>
          </w:tcPr>
          <w:p w14:paraId="52626D08" w14:textId="77777777" w:rsidR="00305D9D" w:rsidRPr="004615AF" w:rsidRDefault="00305D9D" w:rsidP="00D33FDF">
            <w:pPr>
              <w:pStyle w:val="TableTextEntries"/>
              <w:rPr>
                <w:color w:val="000000" w:themeColor="text1"/>
              </w:rPr>
            </w:pPr>
            <w:r w:rsidRPr="004615AF">
              <w:rPr>
                <w:color w:val="000000" w:themeColor="text1"/>
              </w:rPr>
              <w:t>28 May 2013</w:t>
            </w:r>
          </w:p>
        </w:tc>
        <w:tc>
          <w:tcPr>
            <w:tcW w:w="2070" w:type="dxa"/>
          </w:tcPr>
          <w:p w14:paraId="24FDA78C"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32115EF5" w14:textId="77777777" w:rsidR="00305D9D" w:rsidRPr="004615AF" w:rsidRDefault="00305D9D" w:rsidP="00D33FDF">
            <w:pPr>
              <w:pStyle w:val="TableTextEntries"/>
              <w:rPr>
                <w:color w:val="000000" w:themeColor="text1"/>
              </w:rPr>
            </w:pPr>
            <w:r w:rsidRPr="004615AF">
              <w:rPr>
                <w:color w:val="000000" w:themeColor="text1"/>
              </w:rPr>
              <w:t>29 May 2013</w:t>
            </w:r>
          </w:p>
        </w:tc>
        <w:tc>
          <w:tcPr>
            <w:tcW w:w="1240" w:type="dxa"/>
          </w:tcPr>
          <w:p w14:paraId="5F74A037"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6F752A62" w14:textId="77777777" w:rsidTr="00D33FDF">
        <w:trPr>
          <w:cantSplit/>
          <w:tblHeader w:val="0"/>
        </w:trPr>
        <w:tc>
          <w:tcPr>
            <w:tcW w:w="2646" w:type="dxa"/>
          </w:tcPr>
          <w:p w14:paraId="7F8CA97C" w14:textId="77777777" w:rsidR="00305D9D" w:rsidRPr="004615AF" w:rsidRDefault="004D7A3C" w:rsidP="00D33FDF">
            <w:pPr>
              <w:pStyle w:val="TableTextEntries"/>
              <w:rPr>
                <w:color w:val="000000" w:themeColor="text1"/>
              </w:rPr>
            </w:pPr>
            <w:hyperlink r:id="rId37" w:history="1">
              <w:r w:rsidR="00305D9D" w:rsidRPr="004615AF">
                <w:rPr>
                  <w:rStyle w:val="Hyperlink"/>
                  <w:color w:val="000000" w:themeColor="text1"/>
                  <w:sz w:val="17"/>
                  <w:szCs w:val="17"/>
                </w:rPr>
                <w:t>Samoa Inclusive Education Demonstration Program</w:t>
              </w:r>
            </w:hyperlink>
          </w:p>
        </w:tc>
        <w:tc>
          <w:tcPr>
            <w:tcW w:w="1683" w:type="dxa"/>
          </w:tcPr>
          <w:p w14:paraId="524EF095" w14:textId="77777777" w:rsidR="00305D9D" w:rsidRPr="004615AF" w:rsidRDefault="00305D9D" w:rsidP="00D33FDF">
            <w:pPr>
              <w:pStyle w:val="TableTextEntries"/>
              <w:rPr>
                <w:color w:val="000000" w:themeColor="text1"/>
              </w:rPr>
            </w:pPr>
            <w:r w:rsidRPr="004615AF">
              <w:rPr>
                <w:color w:val="000000" w:themeColor="text1"/>
              </w:rPr>
              <w:t>INI456</w:t>
            </w:r>
          </w:p>
        </w:tc>
        <w:tc>
          <w:tcPr>
            <w:tcW w:w="2332" w:type="dxa"/>
          </w:tcPr>
          <w:p w14:paraId="39706BC1" w14:textId="0F9934DD" w:rsidR="00305D9D" w:rsidRPr="004615AF" w:rsidRDefault="004D7A3C" w:rsidP="00D33FDF">
            <w:pPr>
              <w:pStyle w:val="TableTextEntries"/>
              <w:rPr>
                <w:color w:val="000000" w:themeColor="text1"/>
              </w:rPr>
            </w:pPr>
            <w:hyperlink r:id="rId38" w:history="1">
              <w:r w:rsidR="00305D9D" w:rsidRPr="004615AF">
                <w:rPr>
                  <w:rStyle w:val="Hyperlink"/>
                  <w:color w:val="000000" w:themeColor="text1"/>
                  <w:sz w:val="17"/>
                  <w:szCs w:val="17"/>
                </w:rPr>
                <w:t xml:space="preserve">Quality at </w:t>
              </w:r>
              <w:r w:rsidR="007D410C" w:rsidRPr="004615AF">
                <w:rPr>
                  <w:rStyle w:val="Hyperlink"/>
                  <w:color w:val="000000" w:themeColor="text1"/>
                  <w:sz w:val="17"/>
                  <w:szCs w:val="17"/>
                </w:rPr>
                <w:t>i</w:t>
              </w:r>
              <w:r w:rsidR="00305D9D" w:rsidRPr="004615AF">
                <w:rPr>
                  <w:rStyle w:val="Hyperlink"/>
                  <w:color w:val="000000" w:themeColor="text1"/>
                  <w:sz w:val="17"/>
                  <w:szCs w:val="17"/>
                </w:rPr>
                <w:t>mplementation 2012</w:t>
              </w:r>
            </w:hyperlink>
          </w:p>
        </w:tc>
        <w:tc>
          <w:tcPr>
            <w:tcW w:w="2094" w:type="dxa"/>
          </w:tcPr>
          <w:p w14:paraId="28E2ACF9" w14:textId="77777777" w:rsidR="00305D9D" w:rsidRPr="004615AF" w:rsidRDefault="00305D9D" w:rsidP="00D33FDF">
            <w:pPr>
              <w:pStyle w:val="TableTextEntries"/>
              <w:rPr>
                <w:color w:val="000000" w:themeColor="text1"/>
              </w:rPr>
            </w:pPr>
            <w:r w:rsidRPr="004615AF">
              <w:rPr>
                <w:color w:val="000000" w:themeColor="text1"/>
              </w:rPr>
              <w:t>24 January 2013</w:t>
            </w:r>
          </w:p>
        </w:tc>
        <w:tc>
          <w:tcPr>
            <w:tcW w:w="2070" w:type="dxa"/>
          </w:tcPr>
          <w:p w14:paraId="1B12887A"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310A76C1" w14:textId="77777777" w:rsidR="00305D9D" w:rsidRPr="004615AF" w:rsidRDefault="00305D9D" w:rsidP="00D33FDF">
            <w:pPr>
              <w:pStyle w:val="TableTextEntries"/>
              <w:rPr>
                <w:color w:val="000000" w:themeColor="text1"/>
              </w:rPr>
            </w:pPr>
            <w:r w:rsidRPr="004615AF">
              <w:rPr>
                <w:color w:val="000000" w:themeColor="text1"/>
              </w:rPr>
              <w:t>24 January 2013</w:t>
            </w:r>
          </w:p>
        </w:tc>
        <w:tc>
          <w:tcPr>
            <w:tcW w:w="1240" w:type="dxa"/>
          </w:tcPr>
          <w:p w14:paraId="797A9A0F"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09B2D161"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7CE7D208" w14:textId="0FA67DDA" w:rsidR="00305D9D" w:rsidRPr="004615AF" w:rsidRDefault="00305D9D" w:rsidP="00D33FDF">
            <w:pPr>
              <w:pStyle w:val="TableTextEntries"/>
              <w:rPr>
                <w:color w:val="000000" w:themeColor="text1"/>
              </w:rPr>
            </w:pPr>
            <w:r w:rsidRPr="004615AF">
              <w:rPr>
                <w:color w:val="000000" w:themeColor="text1"/>
              </w:rPr>
              <w:t>A</w:t>
            </w:r>
            <w:r w:rsidR="0029109A" w:rsidRPr="004615AF">
              <w:rPr>
                <w:color w:val="000000" w:themeColor="text1"/>
              </w:rPr>
              <w:t>sian Development Bank</w:t>
            </w:r>
            <w:r w:rsidRPr="004615AF">
              <w:rPr>
                <w:color w:val="000000" w:themeColor="text1"/>
              </w:rPr>
              <w:t xml:space="preserve"> Samoa Power Sector Expansion Program</w:t>
            </w:r>
          </w:p>
        </w:tc>
        <w:tc>
          <w:tcPr>
            <w:tcW w:w="1683" w:type="dxa"/>
          </w:tcPr>
          <w:p w14:paraId="6471746A" w14:textId="77777777" w:rsidR="00305D9D" w:rsidRPr="004615AF" w:rsidRDefault="00305D9D" w:rsidP="00D33FDF">
            <w:pPr>
              <w:pStyle w:val="TableTextEntries"/>
              <w:rPr>
                <w:color w:val="000000" w:themeColor="text1"/>
              </w:rPr>
            </w:pPr>
            <w:r w:rsidRPr="004615AF">
              <w:rPr>
                <w:color w:val="000000" w:themeColor="text1"/>
              </w:rPr>
              <w:t>INH315</w:t>
            </w:r>
          </w:p>
        </w:tc>
        <w:tc>
          <w:tcPr>
            <w:tcW w:w="2332" w:type="dxa"/>
          </w:tcPr>
          <w:p w14:paraId="6F8BFBEB" w14:textId="37B39690" w:rsidR="00305D9D" w:rsidRPr="004615AF" w:rsidRDefault="004D7A3C" w:rsidP="00D33FDF">
            <w:pPr>
              <w:pStyle w:val="TableTextEntries"/>
              <w:rPr>
                <w:color w:val="000000" w:themeColor="text1"/>
              </w:rPr>
            </w:pPr>
            <w:hyperlink r:id="rId39" w:history="1">
              <w:r w:rsidR="00305D9D" w:rsidRPr="004615AF">
                <w:rPr>
                  <w:rStyle w:val="Hyperlink"/>
                  <w:color w:val="000000" w:themeColor="text1"/>
                  <w:sz w:val="17"/>
                  <w:szCs w:val="17"/>
                </w:rPr>
                <w:t>Quality at Implementation</w:t>
              </w:r>
              <w:r w:rsidR="005D36CC" w:rsidRPr="004615AF">
                <w:rPr>
                  <w:rStyle w:val="Hyperlink"/>
                  <w:color w:val="000000" w:themeColor="text1"/>
                  <w:sz w:val="17"/>
                  <w:szCs w:val="17"/>
                </w:rPr>
                <w:t xml:space="preserve"> </w:t>
              </w:r>
              <w:r w:rsidR="00305D9D" w:rsidRPr="004615AF">
                <w:rPr>
                  <w:rStyle w:val="Hyperlink"/>
                  <w:color w:val="000000" w:themeColor="text1"/>
                  <w:sz w:val="17"/>
                  <w:szCs w:val="17"/>
                </w:rPr>
                <w:t>2012</w:t>
              </w:r>
            </w:hyperlink>
          </w:p>
        </w:tc>
        <w:tc>
          <w:tcPr>
            <w:tcW w:w="2094" w:type="dxa"/>
          </w:tcPr>
          <w:p w14:paraId="684C5869" w14:textId="77777777" w:rsidR="00305D9D" w:rsidRPr="004615AF" w:rsidRDefault="00305D9D" w:rsidP="00D33FDF">
            <w:pPr>
              <w:pStyle w:val="TableTextEntries"/>
              <w:rPr>
                <w:color w:val="000000" w:themeColor="text1"/>
              </w:rPr>
            </w:pPr>
            <w:r w:rsidRPr="004615AF">
              <w:rPr>
                <w:color w:val="000000" w:themeColor="text1"/>
              </w:rPr>
              <w:t>8 February 2013</w:t>
            </w:r>
          </w:p>
        </w:tc>
        <w:tc>
          <w:tcPr>
            <w:tcW w:w="2070" w:type="dxa"/>
          </w:tcPr>
          <w:p w14:paraId="53E89FAA"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1E422FB3" w14:textId="77777777" w:rsidR="00305D9D" w:rsidRPr="004615AF" w:rsidRDefault="00305D9D" w:rsidP="00D33FDF">
            <w:pPr>
              <w:pStyle w:val="TableTextEntries"/>
              <w:rPr>
                <w:color w:val="000000" w:themeColor="text1"/>
              </w:rPr>
            </w:pPr>
            <w:r w:rsidRPr="004615AF">
              <w:rPr>
                <w:color w:val="000000" w:themeColor="text1"/>
              </w:rPr>
              <w:t>26 March 2013</w:t>
            </w:r>
          </w:p>
        </w:tc>
        <w:tc>
          <w:tcPr>
            <w:tcW w:w="1240" w:type="dxa"/>
          </w:tcPr>
          <w:p w14:paraId="6C2CB1ED"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173B43BA" w14:textId="77777777" w:rsidTr="00D33FDF">
        <w:trPr>
          <w:cantSplit/>
          <w:tblHeader w:val="0"/>
        </w:trPr>
        <w:tc>
          <w:tcPr>
            <w:tcW w:w="2646" w:type="dxa"/>
          </w:tcPr>
          <w:p w14:paraId="2C172884" w14:textId="77777777" w:rsidR="00305D9D" w:rsidRPr="004615AF" w:rsidRDefault="00305D9D" w:rsidP="00D33FDF">
            <w:pPr>
              <w:pStyle w:val="TableTextEntries"/>
              <w:rPr>
                <w:color w:val="000000" w:themeColor="text1"/>
              </w:rPr>
            </w:pPr>
            <w:r w:rsidRPr="004615AF">
              <w:rPr>
                <w:color w:val="000000" w:themeColor="text1"/>
              </w:rPr>
              <w:t>Samoa Climate Change Adaptation Initiative</w:t>
            </w:r>
          </w:p>
        </w:tc>
        <w:tc>
          <w:tcPr>
            <w:tcW w:w="1683" w:type="dxa"/>
          </w:tcPr>
          <w:p w14:paraId="0F7A253A" w14:textId="77777777" w:rsidR="00305D9D" w:rsidRPr="004615AF" w:rsidRDefault="00305D9D" w:rsidP="00D33FDF">
            <w:pPr>
              <w:pStyle w:val="TableTextEntries"/>
              <w:rPr>
                <w:color w:val="000000" w:themeColor="text1"/>
              </w:rPr>
            </w:pPr>
            <w:r w:rsidRPr="004615AF">
              <w:rPr>
                <w:color w:val="000000" w:themeColor="text1"/>
              </w:rPr>
              <w:t>INJ900</w:t>
            </w:r>
          </w:p>
        </w:tc>
        <w:tc>
          <w:tcPr>
            <w:tcW w:w="2332" w:type="dxa"/>
          </w:tcPr>
          <w:p w14:paraId="5BF2CA4E" w14:textId="247FF46B" w:rsidR="00305D9D" w:rsidRPr="004615AF" w:rsidRDefault="004D7A3C" w:rsidP="00D33FDF">
            <w:pPr>
              <w:pStyle w:val="TableTextEntries"/>
              <w:rPr>
                <w:color w:val="000000" w:themeColor="text1"/>
              </w:rPr>
            </w:pPr>
            <w:hyperlink r:id="rId40" w:history="1">
              <w:r w:rsidR="00305D9D" w:rsidRPr="004615AF">
                <w:rPr>
                  <w:rStyle w:val="Hyperlink"/>
                  <w:color w:val="000000" w:themeColor="text1"/>
                  <w:sz w:val="17"/>
                  <w:szCs w:val="17"/>
                </w:rPr>
                <w:t>Quality at Implementation</w:t>
              </w:r>
              <w:r w:rsidR="005D36CC" w:rsidRPr="004615AF">
                <w:rPr>
                  <w:rStyle w:val="Hyperlink"/>
                  <w:color w:val="000000" w:themeColor="text1"/>
                  <w:sz w:val="17"/>
                  <w:szCs w:val="17"/>
                </w:rPr>
                <w:t xml:space="preserve"> </w:t>
              </w:r>
              <w:r w:rsidR="00305D9D" w:rsidRPr="004615AF">
                <w:rPr>
                  <w:rStyle w:val="Hyperlink"/>
                  <w:color w:val="000000" w:themeColor="text1"/>
                  <w:sz w:val="17"/>
                  <w:szCs w:val="17"/>
                </w:rPr>
                <w:t>2013</w:t>
              </w:r>
            </w:hyperlink>
          </w:p>
        </w:tc>
        <w:tc>
          <w:tcPr>
            <w:tcW w:w="2094" w:type="dxa"/>
          </w:tcPr>
          <w:p w14:paraId="0C4800EF" w14:textId="77777777" w:rsidR="00305D9D" w:rsidRPr="004615AF" w:rsidRDefault="00305D9D" w:rsidP="00D33FDF">
            <w:pPr>
              <w:pStyle w:val="TableTextEntries"/>
              <w:rPr>
                <w:color w:val="000000" w:themeColor="text1"/>
              </w:rPr>
            </w:pPr>
            <w:r w:rsidRPr="004615AF">
              <w:rPr>
                <w:color w:val="000000" w:themeColor="text1"/>
              </w:rPr>
              <w:t>11 January 2013</w:t>
            </w:r>
          </w:p>
        </w:tc>
        <w:tc>
          <w:tcPr>
            <w:tcW w:w="2070" w:type="dxa"/>
          </w:tcPr>
          <w:p w14:paraId="41588832"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7C6DC8EB" w14:textId="77777777" w:rsidR="00305D9D" w:rsidRPr="004615AF" w:rsidRDefault="00305D9D" w:rsidP="00D33FDF">
            <w:pPr>
              <w:pStyle w:val="TableTextEntries"/>
              <w:rPr>
                <w:color w:val="000000" w:themeColor="text1"/>
              </w:rPr>
            </w:pPr>
            <w:r w:rsidRPr="004615AF">
              <w:rPr>
                <w:color w:val="000000" w:themeColor="text1"/>
              </w:rPr>
              <w:t>14 January 2013</w:t>
            </w:r>
          </w:p>
        </w:tc>
        <w:tc>
          <w:tcPr>
            <w:tcW w:w="1240" w:type="dxa"/>
          </w:tcPr>
          <w:p w14:paraId="1AC1C8A6" w14:textId="77777777" w:rsidR="00305D9D" w:rsidRPr="004615AF" w:rsidRDefault="00305D9D" w:rsidP="00D33FDF">
            <w:pPr>
              <w:pStyle w:val="TableTextEntries"/>
              <w:rPr>
                <w:color w:val="000000" w:themeColor="text1"/>
              </w:rPr>
            </w:pPr>
            <w:r w:rsidRPr="004615AF">
              <w:rPr>
                <w:color w:val="000000" w:themeColor="text1"/>
              </w:rPr>
              <w:t>No</w:t>
            </w:r>
          </w:p>
        </w:tc>
      </w:tr>
      <w:tr w:rsidR="00D33FDF" w:rsidRPr="00D33FDF" w14:paraId="00E5F775" w14:textId="77777777" w:rsidTr="00D33FDF">
        <w:trPr>
          <w:cnfStyle w:val="000000010000" w:firstRow="0" w:lastRow="0" w:firstColumn="0" w:lastColumn="0" w:oddVBand="0" w:evenVBand="0" w:oddHBand="0" w:evenHBand="1" w:firstRowFirstColumn="0" w:firstRowLastColumn="0" w:lastRowFirstColumn="0" w:lastRowLastColumn="0"/>
          <w:cantSplit/>
          <w:tblHeader w:val="0"/>
        </w:trPr>
        <w:tc>
          <w:tcPr>
            <w:tcW w:w="2646" w:type="dxa"/>
          </w:tcPr>
          <w:p w14:paraId="30125D23" w14:textId="003B8FF4" w:rsidR="00305D9D" w:rsidRPr="004615AF" w:rsidRDefault="00305D9D" w:rsidP="00D33FDF">
            <w:pPr>
              <w:pStyle w:val="TableTextEntries"/>
              <w:rPr>
                <w:color w:val="000000" w:themeColor="text1"/>
              </w:rPr>
            </w:pPr>
            <w:r w:rsidRPr="004615AF">
              <w:rPr>
                <w:color w:val="000000" w:themeColor="text1"/>
              </w:rPr>
              <w:t xml:space="preserve">Samoa </w:t>
            </w:r>
            <w:r w:rsidR="0029109A" w:rsidRPr="004615AF">
              <w:rPr>
                <w:color w:val="000000" w:themeColor="text1"/>
              </w:rPr>
              <w:t>C</w:t>
            </w:r>
            <w:r w:rsidRPr="004615AF">
              <w:rPr>
                <w:color w:val="000000" w:themeColor="text1"/>
              </w:rPr>
              <w:t xml:space="preserve">ivil </w:t>
            </w:r>
            <w:r w:rsidR="0029109A" w:rsidRPr="004615AF">
              <w:rPr>
                <w:color w:val="000000" w:themeColor="text1"/>
              </w:rPr>
              <w:t>S</w:t>
            </w:r>
            <w:r w:rsidRPr="004615AF">
              <w:rPr>
                <w:color w:val="000000" w:themeColor="text1"/>
              </w:rPr>
              <w:t xml:space="preserve">ociety </w:t>
            </w:r>
            <w:r w:rsidR="0029109A" w:rsidRPr="004615AF">
              <w:rPr>
                <w:color w:val="000000" w:themeColor="text1"/>
              </w:rPr>
              <w:t>S</w:t>
            </w:r>
            <w:r w:rsidRPr="004615AF">
              <w:rPr>
                <w:color w:val="000000" w:themeColor="text1"/>
              </w:rPr>
              <w:t xml:space="preserve">upport </w:t>
            </w:r>
            <w:r w:rsidR="0029109A" w:rsidRPr="004615AF">
              <w:rPr>
                <w:color w:val="000000" w:themeColor="text1"/>
              </w:rPr>
              <w:t>P</w:t>
            </w:r>
            <w:r w:rsidRPr="004615AF">
              <w:rPr>
                <w:color w:val="000000" w:themeColor="text1"/>
              </w:rPr>
              <w:t>rogram</w:t>
            </w:r>
          </w:p>
        </w:tc>
        <w:tc>
          <w:tcPr>
            <w:tcW w:w="1683" w:type="dxa"/>
          </w:tcPr>
          <w:p w14:paraId="4B8BE59A" w14:textId="77777777" w:rsidR="00305D9D" w:rsidRPr="004615AF" w:rsidRDefault="00305D9D" w:rsidP="00D33FDF">
            <w:pPr>
              <w:pStyle w:val="TableTextEntries"/>
              <w:rPr>
                <w:color w:val="000000" w:themeColor="text1"/>
              </w:rPr>
            </w:pPr>
            <w:r w:rsidRPr="004615AF">
              <w:rPr>
                <w:color w:val="000000" w:themeColor="text1"/>
              </w:rPr>
              <w:t>INJ402</w:t>
            </w:r>
          </w:p>
        </w:tc>
        <w:tc>
          <w:tcPr>
            <w:tcW w:w="2332" w:type="dxa"/>
          </w:tcPr>
          <w:p w14:paraId="50F40F46" w14:textId="77777777" w:rsidR="00305D9D" w:rsidRPr="004615AF" w:rsidRDefault="00305D9D" w:rsidP="00D33FDF">
            <w:pPr>
              <w:pStyle w:val="TableTextEntries"/>
              <w:rPr>
                <w:color w:val="000000" w:themeColor="text1"/>
              </w:rPr>
            </w:pPr>
            <w:r w:rsidRPr="004615AF">
              <w:rPr>
                <w:color w:val="000000" w:themeColor="text1"/>
              </w:rPr>
              <w:t>Mid-term review</w:t>
            </w:r>
          </w:p>
        </w:tc>
        <w:tc>
          <w:tcPr>
            <w:tcW w:w="2094" w:type="dxa"/>
          </w:tcPr>
          <w:p w14:paraId="3DFAD176" w14:textId="77777777" w:rsidR="00305D9D" w:rsidRPr="004615AF" w:rsidRDefault="00305D9D" w:rsidP="00D33FDF">
            <w:pPr>
              <w:pStyle w:val="TableTextEntries"/>
              <w:rPr>
                <w:color w:val="000000" w:themeColor="text1"/>
              </w:rPr>
            </w:pPr>
          </w:p>
        </w:tc>
        <w:tc>
          <w:tcPr>
            <w:tcW w:w="2070" w:type="dxa"/>
          </w:tcPr>
          <w:p w14:paraId="5A427E52"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891" w:type="dxa"/>
          </w:tcPr>
          <w:p w14:paraId="43F5038E" w14:textId="77777777" w:rsidR="00305D9D" w:rsidRPr="004615AF" w:rsidRDefault="00305D9D" w:rsidP="00D33FDF">
            <w:pPr>
              <w:pStyle w:val="TableTextEntries"/>
              <w:rPr>
                <w:color w:val="000000" w:themeColor="text1"/>
              </w:rPr>
            </w:pPr>
            <w:r w:rsidRPr="004615AF">
              <w:rPr>
                <w:color w:val="000000" w:themeColor="text1"/>
              </w:rPr>
              <w:t>Not uploaded</w:t>
            </w:r>
          </w:p>
        </w:tc>
        <w:tc>
          <w:tcPr>
            <w:tcW w:w="1240" w:type="dxa"/>
          </w:tcPr>
          <w:p w14:paraId="29962A6A" w14:textId="77777777" w:rsidR="00305D9D" w:rsidRPr="004615AF" w:rsidRDefault="00305D9D" w:rsidP="00D33FDF">
            <w:pPr>
              <w:pStyle w:val="TableTextEntries"/>
              <w:rPr>
                <w:color w:val="000000" w:themeColor="text1"/>
              </w:rPr>
            </w:pPr>
            <w:r w:rsidRPr="004615AF">
              <w:rPr>
                <w:color w:val="000000" w:themeColor="text1"/>
              </w:rPr>
              <w:t>No</w:t>
            </w:r>
          </w:p>
        </w:tc>
      </w:tr>
    </w:tbl>
    <w:p w14:paraId="1E4A1894" w14:textId="77777777" w:rsidR="00EA10CE" w:rsidRPr="00071B95" w:rsidRDefault="00EA10CE" w:rsidP="00EA10CE">
      <w:pPr>
        <w:rPr>
          <w:b/>
        </w:rPr>
      </w:pPr>
    </w:p>
    <w:p w14:paraId="0798C252" w14:textId="77777777" w:rsidR="00384536" w:rsidRDefault="00384536">
      <w:pPr>
        <w:spacing w:after="200" w:line="276" w:lineRule="auto"/>
        <w:rPr>
          <w:rFonts w:ascii="Arial" w:eastAsia="Times New Roman" w:hAnsi="Arial" w:cs="Arial"/>
          <w:color w:val="7E6D5F"/>
          <w:szCs w:val="19"/>
        </w:rPr>
      </w:pPr>
      <w:r>
        <w:br w:type="page"/>
      </w:r>
    </w:p>
    <w:p w14:paraId="1B9D99EB" w14:textId="0AE829D0" w:rsidR="00EA10CE" w:rsidRPr="00071B95" w:rsidRDefault="00EA10CE" w:rsidP="00EA10CE">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EA10CE" w:rsidRPr="00071B95" w14:paraId="43AA20B1" w14:textId="77777777" w:rsidTr="004615AF">
        <w:trPr>
          <w:cantSplit/>
          <w:tblHeader w:val="0"/>
        </w:trPr>
        <w:tc>
          <w:tcPr>
            <w:tcW w:w="2601" w:type="dxa"/>
          </w:tcPr>
          <w:p w14:paraId="08269009" w14:textId="5BD06D4F" w:rsidR="00EA10CE" w:rsidRPr="004615AF" w:rsidRDefault="00EA10CE" w:rsidP="004615AF">
            <w:pPr>
              <w:pStyle w:val="TableTextColumnHeading"/>
            </w:pPr>
            <w:r w:rsidRPr="004615AF">
              <w:t xml:space="preserve">Name of </w:t>
            </w:r>
            <w:r w:rsidR="002E0ECC" w:rsidRPr="004615AF">
              <w:t>i</w:t>
            </w:r>
            <w:r w:rsidRPr="004615AF">
              <w:t>nitiative</w:t>
            </w:r>
          </w:p>
        </w:tc>
        <w:tc>
          <w:tcPr>
            <w:tcW w:w="2530" w:type="dxa"/>
          </w:tcPr>
          <w:p w14:paraId="4A705D92" w14:textId="65FE51A1" w:rsidR="00EA10CE" w:rsidRPr="004615AF" w:rsidRDefault="00EA10CE" w:rsidP="004615AF">
            <w:pPr>
              <w:pStyle w:val="TableTextColumnHeading"/>
            </w:pPr>
            <w:proofErr w:type="spellStart"/>
            <w:r w:rsidRPr="004615AF">
              <w:t>Aid</w:t>
            </w:r>
            <w:r w:rsidR="002E0ECC" w:rsidRPr="004615AF">
              <w:t>W</w:t>
            </w:r>
            <w:r w:rsidRPr="004615AF">
              <w:t>orks</w:t>
            </w:r>
            <w:proofErr w:type="spellEnd"/>
            <w:r w:rsidRPr="004615AF">
              <w:t xml:space="preserve"> number</w:t>
            </w:r>
          </w:p>
        </w:tc>
        <w:tc>
          <w:tcPr>
            <w:tcW w:w="2612" w:type="dxa"/>
          </w:tcPr>
          <w:p w14:paraId="53C27BA3" w14:textId="77777777" w:rsidR="00EA10CE" w:rsidRPr="004615AF" w:rsidRDefault="00EA10CE" w:rsidP="004615AF">
            <w:pPr>
              <w:pStyle w:val="TableTextColumnHeading"/>
            </w:pPr>
            <w:r w:rsidRPr="004615AF">
              <w:t>Type of evaluation</w:t>
            </w:r>
          </w:p>
        </w:tc>
        <w:tc>
          <w:tcPr>
            <w:tcW w:w="2612" w:type="dxa"/>
          </w:tcPr>
          <w:p w14:paraId="670DEEA2" w14:textId="18C849AC" w:rsidR="00EA10CE" w:rsidRPr="004615AF" w:rsidRDefault="00EA10CE" w:rsidP="004615AF">
            <w:pPr>
              <w:pStyle w:val="TableTextColumnHeading"/>
            </w:pPr>
            <w:r w:rsidRPr="004615AF">
              <w:t>Purpose of evaluation</w:t>
            </w:r>
          </w:p>
        </w:tc>
        <w:tc>
          <w:tcPr>
            <w:tcW w:w="2617" w:type="dxa"/>
          </w:tcPr>
          <w:p w14:paraId="1C88B590" w14:textId="77777777" w:rsidR="00EA10CE" w:rsidRPr="004615AF" w:rsidRDefault="00EA10CE" w:rsidP="004615AF">
            <w:pPr>
              <w:pStyle w:val="TableTextColumnHeading"/>
            </w:pPr>
            <w:r w:rsidRPr="004615AF">
              <w:t>Expected completion date</w:t>
            </w:r>
          </w:p>
        </w:tc>
      </w:tr>
      <w:tr w:rsidR="00305D9D" w:rsidRPr="00071B95" w14:paraId="565F7551" w14:textId="77777777" w:rsidTr="004615AF">
        <w:trPr>
          <w:cantSplit/>
          <w:tblHeader w:val="0"/>
        </w:trPr>
        <w:tc>
          <w:tcPr>
            <w:tcW w:w="2601" w:type="dxa"/>
          </w:tcPr>
          <w:p w14:paraId="70B4F5CC" w14:textId="38C6E6AB" w:rsidR="00305D9D" w:rsidRPr="00071B95" w:rsidRDefault="00305D9D" w:rsidP="004615AF">
            <w:pPr>
              <w:pStyle w:val="TableTextEntries"/>
            </w:pPr>
            <w:r w:rsidRPr="00ED41B4">
              <w:t>Samoa Health Sector Initiative</w:t>
            </w:r>
          </w:p>
        </w:tc>
        <w:tc>
          <w:tcPr>
            <w:tcW w:w="2530" w:type="dxa"/>
          </w:tcPr>
          <w:p w14:paraId="69468898" w14:textId="418C0856" w:rsidR="00305D9D" w:rsidRPr="00071B95" w:rsidRDefault="00305D9D" w:rsidP="004615AF">
            <w:pPr>
              <w:pStyle w:val="TableTextEntries"/>
            </w:pPr>
            <w:r w:rsidRPr="00ED41B4">
              <w:t>INH720</w:t>
            </w:r>
          </w:p>
        </w:tc>
        <w:tc>
          <w:tcPr>
            <w:tcW w:w="2612" w:type="dxa"/>
          </w:tcPr>
          <w:p w14:paraId="51F3283A" w14:textId="3C71D86B" w:rsidR="00305D9D" w:rsidRPr="00071B95" w:rsidRDefault="004D7A3C" w:rsidP="004615AF">
            <w:pPr>
              <w:pStyle w:val="TableTextEntries"/>
            </w:pPr>
            <w:hyperlink r:id="rId41" w:history="1">
              <w:r w:rsidR="00305D9D" w:rsidRPr="00ED41B4">
                <w:t xml:space="preserve">Quality at </w:t>
              </w:r>
              <w:r w:rsidR="007D410C">
                <w:t>i</w:t>
              </w:r>
              <w:r w:rsidR="00305D9D" w:rsidRPr="00ED41B4">
                <w:t>mplementation 2013</w:t>
              </w:r>
            </w:hyperlink>
          </w:p>
        </w:tc>
        <w:tc>
          <w:tcPr>
            <w:tcW w:w="2612" w:type="dxa"/>
          </w:tcPr>
          <w:p w14:paraId="785B2052" w14:textId="669FBA36" w:rsidR="00305D9D" w:rsidRPr="00071B95" w:rsidRDefault="002E0ECC" w:rsidP="004615AF">
            <w:pPr>
              <w:pStyle w:val="TableTextEntries"/>
            </w:pPr>
            <w:r>
              <w:t>I</w:t>
            </w:r>
            <w:r w:rsidR="00305D9D" w:rsidRPr="00071B95">
              <w:t>nform a future phase of program</w:t>
            </w:r>
          </w:p>
        </w:tc>
        <w:tc>
          <w:tcPr>
            <w:tcW w:w="2617" w:type="dxa"/>
          </w:tcPr>
          <w:p w14:paraId="5AF3CF2A" w14:textId="18B79BBC" w:rsidR="00305D9D" w:rsidRPr="00071B95" w:rsidRDefault="00305D9D" w:rsidP="004615AF">
            <w:pPr>
              <w:pStyle w:val="TableTextEntries"/>
            </w:pPr>
            <w:r w:rsidRPr="00C053B5">
              <w:t>1 Mar</w:t>
            </w:r>
            <w:r w:rsidR="002E0ECC">
              <w:t>ch</w:t>
            </w:r>
            <w:r w:rsidRPr="00C053B5">
              <w:t xml:space="preserve"> 2013</w:t>
            </w:r>
            <w:r w:rsidR="007D410C">
              <w:t>–</w:t>
            </w:r>
            <w:r w:rsidRPr="00C053B5">
              <w:t>28 Feb</w:t>
            </w:r>
            <w:r w:rsidR="002E0ECC">
              <w:t>ruary</w:t>
            </w:r>
            <w:r w:rsidRPr="00C053B5">
              <w:t xml:space="preserve"> 2014</w:t>
            </w:r>
          </w:p>
        </w:tc>
      </w:tr>
      <w:tr w:rsidR="00305D9D" w:rsidRPr="00071B95" w14:paraId="4550AEED" w14:textId="77777777" w:rsidTr="004615AF">
        <w:trPr>
          <w:cantSplit/>
          <w:tblHeader w:val="0"/>
        </w:trPr>
        <w:tc>
          <w:tcPr>
            <w:tcW w:w="2601" w:type="dxa"/>
          </w:tcPr>
          <w:p w14:paraId="27249652" w14:textId="25BEFD61" w:rsidR="00305D9D" w:rsidRPr="00071B95" w:rsidRDefault="00305D9D" w:rsidP="004615AF">
            <w:pPr>
              <w:pStyle w:val="TableTextEntries"/>
            </w:pPr>
            <w:r w:rsidRPr="00ED41B4">
              <w:t>Samoa Health Sector Initiative</w:t>
            </w:r>
          </w:p>
        </w:tc>
        <w:tc>
          <w:tcPr>
            <w:tcW w:w="2530" w:type="dxa"/>
          </w:tcPr>
          <w:p w14:paraId="41A77EDD" w14:textId="2B0B4A48" w:rsidR="00305D9D" w:rsidRPr="00071B95" w:rsidRDefault="00305D9D" w:rsidP="004615AF">
            <w:pPr>
              <w:pStyle w:val="TableTextEntries"/>
            </w:pPr>
            <w:r w:rsidRPr="00C053B5">
              <w:t>INH720</w:t>
            </w:r>
          </w:p>
        </w:tc>
        <w:tc>
          <w:tcPr>
            <w:tcW w:w="2612" w:type="dxa"/>
          </w:tcPr>
          <w:p w14:paraId="51BAAB2B" w14:textId="28612950" w:rsidR="00305D9D" w:rsidRPr="00071B95" w:rsidRDefault="00305D9D" w:rsidP="004615AF">
            <w:pPr>
              <w:pStyle w:val="TableTextEntries"/>
            </w:pPr>
            <w:r w:rsidRPr="00C053B5">
              <w:t xml:space="preserve">Independent </w:t>
            </w:r>
            <w:r w:rsidR="007D410C">
              <w:t>a</w:t>
            </w:r>
            <w:r w:rsidRPr="00C053B5">
              <w:t>ppraisal</w:t>
            </w:r>
          </w:p>
        </w:tc>
        <w:tc>
          <w:tcPr>
            <w:tcW w:w="2612" w:type="dxa"/>
          </w:tcPr>
          <w:p w14:paraId="01456405" w14:textId="33BD4202" w:rsidR="00305D9D" w:rsidRPr="00071B95" w:rsidRDefault="002E0ECC" w:rsidP="004615AF">
            <w:pPr>
              <w:pStyle w:val="TableTextEntries"/>
            </w:pPr>
            <w:r>
              <w:t>I</w:t>
            </w:r>
            <w:r w:rsidR="00305D9D" w:rsidRPr="00071B95">
              <w:t>mprove existing program</w:t>
            </w:r>
          </w:p>
        </w:tc>
        <w:tc>
          <w:tcPr>
            <w:tcW w:w="2617" w:type="dxa"/>
          </w:tcPr>
          <w:p w14:paraId="5E1ACDA9" w14:textId="7E9A20B6" w:rsidR="00305D9D" w:rsidRPr="00071B95" w:rsidRDefault="00305D9D" w:rsidP="004615AF">
            <w:pPr>
              <w:pStyle w:val="TableTextEntries"/>
            </w:pPr>
            <w:r w:rsidRPr="00C053B5">
              <w:t>25 Jun</w:t>
            </w:r>
            <w:r w:rsidR="002E0ECC">
              <w:t>e</w:t>
            </w:r>
            <w:r w:rsidRPr="00C053B5">
              <w:t xml:space="preserve"> 2013</w:t>
            </w:r>
            <w:r w:rsidR="007D410C">
              <w:t>–</w:t>
            </w:r>
            <w:r w:rsidRPr="00C053B5">
              <w:t>20 Dec</w:t>
            </w:r>
            <w:r w:rsidR="002E0ECC">
              <w:t>ember</w:t>
            </w:r>
            <w:r w:rsidRPr="00C053B5">
              <w:t xml:space="preserve"> 2013</w:t>
            </w:r>
          </w:p>
        </w:tc>
      </w:tr>
      <w:tr w:rsidR="00305D9D" w:rsidRPr="00071B95" w14:paraId="1DBE5C79" w14:textId="77777777" w:rsidTr="004615AF">
        <w:trPr>
          <w:cantSplit/>
          <w:tblHeader w:val="0"/>
        </w:trPr>
        <w:tc>
          <w:tcPr>
            <w:tcW w:w="2601" w:type="dxa"/>
          </w:tcPr>
          <w:p w14:paraId="435399EE" w14:textId="1D98260B" w:rsidR="00305D9D" w:rsidRPr="00071B95" w:rsidRDefault="00305D9D" w:rsidP="004615AF">
            <w:pPr>
              <w:pStyle w:val="TableTextEntries"/>
            </w:pPr>
            <w:r w:rsidRPr="001D2639">
              <w:t>Samoa Governance and Economic Stability</w:t>
            </w:r>
          </w:p>
        </w:tc>
        <w:tc>
          <w:tcPr>
            <w:tcW w:w="2530" w:type="dxa"/>
          </w:tcPr>
          <w:p w14:paraId="79452583" w14:textId="70F837A7" w:rsidR="00305D9D" w:rsidRPr="00071B95" w:rsidRDefault="00305D9D" w:rsidP="004615AF">
            <w:pPr>
              <w:pStyle w:val="TableTextEntries"/>
            </w:pPr>
            <w:r w:rsidRPr="001D2639">
              <w:t>INJ406</w:t>
            </w:r>
          </w:p>
        </w:tc>
        <w:tc>
          <w:tcPr>
            <w:tcW w:w="2612" w:type="dxa"/>
          </w:tcPr>
          <w:p w14:paraId="6CBCFB90" w14:textId="79E5EC16" w:rsidR="00305D9D" w:rsidRPr="00071B95" w:rsidRDefault="00305D9D" w:rsidP="004615AF">
            <w:pPr>
              <w:pStyle w:val="TableTextEntries"/>
            </w:pPr>
            <w:r w:rsidRPr="001D2639">
              <w:t>Independent evaluation</w:t>
            </w:r>
          </w:p>
        </w:tc>
        <w:tc>
          <w:tcPr>
            <w:tcW w:w="2612" w:type="dxa"/>
          </w:tcPr>
          <w:p w14:paraId="290BAF96" w14:textId="7F27CAAF" w:rsidR="00305D9D" w:rsidRPr="00071B95" w:rsidRDefault="002E0ECC" w:rsidP="004615AF">
            <w:pPr>
              <w:pStyle w:val="TableTextEntries"/>
            </w:pPr>
            <w:r>
              <w:t>I</w:t>
            </w:r>
            <w:r w:rsidR="00305D9D" w:rsidRPr="00071B95">
              <w:t>mprove existing program</w:t>
            </w:r>
          </w:p>
        </w:tc>
        <w:tc>
          <w:tcPr>
            <w:tcW w:w="2617" w:type="dxa"/>
          </w:tcPr>
          <w:p w14:paraId="405BD31A" w14:textId="349786F3" w:rsidR="00305D9D" w:rsidRPr="00071B95" w:rsidRDefault="00305D9D" w:rsidP="004615AF">
            <w:pPr>
              <w:pStyle w:val="TableTextEntries"/>
            </w:pPr>
            <w:r w:rsidRPr="001D2639">
              <w:t>2 September 2013</w:t>
            </w:r>
            <w:r w:rsidR="007D410C">
              <w:t>–</w:t>
            </w:r>
            <w:r w:rsidRPr="001D2639">
              <w:t>13 September 2013</w:t>
            </w:r>
          </w:p>
        </w:tc>
      </w:tr>
      <w:tr w:rsidR="00305D9D" w:rsidRPr="00071B95" w14:paraId="32C920B1" w14:textId="77777777" w:rsidTr="004615AF">
        <w:trPr>
          <w:cantSplit/>
          <w:tblHeader w:val="0"/>
        </w:trPr>
        <w:tc>
          <w:tcPr>
            <w:tcW w:w="2601" w:type="dxa"/>
          </w:tcPr>
          <w:p w14:paraId="3F551373" w14:textId="68F807A1" w:rsidR="00305D9D" w:rsidRPr="001D2639" w:rsidRDefault="00305D9D" w:rsidP="004615AF">
            <w:pPr>
              <w:pStyle w:val="TableTextEntries"/>
            </w:pPr>
            <w:r w:rsidRPr="001D2639">
              <w:t>Samoa Governance and Economic Stability</w:t>
            </w:r>
          </w:p>
        </w:tc>
        <w:tc>
          <w:tcPr>
            <w:tcW w:w="2530" w:type="dxa"/>
          </w:tcPr>
          <w:p w14:paraId="3DD7E850" w14:textId="0E49A9D2" w:rsidR="00305D9D" w:rsidRPr="001D2639" w:rsidRDefault="00305D9D" w:rsidP="004615AF">
            <w:pPr>
              <w:pStyle w:val="TableTextEntries"/>
            </w:pPr>
            <w:r w:rsidRPr="001D2639">
              <w:t>INJ406</w:t>
            </w:r>
          </w:p>
        </w:tc>
        <w:tc>
          <w:tcPr>
            <w:tcW w:w="2612" w:type="dxa"/>
          </w:tcPr>
          <w:p w14:paraId="1EF80E1F" w14:textId="3420D6FE" w:rsidR="00305D9D" w:rsidRPr="001D2639" w:rsidRDefault="00305D9D" w:rsidP="004615AF">
            <w:pPr>
              <w:pStyle w:val="TableTextEntries"/>
            </w:pPr>
            <w:r w:rsidRPr="001D2639">
              <w:t>Independent evaluation</w:t>
            </w:r>
          </w:p>
        </w:tc>
        <w:tc>
          <w:tcPr>
            <w:tcW w:w="2612" w:type="dxa"/>
          </w:tcPr>
          <w:p w14:paraId="2D42728F" w14:textId="64C9FCDC" w:rsidR="00305D9D" w:rsidRDefault="002E0ECC" w:rsidP="004615AF">
            <w:pPr>
              <w:pStyle w:val="TableTextEntries"/>
            </w:pPr>
            <w:r>
              <w:t>I</w:t>
            </w:r>
            <w:r w:rsidR="00305D9D" w:rsidRPr="00071B95">
              <w:t>mprove existing program</w:t>
            </w:r>
          </w:p>
        </w:tc>
        <w:tc>
          <w:tcPr>
            <w:tcW w:w="2617" w:type="dxa"/>
          </w:tcPr>
          <w:p w14:paraId="6931B3BC" w14:textId="33F65F7C" w:rsidR="00305D9D" w:rsidRPr="001D2639" w:rsidRDefault="00305D9D" w:rsidP="004615AF">
            <w:pPr>
              <w:pStyle w:val="TableTextEntries"/>
            </w:pPr>
            <w:r w:rsidRPr="001D2639">
              <w:t>1 October 2013</w:t>
            </w:r>
            <w:r w:rsidR="007D410C">
              <w:t>–</w:t>
            </w:r>
            <w:r w:rsidRPr="001D2639">
              <w:t>30 October 2013</w:t>
            </w:r>
          </w:p>
        </w:tc>
      </w:tr>
      <w:tr w:rsidR="00305D9D" w:rsidRPr="00071B95" w14:paraId="6FBD1F5B" w14:textId="77777777" w:rsidTr="004615AF">
        <w:trPr>
          <w:cantSplit/>
          <w:tblHeader w:val="0"/>
        </w:trPr>
        <w:tc>
          <w:tcPr>
            <w:tcW w:w="2601" w:type="dxa"/>
          </w:tcPr>
          <w:p w14:paraId="73EC4A37" w14:textId="080E3D30" w:rsidR="00305D9D" w:rsidRPr="001D2639" w:rsidRDefault="00305D9D" w:rsidP="004615AF">
            <w:pPr>
              <w:pStyle w:val="TableTextEntries"/>
            </w:pPr>
            <w:r w:rsidRPr="001D2639">
              <w:t>Samoa E</w:t>
            </w:r>
            <w:r w:rsidR="0029109A">
              <w:t xml:space="preserve">ducation Sector Program </w:t>
            </w:r>
            <w:r w:rsidRPr="001D2639">
              <w:t>II Implementation</w:t>
            </w:r>
          </w:p>
        </w:tc>
        <w:tc>
          <w:tcPr>
            <w:tcW w:w="2530" w:type="dxa"/>
          </w:tcPr>
          <w:p w14:paraId="4AE80848" w14:textId="6433EBA3" w:rsidR="00305D9D" w:rsidRPr="001D2639" w:rsidRDefault="00305D9D" w:rsidP="004615AF">
            <w:pPr>
              <w:pStyle w:val="TableTextEntries"/>
            </w:pPr>
            <w:r w:rsidRPr="001D2639">
              <w:t>ING971</w:t>
            </w:r>
          </w:p>
        </w:tc>
        <w:tc>
          <w:tcPr>
            <w:tcW w:w="2612" w:type="dxa"/>
          </w:tcPr>
          <w:p w14:paraId="42928600" w14:textId="0AD19D13" w:rsidR="00305D9D" w:rsidRPr="001D2639" w:rsidRDefault="00305D9D" w:rsidP="004615AF">
            <w:pPr>
              <w:pStyle w:val="TableTextEntries"/>
            </w:pPr>
            <w:r w:rsidRPr="001D2639">
              <w:t xml:space="preserve">Independent </w:t>
            </w:r>
            <w:r w:rsidR="007D410C">
              <w:t>p</w:t>
            </w:r>
            <w:r w:rsidRPr="001D2639">
              <w:t xml:space="preserve">rogress </w:t>
            </w:r>
            <w:r w:rsidR="007D410C">
              <w:t>r</w:t>
            </w:r>
            <w:r w:rsidRPr="001D2639">
              <w:t xml:space="preserve">eport </w:t>
            </w:r>
          </w:p>
        </w:tc>
        <w:tc>
          <w:tcPr>
            <w:tcW w:w="2612" w:type="dxa"/>
          </w:tcPr>
          <w:p w14:paraId="0A2B91A9" w14:textId="143CE3D8" w:rsidR="00305D9D" w:rsidRDefault="002E0ECC" w:rsidP="004615AF">
            <w:pPr>
              <w:pStyle w:val="TableTextEntries"/>
            </w:pPr>
            <w:r>
              <w:t>V</w:t>
            </w:r>
            <w:r w:rsidR="00305D9D" w:rsidRPr="00071B95">
              <w:t>erify program outcomes</w:t>
            </w:r>
          </w:p>
        </w:tc>
        <w:tc>
          <w:tcPr>
            <w:tcW w:w="2617" w:type="dxa"/>
          </w:tcPr>
          <w:p w14:paraId="447FA3D6" w14:textId="613BE969" w:rsidR="00305D9D" w:rsidRPr="001D2639" w:rsidRDefault="00305D9D" w:rsidP="004615AF">
            <w:pPr>
              <w:pStyle w:val="TableTextEntries"/>
            </w:pPr>
            <w:r w:rsidRPr="001D2639">
              <w:t>1 October 2012</w:t>
            </w:r>
            <w:r w:rsidR="007D410C">
              <w:t>–</w:t>
            </w:r>
            <w:r w:rsidRPr="001D2639">
              <w:t>30 November 2012</w:t>
            </w:r>
          </w:p>
        </w:tc>
      </w:tr>
      <w:tr w:rsidR="00305D9D" w:rsidRPr="00071B95" w14:paraId="0AB7375C" w14:textId="77777777" w:rsidTr="004615AF">
        <w:trPr>
          <w:cantSplit/>
          <w:tblHeader w:val="0"/>
        </w:trPr>
        <w:tc>
          <w:tcPr>
            <w:tcW w:w="2601" w:type="dxa"/>
          </w:tcPr>
          <w:p w14:paraId="5176F5B8" w14:textId="31D37294" w:rsidR="00305D9D" w:rsidRPr="001D2639" w:rsidRDefault="00305D9D" w:rsidP="004615AF">
            <w:pPr>
              <w:pStyle w:val="TableTextEntries"/>
            </w:pPr>
            <w:r w:rsidRPr="001D2639">
              <w:t>Samoa Disability Program</w:t>
            </w:r>
          </w:p>
        </w:tc>
        <w:tc>
          <w:tcPr>
            <w:tcW w:w="2530" w:type="dxa"/>
          </w:tcPr>
          <w:p w14:paraId="5BBD6D3B" w14:textId="17DF6D69" w:rsidR="00305D9D" w:rsidRPr="001D2639" w:rsidRDefault="00305D9D" w:rsidP="004615AF">
            <w:pPr>
              <w:pStyle w:val="TableTextEntries"/>
            </w:pPr>
            <w:r w:rsidRPr="001D2639">
              <w:t>INK859</w:t>
            </w:r>
          </w:p>
        </w:tc>
        <w:tc>
          <w:tcPr>
            <w:tcW w:w="2612" w:type="dxa"/>
          </w:tcPr>
          <w:p w14:paraId="0D146507" w14:textId="254E2119" w:rsidR="00305D9D" w:rsidRPr="001D2639" w:rsidRDefault="004D7A3C" w:rsidP="004615AF">
            <w:pPr>
              <w:pStyle w:val="TableTextEntries"/>
            </w:pPr>
            <w:hyperlink r:id="rId42" w:history="1">
              <w:r w:rsidR="00305D9D" w:rsidRPr="001D2639">
                <w:t>F</w:t>
              </w:r>
              <w:r w:rsidR="0029109A">
                <w:t>irst Assistance Director General</w:t>
              </w:r>
              <w:r w:rsidR="00305D9D" w:rsidRPr="001D2639">
                <w:t xml:space="preserve"> approval of investment concept </w:t>
              </w:r>
            </w:hyperlink>
          </w:p>
        </w:tc>
        <w:tc>
          <w:tcPr>
            <w:tcW w:w="2612" w:type="dxa"/>
          </w:tcPr>
          <w:p w14:paraId="627462EE" w14:textId="7D3A8B9C" w:rsidR="00305D9D" w:rsidRDefault="002E0ECC" w:rsidP="004615AF">
            <w:pPr>
              <w:pStyle w:val="TableTextEntries"/>
            </w:pPr>
            <w:r>
              <w:t>I</w:t>
            </w:r>
            <w:r w:rsidR="00305D9D" w:rsidRPr="00071B95">
              <w:t>nform a future phase of program</w:t>
            </w:r>
          </w:p>
        </w:tc>
        <w:tc>
          <w:tcPr>
            <w:tcW w:w="2617" w:type="dxa"/>
          </w:tcPr>
          <w:p w14:paraId="260436CE" w14:textId="4A0ADADB" w:rsidR="00305D9D" w:rsidRPr="001D2639" w:rsidRDefault="00305D9D" w:rsidP="004615AF">
            <w:pPr>
              <w:pStyle w:val="TableTextEntries"/>
            </w:pPr>
            <w:r w:rsidRPr="001D2639">
              <w:t>15 Jan</w:t>
            </w:r>
            <w:r w:rsidR="002E0ECC">
              <w:t>uary</w:t>
            </w:r>
            <w:r w:rsidRPr="001D2639">
              <w:t xml:space="preserve"> 2013</w:t>
            </w:r>
            <w:r w:rsidR="007D410C">
              <w:t>–</w:t>
            </w:r>
            <w:r w:rsidRPr="001D2639">
              <w:t>30 Jan</w:t>
            </w:r>
            <w:r w:rsidR="002E0ECC">
              <w:t>uary</w:t>
            </w:r>
            <w:r w:rsidRPr="001D2639">
              <w:t xml:space="preserve"> 2013</w:t>
            </w:r>
          </w:p>
        </w:tc>
      </w:tr>
      <w:tr w:rsidR="00305D9D" w:rsidRPr="00071B95" w14:paraId="38C4D1BE" w14:textId="77777777" w:rsidTr="004615AF">
        <w:trPr>
          <w:cantSplit/>
          <w:tblHeader w:val="0"/>
        </w:trPr>
        <w:tc>
          <w:tcPr>
            <w:tcW w:w="2601" w:type="dxa"/>
          </w:tcPr>
          <w:p w14:paraId="3D95DAE4" w14:textId="71AF3F69" w:rsidR="00305D9D" w:rsidRPr="001D2639" w:rsidRDefault="00305D9D" w:rsidP="004615AF">
            <w:pPr>
              <w:pStyle w:val="TableTextEntries"/>
            </w:pPr>
            <w:r w:rsidRPr="001D2639">
              <w:t>Samoa Parliament Complex Redevelopment</w:t>
            </w:r>
          </w:p>
        </w:tc>
        <w:tc>
          <w:tcPr>
            <w:tcW w:w="2530" w:type="dxa"/>
          </w:tcPr>
          <w:p w14:paraId="38FB38FE" w14:textId="6B2093BB" w:rsidR="00305D9D" w:rsidRPr="001D2639" w:rsidRDefault="00305D9D" w:rsidP="004615AF">
            <w:pPr>
              <w:pStyle w:val="TableTextEntries"/>
            </w:pPr>
            <w:r w:rsidRPr="001D2639">
              <w:t>INK604</w:t>
            </w:r>
          </w:p>
        </w:tc>
        <w:tc>
          <w:tcPr>
            <w:tcW w:w="2612" w:type="dxa"/>
          </w:tcPr>
          <w:p w14:paraId="18C62BC9" w14:textId="415888F3" w:rsidR="00305D9D" w:rsidRDefault="00305D9D" w:rsidP="004615AF">
            <w:pPr>
              <w:pStyle w:val="TableTextEntries"/>
            </w:pPr>
            <w:r w:rsidRPr="001D2639">
              <w:t>F</w:t>
            </w:r>
            <w:r w:rsidR="0029109A">
              <w:t>irst Assistance Director General</w:t>
            </w:r>
            <w:r w:rsidRPr="001D2639">
              <w:t xml:space="preserve"> approval of investment design</w:t>
            </w:r>
          </w:p>
        </w:tc>
        <w:tc>
          <w:tcPr>
            <w:tcW w:w="2612" w:type="dxa"/>
          </w:tcPr>
          <w:p w14:paraId="058A8AC0" w14:textId="6FF19D63" w:rsidR="00305D9D" w:rsidRPr="00071B95" w:rsidRDefault="002E0ECC" w:rsidP="004615AF">
            <w:pPr>
              <w:pStyle w:val="TableTextEntries"/>
            </w:pPr>
            <w:r>
              <w:t>I</w:t>
            </w:r>
            <w:r w:rsidR="00305D9D" w:rsidRPr="00071B95">
              <w:t>nform a future phase of program</w:t>
            </w:r>
          </w:p>
        </w:tc>
        <w:tc>
          <w:tcPr>
            <w:tcW w:w="2617" w:type="dxa"/>
          </w:tcPr>
          <w:p w14:paraId="2EF99B3A" w14:textId="232FD6DA" w:rsidR="00305D9D" w:rsidRPr="001D2639" w:rsidRDefault="00305D9D" w:rsidP="004615AF">
            <w:pPr>
              <w:pStyle w:val="TableTextEntries"/>
            </w:pPr>
            <w:r w:rsidRPr="001D2639">
              <w:t>8 May 2013</w:t>
            </w:r>
            <w:r w:rsidR="007D410C">
              <w:t>–</w:t>
            </w:r>
            <w:r w:rsidRPr="001D2639">
              <w:t>30 June 2013</w:t>
            </w:r>
          </w:p>
        </w:tc>
      </w:tr>
      <w:tr w:rsidR="00305D9D" w:rsidRPr="00071B95" w14:paraId="5BCA1BA0" w14:textId="77777777" w:rsidTr="004615AF">
        <w:trPr>
          <w:cantSplit/>
          <w:tblHeader w:val="0"/>
        </w:trPr>
        <w:tc>
          <w:tcPr>
            <w:tcW w:w="2601" w:type="dxa"/>
          </w:tcPr>
          <w:p w14:paraId="23D7B1BD" w14:textId="7392BFBC" w:rsidR="00305D9D" w:rsidRPr="001D2639" w:rsidRDefault="00305D9D" w:rsidP="004615AF">
            <w:pPr>
              <w:pStyle w:val="TableTextEntries"/>
            </w:pPr>
            <w:r w:rsidRPr="001D2639">
              <w:t>Samoa Parliament Complex Redevelopment</w:t>
            </w:r>
          </w:p>
        </w:tc>
        <w:tc>
          <w:tcPr>
            <w:tcW w:w="2530" w:type="dxa"/>
          </w:tcPr>
          <w:p w14:paraId="24CA6618" w14:textId="5FD27DBD" w:rsidR="00305D9D" w:rsidRPr="001D2639" w:rsidRDefault="00305D9D" w:rsidP="004615AF">
            <w:pPr>
              <w:pStyle w:val="TableTextEntries"/>
            </w:pPr>
            <w:r w:rsidRPr="001D2639">
              <w:t>INK604</w:t>
            </w:r>
          </w:p>
        </w:tc>
        <w:tc>
          <w:tcPr>
            <w:tcW w:w="2612" w:type="dxa"/>
          </w:tcPr>
          <w:p w14:paraId="03BB76AC" w14:textId="7D5234A5" w:rsidR="00305D9D" w:rsidRPr="001D2639" w:rsidRDefault="00305D9D" w:rsidP="004615AF">
            <w:pPr>
              <w:pStyle w:val="TableTextEntries"/>
            </w:pPr>
            <w:r w:rsidRPr="001D2639">
              <w:t>Peer review</w:t>
            </w:r>
          </w:p>
        </w:tc>
        <w:tc>
          <w:tcPr>
            <w:tcW w:w="2612" w:type="dxa"/>
          </w:tcPr>
          <w:p w14:paraId="49C450B1" w14:textId="77777777" w:rsidR="00305D9D" w:rsidRPr="00071B95" w:rsidRDefault="00305D9D" w:rsidP="004615AF">
            <w:pPr>
              <w:pStyle w:val="TableTextEntries"/>
            </w:pPr>
          </w:p>
        </w:tc>
        <w:tc>
          <w:tcPr>
            <w:tcW w:w="2617" w:type="dxa"/>
          </w:tcPr>
          <w:p w14:paraId="0B587696" w14:textId="55BA9AC5" w:rsidR="00305D9D" w:rsidRPr="001D2639" w:rsidRDefault="00305D9D" w:rsidP="004615AF">
            <w:pPr>
              <w:pStyle w:val="TableTextEntries"/>
            </w:pPr>
            <w:r w:rsidRPr="001D2639">
              <w:t>8 May 2013</w:t>
            </w:r>
            <w:r w:rsidR="007D410C">
              <w:t>–</w:t>
            </w:r>
            <w:r w:rsidRPr="001D2639">
              <w:t>8 May 2013</w:t>
            </w:r>
          </w:p>
        </w:tc>
      </w:tr>
      <w:tr w:rsidR="00305D9D" w:rsidRPr="00071B95" w14:paraId="6B388967" w14:textId="77777777" w:rsidTr="004615AF">
        <w:trPr>
          <w:cantSplit/>
          <w:tblHeader w:val="0"/>
        </w:trPr>
        <w:tc>
          <w:tcPr>
            <w:tcW w:w="2601" w:type="dxa"/>
          </w:tcPr>
          <w:p w14:paraId="4CCA770E" w14:textId="72FC22B6" w:rsidR="00305D9D" w:rsidRPr="001D2639" w:rsidRDefault="00305D9D" w:rsidP="004615AF">
            <w:pPr>
              <w:pStyle w:val="TableTextEntries"/>
            </w:pPr>
            <w:r w:rsidRPr="001D2639">
              <w:t>Samoa Economic Infrastructure</w:t>
            </w:r>
          </w:p>
        </w:tc>
        <w:tc>
          <w:tcPr>
            <w:tcW w:w="2530" w:type="dxa"/>
          </w:tcPr>
          <w:p w14:paraId="0E462815" w14:textId="4DCC8858" w:rsidR="00305D9D" w:rsidRPr="001D2639" w:rsidRDefault="00305D9D" w:rsidP="004615AF">
            <w:pPr>
              <w:pStyle w:val="TableTextEntries"/>
            </w:pPr>
            <w:r w:rsidRPr="001D2639">
              <w:t>INK657</w:t>
            </w:r>
          </w:p>
        </w:tc>
        <w:tc>
          <w:tcPr>
            <w:tcW w:w="2612" w:type="dxa"/>
          </w:tcPr>
          <w:p w14:paraId="347C78DC" w14:textId="72D06914" w:rsidR="00305D9D" w:rsidRPr="001D2639" w:rsidRDefault="004D7A3C" w:rsidP="004615AF">
            <w:pPr>
              <w:pStyle w:val="TableTextEntries"/>
            </w:pPr>
            <w:hyperlink r:id="rId43" w:history="1">
              <w:r w:rsidR="00305D9D" w:rsidRPr="001D2639">
                <w:t>Partner quality systems</w:t>
              </w:r>
            </w:hyperlink>
          </w:p>
        </w:tc>
        <w:tc>
          <w:tcPr>
            <w:tcW w:w="2612" w:type="dxa"/>
          </w:tcPr>
          <w:p w14:paraId="2635517C" w14:textId="5EC8D272" w:rsidR="00305D9D" w:rsidRPr="00071B95" w:rsidRDefault="002E0ECC" w:rsidP="004615AF">
            <w:pPr>
              <w:pStyle w:val="TableTextEntries"/>
            </w:pPr>
            <w:r>
              <w:t>V</w:t>
            </w:r>
            <w:r w:rsidR="00305D9D" w:rsidRPr="00071B95">
              <w:t>erify program outcomes</w:t>
            </w:r>
          </w:p>
        </w:tc>
        <w:tc>
          <w:tcPr>
            <w:tcW w:w="2617" w:type="dxa"/>
          </w:tcPr>
          <w:p w14:paraId="6683D969" w14:textId="593E48FD" w:rsidR="00305D9D" w:rsidRPr="001D2639" w:rsidRDefault="00305D9D" w:rsidP="004615AF">
            <w:pPr>
              <w:pStyle w:val="TableTextEntries"/>
            </w:pPr>
            <w:r w:rsidRPr="001D2639">
              <w:t>1 Aug</w:t>
            </w:r>
            <w:r w:rsidR="002E0ECC">
              <w:t>ust</w:t>
            </w:r>
            <w:r w:rsidRPr="001D2639">
              <w:t xml:space="preserve"> 2013</w:t>
            </w:r>
            <w:r w:rsidR="007D410C">
              <w:t>–</w:t>
            </w:r>
            <w:r w:rsidRPr="001D2639">
              <w:t>30 Aug</w:t>
            </w:r>
            <w:r w:rsidR="002E0ECC">
              <w:t>ust</w:t>
            </w:r>
            <w:r w:rsidRPr="001D2639">
              <w:t xml:space="preserve"> 2013</w:t>
            </w:r>
          </w:p>
        </w:tc>
      </w:tr>
      <w:tr w:rsidR="00305D9D" w:rsidRPr="00071B95" w14:paraId="3B436F98" w14:textId="77777777" w:rsidTr="004615AF">
        <w:trPr>
          <w:cantSplit/>
          <w:tblHeader w:val="0"/>
        </w:trPr>
        <w:tc>
          <w:tcPr>
            <w:tcW w:w="2601" w:type="dxa"/>
          </w:tcPr>
          <w:p w14:paraId="35A73286" w14:textId="7C8AAACD" w:rsidR="00305D9D" w:rsidRPr="001D2639" w:rsidRDefault="00305D9D" w:rsidP="004615AF">
            <w:pPr>
              <w:pStyle w:val="TableTextEntries"/>
            </w:pPr>
            <w:r w:rsidRPr="001D2639">
              <w:t>A</w:t>
            </w:r>
            <w:r w:rsidR="0029109A">
              <w:t>sian Development Bank</w:t>
            </w:r>
            <w:r w:rsidRPr="001D2639">
              <w:t xml:space="preserve"> Samoa Power Sector Expansion Program</w:t>
            </w:r>
          </w:p>
        </w:tc>
        <w:tc>
          <w:tcPr>
            <w:tcW w:w="2530" w:type="dxa"/>
          </w:tcPr>
          <w:p w14:paraId="6A4A0376" w14:textId="604D91D4" w:rsidR="00305D9D" w:rsidRPr="001D2639" w:rsidRDefault="00305D9D" w:rsidP="004615AF">
            <w:pPr>
              <w:pStyle w:val="TableTextEntries"/>
            </w:pPr>
            <w:r w:rsidRPr="001D2639">
              <w:t>INH315</w:t>
            </w:r>
          </w:p>
        </w:tc>
        <w:tc>
          <w:tcPr>
            <w:tcW w:w="2612" w:type="dxa"/>
          </w:tcPr>
          <w:p w14:paraId="3473BC54" w14:textId="354392FC" w:rsidR="00305D9D" w:rsidRDefault="004D7A3C" w:rsidP="004615AF">
            <w:pPr>
              <w:pStyle w:val="TableTextEntries"/>
            </w:pPr>
            <w:hyperlink r:id="rId44" w:history="1">
              <w:r w:rsidR="00305D9D" w:rsidRPr="001D2639">
                <w:t xml:space="preserve">Quality at </w:t>
              </w:r>
              <w:r w:rsidR="007D410C">
                <w:t>i</w:t>
              </w:r>
              <w:r w:rsidR="00305D9D" w:rsidRPr="001D2639">
                <w:t>mplementation</w:t>
              </w:r>
              <w:r w:rsidR="0029109A">
                <w:t xml:space="preserve"> </w:t>
              </w:r>
              <w:r w:rsidR="00305D9D" w:rsidRPr="001D2639">
                <w:t>2013</w:t>
              </w:r>
            </w:hyperlink>
          </w:p>
        </w:tc>
        <w:tc>
          <w:tcPr>
            <w:tcW w:w="2612" w:type="dxa"/>
          </w:tcPr>
          <w:p w14:paraId="570CC306" w14:textId="73361007" w:rsidR="00305D9D" w:rsidRDefault="002E0ECC" w:rsidP="004615AF">
            <w:pPr>
              <w:pStyle w:val="TableTextEntries"/>
            </w:pPr>
            <w:r>
              <w:t>I</w:t>
            </w:r>
            <w:r w:rsidR="00305D9D" w:rsidRPr="00071B95">
              <w:t>nform a future phase of program</w:t>
            </w:r>
          </w:p>
        </w:tc>
        <w:tc>
          <w:tcPr>
            <w:tcW w:w="2617" w:type="dxa"/>
          </w:tcPr>
          <w:p w14:paraId="1FA29539" w14:textId="7C11C8A9" w:rsidR="00305D9D" w:rsidRPr="001D2639" w:rsidRDefault="00305D9D" w:rsidP="004615AF">
            <w:pPr>
              <w:pStyle w:val="TableTextEntries"/>
            </w:pPr>
            <w:r w:rsidRPr="001D2639">
              <w:t>25 Nov</w:t>
            </w:r>
            <w:r w:rsidR="002E0ECC">
              <w:t>ember</w:t>
            </w:r>
            <w:r w:rsidRPr="001D2639">
              <w:t xml:space="preserve"> 2013</w:t>
            </w:r>
            <w:r w:rsidR="007D410C">
              <w:t>–</w:t>
            </w:r>
            <w:r w:rsidRPr="001D2639">
              <w:t>29 Nov</w:t>
            </w:r>
            <w:r w:rsidR="002E0ECC">
              <w:t>ember</w:t>
            </w:r>
            <w:r w:rsidRPr="001D2639">
              <w:t xml:space="preserve"> 2013</w:t>
            </w:r>
          </w:p>
        </w:tc>
      </w:tr>
      <w:tr w:rsidR="00305D9D" w:rsidRPr="00071B95" w14:paraId="69338BA5" w14:textId="77777777" w:rsidTr="004615AF">
        <w:trPr>
          <w:cantSplit/>
          <w:tblHeader w:val="0"/>
        </w:trPr>
        <w:tc>
          <w:tcPr>
            <w:tcW w:w="2601" w:type="dxa"/>
          </w:tcPr>
          <w:p w14:paraId="348E72A0" w14:textId="6EC77ECB" w:rsidR="00305D9D" w:rsidRPr="001D2639" w:rsidRDefault="00305D9D" w:rsidP="004615AF">
            <w:pPr>
              <w:pStyle w:val="TableTextEntries"/>
            </w:pPr>
            <w:r w:rsidRPr="001D2639">
              <w:t>A</w:t>
            </w:r>
            <w:r w:rsidR="0029109A">
              <w:t>sian Development Bank</w:t>
            </w:r>
            <w:r w:rsidRPr="001D2639">
              <w:t xml:space="preserve"> Samoa Power Sector Expansion Program</w:t>
            </w:r>
          </w:p>
        </w:tc>
        <w:tc>
          <w:tcPr>
            <w:tcW w:w="2530" w:type="dxa"/>
          </w:tcPr>
          <w:p w14:paraId="57D04215" w14:textId="684A0DDC" w:rsidR="00305D9D" w:rsidRPr="001D2639" w:rsidRDefault="00305D9D" w:rsidP="004615AF">
            <w:pPr>
              <w:pStyle w:val="TableTextEntries"/>
            </w:pPr>
            <w:r w:rsidRPr="001D2639">
              <w:t>INH315</w:t>
            </w:r>
          </w:p>
        </w:tc>
        <w:tc>
          <w:tcPr>
            <w:tcW w:w="2612" w:type="dxa"/>
          </w:tcPr>
          <w:p w14:paraId="6B841749" w14:textId="7658298E" w:rsidR="00305D9D" w:rsidRDefault="004D7A3C" w:rsidP="004615AF">
            <w:pPr>
              <w:pStyle w:val="TableTextEntries"/>
            </w:pPr>
            <w:hyperlink r:id="rId45" w:history="1">
              <w:r w:rsidR="00305D9D" w:rsidRPr="001D2639">
                <w:t xml:space="preserve">Other quality process </w:t>
              </w:r>
            </w:hyperlink>
          </w:p>
        </w:tc>
        <w:tc>
          <w:tcPr>
            <w:tcW w:w="2612" w:type="dxa"/>
          </w:tcPr>
          <w:p w14:paraId="457E4ECB" w14:textId="77777777" w:rsidR="00305D9D" w:rsidRPr="00071B95" w:rsidRDefault="00305D9D" w:rsidP="004615AF">
            <w:pPr>
              <w:pStyle w:val="TableTextEntries"/>
            </w:pPr>
          </w:p>
        </w:tc>
        <w:tc>
          <w:tcPr>
            <w:tcW w:w="2617" w:type="dxa"/>
          </w:tcPr>
          <w:p w14:paraId="19A1A494" w14:textId="6BA0E716" w:rsidR="00305D9D" w:rsidRPr="001D2639" w:rsidRDefault="00305D9D" w:rsidP="004615AF">
            <w:pPr>
              <w:pStyle w:val="TableTextEntries"/>
            </w:pPr>
            <w:r w:rsidRPr="001D2639">
              <w:t>30 Jul</w:t>
            </w:r>
            <w:r w:rsidR="002E0ECC">
              <w:t>y</w:t>
            </w:r>
            <w:r w:rsidRPr="001D2639">
              <w:t>2013</w:t>
            </w:r>
            <w:r w:rsidR="007D410C">
              <w:t>–</w:t>
            </w:r>
            <w:r w:rsidRPr="001D2639">
              <w:t>30 Aug</w:t>
            </w:r>
            <w:r w:rsidR="002E0ECC">
              <w:t>ust</w:t>
            </w:r>
            <w:r w:rsidRPr="001D2639">
              <w:t xml:space="preserve"> 2013</w:t>
            </w:r>
          </w:p>
        </w:tc>
      </w:tr>
      <w:tr w:rsidR="00305D9D" w:rsidRPr="00071B95" w14:paraId="3FD60704" w14:textId="77777777" w:rsidTr="004615AF">
        <w:trPr>
          <w:cantSplit/>
          <w:tblHeader w:val="0"/>
        </w:trPr>
        <w:tc>
          <w:tcPr>
            <w:tcW w:w="2601" w:type="dxa"/>
          </w:tcPr>
          <w:p w14:paraId="239DB5EB" w14:textId="10D80840" w:rsidR="00305D9D" w:rsidRPr="001D2639" w:rsidRDefault="00305D9D" w:rsidP="004615AF">
            <w:pPr>
              <w:pStyle w:val="TableTextEntries"/>
            </w:pPr>
            <w:r w:rsidRPr="001D2639">
              <w:t>Samoa Climate Change Adaptation Initiative</w:t>
            </w:r>
          </w:p>
        </w:tc>
        <w:tc>
          <w:tcPr>
            <w:tcW w:w="2530" w:type="dxa"/>
          </w:tcPr>
          <w:p w14:paraId="7458B97B" w14:textId="4AC147B5" w:rsidR="00305D9D" w:rsidRPr="001D2639" w:rsidRDefault="00305D9D" w:rsidP="004615AF">
            <w:pPr>
              <w:pStyle w:val="TableTextEntries"/>
            </w:pPr>
            <w:r w:rsidRPr="001D2639">
              <w:t>INJ900</w:t>
            </w:r>
          </w:p>
        </w:tc>
        <w:tc>
          <w:tcPr>
            <w:tcW w:w="2612" w:type="dxa"/>
          </w:tcPr>
          <w:p w14:paraId="0AD09DF8" w14:textId="7C6A92B4" w:rsidR="00305D9D" w:rsidRDefault="004D7A3C" w:rsidP="004615AF">
            <w:pPr>
              <w:pStyle w:val="TableTextEntries"/>
            </w:pPr>
            <w:hyperlink r:id="rId46" w:history="1">
              <w:r w:rsidR="00305D9D" w:rsidRPr="001D2639">
                <w:t xml:space="preserve">Quality at </w:t>
              </w:r>
              <w:r w:rsidR="00710F68">
                <w:t>i</w:t>
              </w:r>
              <w:r w:rsidR="00305D9D" w:rsidRPr="001D2639">
                <w:t>mplementation</w:t>
              </w:r>
              <w:r w:rsidR="0029109A">
                <w:t xml:space="preserve"> </w:t>
              </w:r>
              <w:r w:rsidR="00305D9D" w:rsidRPr="001D2639">
                <w:t>2014</w:t>
              </w:r>
            </w:hyperlink>
          </w:p>
        </w:tc>
        <w:tc>
          <w:tcPr>
            <w:tcW w:w="2612" w:type="dxa"/>
          </w:tcPr>
          <w:p w14:paraId="0048F75C" w14:textId="77777777" w:rsidR="00305D9D" w:rsidRPr="00071B95" w:rsidRDefault="00305D9D" w:rsidP="004615AF">
            <w:pPr>
              <w:pStyle w:val="TableTextEntries"/>
            </w:pPr>
          </w:p>
        </w:tc>
        <w:tc>
          <w:tcPr>
            <w:tcW w:w="2617" w:type="dxa"/>
          </w:tcPr>
          <w:p w14:paraId="0A4623BF" w14:textId="7A647290" w:rsidR="00305D9D" w:rsidRPr="001D2639" w:rsidRDefault="00305D9D" w:rsidP="004615AF">
            <w:pPr>
              <w:pStyle w:val="TableTextEntries"/>
            </w:pPr>
            <w:r w:rsidRPr="001D2639">
              <w:t>30 Nov</w:t>
            </w:r>
            <w:r w:rsidR="002E0ECC">
              <w:t>ember</w:t>
            </w:r>
            <w:r w:rsidRPr="001D2639">
              <w:t xml:space="preserve"> 2013</w:t>
            </w:r>
          </w:p>
        </w:tc>
      </w:tr>
      <w:tr w:rsidR="00305D9D" w:rsidRPr="00071B95" w14:paraId="3C60EB5E" w14:textId="77777777" w:rsidTr="004615AF">
        <w:trPr>
          <w:cantSplit/>
          <w:tblHeader w:val="0"/>
        </w:trPr>
        <w:tc>
          <w:tcPr>
            <w:tcW w:w="2601" w:type="dxa"/>
          </w:tcPr>
          <w:p w14:paraId="0B0435B4" w14:textId="6D325667" w:rsidR="00305D9D" w:rsidRPr="001D2639" w:rsidRDefault="00305D9D" w:rsidP="004615AF">
            <w:pPr>
              <w:pStyle w:val="TableTextEntries"/>
            </w:pPr>
            <w:r w:rsidRPr="001D2639">
              <w:t>Samoa Climate Change Adaptation Initiative</w:t>
            </w:r>
          </w:p>
        </w:tc>
        <w:tc>
          <w:tcPr>
            <w:tcW w:w="2530" w:type="dxa"/>
          </w:tcPr>
          <w:p w14:paraId="3B8CEEC4" w14:textId="3F29A4C7" w:rsidR="00305D9D" w:rsidRPr="001D2639" w:rsidRDefault="00305D9D" w:rsidP="004615AF">
            <w:pPr>
              <w:pStyle w:val="TableTextEntries"/>
            </w:pPr>
            <w:r w:rsidRPr="001D2639">
              <w:t>INJ900</w:t>
            </w:r>
          </w:p>
        </w:tc>
        <w:tc>
          <w:tcPr>
            <w:tcW w:w="2612" w:type="dxa"/>
          </w:tcPr>
          <w:p w14:paraId="28B0ADC5" w14:textId="36B695E4" w:rsidR="00305D9D" w:rsidRDefault="00305D9D" w:rsidP="004615AF">
            <w:pPr>
              <w:pStyle w:val="TableTextEntries"/>
            </w:pPr>
            <w:r w:rsidRPr="001D2639">
              <w:t>Other quality process</w:t>
            </w:r>
          </w:p>
        </w:tc>
        <w:tc>
          <w:tcPr>
            <w:tcW w:w="2612" w:type="dxa"/>
          </w:tcPr>
          <w:p w14:paraId="1D072CDE" w14:textId="77777777" w:rsidR="00305D9D" w:rsidRPr="00071B95" w:rsidRDefault="00305D9D" w:rsidP="004615AF">
            <w:pPr>
              <w:pStyle w:val="TableTextEntries"/>
            </w:pPr>
          </w:p>
        </w:tc>
        <w:tc>
          <w:tcPr>
            <w:tcW w:w="2617" w:type="dxa"/>
          </w:tcPr>
          <w:p w14:paraId="3751135F" w14:textId="61154678" w:rsidR="00305D9D" w:rsidRPr="001D2639" w:rsidRDefault="00305D9D" w:rsidP="004615AF">
            <w:pPr>
              <w:pStyle w:val="TableTextEntries"/>
            </w:pPr>
            <w:r w:rsidRPr="001D2639">
              <w:t xml:space="preserve">30 </w:t>
            </w:r>
            <w:r w:rsidR="002E0ECC" w:rsidRPr="001D2639">
              <w:t>Jul</w:t>
            </w:r>
            <w:r w:rsidR="002E0ECC">
              <w:t>y</w:t>
            </w:r>
            <w:r w:rsidRPr="001D2639">
              <w:t>2013</w:t>
            </w:r>
            <w:r w:rsidR="00710F68">
              <w:t>—</w:t>
            </w:r>
            <w:r w:rsidRPr="001D2639">
              <w:t>30 Aug</w:t>
            </w:r>
            <w:r w:rsidR="002E0ECC">
              <w:t>ust</w:t>
            </w:r>
            <w:r w:rsidRPr="001D2639">
              <w:t xml:space="preserve"> 2013</w:t>
            </w:r>
          </w:p>
        </w:tc>
      </w:tr>
    </w:tbl>
    <w:p w14:paraId="304B65E1" w14:textId="77777777" w:rsidR="00305D9D" w:rsidRDefault="00305D9D" w:rsidP="00A47ECF">
      <w:pPr>
        <w:pStyle w:val="BodyText"/>
        <w:rPr>
          <w:rFonts w:ascii="Franklin Gothic Demi" w:hAnsi="Franklin Gothic Demi" w:cs="Arial"/>
          <w:color w:val="AD495D"/>
          <w:kern w:val="28"/>
          <w:sz w:val="28"/>
          <w:szCs w:val="28"/>
        </w:rPr>
      </w:pPr>
      <w:r>
        <w:br w:type="page"/>
      </w:r>
    </w:p>
    <w:p w14:paraId="367D2C83" w14:textId="2B50A63A" w:rsidR="00FE4491" w:rsidRPr="004615AF" w:rsidRDefault="00EA10CE" w:rsidP="004615AF">
      <w:pPr>
        <w:pStyle w:val="Heading1"/>
      </w:pPr>
      <w:r w:rsidRPr="004615AF">
        <w:t xml:space="preserve">Annex </w:t>
      </w:r>
      <w:r w:rsidR="00F17CEB" w:rsidRPr="004615AF">
        <w:t>E</w:t>
      </w:r>
      <w:r w:rsidR="00E2393A" w:rsidRPr="004615AF">
        <w:t>:</w:t>
      </w:r>
      <w:r w:rsidR="00E53359">
        <w:t xml:space="preserve"> </w:t>
      </w:r>
      <w:r w:rsidR="00086FA5" w:rsidRPr="004615AF">
        <w:t>Progress in addressing 2011 management consequences</w:t>
      </w:r>
    </w:p>
    <w:tbl>
      <w:tblPr>
        <w:tblStyle w:val="APPR"/>
        <w:tblpPr w:leftFromText="180" w:rightFromText="180" w:vertAnchor="text" w:tblpX="-6" w:tblpY="1"/>
        <w:tblW w:w="5098" w:type="pct"/>
        <w:tblLayout w:type="fixed"/>
        <w:tblLook w:val="0000" w:firstRow="0" w:lastRow="0" w:firstColumn="0" w:lastColumn="0" w:noHBand="0" w:noVBand="0"/>
      </w:tblPr>
      <w:tblGrid>
        <w:gridCol w:w="6289"/>
        <w:gridCol w:w="1096"/>
        <w:gridCol w:w="6825"/>
      </w:tblGrid>
      <w:tr w:rsidR="00FE4491" w:rsidRPr="00180B19" w14:paraId="367D2C88" w14:textId="77777777" w:rsidTr="004615AF">
        <w:trPr>
          <w:cnfStyle w:val="000000010000" w:firstRow="0" w:lastRow="0" w:firstColumn="0" w:lastColumn="0" w:oddVBand="0" w:evenVBand="0" w:oddHBand="0" w:evenHBand="1" w:firstRowFirstColumn="0" w:firstRowLastColumn="0" w:lastRowFirstColumn="0" w:lastRowLastColumn="0"/>
        </w:trPr>
        <w:tc>
          <w:tcPr>
            <w:tcW w:w="6221" w:type="dxa"/>
          </w:tcPr>
          <w:p w14:paraId="367D2C85" w14:textId="77777777" w:rsidR="00FE4491" w:rsidRPr="004615AF" w:rsidRDefault="00FE4491" w:rsidP="004615AF">
            <w:pPr>
              <w:pStyle w:val="TableTextColumnHeading"/>
            </w:pPr>
            <w:r w:rsidRPr="004615AF">
              <w:t>Management consequences identified in 2011 APPR</w:t>
            </w:r>
            <w:r w:rsidRPr="004615AF">
              <w:tab/>
            </w:r>
          </w:p>
        </w:tc>
        <w:tc>
          <w:tcPr>
            <w:tcW w:w="1064" w:type="dxa"/>
          </w:tcPr>
          <w:p w14:paraId="367D2C86" w14:textId="77777777" w:rsidR="00FE4491" w:rsidRPr="004615AF" w:rsidRDefault="00FE4491" w:rsidP="004615AF">
            <w:pPr>
              <w:pStyle w:val="TableTextColumnHeading"/>
            </w:pPr>
            <w:r w:rsidRPr="004615AF">
              <w:t>Rating</w:t>
            </w:r>
          </w:p>
        </w:tc>
        <w:tc>
          <w:tcPr>
            <w:tcW w:w="6755" w:type="dxa"/>
          </w:tcPr>
          <w:p w14:paraId="367D2C87" w14:textId="083D4E27" w:rsidR="00FE4491" w:rsidRPr="004615AF" w:rsidRDefault="00FE4491" w:rsidP="004615AF">
            <w:pPr>
              <w:pStyle w:val="TableTextColumnHeading"/>
            </w:pPr>
            <w:r w:rsidRPr="004615AF">
              <w:t>Progress made in 2012</w:t>
            </w:r>
            <w:r w:rsidR="00710F68" w:rsidRPr="004615AF">
              <w:t>–</w:t>
            </w:r>
            <w:r w:rsidRPr="004615AF">
              <w:t>13</w:t>
            </w:r>
          </w:p>
        </w:tc>
      </w:tr>
      <w:tr w:rsidR="00344C38" w:rsidRPr="00180B19" w14:paraId="367D2C8C"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367D2C89" w14:textId="32EBD881" w:rsidR="00344C38" w:rsidRPr="004615AF" w:rsidRDefault="00344C38" w:rsidP="004615AF">
            <w:pPr>
              <w:pStyle w:val="TableTextEntries"/>
            </w:pPr>
            <w:r w:rsidRPr="004615AF">
              <w:t xml:space="preserve">Complete design work to program </w:t>
            </w:r>
            <w:r w:rsidR="00A72845" w:rsidRPr="004615AF">
              <w:t xml:space="preserve">future financing </w:t>
            </w:r>
            <w:r w:rsidRPr="004615AF">
              <w:t>gap. The Samoa program aim</w:t>
            </w:r>
            <w:r w:rsidR="001423AF" w:rsidRPr="004615AF">
              <w:t>s</w:t>
            </w:r>
            <w:r w:rsidRPr="004615AF">
              <w:t xml:space="preserve"> to have 70 per cent of 2013–14 to 2015–16</w:t>
            </w:r>
            <w:r w:rsidR="00A72845" w:rsidRPr="004615AF">
              <w:t xml:space="preserve"> financing</w:t>
            </w:r>
            <w:r w:rsidRPr="004615AF">
              <w:t xml:space="preserve"> pipeline committed by the end of June 2013</w:t>
            </w:r>
            <w:r w:rsidR="001423AF" w:rsidRPr="004615AF">
              <w:t>.</w:t>
            </w:r>
          </w:p>
        </w:tc>
        <w:tc>
          <w:tcPr>
            <w:tcW w:w="1064" w:type="dxa"/>
            <w:shd w:val="clear" w:color="auto" w:fill="92D050"/>
            <w:vAlign w:val="center"/>
          </w:tcPr>
          <w:p w14:paraId="367D2C8A" w14:textId="1CAA50FC" w:rsidR="00344C38" w:rsidRPr="004615AF" w:rsidRDefault="000530C2" w:rsidP="006B4FE5">
            <w:pPr>
              <w:pStyle w:val="TableTextEntries"/>
              <w:jc w:val="center"/>
            </w:pPr>
            <w:r w:rsidRPr="004615AF">
              <w:t>On track</w:t>
            </w:r>
          </w:p>
        </w:tc>
        <w:tc>
          <w:tcPr>
            <w:tcW w:w="6755" w:type="dxa"/>
            <w:vAlign w:val="center"/>
          </w:tcPr>
          <w:p w14:paraId="367D2C8B" w14:textId="3B9D5884" w:rsidR="00344C38" w:rsidRPr="004615AF" w:rsidRDefault="007221B4" w:rsidP="004615AF">
            <w:pPr>
              <w:pStyle w:val="TableTextEntries"/>
            </w:pPr>
            <w:r w:rsidRPr="004615AF">
              <w:t xml:space="preserve">As of </w:t>
            </w:r>
            <w:r w:rsidR="000530C2" w:rsidRPr="004615AF">
              <w:t>11 June 2013, 85.7</w:t>
            </w:r>
            <w:r w:rsidR="00CF3785" w:rsidRPr="004615AF">
              <w:t xml:space="preserve"> per cent</w:t>
            </w:r>
            <w:r w:rsidRPr="004615AF">
              <w:t xml:space="preserve"> of 2013</w:t>
            </w:r>
            <w:r w:rsidR="001423AF" w:rsidRPr="004615AF">
              <w:t>–</w:t>
            </w:r>
            <w:r w:rsidRPr="004615AF">
              <w:t>14 funds were committed and 9</w:t>
            </w:r>
            <w:r w:rsidR="000530C2" w:rsidRPr="004615AF">
              <w:t>.6</w:t>
            </w:r>
            <w:r w:rsidR="00CF3785" w:rsidRPr="004615AF">
              <w:t xml:space="preserve"> per cent</w:t>
            </w:r>
            <w:r w:rsidRPr="004615AF">
              <w:t xml:space="preserve"> of 2014</w:t>
            </w:r>
            <w:r w:rsidR="006101B2" w:rsidRPr="004615AF">
              <w:t>–</w:t>
            </w:r>
            <w:r w:rsidRPr="004615AF">
              <w:t>15 funds (</w:t>
            </w:r>
            <w:r w:rsidR="001423AF" w:rsidRPr="004615AF">
              <w:t>u</w:t>
            </w:r>
            <w:r w:rsidRPr="004615AF">
              <w:t>p from 8.36</w:t>
            </w:r>
            <w:r w:rsidR="00CF3785" w:rsidRPr="004615AF">
              <w:t xml:space="preserve"> per cent</w:t>
            </w:r>
            <w:r w:rsidRPr="004615AF">
              <w:t xml:space="preserve"> and 6.98</w:t>
            </w:r>
            <w:r w:rsidR="00CF3785" w:rsidRPr="004615AF">
              <w:t xml:space="preserve"> per cent</w:t>
            </w:r>
            <w:r w:rsidRPr="004615AF">
              <w:t xml:space="preserve"> in September 2012). While significant design work is underway across the program </w:t>
            </w:r>
            <w:r w:rsidR="00A72845" w:rsidRPr="004615AF">
              <w:t xml:space="preserve">progress has been slow </w:t>
            </w:r>
            <w:r w:rsidR="001423AF" w:rsidRPr="004615AF">
              <w:t>and</w:t>
            </w:r>
            <w:r w:rsidR="000530C2" w:rsidRPr="004615AF">
              <w:t xml:space="preserve"> the target for </w:t>
            </w:r>
            <w:r w:rsidR="001423AF" w:rsidRPr="004615AF">
              <w:t xml:space="preserve">design work of </w:t>
            </w:r>
            <w:r w:rsidR="000530C2" w:rsidRPr="004615AF">
              <w:t>2015</w:t>
            </w:r>
            <w:r w:rsidR="006101B2" w:rsidRPr="004615AF">
              <w:t>–</w:t>
            </w:r>
            <w:r w:rsidR="000530C2" w:rsidRPr="004615AF">
              <w:t>16 is</w:t>
            </w:r>
            <w:r w:rsidRPr="004615AF">
              <w:t xml:space="preserve"> unlikely to be met.</w:t>
            </w:r>
          </w:p>
        </w:tc>
      </w:tr>
      <w:tr w:rsidR="00344C38" w:rsidRPr="00180B19" w14:paraId="44CC0A50"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555C6F56" w14:textId="2B70F769" w:rsidR="00344C38" w:rsidRPr="004615AF" w:rsidRDefault="00344C38" w:rsidP="004615AF">
            <w:pPr>
              <w:pStyle w:val="TableTextEntries"/>
            </w:pPr>
            <w:r w:rsidRPr="004615AF">
              <w:t xml:space="preserve">Review the </w:t>
            </w:r>
            <w:r w:rsidR="00A72845" w:rsidRPr="004615AF">
              <w:t>P</w:t>
            </w:r>
            <w:r w:rsidRPr="004615AF">
              <w:t xml:space="preserve">artnership in light of the new SDS. This will be </w:t>
            </w:r>
            <w:r w:rsidR="00A72845" w:rsidRPr="004615AF">
              <w:t>a</w:t>
            </w:r>
            <w:r w:rsidRPr="004615AF">
              <w:t xml:space="preserve"> focus of the August 2012 </w:t>
            </w:r>
            <w:r w:rsidR="006101B2" w:rsidRPr="004615AF">
              <w:t>P</w:t>
            </w:r>
            <w:r w:rsidRPr="004615AF">
              <w:t xml:space="preserve">artnership </w:t>
            </w:r>
            <w:r w:rsidR="006101B2" w:rsidRPr="004615AF">
              <w:t>T</w:t>
            </w:r>
            <w:r w:rsidRPr="004615AF">
              <w:t>alks.</w:t>
            </w:r>
          </w:p>
        </w:tc>
        <w:tc>
          <w:tcPr>
            <w:tcW w:w="1064" w:type="dxa"/>
            <w:shd w:val="clear" w:color="auto" w:fill="92D050"/>
            <w:vAlign w:val="center"/>
          </w:tcPr>
          <w:p w14:paraId="4DFCBF1A" w14:textId="77777777" w:rsidR="00344C38" w:rsidRPr="004615AF" w:rsidRDefault="00344C38" w:rsidP="006B4FE5">
            <w:pPr>
              <w:pStyle w:val="TableTextEntries"/>
              <w:jc w:val="center"/>
            </w:pPr>
            <w:r w:rsidRPr="004615AF">
              <w:t>Achieved</w:t>
            </w:r>
          </w:p>
          <w:p w14:paraId="56280943" w14:textId="743C304B" w:rsidR="00344C38" w:rsidRPr="004615AF" w:rsidRDefault="00344C38" w:rsidP="006B4FE5">
            <w:pPr>
              <w:pStyle w:val="TableTextEntries"/>
              <w:jc w:val="center"/>
            </w:pPr>
            <w:r w:rsidRPr="004615AF">
              <w:t>(ongoing)</w:t>
            </w:r>
          </w:p>
        </w:tc>
        <w:tc>
          <w:tcPr>
            <w:tcW w:w="6755" w:type="dxa"/>
            <w:vAlign w:val="center"/>
          </w:tcPr>
          <w:p w14:paraId="58F83311" w14:textId="0FD1539C" w:rsidR="00344C38" w:rsidRPr="004615AF" w:rsidRDefault="00EF554F" w:rsidP="004615AF">
            <w:pPr>
              <w:pStyle w:val="TableTextEntries"/>
            </w:pPr>
            <w:r w:rsidRPr="004615AF">
              <w:t>At the p</w:t>
            </w:r>
            <w:r w:rsidR="00344C38" w:rsidRPr="004615AF">
              <w:t>artnership talks</w:t>
            </w:r>
            <w:r w:rsidRPr="004615AF">
              <w:t>, officials</w:t>
            </w:r>
            <w:r w:rsidR="00344C38" w:rsidRPr="004615AF">
              <w:t xml:space="preserve"> discussed the changes under the new SDS</w:t>
            </w:r>
            <w:r w:rsidR="009841BF" w:rsidRPr="004615AF">
              <w:rPr>
                <w:rFonts w:eastAsiaTheme="minorHAnsi"/>
              </w:rPr>
              <w:t xml:space="preserve"> </w:t>
            </w:r>
            <w:r w:rsidR="009841BF" w:rsidRPr="004615AF">
              <w:t xml:space="preserve">and agreed to greater alignment through increased support </w:t>
            </w:r>
            <w:r w:rsidR="00336CE4" w:rsidRPr="004615AF">
              <w:t xml:space="preserve">for </w:t>
            </w:r>
            <w:r w:rsidR="009841BF" w:rsidRPr="004615AF">
              <w:t>economic infrastructure</w:t>
            </w:r>
            <w:r w:rsidR="00336CE4" w:rsidRPr="004615AF">
              <w:t>.</w:t>
            </w:r>
            <w:r w:rsidR="009841BF" w:rsidRPr="004615AF">
              <w:t xml:space="preserve"> </w:t>
            </w:r>
            <w:r w:rsidR="00336CE4" w:rsidRPr="004615AF">
              <w:t>N</w:t>
            </w:r>
            <w:r w:rsidR="009841BF" w:rsidRPr="004615AF">
              <w:t>ew program</w:t>
            </w:r>
            <w:r w:rsidR="00336CE4" w:rsidRPr="004615AF">
              <w:t xml:space="preserve"> designs </w:t>
            </w:r>
            <w:r w:rsidR="009841BF" w:rsidRPr="004615AF">
              <w:t>reflected SDS priorities throughout the</w:t>
            </w:r>
            <w:r w:rsidR="00336CE4" w:rsidRPr="004615AF">
              <w:t xml:space="preserve"> reporting</w:t>
            </w:r>
            <w:r w:rsidR="009841BF" w:rsidRPr="004615AF">
              <w:t xml:space="preserve"> year.</w:t>
            </w:r>
          </w:p>
        </w:tc>
      </w:tr>
      <w:tr w:rsidR="00344C38" w:rsidRPr="00180B19" w14:paraId="017AE272"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49C9B2A1" w14:textId="66857BD7" w:rsidR="00344C38" w:rsidRPr="004615AF" w:rsidRDefault="00344C38" w:rsidP="00BF3906">
            <w:pPr>
              <w:pStyle w:val="TableTextEntries"/>
            </w:pPr>
            <w:r w:rsidRPr="004615AF">
              <w:t xml:space="preserve">Adopt new targets for climate change and the health sector which align with Samoa’s sector planning and, where possible, with </w:t>
            </w:r>
            <w:r w:rsidR="00336CE4" w:rsidRPr="004615AF">
              <w:t xml:space="preserve">Australia’s </w:t>
            </w:r>
            <w:r w:rsidR="00BF3906">
              <w:t>national interest</w:t>
            </w:r>
          </w:p>
        </w:tc>
        <w:tc>
          <w:tcPr>
            <w:tcW w:w="1064" w:type="dxa"/>
            <w:shd w:val="clear" w:color="auto" w:fill="92D050"/>
            <w:vAlign w:val="center"/>
          </w:tcPr>
          <w:p w14:paraId="59D6AB72" w14:textId="34A19A0E" w:rsidR="00344C38" w:rsidRPr="004615AF" w:rsidRDefault="00344C38" w:rsidP="006B4FE5">
            <w:pPr>
              <w:pStyle w:val="TableTextEntries"/>
              <w:jc w:val="center"/>
            </w:pPr>
            <w:r w:rsidRPr="004615AF">
              <w:t>Achieved</w:t>
            </w:r>
          </w:p>
        </w:tc>
        <w:tc>
          <w:tcPr>
            <w:tcW w:w="6755" w:type="dxa"/>
            <w:vAlign w:val="center"/>
          </w:tcPr>
          <w:p w14:paraId="1B7C0FE7" w14:textId="41B25316" w:rsidR="00344C38" w:rsidRPr="004615AF" w:rsidRDefault="00344C38" w:rsidP="004615AF">
            <w:pPr>
              <w:pStyle w:val="TableTextEntries"/>
            </w:pPr>
            <w:r w:rsidRPr="004615AF">
              <w:t xml:space="preserve">New targets were agreed to and signed at the 2012 Partnership </w:t>
            </w:r>
            <w:r w:rsidR="006101B2" w:rsidRPr="004615AF">
              <w:t>T</w:t>
            </w:r>
            <w:r w:rsidRPr="004615AF">
              <w:t>alks. Work remains to collect baseline data and track progress against these targets</w:t>
            </w:r>
            <w:r w:rsidR="002205B3" w:rsidRPr="004615AF">
              <w:t>.</w:t>
            </w:r>
          </w:p>
        </w:tc>
      </w:tr>
      <w:tr w:rsidR="00344C38" w:rsidRPr="00180B19" w14:paraId="5A6E3EF4"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3FB40AD6" w14:textId="712A4689" w:rsidR="00344C38" w:rsidRPr="004615AF" w:rsidRDefault="00344C38" w:rsidP="004615AF">
            <w:pPr>
              <w:pStyle w:val="TableTextEntries"/>
            </w:pPr>
            <w:r w:rsidRPr="004615AF">
              <w:t xml:space="preserve">Review resources available to manage the program in Canberra, Suva and at Post, including the need to work in </w:t>
            </w:r>
            <w:r w:rsidR="008C33CC" w:rsidRPr="004615AF">
              <w:t>Government of Samoa</w:t>
            </w:r>
            <w:r w:rsidRPr="004615AF">
              <w:t xml:space="preserve"> systems and have sectoral expertise. Participate in </w:t>
            </w:r>
            <w:r w:rsidR="00336CE4" w:rsidRPr="004615AF">
              <w:t xml:space="preserve">a </w:t>
            </w:r>
            <w:r w:rsidRPr="004615AF">
              <w:t>workforce planning exercise</w:t>
            </w:r>
            <w:r w:rsidR="00336CE4" w:rsidRPr="004615AF">
              <w:t>.</w:t>
            </w:r>
          </w:p>
        </w:tc>
        <w:tc>
          <w:tcPr>
            <w:tcW w:w="1064" w:type="dxa"/>
            <w:shd w:val="clear" w:color="auto" w:fill="92D050"/>
            <w:vAlign w:val="center"/>
          </w:tcPr>
          <w:p w14:paraId="79109944" w14:textId="3A995173" w:rsidR="00344C38" w:rsidRPr="004615AF" w:rsidRDefault="00344C38" w:rsidP="006B4FE5">
            <w:pPr>
              <w:pStyle w:val="TableTextEntries"/>
              <w:jc w:val="center"/>
            </w:pPr>
            <w:r w:rsidRPr="004615AF">
              <w:t>On track</w:t>
            </w:r>
          </w:p>
        </w:tc>
        <w:tc>
          <w:tcPr>
            <w:tcW w:w="6755" w:type="dxa"/>
            <w:vAlign w:val="center"/>
          </w:tcPr>
          <w:p w14:paraId="0CD4CAA1" w14:textId="29ECC6DE" w:rsidR="00344C38" w:rsidRPr="004615AF" w:rsidRDefault="00344C38" w:rsidP="00BF3906">
            <w:pPr>
              <w:pStyle w:val="TableTextEntries"/>
            </w:pPr>
            <w:r w:rsidRPr="004615AF">
              <w:t xml:space="preserve">Workforce planning exercise complete for Samoa program. The report is now with Pacific </w:t>
            </w:r>
            <w:r w:rsidR="00A72845" w:rsidRPr="004615AF">
              <w:t>Division Management.</w:t>
            </w:r>
            <w:r w:rsidRPr="004615AF">
              <w:t xml:space="preserve"> Bids for increased resources have been submitted through </w:t>
            </w:r>
            <w:r w:rsidR="00A72845" w:rsidRPr="004615AF">
              <w:t xml:space="preserve">an agency-wide </w:t>
            </w:r>
            <w:r w:rsidRPr="004615AF">
              <w:t>process.</w:t>
            </w:r>
          </w:p>
        </w:tc>
      </w:tr>
      <w:tr w:rsidR="00344C38" w:rsidRPr="00180B19" w14:paraId="367D2C90"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367D2C8D" w14:textId="7DE0E3E9" w:rsidR="00344C38" w:rsidRPr="004615AF" w:rsidRDefault="00344C38" w:rsidP="004615AF">
            <w:pPr>
              <w:pStyle w:val="TableTextEntries"/>
            </w:pPr>
            <w:r w:rsidRPr="004615AF">
              <w:t xml:space="preserve">Improve integration of </w:t>
            </w:r>
            <w:r w:rsidR="00336CE4" w:rsidRPr="004615AF">
              <w:t>cross</w:t>
            </w:r>
            <w:r w:rsidR="00A72845" w:rsidRPr="004615AF">
              <w:t xml:space="preserve"> </w:t>
            </w:r>
            <w:r w:rsidR="00336CE4" w:rsidRPr="004615AF">
              <w:t>cutting issues—</w:t>
            </w:r>
            <w:r w:rsidRPr="004615AF">
              <w:t>gender, disability and climate change</w:t>
            </w:r>
            <w:r w:rsidR="00336CE4" w:rsidRPr="004615AF">
              <w:t>—</w:t>
            </w:r>
            <w:r w:rsidRPr="004615AF">
              <w:t>in sectoral programs. Design an initiative to specifically improve gender equality in Samoa by the end of 2012.</w:t>
            </w:r>
          </w:p>
        </w:tc>
        <w:tc>
          <w:tcPr>
            <w:tcW w:w="1064" w:type="dxa"/>
            <w:shd w:val="clear" w:color="auto" w:fill="92D050"/>
            <w:vAlign w:val="center"/>
          </w:tcPr>
          <w:p w14:paraId="367D2C8E" w14:textId="4827138F" w:rsidR="00344C38" w:rsidRPr="004615AF" w:rsidRDefault="001F678B" w:rsidP="006B4FE5">
            <w:pPr>
              <w:pStyle w:val="TableTextEntries"/>
              <w:jc w:val="center"/>
            </w:pPr>
            <w:r w:rsidRPr="004615AF">
              <w:t xml:space="preserve">On track </w:t>
            </w:r>
            <w:r w:rsidR="00344C38" w:rsidRPr="004615AF">
              <w:fldChar w:fldCharType="begin"/>
            </w:r>
            <w:r w:rsidR="00344C38" w:rsidRPr="004615AF">
              <w:instrText xml:space="preserve"> AUTOTEXTLIST  \s "Rating bullet"\t "Right click to choose a rating" \* MERGEFORMAT </w:instrText>
            </w:r>
            <w:r w:rsidR="004D7A3C">
              <w:fldChar w:fldCharType="separate"/>
            </w:r>
            <w:r w:rsidR="00344C38" w:rsidRPr="004615AF">
              <w:fldChar w:fldCharType="end"/>
            </w:r>
          </w:p>
        </w:tc>
        <w:tc>
          <w:tcPr>
            <w:tcW w:w="6755" w:type="dxa"/>
            <w:vAlign w:val="center"/>
          </w:tcPr>
          <w:p w14:paraId="63830624" w14:textId="5291928B" w:rsidR="00710F68" w:rsidRPr="004615AF" w:rsidRDefault="001F678B" w:rsidP="004615AF">
            <w:pPr>
              <w:pStyle w:val="TableTextEntries"/>
            </w:pPr>
            <w:r w:rsidRPr="004615AF">
              <w:t xml:space="preserve">Crosscutting issues have been integrated into CSSP, health </w:t>
            </w:r>
            <w:r w:rsidR="00336CE4" w:rsidRPr="004615AF">
              <w:t>and Technical and Vocational Education and Training</w:t>
            </w:r>
            <w:r w:rsidRPr="004615AF">
              <w:t xml:space="preserve"> programs. Designs for </w:t>
            </w:r>
            <w:r w:rsidR="00336CE4" w:rsidRPr="004615AF">
              <w:t>these training programs, as well as for</w:t>
            </w:r>
            <w:r w:rsidRPr="004615AF">
              <w:t>, Parliament Complex and disabilit</w:t>
            </w:r>
            <w:r w:rsidR="00424395" w:rsidRPr="004615AF">
              <w:t>y</w:t>
            </w:r>
            <w:r w:rsidRPr="004615AF">
              <w:t xml:space="preserve"> program</w:t>
            </w:r>
            <w:r w:rsidR="00424395" w:rsidRPr="004615AF">
              <w:t xml:space="preserve"> training</w:t>
            </w:r>
            <w:r w:rsidRPr="004615AF">
              <w:t xml:space="preserve"> have used crosscutting expertise</w:t>
            </w:r>
            <w:r w:rsidR="007737ED" w:rsidRPr="004615AF">
              <w:t xml:space="preserve">. </w:t>
            </w:r>
          </w:p>
          <w:p w14:paraId="367D2C8F" w14:textId="348F74B6" w:rsidR="00344C38" w:rsidRPr="004615AF" w:rsidRDefault="001F678B" w:rsidP="004615AF">
            <w:pPr>
              <w:pStyle w:val="TableTextEntries"/>
            </w:pPr>
            <w:r w:rsidRPr="004615AF">
              <w:t>A design team for a new gender initiative will visit Samoa in June 2013.</w:t>
            </w:r>
          </w:p>
        </w:tc>
      </w:tr>
      <w:tr w:rsidR="00344C38" w:rsidRPr="00180B19" w14:paraId="367D2C94" w14:textId="77777777" w:rsidTr="006B4FE5">
        <w:trPr>
          <w:cnfStyle w:val="000000010000" w:firstRow="0" w:lastRow="0" w:firstColumn="0" w:lastColumn="0" w:oddVBand="0" w:evenVBand="0" w:oddHBand="0" w:evenHBand="1" w:firstRowFirstColumn="0" w:firstRowLastColumn="0" w:lastRowFirstColumn="0" w:lastRowLastColumn="0"/>
        </w:trPr>
        <w:tc>
          <w:tcPr>
            <w:tcW w:w="6221" w:type="dxa"/>
            <w:vAlign w:val="center"/>
          </w:tcPr>
          <w:p w14:paraId="367D2C91" w14:textId="6BC98B03" w:rsidR="00344C38" w:rsidRPr="004615AF" w:rsidRDefault="00344C38" w:rsidP="004615AF">
            <w:pPr>
              <w:pStyle w:val="TableTextEntries"/>
            </w:pPr>
            <w:r w:rsidRPr="004615AF">
              <w:t>Improve availability of regional program activities and funding information. Provide Samoa with estimated values of regional program inputs in time for the 2013</w:t>
            </w:r>
            <w:r w:rsidR="00CF00FB" w:rsidRPr="004615AF">
              <w:t>–</w:t>
            </w:r>
            <w:r w:rsidRPr="004615AF">
              <w:t>14</w:t>
            </w:r>
            <w:r w:rsidR="00424395" w:rsidRPr="004615AF">
              <w:t xml:space="preserve"> B</w:t>
            </w:r>
            <w:r w:rsidRPr="004615AF">
              <w:t>udget.</w:t>
            </w:r>
          </w:p>
        </w:tc>
        <w:tc>
          <w:tcPr>
            <w:tcW w:w="1064" w:type="dxa"/>
            <w:shd w:val="clear" w:color="auto" w:fill="F79646" w:themeFill="accent6"/>
            <w:vAlign w:val="center"/>
          </w:tcPr>
          <w:p w14:paraId="367D2C92" w14:textId="4F5B72EE" w:rsidR="00344C38" w:rsidRPr="004615AF" w:rsidRDefault="001F678B" w:rsidP="006B4FE5">
            <w:pPr>
              <w:pStyle w:val="TableTextEntries"/>
              <w:jc w:val="center"/>
            </w:pPr>
            <w:r w:rsidRPr="004615AF">
              <w:t>Off track</w:t>
            </w:r>
          </w:p>
        </w:tc>
        <w:tc>
          <w:tcPr>
            <w:tcW w:w="6755" w:type="dxa"/>
            <w:vAlign w:val="center"/>
          </w:tcPr>
          <w:p w14:paraId="367D2C93" w14:textId="2DE6D585" w:rsidR="00344C38" w:rsidRPr="004615AF" w:rsidRDefault="001F678B" w:rsidP="004615AF">
            <w:pPr>
              <w:pStyle w:val="TableTextEntries"/>
            </w:pPr>
            <w:r w:rsidRPr="004615AF">
              <w:t xml:space="preserve">Several </w:t>
            </w:r>
            <w:r w:rsidR="007221B4" w:rsidRPr="004615AF">
              <w:t>regional programs still struggle to report the impact</w:t>
            </w:r>
            <w:r w:rsidR="002205B3" w:rsidRPr="004615AF">
              <w:t xml:space="preserve"> they are having</w:t>
            </w:r>
            <w:r w:rsidR="007221B4" w:rsidRPr="004615AF">
              <w:t xml:space="preserve"> in Samoa</w:t>
            </w:r>
            <w:r w:rsidRPr="004615AF">
              <w:t>. F</w:t>
            </w:r>
            <w:r w:rsidR="007221B4" w:rsidRPr="004615AF">
              <w:t>ew programs can accurately quantify the value of their support to Samoa’s budget.</w:t>
            </w:r>
            <w:r w:rsidRPr="004615AF">
              <w:t xml:space="preserve"> Information about regional programs has improved due to some regular reporting from programs and regular telecon</w:t>
            </w:r>
            <w:r w:rsidR="002F13A4" w:rsidRPr="004615AF">
              <w:t>ference</w:t>
            </w:r>
            <w:r w:rsidRPr="004615AF">
              <w:t>s with Suva.</w:t>
            </w:r>
          </w:p>
        </w:tc>
      </w:tr>
    </w:tbl>
    <w:p w14:paraId="367D2C9F" w14:textId="77777777" w:rsidR="00FE4491" w:rsidRPr="00FE4491" w:rsidRDefault="00FE4491" w:rsidP="00FE4491">
      <w:pPr>
        <w:pStyle w:val="Note"/>
      </w:pPr>
      <w:r w:rsidRPr="00FE4491">
        <w:t xml:space="preserve">Note: </w:t>
      </w:r>
    </w:p>
    <w:p w14:paraId="367D2CA0" w14:textId="3ECB8712" w:rsidR="00FE4491" w:rsidRPr="00FE4491" w:rsidRDefault="00FE4491" w:rsidP="00FE4491">
      <w:pPr>
        <w:pStyle w:val="Note"/>
      </w:pPr>
      <w:r w:rsidRPr="00FE4491">
        <w:rPr>
          <w:color w:val="92D050"/>
        </w:rPr>
        <w:sym w:font="Webdings" w:char="F067"/>
      </w:r>
      <w:r w:rsidRPr="00FE4491">
        <w:t> </w:t>
      </w:r>
      <w:r w:rsidRPr="00FE4491">
        <w:t xml:space="preserve"> </w:t>
      </w:r>
      <w:r w:rsidR="00443639">
        <w:t>Green</w:t>
      </w:r>
      <w:r w:rsidR="004615AF">
        <w:t xml:space="preserve"> =</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367D2CA1" w14:textId="2F6A94A2" w:rsidR="00FE4491" w:rsidRDefault="00FE4491" w:rsidP="00FE4491">
      <w:pPr>
        <w:pStyle w:val="Note"/>
      </w:pPr>
      <w:r w:rsidRPr="00FE4491">
        <w:rPr>
          <w:color w:val="F79646" w:themeColor="accent6"/>
        </w:rPr>
        <w:sym w:font="Webdings" w:char="F067"/>
      </w:r>
      <w:r w:rsidRPr="00FE4491">
        <w:t> </w:t>
      </w:r>
      <w:r w:rsidRPr="00FE4491">
        <w:t xml:space="preserve"> </w:t>
      </w:r>
      <w:r w:rsidR="004615AF">
        <w:t>Amber =</w:t>
      </w:r>
      <w:r w:rsidRPr="00C93493">
        <w:t xml:space="preserve"> </w:t>
      </w:r>
      <w:r w:rsidRPr="00EC3C88">
        <w:t>Progress is somewhat less than expected for this point in time and restorative action will be necessary if the objective is to be achieved. Close performance monitoring is recommended.</w:t>
      </w:r>
    </w:p>
    <w:p w14:paraId="367D2CA2" w14:textId="4A8AFF9A" w:rsidR="00BB1C24" w:rsidRDefault="00FE4491" w:rsidP="00FE4491">
      <w:pPr>
        <w:pStyle w:val="Note"/>
      </w:pPr>
      <w:r w:rsidRPr="00FE4491">
        <w:rPr>
          <w:color w:val="FF0000"/>
        </w:rPr>
        <w:sym w:font="Webdings" w:char="F067"/>
      </w:r>
      <w:r w:rsidRPr="00FE4491">
        <w:t> </w:t>
      </w:r>
      <w:r w:rsidRPr="00FE4491">
        <w:t xml:space="preserve"> </w:t>
      </w:r>
      <w:r w:rsidR="004615AF">
        <w:t>Red =</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367D2D58" w14:textId="77777777" w:rsidR="00F77E6A" w:rsidRPr="00F77E6A" w:rsidRDefault="00F77E6A" w:rsidP="00035C31">
      <w:pPr>
        <w:rPr>
          <w:b/>
        </w:rPr>
      </w:pPr>
    </w:p>
    <w:sectPr w:rsidR="00F77E6A" w:rsidRPr="00F77E6A" w:rsidSect="00384536">
      <w:headerReference w:type="default" r:id="rId47"/>
      <w:footerReference w:type="default" r:id="rId48"/>
      <w:headerReference w:type="first" r:id="rId49"/>
      <w:footerReference w:type="first" r:id="rId50"/>
      <w:pgSz w:w="16840" w:h="11907" w:orient="landscape" w:code="9"/>
      <w:pgMar w:top="1871" w:right="2268" w:bottom="1134" w:left="907"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2D69" w14:textId="77777777" w:rsidR="00F32E28" w:rsidRDefault="00F32E28" w:rsidP="0050529F">
      <w:r>
        <w:separator/>
      </w:r>
    </w:p>
    <w:p w14:paraId="367D2D6A" w14:textId="77777777" w:rsidR="00F32E28" w:rsidRDefault="00F32E28"/>
    <w:p w14:paraId="367D2D6B" w14:textId="77777777" w:rsidR="00F32E28" w:rsidRDefault="00F32E28"/>
  </w:endnote>
  <w:endnote w:type="continuationSeparator" w:id="0">
    <w:p w14:paraId="367D2D6C" w14:textId="77777777" w:rsidR="00F32E28" w:rsidRDefault="00F32E28" w:rsidP="0050529F">
      <w:r>
        <w:continuationSeparator/>
      </w:r>
    </w:p>
    <w:p w14:paraId="367D2D6D" w14:textId="77777777" w:rsidR="00F32E28" w:rsidRDefault="00F32E28"/>
    <w:p w14:paraId="367D2D6E" w14:textId="77777777" w:rsidR="00F32E28" w:rsidRDefault="00F32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1" w14:textId="5F020F43" w:rsidR="00F32E28" w:rsidRPr="00384536" w:rsidRDefault="00384536" w:rsidP="0038453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Aid Program Performance Report 2012−13 Samoa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19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5040" behindDoc="1" locked="0" layoutInCell="1" allowOverlap="1" wp14:anchorId="53517666" wp14:editId="77380982">
              <wp:simplePos x="0" y="0"/>
              <wp:positionH relativeFrom="column">
                <wp:posOffset>0</wp:posOffset>
              </wp:positionH>
              <wp:positionV relativeFrom="paragraph">
                <wp:posOffset>8498840</wp:posOffset>
              </wp:positionV>
              <wp:extent cx="7379970" cy="2181860"/>
              <wp:effectExtent l="0" t="2540" r="1905" b="0"/>
              <wp:wrapNone/>
              <wp:docPr id="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jV6t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Ai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T41er&#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4016" behindDoc="1" locked="0" layoutInCell="1" allowOverlap="1" wp14:anchorId="3BD1B3FE" wp14:editId="76F2E32C">
              <wp:simplePos x="0" y="0"/>
              <wp:positionH relativeFrom="column">
                <wp:posOffset>0</wp:posOffset>
              </wp:positionH>
              <wp:positionV relativeFrom="paragraph">
                <wp:posOffset>8498840</wp:posOffset>
              </wp:positionV>
              <wp:extent cx="7379970" cy="2181860"/>
              <wp:effectExtent l="0" t="2540" r="1905" b="0"/>
              <wp:wrapNone/>
              <wp:docPr id="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esWtgAwAAHA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CD3rFrYAMA&#10;ABw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3" w14:textId="2548A3DD" w:rsidR="00F32E28" w:rsidRPr="00384536" w:rsidRDefault="00384536" w:rsidP="0038453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Aid Program Performance Report 2012−13 Samoa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1968" behindDoc="1" locked="0" layoutInCell="1" allowOverlap="1" wp14:anchorId="6E705ABF" wp14:editId="675654A9">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0944" behindDoc="1" locked="0" layoutInCell="1" allowOverlap="1" wp14:anchorId="75FABA39" wp14:editId="2EC70CF3">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78395" w14:textId="17BA9810" w:rsidR="00F32E28" w:rsidRPr="00384536" w:rsidRDefault="00384536" w:rsidP="00384536">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Aid Program Performance Report 2012−13 Samoa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1184" behindDoc="1" locked="0" layoutInCell="1" allowOverlap="1" wp14:anchorId="5F3360DE" wp14:editId="511814AA">
              <wp:simplePos x="0" y="0"/>
              <wp:positionH relativeFrom="column">
                <wp:posOffset>0</wp:posOffset>
              </wp:positionH>
              <wp:positionV relativeFrom="paragraph">
                <wp:posOffset>8498840</wp:posOffset>
              </wp:positionV>
              <wp:extent cx="7379970" cy="2181860"/>
              <wp:effectExtent l="0" t="2540" r="1905" b="0"/>
              <wp:wrapNone/>
              <wp:docPr id="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Z0cNi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KBZ0cNi&#10;AwAAGw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0160" behindDoc="1" locked="0" layoutInCell="1" allowOverlap="1" wp14:anchorId="23DDACCE" wp14:editId="0A3B15A9">
              <wp:simplePos x="0" y="0"/>
              <wp:positionH relativeFrom="column">
                <wp:posOffset>0</wp:posOffset>
              </wp:positionH>
              <wp:positionV relativeFrom="paragraph">
                <wp:posOffset>8498840</wp:posOffset>
              </wp:positionV>
              <wp:extent cx="7379970" cy="2181860"/>
              <wp:effectExtent l="0" t="2540" r="1905" b="0"/>
              <wp:wrapNone/>
              <wp:docPr id="1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UXlN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BRe&#10;U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749CE" w14:textId="61FB90A0" w:rsidR="00F32E28" w:rsidRPr="00384536" w:rsidRDefault="00384536" w:rsidP="0038453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Aid Program Performance Report 2012−13 Samoa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44256" behindDoc="1" locked="0" layoutInCell="1" allowOverlap="1" wp14:anchorId="27ABCF92" wp14:editId="0546D90D">
              <wp:simplePos x="0" y="0"/>
              <wp:positionH relativeFrom="column">
                <wp:posOffset>0</wp:posOffset>
              </wp:positionH>
              <wp:positionV relativeFrom="paragraph">
                <wp:posOffset>8498840</wp:posOffset>
              </wp:positionV>
              <wp:extent cx="7379970" cy="2181860"/>
              <wp:effectExtent l="0" t="2540" r="1905" b="0"/>
              <wp:wrapNone/>
              <wp:docPr id="1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TB/Fi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JkTB/Fi&#10;AwAAHA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43232" behindDoc="1" locked="0" layoutInCell="1" allowOverlap="1" wp14:anchorId="0A01865E" wp14:editId="778C71ED">
              <wp:simplePos x="0" y="0"/>
              <wp:positionH relativeFrom="column">
                <wp:posOffset>0</wp:posOffset>
              </wp:positionH>
              <wp:positionV relativeFrom="paragraph">
                <wp:posOffset>8498840</wp:posOffset>
              </wp:positionV>
              <wp:extent cx="7379970" cy="2181860"/>
              <wp:effectExtent l="0" t="2540" r="1905" b="0"/>
              <wp:wrapNone/>
              <wp:docPr id="2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3R3V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c/dH&#10;d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7916" w14:textId="4A789C1A" w:rsidR="00F32E28" w:rsidRPr="00A45A10" w:rsidRDefault="00F32E28" w:rsidP="00A45A10">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702272" behindDoc="1" locked="1" layoutInCell="1" allowOverlap="1" wp14:anchorId="7BD1BDF4" wp14:editId="38713E0A">
              <wp:simplePos x="0" y="0"/>
              <wp:positionH relativeFrom="page">
                <wp:posOffset>0</wp:posOffset>
              </wp:positionH>
              <wp:positionV relativeFrom="page">
                <wp:posOffset>8526145</wp:posOffset>
              </wp:positionV>
              <wp:extent cx="7379970" cy="2181225"/>
              <wp:effectExtent l="0" t="0" r="0" b="9525"/>
              <wp:wrapNone/>
              <wp:docPr id="33" name="Rectangle 3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225"/>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alt="AusAID web address graphic" style="position:absolute;margin-left:0;margin-top:671.35pt;width:581.1pt;height:171.7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2oNOqwMAAN0HAAAOAAAAAAAAAAAAAAAAADwCAABkcnMvZTJvRG9jLnhtbFBL&#10;AQItABQABgAIAAAAIQBYYLMbugAAACIBAAAZAAAAAAAAAAAAAAAAABMGAABkcnMvX3JlbHMvZTJv&#10;RG9jLnhtbC5yZWxzUEsBAi0AFAAGAAgAAAAhAF41PAf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4D7A3C">
      <w:rPr>
        <w:rFonts w:ascii="Franklin Gothic Medium" w:eastAsia="Times New Roman" w:hAnsi="Franklin Gothic Medium"/>
        <w:noProof/>
        <w:color w:val="5A9A98"/>
        <w:sz w:val="14"/>
        <w:szCs w:val="14"/>
      </w:rPr>
      <w:t>Aid Program Performance Report 2012−13 Samoa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D7A3C">
      <w:rPr>
        <w:rFonts w:ascii="Franklin Gothic Medium" w:eastAsia="Times New Roman" w:hAnsi="Franklin Gothic Medium"/>
        <w:noProof/>
        <w:color w:val="54534A"/>
        <w:sz w:val="14"/>
        <w:szCs w:val="14"/>
      </w:rPr>
      <w:t>31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704320" behindDoc="1" locked="0" layoutInCell="1" allowOverlap="1" wp14:anchorId="6B65DDF9" wp14:editId="3E017937">
              <wp:simplePos x="0" y="0"/>
              <wp:positionH relativeFrom="column">
                <wp:posOffset>0</wp:posOffset>
              </wp:positionH>
              <wp:positionV relativeFrom="paragraph">
                <wp:posOffset>8498840</wp:posOffset>
              </wp:positionV>
              <wp:extent cx="7379970" cy="2181860"/>
              <wp:effectExtent l="0" t="2540" r="1905" b="0"/>
              <wp:wrapNone/>
              <wp:docPr id="34" name="Rectangle 3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alt="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v/Wu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h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Ba/9a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03296" behindDoc="1" locked="0" layoutInCell="1" allowOverlap="1" wp14:anchorId="59941210" wp14:editId="2085DCE9">
              <wp:simplePos x="0" y="0"/>
              <wp:positionH relativeFrom="column">
                <wp:posOffset>0</wp:posOffset>
              </wp:positionH>
              <wp:positionV relativeFrom="paragraph">
                <wp:posOffset>8498840</wp:posOffset>
              </wp:positionV>
              <wp:extent cx="7379970" cy="2181860"/>
              <wp:effectExtent l="0" t="2540" r="1905" b="0"/>
              <wp:wrapNone/>
              <wp:docPr id="35" name="Rectangle 3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alt="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EEA+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ogQQ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CD683" w14:textId="6AEE137D" w:rsidR="00F32E28" w:rsidRPr="00384536" w:rsidRDefault="00384536" w:rsidP="00384536">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Aid Program Performance Report 2012−13 Samoa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4D7A3C">
      <w:rPr>
        <w:rFonts w:ascii="Franklin Gothic Medium" w:eastAsia="Times New Roman" w:hAnsi="Franklin Gothic Medium"/>
        <w:noProof/>
        <w:sz w:val="14"/>
        <w:szCs w:val="14"/>
      </w:rPr>
      <w:t>31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8112" behindDoc="1" locked="0" layoutInCell="1" allowOverlap="1" wp14:anchorId="7803B0C7" wp14:editId="40A1B7EE">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7088" behindDoc="1" locked="0" layoutInCell="1" allowOverlap="1" wp14:anchorId="171A060C" wp14:editId="5C66B301">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8" w14:textId="77777777" w:rsidR="00F32E28" w:rsidRPr="004C4A3E" w:rsidRDefault="00F32E28"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367D2D91" wp14:editId="367D2D92">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4D7A3C">
      <w:rPr>
        <w:rFonts w:ascii="Franklin Gothic Medium" w:eastAsia="Times New Roman" w:hAnsi="Franklin Gothic Medium"/>
        <w:noProof/>
        <w:color w:val="5A9A98"/>
        <w:sz w:val="14"/>
        <w:szCs w:val="14"/>
      </w:rPr>
      <w:t>Aid Program Performance Report 2012−13 Samoa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4D7A3C">
      <w:rPr>
        <w:rFonts w:ascii="Franklin Gothic Medium" w:eastAsia="Times New Roman" w:hAnsi="Franklin Gothic Medium"/>
        <w:noProof/>
        <w:color w:val="54534A"/>
        <w:sz w:val="14"/>
        <w:szCs w:val="14"/>
      </w:rPr>
      <w:t>31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367D2D93" wp14:editId="367D2D94">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367D2D95" wp14:editId="367D2D96">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D2D63" w14:textId="77777777" w:rsidR="00F32E28" w:rsidRDefault="00F32E28" w:rsidP="0050529F">
      <w:r>
        <w:separator/>
      </w:r>
    </w:p>
    <w:p w14:paraId="367D2D64" w14:textId="77777777" w:rsidR="00F32E28" w:rsidRDefault="00F32E28"/>
  </w:footnote>
  <w:footnote w:type="continuationSeparator" w:id="0">
    <w:p w14:paraId="367D2D66" w14:textId="77777777" w:rsidR="00F32E28" w:rsidRDefault="00F32E28" w:rsidP="0050529F">
      <w:r>
        <w:continuationSeparator/>
      </w:r>
    </w:p>
    <w:p w14:paraId="367D2D67" w14:textId="77777777" w:rsidR="00F32E28" w:rsidRDefault="00F32E28"/>
    <w:p w14:paraId="367D2D68" w14:textId="77777777" w:rsidR="00F32E28" w:rsidRDefault="00F32E28"/>
  </w:footnote>
  <w:footnote w:id="1">
    <w:p w14:paraId="71F1CDD9" w14:textId="7A4B313C" w:rsidR="00602195" w:rsidRDefault="00602195">
      <w:pPr>
        <w:pStyle w:val="FootnoteText"/>
      </w:pPr>
      <w:r>
        <w:rPr>
          <w:rStyle w:val="FootnoteReference"/>
        </w:rPr>
        <w:footnoteRef/>
      </w:r>
      <w:r>
        <w:t xml:space="preserve"> </w:t>
      </w:r>
      <w:r>
        <w:t>Prior to 2012-13 Aid Program Performance Reports were called Annual Program Performance Reports</w:t>
      </w:r>
      <w:r>
        <w:t>.</w:t>
      </w:r>
    </w:p>
  </w:footnote>
  <w:footnote w:id="2">
    <w:p w14:paraId="32207FCD" w14:textId="52C31ED0" w:rsidR="00F32E28" w:rsidRDefault="00F32E28">
      <w:pPr>
        <w:pStyle w:val="FootnoteText"/>
      </w:pPr>
      <w:r>
        <w:rPr>
          <w:rStyle w:val="FootnoteReference"/>
        </w:rPr>
        <w:footnoteRef/>
      </w:r>
      <w:r>
        <w:t xml:space="preserve"> Government of Samoa</w:t>
      </w:r>
      <w:r w:rsidRPr="004F11E4">
        <w:t xml:space="preserve"> Minister of Finance, </w:t>
      </w:r>
      <w:r w:rsidRPr="008C33CC">
        <w:t>2012/13 Budget Address</w:t>
      </w:r>
      <w:r w:rsidRPr="004F11E4">
        <w:rPr>
          <w:i/>
        </w:rPr>
        <w:t xml:space="preserve">, </w:t>
      </w:r>
      <w:r w:rsidRPr="004F11E4">
        <w:t>31 May 2012</w:t>
      </w:r>
      <w:r>
        <w:t>.</w:t>
      </w:r>
    </w:p>
  </w:footnote>
  <w:footnote w:id="3">
    <w:p w14:paraId="7CCFE8CA" w14:textId="6EB3B3BC" w:rsidR="00F32E28" w:rsidRDefault="00F32E28">
      <w:pPr>
        <w:pStyle w:val="FootnoteText"/>
      </w:pPr>
      <w:r>
        <w:rPr>
          <w:rStyle w:val="FootnoteReference"/>
        </w:rPr>
        <w:footnoteRef/>
      </w:r>
      <w:r>
        <w:t xml:space="preserve"> International Monetary Fund, </w:t>
      </w:r>
      <w:r>
        <w:rPr>
          <w:i/>
        </w:rPr>
        <w:t xml:space="preserve">Samoa request for disbursement under the Rapid Credit Facility–debt sustainability analysis, </w:t>
      </w:r>
      <w:r>
        <w:t>1 May 2013.</w:t>
      </w:r>
    </w:p>
  </w:footnote>
  <w:footnote w:id="4">
    <w:p w14:paraId="30B5F83D" w14:textId="7F031E97" w:rsidR="00F32E28" w:rsidRDefault="00F32E28" w:rsidP="00980D48">
      <w:pPr>
        <w:pStyle w:val="FootnoteText"/>
      </w:pPr>
      <w:r>
        <w:rPr>
          <w:rStyle w:val="FootnoteReference"/>
        </w:rPr>
        <w:footnoteRef/>
      </w:r>
      <w:r>
        <w:t xml:space="preserve"> </w:t>
      </w:r>
      <w:proofErr w:type="gramStart"/>
      <w:r>
        <w:t xml:space="preserve">In </w:t>
      </w:r>
      <w:r w:rsidRPr="00DD58AC">
        <w:rPr>
          <w:bCs/>
        </w:rPr>
        <w:t xml:space="preserve">the first </w:t>
      </w:r>
      <w:r>
        <w:rPr>
          <w:bCs/>
        </w:rPr>
        <w:t>eight</w:t>
      </w:r>
      <w:r w:rsidRPr="00DD58AC">
        <w:rPr>
          <w:bCs/>
        </w:rPr>
        <w:t xml:space="preserve"> months of 2012</w:t>
      </w:r>
      <w:r>
        <w:rPr>
          <w:bCs/>
        </w:rPr>
        <w:t>–</w:t>
      </w:r>
      <w:r w:rsidRPr="00DD58AC">
        <w:rPr>
          <w:bCs/>
        </w:rPr>
        <w:t>13</w:t>
      </w:r>
      <w:r>
        <w:rPr>
          <w:bCs/>
        </w:rPr>
        <w:t>,</w:t>
      </w:r>
      <w:r w:rsidRPr="00DD58AC">
        <w:rPr>
          <w:bCs/>
        </w:rPr>
        <w:t xml:space="preserve"> the number of tourists</w:t>
      </w:r>
      <w:r>
        <w:rPr>
          <w:bCs/>
        </w:rPr>
        <w:t xml:space="preserve"> dropped by 1.2 per cent and the number of private remittances increased by 9.6 per cent,</w:t>
      </w:r>
      <w:r w:rsidRPr="00DD58AC">
        <w:rPr>
          <w:bCs/>
        </w:rPr>
        <w:t xml:space="preserve"> compared to the </w:t>
      </w:r>
      <w:r>
        <w:rPr>
          <w:bCs/>
        </w:rPr>
        <w:t>first eight months of</w:t>
      </w:r>
      <w:r w:rsidRPr="00DD58AC">
        <w:rPr>
          <w:bCs/>
        </w:rPr>
        <w:t xml:space="preserve"> 2011</w:t>
      </w:r>
      <w:r>
        <w:rPr>
          <w:bCs/>
        </w:rPr>
        <w:t>–</w:t>
      </w:r>
      <w:r w:rsidRPr="00DD58AC">
        <w:rPr>
          <w:bCs/>
        </w:rPr>
        <w:t>12</w:t>
      </w:r>
      <w:r>
        <w:rPr>
          <w:bCs/>
        </w:rPr>
        <w:t>.</w:t>
      </w:r>
      <w:proofErr w:type="gramEnd"/>
      <w:r>
        <w:rPr>
          <w:bCs/>
        </w:rPr>
        <w:t xml:space="preserve"> </w:t>
      </w:r>
      <w:r>
        <w:t xml:space="preserve">Government of Samoa Central Bank of Samoa, </w:t>
      </w:r>
      <w:r>
        <w:rPr>
          <w:i/>
        </w:rPr>
        <w:t>Tourism Earnings and Remittances Report</w:t>
      </w:r>
      <w:r>
        <w:t>, February 2013.</w:t>
      </w:r>
    </w:p>
  </w:footnote>
  <w:footnote w:id="5">
    <w:p w14:paraId="7B332D18" w14:textId="079951DC" w:rsidR="00F32E28" w:rsidRDefault="00F32E28" w:rsidP="00D31D07">
      <w:pPr>
        <w:pStyle w:val="FootnoteText"/>
      </w:pPr>
      <w:r>
        <w:rPr>
          <w:rStyle w:val="FootnoteReference"/>
        </w:rPr>
        <w:footnoteRef/>
      </w:r>
      <w:r>
        <w:t xml:space="preserve"> Government of Samoa – World Bank, </w:t>
      </w:r>
      <w:r>
        <w:rPr>
          <w:i/>
        </w:rPr>
        <w:t xml:space="preserve">Samoa Post Disaster Needs Assessment, Cyclone Evan 2012, </w:t>
      </w:r>
      <w:r>
        <w:t>March 2013.</w:t>
      </w:r>
    </w:p>
  </w:footnote>
  <w:footnote w:id="6">
    <w:p w14:paraId="775EDE59" w14:textId="2C3ACA61" w:rsidR="00F32E28" w:rsidRDefault="00F32E28">
      <w:pPr>
        <w:pStyle w:val="FootnoteText"/>
      </w:pPr>
      <w:r>
        <w:rPr>
          <w:rStyle w:val="FootnoteReference"/>
        </w:rPr>
        <w:footnoteRef/>
      </w:r>
      <w:r>
        <w:t xml:space="preserve"> </w:t>
      </w:r>
      <w:proofErr w:type="gramStart"/>
      <w:r>
        <w:t xml:space="preserve">IMF, </w:t>
      </w:r>
      <w:r>
        <w:rPr>
          <w:i/>
        </w:rPr>
        <w:t xml:space="preserve">Samoa request for disbursement under the Rapid Credit Facility—debt sustainability analysis, </w:t>
      </w:r>
      <w:r>
        <w:t>1 May 2013.</w:t>
      </w:r>
      <w:proofErr w:type="gramEnd"/>
    </w:p>
  </w:footnote>
  <w:footnote w:id="7">
    <w:p w14:paraId="3A5981F7" w14:textId="34D6BA73" w:rsidR="00F32E28" w:rsidRDefault="00F32E28">
      <w:pPr>
        <w:pStyle w:val="FootnoteText"/>
      </w:pPr>
      <w:r>
        <w:rPr>
          <w:rStyle w:val="FootnoteReference"/>
        </w:rPr>
        <w:footnoteRef/>
      </w:r>
      <w:r>
        <w:t xml:space="preserve"> Ibid</w:t>
      </w:r>
    </w:p>
  </w:footnote>
  <w:footnote w:id="8">
    <w:p w14:paraId="0A9A65B6" w14:textId="3D5E9FB2" w:rsidR="00F32E28" w:rsidRDefault="00F32E28">
      <w:pPr>
        <w:pStyle w:val="FootnoteText"/>
      </w:pPr>
      <w:r>
        <w:rPr>
          <w:rStyle w:val="FootnoteReference"/>
        </w:rPr>
        <w:footnoteRef/>
      </w:r>
      <w:r>
        <w:t xml:space="preserve"> </w:t>
      </w:r>
      <w:proofErr w:type="gramStart"/>
      <w:r>
        <w:t xml:space="preserve">IMF, </w:t>
      </w:r>
      <w:r>
        <w:rPr>
          <w:i/>
        </w:rPr>
        <w:t>Samoa 2012 Article IV Consultation,</w:t>
      </w:r>
      <w:r>
        <w:t xml:space="preserve"> August 2012; IMF, </w:t>
      </w:r>
      <w:r>
        <w:rPr>
          <w:i/>
        </w:rPr>
        <w:t xml:space="preserve">Samoa request for disbursement under the Rapid Credit Facility—debt sustainability analysis, </w:t>
      </w:r>
      <w:r>
        <w:t>1 May 2013.</w:t>
      </w:r>
      <w:proofErr w:type="gramEnd"/>
    </w:p>
  </w:footnote>
  <w:footnote w:id="9">
    <w:p w14:paraId="4DACB6CE" w14:textId="1456EA5A" w:rsidR="00F32E28" w:rsidRDefault="00F32E28" w:rsidP="00DB18D4">
      <w:pPr>
        <w:pStyle w:val="FootnoteText"/>
      </w:pPr>
      <w:r>
        <w:rPr>
          <w:rStyle w:val="FootnoteReference"/>
        </w:rPr>
        <w:footnoteRef/>
      </w:r>
      <w:r w:rsidR="004D7A3C">
        <w:t xml:space="preserve"> All figures in this </w:t>
      </w:r>
      <w:r w:rsidR="00B16D3B">
        <w:t>A</w:t>
      </w:r>
      <w:r>
        <w:t>PPR are in Australian dollars, unless otherwise stated.</w:t>
      </w:r>
    </w:p>
  </w:footnote>
  <w:footnote w:id="10">
    <w:p w14:paraId="064AB73A" w14:textId="72213A37" w:rsidR="00F32E28" w:rsidRDefault="00F32E28" w:rsidP="00E2393A">
      <w:pPr>
        <w:pStyle w:val="FootnoteText"/>
      </w:pPr>
      <w:r>
        <w:rPr>
          <w:rStyle w:val="FootnoteReference"/>
        </w:rPr>
        <w:footnoteRef/>
      </w:r>
      <w:r>
        <w:t xml:space="preserve"> Government of Samoa – World Bank, </w:t>
      </w:r>
      <w:r>
        <w:rPr>
          <w:i/>
        </w:rPr>
        <w:t xml:space="preserve">Samoa Post Disaster Needs Assessment, Cyclone Evan 2012, </w:t>
      </w:r>
      <w:r>
        <w:t xml:space="preserve">March 2013; Government of Samoa Shelters Sub Committee, </w:t>
      </w:r>
      <w:r>
        <w:rPr>
          <w:i/>
        </w:rPr>
        <w:t xml:space="preserve">Post Disaster Needs Assessment, </w:t>
      </w:r>
      <w:r>
        <w:t>January 2013.</w:t>
      </w:r>
    </w:p>
  </w:footnote>
  <w:footnote w:id="11">
    <w:p w14:paraId="04503605" w14:textId="7597D44D" w:rsidR="00F32E28" w:rsidRDefault="00F32E28" w:rsidP="00BC0AC7">
      <w:pPr>
        <w:pStyle w:val="FootnoteText"/>
      </w:pPr>
      <w:r>
        <w:rPr>
          <w:rStyle w:val="FootnoteReference"/>
        </w:rPr>
        <w:footnoteRef/>
      </w:r>
      <w:r>
        <w:t xml:space="preserve"> Poverty data is only available at household-level in Samoa. Data indicate that female and male-headed households experience similar levels of poverty. However, 40 per cent of women were found to be living in the poorest 30 per cent of households, indicating women are more likely to experience poverty in Samoa. Government of Samoa Bureau of Statistics and United Nations Development Programme (UNDP), </w:t>
      </w:r>
      <w:r>
        <w:rPr>
          <w:i/>
        </w:rPr>
        <w:t>Samoa: a report on the estimation of basic needs poverty lines, and the incidence and characteristics of hardship and poverty,</w:t>
      </w:r>
      <w:r>
        <w:t xml:space="preserve"> August 2010</w:t>
      </w:r>
    </w:p>
  </w:footnote>
  <w:footnote w:id="12">
    <w:p w14:paraId="14350276" w14:textId="114341D0" w:rsidR="00F32E28" w:rsidRDefault="00F32E28" w:rsidP="00BC0AC7">
      <w:pPr>
        <w:pStyle w:val="FootnoteText"/>
      </w:pPr>
      <w:r>
        <w:rPr>
          <w:rStyle w:val="FootnoteReference"/>
        </w:rPr>
        <w:footnoteRef/>
      </w:r>
      <w:r>
        <w:t xml:space="preserve"> Samoa’s food poverty and basic needs poverty line are $13.15 and $22.33 per capita per week respectively. Ibid. Government of Samoa poverty issues</w:t>
      </w:r>
      <w:r w:rsidR="004D7A3C">
        <w:t xml:space="preserve"> are discussed further in this </w:t>
      </w:r>
      <w:r w:rsidR="00B16D3B">
        <w:t>A</w:t>
      </w:r>
      <w:r>
        <w:t>PPR’s governance and economic stability section.</w:t>
      </w:r>
    </w:p>
  </w:footnote>
  <w:footnote w:id="13">
    <w:p w14:paraId="50AC1586" w14:textId="3EC95F78" w:rsidR="00F32E28" w:rsidRDefault="00F32E28" w:rsidP="00BC0AC7">
      <w:pPr>
        <w:pStyle w:val="FootnoteText"/>
      </w:pPr>
      <w:r>
        <w:rPr>
          <w:rStyle w:val="FootnoteReference"/>
        </w:rPr>
        <w:footnoteRef/>
      </w:r>
      <w:r>
        <w:t xml:space="preserve"> A Chang Tung (2012), Commonwealth Foundation, </w:t>
      </w:r>
      <w:r>
        <w:rPr>
          <w:i/>
        </w:rPr>
        <w:t xml:space="preserve">Status of the Millennium Development Goals Achievement in Samoa since 2005, </w:t>
      </w:r>
      <w:r>
        <w:t>August 2012.</w:t>
      </w:r>
    </w:p>
  </w:footnote>
  <w:footnote w:id="14">
    <w:p w14:paraId="74C29968" w14:textId="77777777" w:rsidR="00F32E28" w:rsidRDefault="00F32E28" w:rsidP="00BC0AC7">
      <w:pPr>
        <w:pStyle w:val="FootnoteText"/>
      </w:pPr>
      <w:r>
        <w:rPr>
          <w:rStyle w:val="FootnoteReference"/>
        </w:rPr>
        <w:footnoteRef/>
      </w:r>
      <w:r>
        <w:t xml:space="preserve"> Pacific Islands Forum Secretariat, </w:t>
      </w:r>
      <w:r>
        <w:rPr>
          <w:i/>
        </w:rPr>
        <w:t>2012 Pacific Regional MDGs Tracking Report</w:t>
      </w:r>
      <w:r>
        <w:t>, August 2012.</w:t>
      </w:r>
    </w:p>
  </w:footnote>
  <w:footnote w:id="15">
    <w:p w14:paraId="688421EA" w14:textId="08F58C1C" w:rsidR="00F32E28" w:rsidRDefault="00F32E28" w:rsidP="00BC0AC7">
      <w:pPr>
        <w:pStyle w:val="FootnoteText"/>
      </w:pPr>
      <w:r>
        <w:rPr>
          <w:rStyle w:val="FootnoteReference"/>
        </w:rPr>
        <w:footnoteRef/>
      </w:r>
      <w:r>
        <w:t xml:space="preserve"> Government of Samoa Minister of Finance</w:t>
      </w:r>
      <w:r w:rsidRPr="0049304D">
        <w:t>,</w:t>
      </w:r>
      <w:r w:rsidRPr="0049304D">
        <w:rPr>
          <w:i/>
        </w:rPr>
        <w:t xml:space="preserve"> </w:t>
      </w:r>
      <w:r w:rsidRPr="00CC3540">
        <w:t>2012/13 Budget Address</w:t>
      </w:r>
      <w:r>
        <w:rPr>
          <w:i/>
        </w:rPr>
        <w:t xml:space="preserve">, </w:t>
      </w:r>
      <w:r>
        <w:t xml:space="preserve">31 May 2012; World Bank – Government of Samoa, </w:t>
      </w:r>
      <w:r>
        <w:rPr>
          <w:i/>
        </w:rPr>
        <w:t>Health Financing Options for Samoa</w:t>
      </w:r>
      <w:r>
        <w:t>, August 2011.</w:t>
      </w:r>
    </w:p>
  </w:footnote>
  <w:footnote w:id="16">
    <w:p w14:paraId="5FE1B1C6" w14:textId="4F0CC6E4" w:rsidR="00F32E28" w:rsidRDefault="00F32E28">
      <w:pPr>
        <w:pStyle w:val="FootnoteText"/>
      </w:pPr>
      <w:r>
        <w:rPr>
          <w:rStyle w:val="FootnoteReference"/>
        </w:rPr>
        <w:footnoteRef/>
      </w:r>
      <w:r>
        <w:t xml:space="preserve"> Pacific Islands Forum Secretariat</w:t>
      </w:r>
      <w:r w:rsidRPr="00D54E8C">
        <w:rPr>
          <w:i/>
        </w:rPr>
        <w:t>, 43</w:t>
      </w:r>
      <w:r w:rsidRPr="00D54E8C">
        <w:rPr>
          <w:i/>
          <w:vertAlign w:val="superscript"/>
        </w:rPr>
        <w:t>rd</w:t>
      </w:r>
      <w:r w:rsidRPr="00D54E8C">
        <w:rPr>
          <w:i/>
        </w:rPr>
        <w:t xml:space="preserve"> Pacific Islands Forum</w:t>
      </w:r>
      <w:r>
        <w:rPr>
          <w:i/>
        </w:rPr>
        <w:t>—Forum</w:t>
      </w:r>
      <w:r w:rsidRPr="00D54E8C">
        <w:rPr>
          <w:i/>
        </w:rPr>
        <w:t xml:space="preserve"> Communique</w:t>
      </w:r>
      <w:r>
        <w:t>, August 2012.</w:t>
      </w:r>
    </w:p>
  </w:footnote>
  <w:footnote w:id="17">
    <w:p w14:paraId="03D00AD7" w14:textId="0B005896" w:rsidR="00F32E28" w:rsidRDefault="00F32E28" w:rsidP="0059277E">
      <w:pPr>
        <w:pStyle w:val="FootnoteText"/>
      </w:pPr>
      <w:r>
        <w:rPr>
          <w:rStyle w:val="FootnoteReference"/>
        </w:rPr>
        <w:footnoteRef/>
      </w:r>
      <w:r>
        <w:t xml:space="preserve"> Governance and economic stability priority outcome is calculated by operational budgets of Ministry of Finance, Ministry of the Prime Minister, Legislative Assembly Office, Bureau of Statistics and Ministry of Natural Resources and </w:t>
      </w:r>
      <w:r w:rsidRPr="000C04FD">
        <w:t>Environment.</w:t>
      </w:r>
    </w:p>
  </w:footnote>
  <w:footnote w:id="18">
    <w:p w14:paraId="5F3C7D3F" w14:textId="6F33E7D3" w:rsidR="00F32E28" w:rsidRDefault="00F32E28" w:rsidP="0059277E">
      <w:pPr>
        <w:pStyle w:val="FootnoteText"/>
      </w:pPr>
      <w:r>
        <w:rPr>
          <w:rStyle w:val="FootnoteReference"/>
        </w:rPr>
        <w:footnoteRef/>
      </w:r>
      <w:r>
        <w:t xml:space="preserve">Law and justice priority outcome is calculated by the budgets of the Ministry of Justice and Courts Administration, Ministry of Police and Prisons, Office of the Attorney General and Ombudsman’s Office. </w:t>
      </w:r>
    </w:p>
  </w:footnote>
  <w:footnote w:id="19">
    <w:p w14:paraId="00224E0A" w14:textId="6AD9FADF" w:rsidR="00F32E28" w:rsidRDefault="00F32E28">
      <w:pPr>
        <w:pStyle w:val="FootnoteText"/>
      </w:pPr>
      <w:r>
        <w:rPr>
          <w:rStyle w:val="FootnoteReference"/>
        </w:rPr>
        <w:footnoteRef/>
      </w:r>
      <w:r>
        <w:t xml:space="preserve"> New Zealand also provides support to the law and justice sector through regional policing programs. This is not recorded in Samoa’s budget.</w:t>
      </w:r>
    </w:p>
  </w:footnote>
  <w:footnote w:id="20">
    <w:p w14:paraId="035A591B" w14:textId="433CAA2B" w:rsidR="00F32E28" w:rsidRDefault="00F32E28" w:rsidP="00E3485B">
      <w:pPr>
        <w:pStyle w:val="FootnoteText"/>
      </w:pPr>
      <w:r>
        <w:rPr>
          <w:rStyle w:val="FootnoteReference"/>
        </w:rPr>
        <w:footnoteRef/>
      </w:r>
      <w:r>
        <w:t xml:space="preserve"> </w:t>
      </w:r>
      <w:proofErr w:type="gramStart"/>
      <w:r>
        <w:t>Aus</w:t>
      </w:r>
      <w:r w:rsidR="008C2716">
        <w:t>tralian aid program</w:t>
      </w:r>
      <w:r>
        <w:t xml:space="preserve">, </w:t>
      </w:r>
      <w:r w:rsidR="00E8100A">
        <w:t>dr</w:t>
      </w:r>
      <w:r w:rsidR="00E8100A" w:rsidRPr="00CC3540">
        <w:t>aft</w:t>
      </w:r>
      <w:r w:rsidRPr="00CC3540">
        <w:t xml:space="preserve"> </w:t>
      </w:r>
      <w:r>
        <w:t>i</w:t>
      </w:r>
      <w:r w:rsidRPr="00CC3540">
        <w:t xml:space="preserve">nvestment </w:t>
      </w:r>
      <w:r>
        <w:t>c</w:t>
      </w:r>
      <w:r w:rsidRPr="00CC3540">
        <w:t xml:space="preserve">oncept for </w:t>
      </w:r>
      <w:r>
        <w:t>e</w:t>
      </w:r>
      <w:r w:rsidRPr="00CC3540">
        <w:t xml:space="preserve">conomic </w:t>
      </w:r>
      <w:r>
        <w:t>i</w:t>
      </w:r>
      <w:r w:rsidRPr="00CC3540">
        <w:t>nfrastructure</w:t>
      </w:r>
      <w:r>
        <w:rPr>
          <w:i/>
        </w:rPr>
        <w:t xml:space="preserve">, </w:t>
      </w:r>
      <w:r>
        <w:t>February 2013.</w:t>
      </w:r>
      <w:proofErr w:type="gramEnd"/>
    </w:p>
  </w:footnote>
  <w:footnote w:id="21">
    <w:p w14:paraId="4AABD3B4" w14:textId="77777777" w:rsidR="00F32E28" w:rsidRDefault="00F32E28" w:rsidP="009A62A1">
      <w:pPr>
        <w:pStyle w:val="FootnoteText"/>
      </w:pPr>
      <w:r>
        <w:rPr>
          <w:rStyle w:val="FootnoteReference"/>
        </w:rPr>
        <w:footnoteRef/>
      </w:r>
      <w:r>
        <w:t xml:space="preserve"> Government of Samoa Ministry of Finance, </w:t>
      </w:r>
      <w:r>
        <w:rPr>
          <w:i/>
        </w:rPr>
        <w:t>Recovery Framework for Cyclone Evan,</w:t>
      </w:r>
      <w:r>
        <w:t xml:space="preserve"> March 2013.</w:t>
      </w:r>
    </w:p>
  </w:footnote>
  <w:footnote w:id="22">
    <w:p w14:paraId="3CE57D3A" w14:textId="3601F516" w:rsidR="00F32E28" w:rsidRPr="00DD459C" w:rsidRDefault="00F32E28" w:rsidP="009A62A1">
      <w:pPr>
        <w:pStyle w:val="FootnoteText"/>
        <w:rPr>
          <w:i/>
        </w:rPr>
      </w:pPr>
      <w:r>
        <w:rPr>
          <w:rStyle w:val="FootnoteReference"/>
        </w:rPr>
        <w:footnoteRef/>
      </w:r>
      <w:r>
        <w:t xml:space="preserve"> L Roberts (2013), independent</w:t>
      </w:r>
      <w:r>
        <w:rPr>
          <w:i/>
        </w:rPr>
        <w:t xml:space="preserve"> Appraisal of Cyclone Evan Recovery Framework, </w:t>
      </w:r>
      <w:r w:rsidRPr="00DD459C">
        <w:t>May 2013.</w:t>
      </w:r>
      <w:r>
        <w:rPr>
          <w:i/>
        </w:rPr>
        <w:t xml:space="preserve"> </w:t>
      </w:r>
    </w:p>
  </w:footnote>
  <w:footnote w:id="23">
    <w:p w14:paraId="285C2F1B" w14:textId="0B9A2AA8" w:rsidR="00F32E28" w:rsidRDefault="00F32E28" w:rsidP="00E3485B">
      <w:pPr>
        <w:pStyle w:val="FootnoteText"/>
      </w:pPr>
      <w:r>
        <w:rPr>
          <w:rStyle w:val="FootnoteReference"/>
        </w:rPr>
        <w:footnoteRef/>
      </w:r>
      <w:r>
        <w:t xml:space="preserve"> This figure represents bilateral programs recorded on the Government of Samoa budget. The total value of Australia aid to Samoa in 2012–13, including regional programs, wa</w:t>
      </w:r>
      <w:r w:rsidRPr="00E20E53">
        <w:t>s $43.5 million</w:t>
      </w:r>
      <w:r w:rsidRPr="003B19D0">
        <w:t>.</w:t>
      </w:r>
    </w:p>
  </w:footnote>
  <w:footnote w:id="24">
    <w:p w14:paraId="424EADE3" w14:textId="77777777" w:rsidR="00F32E28" w:rsidRDefault="00F32E28" w:rsidP="00E22084">
      <w:pPr>
        <w:pStyle w:val="FootnoteText"/>
      </w:pPr>
      <w:r>
        <w:rPr>
          <w:rStyle w:val="FootnoteReference"/>
        </w:rPr>
        <w:footnoteRef/>
      </w:r>
      <w:r>
        <w:t xml:space="preserve"> These figures represent an average number of students assessed as being at risk of poor outcomes for numeracy, English and Samoan.</w:t>
      </w:r>
    </w:p>
  </w:footnote>
  <w:footnote w:id="25">
    <w:p w14:paraId="5441CAD3" w14:textId="153B1CCB" w:rsidR="00F32E28" w:rsidRDefault="00F32E28" w:rsidP="00E22084">
      <w:pPr>
        <w:pStyle w:val="FootnoteText"/>
      </w:pPr>
      <w:r>
        <w:rPr>
          <w:rStyle w:val="FootnoteReference"/>
        </w:rPr>
        <w:footnoteRef/>
      </w:r>
      <w:r>
        <w:t xml:space="preserve"> Repeater rates across all levels have dropped from 2.6 per cent in 2003 to 1.5 per cent in 2012. Students at risk in numeracy outcomes has fallen from 30 per cent in 2005 to 21 per cent in 2011 in Year Four and from 67 to 50 per cent for Year Six. </w:t>
      </w:r>
      <w:proofErr w:type="gramStart"/>
      <w:r>
        <w:t xml:space="preserve">Government of Samoa Ministry of Education, Sports and Culture, </w:t>
      </w:r>
      <w:r>
        <w:rPr>
          <w:i/>
        </w:rPr>
        <w:t>Education Statistical Digest 2012.</w:t>
      </w:r>
      <w:proofErr w:type="gramEnd"/>
    </w:p>
  </w:footnote>
  <w:footnote w:id="26">
    <w:p w14:paraId="48432DD1" w14:textId="463C7DDE" w:rsidR="00F32E28" w:rsidRDefault="00F32E28">
      <w:pPr>
        <w:pStyle w:val="FootnoteText"/>
      </w:pPr>
      <w:r>
        <w:rPr>
          <w:rStyle w:val="FootnoteReference"/>
        </w:rPr>
        <w:footnoteRef/>
      </w:r>
      <w:r>
        <w:t xml:space="preserve"> </w:t>
      </w:r>
      <w:proofErr w:type="gramStart"/>
      <w:r>
        <w:t xml:space="preserve">Government of Samoa Ministry of Education, Sports and Culture, </w:t>
      </w:r>
      <w:r>
        <w:rPr>
          <w:i/>
        </w:rPr>
        <w:t>Education Statistical Digest 2012.</w:t>
      </w:r>
      <w:proofErr w:type="gramEnd"/>
    </w:p>
  </w:footnote>
  <w:footnote w:id="27">
    <w:p w14:paraId="71D769E4" w14:textId="3EF52976" w:rsidR="00F32E28" w:rsidRDefault="00F32E28">
      <w:pPr>
        <w:pStyle w:val="FootnoteText"/>
      </w:pPr>
      <w:r>
        <w:rPr>
          <w:rStyle w:val="FootnoteReference"/>
        </w:rPr>
        <w:footnoteRef/>
      </w:r>
      <w:r>
        <w:t xml:space="preserve"> P </w:t>
      </w:r>
      <w:proofErr w:type="spellStart"/>
      <w:r>
        <w:t>Schoeffel</w:t>
      </w:r>
      <w:proofErr w:type="spellEnd"/>
      <w:r>
        <w:t xml:space="preserve"> (2013), National University of Samoa, Centre for Samoan Studies, </w:t>
      </w:r>
      <w:r>
        <w:rPr>
          <w:i/>
        </w:rPr>
        <w:t xml:space="preserve">Some issues in Samoa’s Education System Since 1995, </w:t>
      </w:r>
      <w:r>
        <w:t xml:space="preserve">March 2013. </w:t>
      </w:r>
    </w:p>
  </w:footnote>
  <w:footnote w:id="28">
    <w:p w14:paraId="7AE2DB96" w14:textId="25B24B1C" w:rsidR="00F32E28" w:rsidRDefault="00F32E28">
      <w:pPr>
        <w:pStyle w:val="FootnoteText"/>
      </w:pPr>
      <w:r>
        <w:rPr>
          <w:rStyle w:val="FootnoteReference"/>
        </w:rPr>
        <w:footnoteRef/>
      </w:r>
      <w:r>
        <w:t xml:space="preserve"> ESP II, </w:t>
      </w:r>
      <w:r>
        <w:rPr>
          <w:i/>
        </w:rPr>
        <w:t>8</w:t>
      </w:r>
      <w:r w:rsidRPr="00376A4F">
        <w:rPr>
          <w:i/>
          <w:vertAlign w:val="superscript"/>
        </w:rPr>
        <w:t>th</w:t>
      </w:r>
      <w:r>
        <w:rPr>
          <w:i/>
        </w:rPr>
        <w:t xml:space="preserve"> Joint Review Mission Joint Review Record,</w:t>
      </w:r>
      <w:r>
        <w:t xml:space="preserve"> March 2013; GT </w:t>
      </w:r>
      <w:proofErr w:type="spellStart"/>
      <w:r>
        <w:t>Afamasaga</w:t>
      </w:r>
      <w:proofErr w:type="spellEnd"/>
      <w:r>
        <w:t xml:space="preserve"> (2012), Government of Samoa Ministry of Education, Sports and Culture, </w:t>
      </w:r>
      <w:r>
        <w:rPr>
          <w:i/>
        </w:rPr>
        <w:t xml:space="preserve">Strategic Advisor Third Milestone Report October 2011 to October 2012, </w:t>
      </w:r>
      <w:r>
        <w:t>November 2012.</w:t>
      </w:r>
    </w:p>
  </w:footnote>
  <w:footnote w:id="29">
    <w:p w14:paraId="58121EED" w14:textId="02C81770" w:rsidR="00F32E28" w:rsidRDefault="00F32E28">
      <w:pPr>
        <w:pStyle w:val="FootnoteText"/>
      </w:pPr>
      <w:r>
        <w:rPr>
          <w:rStyle w:val="FootnoteReference"/>
        </w:rPr>
        <w:footnoteRef/>
      </w:r>
      <w:r>
        <w:t xml:space="preserve"> ESP II, </w:t>
      </w:r>
      <w:r>
        <w:rPr>
          <w:i/>
        </w:rPr>
        <w:t>8</w:t>
      </w:r>
      <w:r w:rsidRPr="00376A4F">
        <w:rPr>
          <w:i/>
          <w:vertAlign w:val="superscript"/>
        </w:rPr>
        <w:t>th</w:t>
      </w:r>
      <w:r>
        <w:rPr>
          <w:i/>
        </w:rPr>
        <w:t xml:space="preserve"> Joint Review Mission Joint Review Record,</w:t>
      </w:r>
      <w:r>
        <w:t xml:space="preserve"> March 2013.</w:t>
      </w:r>
    </w:p>
  </w:footnote>
  <w:footnote w:id="30">
    <w:p w14:paraId="4B070DA2" w14:textId="49D81C72" w:rsidR="00F32E28" w:rsidRDefault="00F32E28" w:rsidP="00A63D4B">
      <w:pPr>
        <w:pStyle w:val="FootnoteText"/>
      </w:pPr>
      <w:r>
        <w:rPr>
          <w:rStyle w:val="FootnoteReference"/>
        </w:rPr>
        <w:footnoteRef/>
      </w:r>
      <w:r>
        <w:t xml:space="preserve"> Ibid.</w:t>
      </w:r>
    </w:p>
  </w:footnote>
  <w:footnote w:id="31">
    <w:p w14:paraId="2AF3F851" w14:textId="3370DA00" w:rsidR="00F32E28" w:rsidRDefault="00F32E28">
      <w:pPr>
        <w:pStyle w:val="FootnoteText"/>
      </w:pPr>
      <w:r>
        <w:rPr>
          <w:rStyle w:val="FootnoteReference"/>
        </w:rPr>
        <w:footnoteRef/>
      </w:r>
      <w:r>
        <w:t xml:space="preserve"> Government of Samoa Ministry of Education, Sports and Culture, </w:t>
      </w:r>
      <w:r>
        <w:rPr>
          <w:i/>
        </w:rPr>
        <w:t>Samoa School Fee Grant Scheme Second Annual Report 2011/12</w:t>
      </w:r>
      <w:r>
        <w:t>, 2012.</w:t>
      </w:r>
    </w:p>
  </w:footnote>
  <w:footnote w:id="32">
    <w:p w14:paraId="59BD1DA7" w14:textId="2EE35CC2" w:rsidR="00F32E28" w:rsidRDefault="00F32E28" w:rsidP="00E22084">
      <w:pPr>
        <w:pStyle w:val="FootnoteText"/>
      </w:pPr>
      <w:r>
        <w:rPr>
          <w:rStyle w:val="FootnoteReference"/>
        </w:rPr>
        <w:footnoteRef/>
      </w:r>
      <w:r>
        <w:t xml:space="preserve"> This number accounts for 84 per cent of students who were not in school in 2010 and 94 per cent of those who were not in school in 2012. High annual dropout rates work against achieving 100 enrolment despite these additions. </w:t>
      </w:r>
    </w:p>
  </w:footnote>
  <w:footnote w:id="33">
    <w:p w14:paraId="08226E3A" w14:textId="004040CE" w:rsidR="00F32E28" w:rsidRDefault="00F32E28">
      <w:pPr>
        <w:pStyle w:val="FootnoteText"/>
      </w:pPr>
      <w:r>
        <w:rPr>
          <w:rStyle w:val="FootnoteReference"/>
        </w:rPr>
        <w:footnoteRef/>
      </w:r>
      <w:r>
        <w:t xml:space="preserve"> Samoa School Fess Grant Scheme (Barlow Schuster Consult), </w:t>
      </w:r>
      <w:r>
        <w:rPr>
          <w:i/>
        </w:rPr>
        <w:t>Extern</w:t>
      </w:r>
      <w:r w:rsidRPr="008727FA">
        <w:rPr>
          <w:i/>
        </w:rPr>
        <w:t>al Midterm</w:t>
      </w:r>
      <w:r>
        <w:rPr>
          <w:i/>
        </w:rPr>
        <w:t xml:space="preserve"> Review of the Samoa School Fee Grant Scheme July 2010 – July 2012,</w:t>
      </w:r>
      <w:r>
        <w:t xml:space="preserve"> February 2013</w:t>
      </w:r>
    </w:p>
  </w:footnote>
  <w:footnote w:id="34">
    <w:p w14:paraId="5A1640FC" w14:textId="4957876A" w:rsidR="00F32E28" w:rsidRDefault="00F32E28">
      <w:pPr>
        <w:pStyle w:val="FootnoteText"/>
      </w:pPr>
      <w:r>
        <w:rPr>
          <w:rStyle w:val="FootnoteReference"/>
        </w:rPr>
        <w:footnoteRef/>
      </w:r>
      <w:r>
        <w:t xml:space="preserve"> According to the Samoa’s 2011 census, the average rate of disability in the country is 2.1 per cent. However, international benchmarks estimate that the global rate is 15 per cent. SENESE Inclusive Education Services and </w:t>
      </w:r>
      <w:proofErr w:type="spellStart"/>
      <w:r>
        <w:t>Loto</w:t>
      </w:r>
      <w:proofErr w:type="spellEnd"/>
      <w:r>
        <w:t xml:space="preserve"> </w:t>
      </w:r>
      <w:proofErr w:type="spellStart"/>
      <w:r>
        <w:t>Taumafai</w:t>
      </w:r>
      <w:proofErr w:type="spellEnd"/>
      <w:r>
        <w:t xml:space="preserve"> Society, </w:t>
      </w:r>
      <w:r w:rsidRPr="004F709F">
        <w:t xml:space="preserve">SIEDP </w:t>
      </w:r>
      <w:r>
        <w:t>q</w:t>
      </w:r>
      <w:r w:rsidRPr="004F709F">
        <w:t xml:space="preserve">uarterly </w:t>
      </w:r>
      <w:r>
        <w:t>r</w:t>
      </w:r>
      <w:r w:rsidRPr="004F709F">
        <w:t>eports</w:t>
      </w:r>
      <w:r w:rsidRPr="0083163D">
        <w:t xml:space="preserve">, </w:t>
      </w:r>
      <w:r>
        <w:t xml:space="preserve">March, June, September and December 2012; Government of Samoa </w:t>
      </w:r>
      <w:r w:rsidRPr="004F709F">
        <w:t>Ministry of Education, Sports and Culture</w:t>
      </w:r>
      <w:r>
        <w:t xml:space="preserve">, </w:t>
      </w:r>
      <w:r>
        <w:rPr>
          <w:i/>
        </w:rPr>
        <w:t xml:space="preserve">Samoa Inclusive Education Situational Analysis: Students with Disabilities, </w:t>
      </w:r>
      <w:r>
        <w:t xml:space="preserve">April 2013 Bureau of Statistics, </w:t>
      </w:r>
      <w:r>
        <w:rPr>
          <w:i/>
        </w:rPr>
        <w:t xml:space="preserve">Population and Housing Census 2011 Analytical Report, </w:t>
      </w:r>
      <w:r>
        <w:t xml:space="preserve">October 2012. </w:t>
      </w:r>
    </w:p>
  </w:footnote>
  <w:footnote w:id="35">
    <w:p w14:paraId="3F974BAA" w14:textId="320A01FB" w:rsidR="00F32E28" w:rsidRDefault="00F32E28" w:rsidP="001A68E4">
      <w:pPr>
        <w:pStyle w:val="FootnoteText"/>
      </w:pPr>
      <w:r>
        <w:rPr>
          <w:rStyle w:val="FootnoteReference"/>
        </w:rPr>
        <w:footnoteRef/>
      </w:r>
      <w:r>
        <w:t xml:space="preserve"> Statistics represent the number of children under the age of 1 year who have received at least one measles vaccination.</w:t>
      </w:r>
    </w:p>
  </w:footnote>
  <w:footnote w:id="36">
    <w:p w14:paraId="7DA196B4" w14:textId="63CD510F" w:rsidR="00F32E28" w:rsidRDefault="00F32E28" w:rsidP="001A68E4">
      <w:pPr>
        <w:pStyle w:val="FootnoteText"/>
      </w:pPr>
      <w:r>
        <w:rPr>
          <w:rStyle w:val="FootnoteReference"/>
        </w:rPr>
        <w:footnoteRef/>
      </w:r>
      <w:r>
        <w:t xml:space="preserve"> From 2006 to 2011, life expectancy increased by 1.4 years to 75.6 for women and by 1.2 years to 72.7 for men. Government of Samoa Bureau of Statistics, </w:t>
      </w:r>
      <w:r>
        <w:rPr>
          <w:i/>
        </w:rPr>
        <w:t xml:space="preserve">Population and Housing Census 2011 Analytical Report, </w:t>
      </w:r>
      <w:r>
        <w:t>October 2012.</w:t>
      </w:r>
    </w:p>
  </w:footnote>
  <w:footnote w:id="37">
    <w:p w14:paraId="611FE63E" w14:textId="2DD7C9E8" w:rsidR="00F32E28" w:rsidRDefault="00F32E28">
      <w:pPr>
        <w:pStyle w:val="FootnoteText"/>
      </w:pPr>
      <w:r>
        <w:rPr>
          <w:rStyle w:val="FootnoteReference"/>
        </w:rPr>
        <w:footnoteRef/>
      </w:r>
      <w:r>
        <w:t xml:space="preserve"> World Health Organization, </w:t>
      </w:r>
      <w:r>
        <w:rPr>
          <w:i/>
        </w:rPr>
        <w:t xml:space="preserve">Samoa Country Cooperation Strategy, </w:t>
      </w:r>
      <w:r>
        <w:t xml:space="preserve">2012; Government of Samoa Bureau of Statistics, </w:t>
      </w:r>
      <w:r>
        <w:rPr>
          <w:i/>
        </w:rPr>
        <w:t xml:space="preserve">Population and Housing Census 2011 Analytical Report, </w:t>
      </w:r>
      <w:r>
        <w:t>October 2012.</w:t>
      </w:r>
    </w:p>
  </w:footnote>
  <w:footnote w:id="38">
    <w:p w14:paraId="255A178F" w14:textId="3F55CF9C" w:rsidR="00F32E28" w:rsidRDefault="00F32E28" w:rsidP="0074377C">
      <w:pPr>
        <w:pStyle w:val="FootnoteText"/>
      </w:pPr>
      <w:r>
        <w:rPr>
          <w:rStyle w:val="FootnoteReference"/>
        </w:rPr>
        <w:footnoteRef/>
      </w:r>
      <w:r>
        <w:t xml:space="preserve"> </w:t>
      </w:r>
      <w:proofErr w:type="gramStart"/>
      <w:r>
        <w:t xml:space="preserve">Samoa Health </w:t>
      </w:r>
      <w:proofErr w:type="spellStart"/>
      <w:r>
        <w:t>SWAp</w:t>
      </w:r>
      <w:proofErr w:type="spellEnd"/>
      <w:r>
        <w:t xml:space="preserve"> Program, </w:t>
      </w:r>
      <w:r>
        <w:rPr>
          <w:i/>
        </w:rPr>
        <w:t>Joint Review Mission Aide Memoire,</w:t>
      </w:r>
      <w:r>
        <w:t xml:space="preserve"> November 2012; World Health Organization, </w:t>
      </w:r>
      <w:r>
        <w:rPr>
          <w:i/>
        </w:rPr>
        <w:t xml:space="preserve">Samoa Country Cooperation Strategy, </w:t>
      </w:r>
      <w:r>
        <w:t>2012.</w:t>
      </w:r>
      <w:proofErr w:type="gramEnd"/>
    </w:p>
  </w:footnote>
  <w:footnote w:id="39">
    <w:p w14:paraId="0A214696" w14:textId="5A0A7AEC" w:rsidR="00F32E28" w:rsidRDefault="00F32E28">
      <w:pPr>
        <w:pStyle w:val="FootnoteText"/>
      </w:pPr>
      <w:r>
        <w:rPr>
          <w:rStyle w:val="FootnoteReference"/>
        </w:rPr>
        <w:footnoteRef/>
      </w:r>
      <w:r>
        <w:t xml:space="preserve"> Government of Samoa Ministry of Health and Bureau of Statistics, </w:t>
      </w:r>
      <w:r>
        <w:rPr>
          <w:i/>
        </w:rPr>
        <w:t xml:space="preserve">Demographic and Health Survey 2009, </w:t>
      </w:r>
      <w:r>
        <w:t>June 2010.</w:t>
      </w:r>
    </w:p>
  </w:footnote>
  <w:footnote w:id="40">
    <w:p w14:paraId="3AF88E99" w14:textId="5A2BD9C5" w:rsidR="00F32E28" w:rsidRDefault="00F32E28">
      <w:pPr>
        <w:pStyle w:val="FootnoteText"/>
      </w:pPr>
      <w:r>
        <w:rPr>
          <w:rStyle w:val="FootnoteReference"/>
        </w:rPr>
        <w:footnoteRef/>
      </w:r>
      <w:r>
        <w:t xml:space="preserve"> World Health Organization, </w:t>
      </w:r>
      <w:r>
        <w:rPr>
          <w:i/>
        </w:rPr>
        <w:t xml:space="preserve">Samoa non-communicable disease risk </w:t>
      </w:r>
      <w:r w:rsidRPr="0083163D">
        <w:rPr>
          <w:i/>
        </w:rPr>
        <w:t>factors (STEPS)</w:t>
      </w:r>
      <w:r>
        <w:rPr>
          <w:i/>
        </w:rPr>
        <w:t xml:space="preserve"> </w:t>
      </w:r>
      <w:r w:rsidRPr="002D571B">
        <w:rPr>
          <w:i/>
        </w:rPr>
        <w:t>report</w:t>
      </w:r>
      <w:r w:rsidRPr="002D571B">
        <w:t>, 2002</w:t>
      </w:r>
      <w:proofErr w:type="gramStart"/>
      <w:r w:rsidRPr="002D571B">
        <w:t>..</w:t>
      </w:r>
      <w:proofErr w:type="gramEnd"/>
    </w:p>
  </w:footnote>
  <w:footnote w:id="41">
    <w:p w14:paraId="3B1F680C" w14:textId="6925CD94" w:rsidR="00F32E28" w:rsidRDefault="00F32E28" w:rsidP="001A68E4">
      <w:pPr>
        <w:pStyle w:val="FootnoteText"/>
      </w:pPr>
      <w:r>
        <w:rPr>
          <w:rStyle w:val="FootnoteReference"/>
        </w:rPr>
        <w:footnoteRef/>
      </w:r>
      <w:r>
        <w:t xml:space="preserve"> The cost of overseas medical treatment increased by 173 per cent in the past 10 years and now equates to 14.6 per cent of the health sector budget. Government of Samoa Minister of Finance,</w:t>
      </w:r>
      <w:r>
        <w:rPr>
          <w:i/>
        </w:rPr>
        <w:t xml:space="preserve"> </w:t>
      </w:r>
      <w:r w:rsidRPr="005A7682">
        <w:t>2012/13 Budget Address</w:t>
      </w:r>
      <w:r>
        <w:rPr>
          <w:i/>
        </w:rPr>
        <w:t xml:space="preserve">, </w:t>
      </w:r>
      <w:r>
        <w:t xml:space="preserve">31 May 2012; World Bank – Government of Samoa, </w:t>
      </w:r>
      <w:r>
        <w:rPr>
          <w:i/>
        </w:rPr>
        <w:t>Health Financing Options for Samoa</w:t>
      </w:r>
      <w:r>
        <w:t>, August 2011.</w:t>
      </w:r>
    </w:p>
  </w:footnote>
  <w:footnote w:id="42">
    <w:p w14:paraId="14106D01" w14:textId="67055ACC" w:rsidR="00F32E28" w:rsidRDefault="00F32E28">
      <w:pPr>
        <w:pStyle w:val="FootnoteText"/>
      </w:pPr>
      <w:r>
        <w:rPr>
          <w:rStyle w:val="FootnoteReference"/>
        </w:rPr>
        <w:footnoteRef/>
      </w:r>
      <w:r>
        <w:t xml:space="preserve"> Samoa Health </w:t>
      </w:r>
      <w:proofErr w:type="spellStart"/>
      <w:r>
        <w:t>SWAp</w:t>
      </w:r>
      <w:proofErr w:type="spellEnd"/>
      <w:r>
        <w:t xml:space="preserve"> Program, </w:t>
      </w:r>
      <w:r>
        <w:rPr>
          <w:i/>
        </w:rPr>
        <w:t xml:space="preserve">Joint Review Mission Aide Memoire, </w:t>
      </w:r>
      <w:r>
        <w:t xml:space="preserve">April 2013; P Davies (2012), </w:t>
      </w:r>
      <w:r w:rsidR="008C2716">
        <w:t>the Australian aid program</w:t>
      </w:r>
      <w:r>
        <w:t xml:space="preserve"> Health Resource Facility, </w:t>
      </w:r>
      <w:r>
        <w:rPr>
          <w:i/>
        </w:rPr>
        <w:t xml:space="preserve">Evaluation of Samoa Health Sector Management Programme, </w:t>
      </w:r>
      <w:r>
        <w:t>April 2012.</w:t>
      </w:r>
    </w:p>
  </w:footnote>
  <w:footnote w:id="43">
    <w:p w14:paraId="00EF44B8" w14:textId="252EBBEF" w:rsidR="00F32E28" w:rsidRDefault="00F32E28">
      <w:pPr>
        <w:pStyle w:val="FootnoteText"/>
      </w:pPr>
      <w:r>
        <w:rPr>
          <w:rStyle w:val="FootnoteReference"/>
        </w:rPr>
        <w:footnoteRef/>
      </w:r>
      <w:r>
        <w:t xml:space="preserve"> Samoa Health </w:t>
      </w:r>
      <w:proofErr w:type="spellStart"/>
      <w:r>
        <w:t>SWAp</w:t>
      </w:r>
      <w:proofErr w:type="spellEnd"/>
      <w:r>
        <w:t xml:space="preserve"> Program, </w:t>
      </w:r>
      <w:r>
        <w:rPr>
          <w:i/>
        </w:rPr>
        <w:t xml:space="preserve">Joint Review Mission Aide Memoire, </w:t>
      </w:r>
      <w:r>
        <w:t xml:space="preserve">April 2013; S </w:t>
      </w:r>
      <w:proofErr w:type="spellStart"/>
      <w:r>
        <w:t>Viali</w:t>
      </w:r>
      <w:proofErr w:type="spellEnd"/>
      <w:r>
        <w:t xml:space="preserve">, Oceanic University of Medicine, </w:t>
      </w:r>
      <w:r>
        <w:rPr>
          <w:i/>
        </w:rPr>
        <w:t xml:space="preserve">Rheumatic fever and rheumatic heart disease in Samoa, </w:t>
      </w:r>
      <w:r>
        <w:t>September 2006.</w:t>
      </w:r>
    </w:p>
  </w:footnote>
  <w:footnote w:id="44">
    <w:p w14:paraId="0DB26F86" w14:textId="7D6EB800" w:rsidR="00F32E28" w:rsidRPr="008727FA" w:rsidRDefault="00F32E28">
      <w:pPr>
        <w:pStyle w:val="FootnoteText"/>
      </w:pPr>
      <w:r>
        <w:rPr>
          <w:rStyle w:val="FootnoteReference"/>
        </w:rPr>
        <w:footnoteRef/>
      </w:r>
      <w:r>
        <w:t xml:space="preserve"> P Davies (2012), </w:t>
      </w:r>
      <w:r w:rsidR="008C2716">
        <w:t>the Australian aid program</w:t>
      </w:r>
      <w:r w:rsidRPr="00D47575">
        <w:t xml:space="preserve"> Health Resource Facility, </w:t>
      </w:r>
      <w:r w:rsidRPr="00D47575">
        <w:rPr>
          <w:i/>
        </w:rPr>
        <w:t xml:space="preserve">Evaluation of Samoa Health Sector Management Programme, </w:t>
      </w:r>
      <w:r w:rsidRPr="00D47575">
        <w:t>April 2012; World Health Organization</w:t>
      </w:r>
      <w:r w:rsidRPr="008727FA">
        <w:t xml:space="preserve">, </w:t>
      </w:r>
      <w:r w:rsidRPr="008727FA">
        <w:rPr>
          <w:i/>
        </w:rPr>
        <w:t xml:space="preserve">Samoa Country Cooperation Strategy, </w:t>
      </w:r>
      <w:r w:rsidRPr="008727FA">
        <w:t>2012.</w:t>
      </w:r>
    </w:p>
  </w:footnote>
  <w:footnote w:id="45">
    <w:p w14:paraId="6A45A38E" w14:textId="1B95D55C" w:rsidR="00F32E28" w:rsidRPr="00815D83" w:rsidRDefault="00F32E28">
      <w:pPr>
        <w:pStyle w:val="FootnoteText"/>
      </w:pPr>
      <w:r w:rsidRPr="00815D83">
        <w:rPr>
          <w:rStyle w:val="FootnoteReference"/>
        </w:rPr>
        <w:footnoteRef/>
      </w:r>
      <w:r w:rsidRPr="00815D83">
        <w:t xml:space="preserve"> P Davies (2012), </w:t>
      </w:r>
      <w:r w:rsidR="008C2716">
        <w:t>the Australian aid program</w:t>
      </w:r>
      <w:r w:rsidRPr="00815D83">
        <w:t xml:space="preserve"> Health Resource Facility, </w:t>
      </w:r>
      <w:r w:rsidRPr="00815D83">
        <w:rPr>
          <w:i/>
        </w:rPr>
        <w:t xml:space="preserve">Evaluation of Samoa Health Sector Management Programme, </w:t>
      </w:r>
      <w:proofErr w:type="gramStart"/>
      <w:r w:rsidRPr="00815D83">
        <w:t>April</w:t>
      </w:r>
      <w:proofErr w:type="gramEnd"/>
      <w:r w:rsidRPr="00815D83">
        <w:t xml:space="preserve"> 2012.</w:t>
      </w:r>
    </w:p>
  </w:footnote>
  <w:footnote w:id="46">
    <w:p w14:paraId="5B7890B5" w14:textId="5E26D98D" w:rsidR="00F32E28" w:rsidRDefault="00F32E28">
      <w:pPr>
        <w:pStyle w:val="FootnoteText"/>
      </w:pPr>
      <w:r w:rsidRPr="008727FA">
        <w:rPr>
          <w:rStyle w:val="FootnoteReference"/>
        </w:rPr>
        <w:footnoteRef/>
      </w:r>
      <w:r w:rsidRPr="008727FA">
        <w:t xml:space="preserve"> DA </w:t>
      </w:r>
      <w:proofErr w:type="spellStart"/>
      <w:r w:rsidRPr="008727FA">
        <w:t>Shuey</w:t>
      </w:r>
      <w:proofErr w:type="spellEnd"/>
      <w:r w:rsidRPr="008727FA">
        <w:t xml:space="preserve"> (2012), </w:t>
      </w:r>
      <w:r w:rsidR="008C2716">
        <w:t>the Australian aid program</w:t>
      </w:r>
      <w:r w:rsidRPr="008727FA">
        <w:t xml:space="preserve"> Health Resource</w:t>
      </w:r>
      <w:r>
        <w:t xml:space="preserve"> Facility, </w:t>
      </w:r>
      <w:r>
        <w:rPr>
          <w:i/>
        </w:rPr>
        <w:t xml:space="preserve">Monitoring and Evaluation Framework: Samoa Primary Health Care Pilot, </w:t>
      </w:r>
      <w:r>
        <w:t>September 2012.</w:t>
      </w:r>
    </w:p>
  </w:footnote>
  <w:footnote w:id="47">
    <w:p w14:paraId="5D16B007" w14:textId="3A897ACB" w:rsidR="00F32E28" w:rsidRPr="00D47575" w:rsidRDefault="00F32E28" w:rsidP="003F2F10">
      <w:pPr>
        <w:pStyle w:val="FootnoteText"/>
      </w:pPr>
      <w:r>
        <w:rPr>
          <w:rStyle w:val="FootnoteReference"/>
        </w:rPr>
        <w:footnoteRef/>
      </w:r>
      <w:r>
        <w:t xml:space="preserve"> </w:t>
      </w:r>
      <w:r w:rsidRPr="00A45A10">
        <w:t xml:space="preserve">Analysis of the Worldwide Governance Indicators and their limitations as partnership targets was undertaken for the </w:t>
      </w:r>
      <w:hyperlink r:id="rId1" w:history="1">
        <w:r w:rsidRPr="00A45A10">
          <w:t>2011 Samoa APPR</w:t>
        </w:r>
      </w:hyperlink>
      <w:r w:rsidRPr="00A45A10">
        <w:t>.</w:t>
      </w:r>
    </w:p>
  </w:footnote>
  <w:footnote w:id="48">
    <w:p w14:paraId="14B86387" w14:textId="2A96B2DC" w:rsidR="00F32E28" w:rsidRPr="008727FA" w:rsidRDefault="00F32E28">
      <w:pPr>
        <w:pStyle w:val="FootnoteText"/>
      </w:pPr>
      <w:r w:rsidRPr="00D47575">
        <w:rPr>
          <w:rStyle w:val="FootnoteReference"/>
        </w:rPr>
        <w:footnoteRef/>
      </w:r>
      <w:r w:rsidRPr="00D47575">
        <w:t xml:space="preserve"> The majority </w:t>
      </w:r>
      <w:r w:rsidRPr="008727FA">
        <w:t>of vulnerable household expenditure is on non-food items since cash is increasingly required to access services and meet community obligations. Government of Samo</w:t>
      </w:r>
      <w:r w:rsidRPr="00815D83">
        <w:t xml:space="preserve">a Ministry of Finance, </w:t>
      </w:r>
      <w:r w:rsidRPr="00815D83">
        <w:rPr>
          <w:i/>
        </w:rPr>
        <w:t xml:space="preserve">Concept Paper on Vulnerable Groups, </w:t>
      </w:r>
      <w:r w:rsidRPr="00815D83">
        <w:t xml:space="preserve">March 2012; </w:t>
      </w:r>
      <w:proofErr w:type="gramStart"/>
      <w:r w:rsidRPr="00815D83">
        <w:t>A</w:t>
      </w:r>
      <w:proofErr w:type="gramEnd"/>
      <w:r w:rsidRPr="00815D83">
        <w:t xml:space="preserve"> Chang Tung (2012), Commonwealth Foundation, </w:t>
      </w:r>
      <w:r w:rsidRPr="008727FA">
        <w:rPr>
          <w:i/>
        </w:rPr>
        <w:t xml:space="preserve">Status of the Millennium Development Goals Achievement in Samoa since 2005, </w:t>
      </w:r>
      <w:r w:rsidRPr="008727FA">
        <w:t>August 2012.</w:t>
      </w:r>
    </w:p>
  </w:footnote>
  <w:footnote w:id="49">
    <w:p w14:paraId="3180F3BD" w14:textId="510F779F" w:rsidR="00F32E28" w:rsidRPr="008727FA" w:rsidRDefault="00F32E28">
      <w:pPr>
        <w:pStyle w:val="FootnoteText"/>
      </w:pPr>
      <w:r w:rsidRPr="008727FA">
        <w:rPr>
          <w:rStyle w:val="FootnoteReference"/>
        </w:rPr>
        <w:footnoteRef/>
      </w:r>
      <w:r w:rsidRPr="008727FA">
        <w:t xml:space="preserve"> Government of Samoa – World Bank, </w:t>
      </w:r>
      <w:r w:rsidRPr="008727FA">
        <w:rPr>
          <w:i/>
        </w:rPr>
        <w:t xml:space="preserve">Samoa Post Disaster Needs Assessment, Cyclone Evan 2012, </w:t>
      </w:r>
      <w:r w:rsidRPr="008727FA">
        <w:t>March 2013.</w:t>
      </w:r>
    </w:p>
  </w:footnote>
  <w:footnote w:id="50">
    <w:p w14:paraId="47D044EB" w14:textId="5A1B19CF" w:rsidR="00F32E28" w:rsidRDefault="00F32E28" w:rsidP="00C31F3B">
      <w:pPr>
        <w:pStyle w:val="FootnoteText"/>
      </w:pPr>
      <w:r w:rsidRPr="008727FA">
        <w:rPr>
          <w:rStyle w:val="FootnoteReference"/>
        </w:rPr>
        <w:footnoteRef/>
      </w:r>
      <w:r w:rsidRPr="008727FA">
        <w:t xml:space="preserve"> The 2012–16 SDS makes no</w:t>
      </w:r>
      <w:r w:rsidRPr="00D47575">
        <w:t xml:space="preserve"> explicit</w:t>
      </w:r>
      <w:r>
        <w:t xml:space="preserve"> reference to the issues faced by those living in basic needs poverty. The failure to consider the needs of vulnerable groups is also demonstrated in the case of the government’s central produce market in Apia. The market was demolished in June 2012 and plans to rebuild it have yet to be finalised. Vendors— many from rural communities—now have to rent outdoor space to sell their produce.</w:t>
      </w:r>
    </w:p>
  </w:footnote>
  <w:footnote w:id="51">
    <w:p w14:paraId="747D243E" w14:textId="6A0C879D" w:rsidR="00F32E28" w:rsidRDefault="00F32E28">
      <w:pPr>
        <w:pStyle w:val="FootnoteText"/>
      </w:pPr>
      <w:r>
        <w:rPr>
          <w:rStyle w:val="FootnoteReference"/>
        </w:rPr>
        <w:footnoteRef/>
      </w:r>
      <w:r>
        <w:t xml:space="preserve"> </w:t>
      </w:r>
      <w:proofErr w:type="gramStart"/>
      <w:r>
        <w:t xml:space="preserve">IMF, </w:t>
      </w:r>
      <w:r>
        <w:rPr>
          <w:i/>
        </w:rPr>
        <w:t xml:space="preserve">Samoa request for disbursement under the Rapid Credit Facility—debt sustainability analysis, </w:t>
      </w:r>
      <w:r>
        <w:t>1 May 2013.</w:t>
      </w:r>
      <w:proofErr w:type="gramEnd"/>
    </w:p>
  </w:footnote>
  <w:footnote w:id="52">
    <w:p w14:paraId="61508D2E" w14:textId="1374D9BB" w:rsidR="00F32E28" w:rsidRDefault="00F32E28">
      <w:pPr>
        <w:pStyle w:val="FootnoteText"/>
      </w:pPr>
      <w:r>
        <w:rPr>
          <w:rStyle w:val="FootnoteReference"/>
        </w:rPr>
        <w:footnoteRef/>
      </w:r>
      <w:r>
        <w:t xml:space="preserve"> A Higgins (2012), </w:t>
      </w:r>
      <w:r w:rsidR="008C2716">
        <w:t>the Australian aid program</w:t>
      </w:r>
      <w:r>
        <w:t xml:space="preserve">, </w:t>
      </w:r>
      <w:r w:rsidRPr="00DC15CE">
        <w:rPr>
          <w:i/>
        </w:rPr>
        <w:t>Incentivising Public Financial Management Reform in Samoa</w:t>
      </w:r>
      <w:r>
        <w:rPr>
          <w:i/>
        </w:rPr>
        <w:t>:</w:t>
      </w:r>
      <w:r w:rsidRPr="00DC15CE">
        <w:rPr>
          <w:i/>
        </w:rPr>
        <w:t xml:space="preserve"> Independent Assessment of Progress,</w:t>
      </w:r>
      <w:r>
        <w:t xml:space="preserve"> </w:t>
      </w:r>
      <w:r w:rsidRPr="00DC15CE">
        <w:t>Dec</w:t>
      </w:r>
      <w:r>
        <w:t xml:space="preserve"> </w:t>
      </w:r>
      <w:r w:rsidRPr="00DC15CE">
        <w:t>2012</w:t>
      </w:r>
      <w:r>
        <w:t>.</w:t>
      </w:r>
    </w:p>
  </w:footnote>
  <w:footnote w:id="53">
    <w:p w14:paraId="2FFBC5AA" w14:textId="008AB5C6" w:rsidR="00F32E28" w:rsidRDefault="00F32E28">
      <w:pPr>
        <w:pStyle w:val="FootnoteText"/>
      </w:pPr>
      <w:r w:rsidRPr="00D201FF">
        <w:rPr>
          <w:rStyle w:val="FootnoteReference"/>
        </w:rPr>
        <w:footnoteRef/>
      </w:r>
      <w:r w:rsidRPr="00D201FF">
        <w:t xml:space="preserve"> B </w:t>
      </w:r>
      <w:proofErr w:type="spellStart"/>
      <w:r w:rsidRPr="00D201FF">
        <w:t>Shead</w:t>
      </w:r>
      <w:proofErr w:type="spellEnd"/>
      <w:r w:rsidRPr="00D201FF">
        <w:t xml:space="preserve"> (2013), Public Service Improvement Facility</w:t>
      </w:r>
      <w:r>
        <w:t xml:space="preserve">, </w:t>
      </w:r>
      <w:r>
        <w:rPr>
          <w:i/>
        </w:rPr>
        <w:t>End of Program Review of Samoa’s Public Sector Improvement Facility,</w:t>
      </w:r>
      <w:r>
        <w:t xml:space="preserve"> March 2013.</w:t>
      </w:r>
    </w:p>
  </w:footnote>
  <w:footnote w:id="54">
    <w:p w14:paraId="2E367E71" w14:textId="2FAFF407" w:rsidR="00F32E28" w:rsidRPr="009A40DB" w:rsidRDefault="00F32E28">
      <w:pPr>
        <w:pStyle w:val="FootnoteText"/>
      </w:pPr>
      <w:r>
        <w:rPr>
          <w:rStyle w:val="FootnoteReference"/>
        </w:rPr>
        <w:footnoteRef/>
      </w:r>
      <w:r>
        <w:t xml:space="preserve"> Ibid; </w:t>
      </w:r>
      <w:r>
        <w:rPr>
          <w:i/>
        </w:rPr>
        <w:t>Six Monthly Progress Report</w:t>
      </w:r>
      <w:r w:rsidRPr="00B35C0B">
        <w:rPr>
          <w:i/>
        </w:rPr>
        <w:t>,</w:t>
      </w:r>
      <w:r w:rsidRPr="00D201FF">
        <w:rPr>
          <w:i/>
        </w:rPr>
        <w:t xml:space="preserve"> </w:t>
      </w:r>
      <w:r w:rsidRPr="009A40DB">
        <w:t>December 2012.</w:t>
      </w:r>
    </w:p>
  </w:footnote>
  <w:footnote w:id="55">
    <w:p w14:paraId="69105174" w14:textId="219D190B" w:rsidR="00F32E28" w:rsidRDefault="00F32E28">
      <w:pPr>
        <w:pStyle w:val="FootnoteText"/>
      </w:pPr>
      <w:r>
        <w:rPr>
          <w:rStyle w:val="FootnoteReference"/>
        </w:rPr>
        <w:footnoteRef/>
      </w:r>
      <w:r>
        <w:t xml:space="preserve"> Ibid; IMF, </w:t>
      </w:r>
      <w:r>
        <w:rPr>
          <w:i/>
        </w:rPr>
        <w:t>Samoa 2012 Article IV Consultation,</w:t>
      </w:r>
      <w:r>
        <w:t xml:space="preserve"> August 2012.</w:t>
      </w:r>
    </w:p>
  </w:footnote>
  <w:footnote w:id="56">
    <w:p w14:paraId="486EBE78" w14:textId="758E046C" w:rsidR="00F32E28" w:rsidRPr="008E4D46" w:rsidRDefault="00F32E28">
      <w:pPr>
        <w:pStyle w:val="FootnoteText"/>
      </w:pPr>
      <w:r>
        <w:rPr>
          <w:rStyle w:val="FootnoteReference"/>
        </w:rPr>
        <w:footnoteRef/>
      </w:r>
      <w:r>
        <w:t xml:space="preserve"> </w:t>
      </w:r>
      <w:r w:rsidRPr="008E4D46">
        <w:t xml:space="preserve">CSSP, </w:t>
      </w:r>
      <w:r w:rsidRPr="008E4D46">
        <w:rPr>
          <w:i/>
        </w:rPr>
        <w:t xml:space="preserve">Annual Report 2011–12, </w:t>
      </w:r>
      <w:r w:rsidRPr="008E4D46">
        <w:t>September 2012.</w:t>
      </w:r>
    </w:p>
  </w:footnote>
  <w:footnote w:id="57">
    <w:p w14:paraId="4E5C0A69" w14:textId="04D196CE" w:rsidR="00F32E28" w:rsidRPr="008E4D46" w:rsidRDefault="00F32E28">
      <w:pPr>
        <w:pStyle w:val="FootnoteText"/>
      </w:pPr>
      <w:r w:rsidRPr="008E4D46">
        <w:rPr>
          <w:rStyle w:val="FootnoteReference"/>
        </w:rPr>
        <w:footnoteRef/>
      </w:r>
      <w:r w:rsidRPr="008E4D46">
        <w:t xml:space="preserve"> </w:t>
      </w:r>
      <w:r w:rsidR="008C2716">
        <w:t>The Australian aid program</w:t>
      </w:r>
      <w:r w:rsidRPr="008E4D46">
        <w:t xml:space="preserve">, </w:t>
      </w:r>
      <w:r w:rsidRPr="008E4D46">
        <w:rPr>
          <w:i/>
        </w:rPr>
        <w:t>Civil Society Support Program, Samoa, Mid-</w:t>
      </w:r>
      <w:r w:rsidRPr="008727FA">
        <w:rPr>
          <w:i/>
        </w:rPr>
        <w:t xml:space="preserve">Term Review Report, </w:t>
      </w:r>
      <w:r w:rsidRPr="008727FA">
        <w:t xml:space="preserve">March 2013; European Union, </w:t>
      </w:r>
      <w:r w:rsidRPr="008727FA">
        <w:rPr>
          <w:i/>
        </w:rPr>
        <w:t>Mid-term Eval</w:t>
      </w:r>
      <w:r w:rsidRPr="008E4D46">
        <w:rPr>
          <w:i/>
        </w:rPr>
        <w:t xml:space="preserve">uation of the Civil Society Programme in Samoa, </w:t>
      </w:r>
      <w:r w:rsidRPr="008E4D46">
        <w:t>February 2013.</w:t>
      </w:r>
      <w:r>
        <w:t xml:space="preserve"> </w:t>
      </w:r>
    </w:p>
  </w:footnote>
  <w:footnote w:id="58">
    <w:p w14:paraId="1D9C8DA6" w14:textId="16138D3A" w:rsidR="00F32E28" w:rsidRPr="008E4D46" w:rsidRDefault="00F32E28">
      <w:pPr>
        <w:pStyle w:val="FootnoteText"/>
      </w:pPr>
      <w:r w:rsidRPr="008E4D46">
        <w:rPr>
          <w:rStyle w:val="FootnoteReference"/>
        </w:rPr>
        <w:footnoteRef/>
      </w:r>
      <w:r w:rsidRPr="008E4D46">
        <w:t xml:space="preserve"> CSSP, </w:t>
      </w:r>
      <w:r w:rsidRPr="008E4D46">
        <w:rPr>
          <w:i/>
        </w:rPr>
        <w:t>Annual Report 2011–12,</w:t>
      </w:r>
      <w:r w:rsidRPr="008E4D46">
        <w:t xml:space="preserve"> September 2012.</w:t>
      </w:r>
    </w:p>
  </w:footnote>
  <w:footnote w:id="59">
    <w:p w14:paraId="308E1413" w14:textId="77FDD86E" w:rsidR="00F32E28" w:rsidRPr="008E4D46" w:rsidRDefault="00F32E28">
      <w:pPr>
        <w:pStyle w:val="FootnoteText"/>
      </w:pPr>
      <w:r w:rsidRPr="008E4D46">
        <w:rPr>
          <w:rStyle w:val="FootnoteReference"/>
        </w:rPr>
        <w:footnoteRef/>
      </w:r>
      <w:r w:rsidRPr="008E4D46">
        <w:t xml:space="preserve"> Government of Samoa – World Bank, </w:t>
      </w:r>
      <w:r w:rsidRPr="008E4D46">
        <w:rPr>
          <w:i/>
        </w:rPr>
        <w:t xml:space="preserve">Summary of Findings of Studies Conducted under Phase 1 of Samoa’s Pilot Programme for Climate Resilience, </w:t>
      </w:r>
      <w:r w:rsidRPr="008E4D46">
        <w:t>April 2013.</w:t>
      </w:r>
    </w:p>
  </w:footnote>
  <w:footnote w:id="60">
    <w:p w14:paraId="7C660CF1" w14:textId="385B1C8F" w:rsidR="00F32E28" w:rsidRPr="008E4D46" w:rsidRDefault="00F32E28" w:rsidP="00E3485B">
      <w:pPr>
        <w:pStyle w:val="FootnoteText"/>
      </w:pPr>
      <w:r w:rsidRPr="008E4D46">
        <w:rPr>
          <w:rStyle w:val="FootnoteReference"/>
        </w:rPr>
        <w:footnoteRef/>
      </w:r>
      <w:r w:rsidRPr="008E4D46">
        <w:t xml:space="preserve"> Samoa Agro-Forestry and Tree Farming Project, Six-monthly progress reports July 2012, December 2012</w:t>
      </w:r>
      <w:r w:rsidRPr="008E4D46">
        <w:rPr>
          <w:i/>
        </w:rPr>
        <w:t>,</w:t>
      </w:r>
      <w:r>
        <w:rPr>
          <w:i/>
        </w:rPr>
        <w:t xml:space="preserve"> </w:t>
      </w:r>
      <w:r w:rsidRPr="008E4D46">
        <w:t>February 2013.</w:t>
      </w:r>
    </w:p>
  </w:footnote>
  <w:footnote w:id="61">
    <w:p w14:paraId="720B6452" w14:textId="249BF60B" w:rsidR="00F32E28" w:rsidRPr="008E4D46" w:rsidRDefault="00F32E28" w:rsidP="00E3485B">
      <w:pPr>
        <w:pStyle w:val="FootnoteText"/>
      </w:pPr>
      <w:r w:rsidRPr="008E4D46">
        <w:rPr>
          <w:rStyle w:val="FootnoteReference"/>
        </w:rPr>
        <w:footnoteRef/>
      </w:r>
      <w:r w:rsidRPr="008E4D46">
        <w:t xml:space="preserve"> Government of Samoa Bureau of Statistics, </w:t>
      </w:r>
      <w:r w:rsidRPr="008E4D46">
        <w:rPr>
          <w:i/>
        </w:rPr>
        <w:t xml:space="preserve">Population and Housing Census 2011 Analytical Report, </w:t>
      </w:r>
      <w:r w:rsidRPr="008E4D46">
        <w:t>October 2012.</w:t>
      </w:r>
    </w:p>
  </w:footnote>
  <w:footnote w:id="62">
    <w:p w14:paraId="3225BA49" w14:textId="77931554" w:rsidR="00F32E28" w:rsidRPr="0096743F" w:rsidRDefault="00F32E28" w:rsidP="008E4D46">
      <w:pPr>
        <w:pStyle w:val="FootnoteText"/>
      </w:pPr>
      <w:r w:rsidRPr="008E4D46">
        <w:rPr>
          <w:rStyle w:val="FootnoteReference"/>
        </w:rPr>
        <w:footnoteRef/>
      </w:r>
      <w:r w:rsidRPr="008E4D46">
        <w:t xml:space="preserve"> </w:t>
      </w:r>
      <w:proofErr w:type="gramStart"/>
      <w:r w:rsidR="008C2716">
        <w:t>The Australian aid program</w:t>
      </w:r>
      <w:r w:rsidRPr="008E4D46">
        <w:t xml:space="preserve">, </w:t>
      </w:r>
      <w:r w:rsidRPr="008E4D46">
        <w:rPr>
          <w:i/>
        </w:rPr>
        <w:t>Quality at Implementation report for Power Sector Expansion Program,</w:t>
      </w:r>
      <w:r w:rsidRPr="008E4D46">
        <w:t xml:space="preserve"> November 2012.</w:t>
      </w:r>
      <w:proofErr w:type="gramEnd"/>
      <w:r>
        <w:t xml:space="preserve"> </w:t>
      </w:r>
    </w:p>
  </w:footnote>
  <w:footnote w:id="63">
    <w:p w14:paraId="382978D4" w14:textId="7E5921EC" w:rsidR="00F32E28" w:rsidRDefault="00F32E28" w:rsidP="00E3485B">
      <w:pPr>
        <w:pStyle w:val="FootnoteText"/>
      </w:pPr>
      <w:r>
        <w:rPr>
          <w:rStyle w:val="FootnoteReference"/>
        </w:rPr>
        <w:footnoteRef/>
      </w:r>
      <w:r>
        <w:t xml:space="preserve"> Government of Samoa Bureau of Statistics; UNDP, </w:t>
      </w:r>
      <w:r>
        <w:rPr>
          <w:i/>
        </w:rPr>
        <w:t>Samoa: a report on the estimation of basic needs poverty lines, and the incidence and characteristics of hardship and poverty,</w:t>
      </w:r>
      <w:r>
        <w:t xml:space="preserve"> August 2010; Government of Samoa Ministry of Finance, </w:t>
      </w:r>
      <w:r>
        <w:rPr>
          <w:i/>
        </w:rPr>
        <w:t xml:space="preserve">Concept Paper on Vulnerable Groups, </w:t>
      </w:r>
      <w:r>
        <w:t>March 2012.</w:t>
      </w:r>
    </w:p>
  </w:footnote>
  <w:footnote w:id="64">
    <w:p w14:paraId="2A0D25D9" w14:textId="6375226F" w:rsidR="00F32E28" w:rsidRDefault="00F32E28" w:rsidP="00E3485B">
      <w:pPr>
        <w:pStyle w:val="FootnoteText"/>
      </w:pPr>
      <w:r>
        <w:rPr>
          <w:rStyle w:val="FootnoteReference"/>
        </w:rPr>
        <w:footnoteRef/>
      </w:r>
      <w:r>
        <w:t xml:space="preserve"> </w:t>
      </w:r>
      <w:proofErr w:type="gramStart"/>
      <w:r w:rsidR="008C2716">
        <w:t>The Australian aid program</w:t>
      </w:r>
      <w:r>
        <w:t xml:space="preserve">, </w:t>
      </w:r>
      <w:r>
        <w:rPr>
          <w:i/>
        </w:rPr>
        <w:t xml:space="preserve">Civil Society Support Program, Samoa, </w:t>
      </w:r>
      <w:r w:rsidRPr="00815D83">
        <w:rPr>
          <w:i/>
        </w:rPr>
        <w:t>Mid-Term Review</w:t>
      </w:r>
      <w:r>
        <w:rPr>
          <w:i/>
        </w:rPr>
        <w:t xml:space="preserve"> Report, </w:t>
      </w:r>
      <w:r>
        <w:t>March 2013.</w:t>
      </w:r>
      <w:proofErr w:type="gramEnd"/>
      <w:r>
        <w:t xml:space="preserve"> </w:t>
      </w:r>
    </w:p>
  </w:footnote>
  <w:footnote w:id="65">
    <w:p w14:paraId="5571BE96" w14:textId="2526D92A" w:rsidR="00F32E28" w:rsidRDefault="00F32E28" w:rsidP="00E3485B">
      <w:pPr>
        <w:pStyle w:val="FootnoteText"/>
      </w:pPr>
      <w:r>
        <w:rPr>
          <w:rStyle w:val="FootnoteReference"/>
        </w:rPr>
        <w:footnoteRef/>
      </w:r>
      <w:r>
        <w:t xml:space="preserve"> Pacific Islands Forum Secretariat, </w:t>
      </w:r>
      <w:r>
        <w:rPr>
          <w:i/>
        </w:rPr>
        <w:t>2012 Pacific Regional MDGs Tracking Report</w:t>
      </w:r>
      <w:r>
        <w:t>, August 2012.</w:t>
      </w:r>
    </w:p>
  </w:footnote>
  <w:footnote w:id="66">
    <w:p w14:paraId="07A968A5" w14:textId="6064E181" w:rsidR="00F32E28" w:rsidRDefault="00F32E28" w:rsidP="00E3485B">
      <w:pPr>
        <w:pStyle w:val="FootnoteText"/>
      </w:pPr>
      <w:r>
        <w:rPr>
          <w:rStyle w:val="FootnoteReference"/>
        </w:rPr>
        <w:footnoteRef/>
      </w:r>
      <w:r>
        <w:t xml:space="preserve"> European Union, </w:t>
      </w:r>
      <w:r w:rsidRPr="00815D83">
        <w:rPr>
          <w:i/>
        </w:rPr>
        <w:t>Mid-term Evaluation of</w:t>
      </w:r>
      <w:r>
        <w:rPr>
          <w:i/>
        </w:rPr>
        <w:t xml:space="preserve"> the Civil Society Programme in Samoa, </w:t>
      </w:r>
      <w:r>
        <w:t xml:space="preserve">February 2013; Government of Samoa Bureau of Statistics and UNDP, </w:t>
      </w:r>
      <w:r>
        <w:rPr>
          <w:i/>
        </w:rPr>
        <w:t>Samoa: a report on estimation of basic needs poverty lines, and the incidence and characteristics of hardship and poverty,</w:t>
      </w:r>
      <w:r>
        <w:t xml:space="preserve"> August 2010.</w:t>
      </w:r>
    </w:p>
  </w:footnote>
  <w:footnote w:id="67">
    <w:p w14:paraId="092047DA" w14:textId="1FB6EA9F" w:rsidR="00F32E28" w:rsidRDefault="00F32E28" w:rsidP="00E3485B">
      <w:pPr>
        <w:pStyle w:val="FootnoteText"/>
      </w:pPr>
      <w:r>
        <w:rPr>
          <w:rStyle w:val="FootnoteReference"/>
        </w:rPr>
        <w:footnoteRef/>
      </w:r>
      <w:r>
        <w:t xml:space="preserve"> CSSP, </w:t>
      </w:r>
      <w:r>
        <w:rPr>
          <w:i/>
        </w:rPr>
        <w:t>Annual Report 2011–12,</w:t>
      </w:r>
      <w:r>
        <w:t xml:space="preserve"> September 2012; </w:t>
      </w:r>
      <w:r w:rsidR="008C2716">
        <w:t>the Australian aid program</w:t>
      </w:r>
      <w:r>
        <w:t xml:space="preserve">, </w:t>
      </w:r>
      <w:r>
        <w:rPr>
          <w:i/>
        </w:rPr>
        <w:t xml:space="preserve">Civil Society Support Program, Samoa, Mid-Term Review Report, </w:t>
      </w:r>
      <w:r>
        <w:t>March 2013.</w:t>
      </w:r>
    </w:p>
  </w:footnote>
  <w:footnote w:id="68">
    <w:p w14:paraId="36713BBB" w14:textId="5357AFD7" w:rsidR="00F32E28" w:rsidRDefault="00F32E28" w:rsidP="00E3485B">
      <w:pPr>
        <w:pStyle w:val="FootnoteText"/>
      </w:pPr>
      <w:r>
        <w:rPr>
          <w:rStyle w:val="FootnoteReference"/>
        </w:rPr>
        <w:footnoteRef/>
      </w:r>
      <w:r>
        <w:t xml:space="preserve"> CSSP, </w:t>
      </w:r>
      <w:r>
        <w:rPr>
          <w:i/>
        </w:rPr>
        <w:t xml:space="preserve">ICCAI </w:t>
      </w:r>
      <w:r w:rsidRPr="008E4D46">
        <w:t>[International Climate Change Adaptation Initiative]</w:t>
      </w:r>
      <w:r>
        <w:rPr>
          <w:i/>
        </w:rPr>
        <w:t xml:space="preserve"> Design Proposal for Increased access to safe water for vulnerable households and communities,</w:t>
      </w:r>
      <w:r>
        <w:t xml:space="preserve"> March 2013,</w:t>
      </w:r>
    </w:p>
  </w:footnote>
  <w:footnote w:id="69">
    <w:p w14:paraId="0623C669" w14:textId="77777777" w:rsidR="00F32E28" w:rsidRDefault="00F32E28" w:rsidP="00A35DB3">
      <w:pPr>
        <w:pStyle w:val="FootnoteText"/>
      </w:pPr>
      <w:r>
        <w:rPr>
          <w:rStyle w:val="FootnoteReference"/>
        </w:rPr>
        <w:footnoteRef/>
      </w:r>
      <w:r>
        <w:t xml:space="preserve"> Samoa Police and Prison Service aggregate crime reporting data. Data is for all reported criminal offences in Samoa.</w:t>
      </w:r>
    </w:p>
  </w:footnote>
  <w:footnote w:id="70">
    <w:p w14:paraId="3BAA10B0" w14:textId="6E0C21B7" w:rsidR="00F32E28" w:rsidRDefault="00F32E28">
      <w:pPr>
        <w:pStyle w:val="FootnoteText"/>
      </w:pPr>
      <w:r>
        <w:rPr>
          <w:rStyle w:val="FootnoteReference"/>
        </w:rPr>
        <w:footnoteRef/>
      </w:r>
      <w:r>
        <w:t xml:space="preserve"> </w:t>
      </w:r>
      <w:proofErr w:type="gramStart"/>
      <w:r>
        <w:t>2011 and 2012 reporting from the Samoa Police and Prison Service.</w:t>
      </w:r>
      <w:proofErr w:type="gramEnd"/>
    </w:p>
  </w:footnote>
  <w:footnote w:id="71">
    <w:p w14:paraId="2562CECC" w14:textId="489D2D1B" w:rsidR="00F32E28" w:rsidRDefault="00F32E28" w:rsidP="00A35DB3">
      <w:pPr>
        <w:pStyle w:val="FootnoteText"/>
      </w:pPr>
      <w:r>
        <w:rPr>
          <w:rStyle w:val="FootnoteReference"/>
        </w:rPr>
        <w:footnoteRef/>
      </w:r>
      <w:r>
        <w:t xml:space="preserve"> This is likely due to an increase in accessibility of police and an increase in crime occurrence. </w:t>
      </w:r>
      <w:proofErr w:type="gramStart"/>
      <w:r>
        <w:t xml:space="preserve">Government of Samoa Law and Justice Sector, </w:t>
      </w:r>
      <w:r>
        <w:rPr>
          <w:i/>
        </w:rPr>
        <w:t xml:space="preserve">Samoa Law and Justice Sector Plan 2012–2016, </w:t>
      </w:r>
      <w:r>
        <w:t>2012.</w:t>
      </w:r>
      <w:proofErr w:type="gramEnd"/>
    </w:p>
  </w:footnote>
  <w:footnote w:id="72">
    <w:p w14:paraId="5AA43AC1" w14:textId="475397A0" w:rsidR="00F32E28" w:rsidRDefault="00F32E28" w:rsidP="00A35DB3">
      <w:pPr>
        <w:pStyle w:val="FootnoteText"/>
      </w:pPr>
      <w:r>
        <w:rPr>
          <w:rStyle w:val="FootnoteReference"/>
        </w:rPr>
        <w:footnoteRef/>
      </w:r>
      <w:r>
        <w:t xml:space="preserve"> Samoa’s ranking in Transparency International’s Corruption Perceptions Index fell from 57 of 179 countries in 2007 to 69 of 183 countries in 2011. No results for Samoa were </w:t>
      </w:r>
      <w:r w:rsidRPr="008E4D46">
        <w:t>collected in the 2012 survey</w:t>
      </w:r>
      <w:r>
        <w:t xml:space="preserve">. There has been no substantial change in Samoa’s Worldwide Governance Indicators Control of Corruption score since 1996. </w:t>
      </w:r>
      <w:proofErr w:type="gramStart"/>
      <w:r w:rsidR="008C2716">
        <w:t>The Australian aid program</w:t>
      </w:r>
      <w:r>
        <w:t xml:space="preserve">, </w:t>
      </w:r>
      <w:r>
        <w:rPr>
          <w:i/>
        </w:rPr>
        <w:t>Draft Investment Concept for Samoa Law and Justice Sector Program</w:t>
      </w:r>
      <w:r>
        <w:t xml:space="preserve">, April 2013; </w:t>
      </w:r>
      <w:proofErr w:type="spellStart"/>
      <w:r>
        <w:t>GoS</w:t>
      </w:r>
      <w:proofErr w:type="spellEnd"/>
      <w:r>
        <w:t xml:space="preserve"> Law and Justice Sector, </w:t>
      </w:r>
      <w:r>
        <w:rPr>
          <w:i/>
        </w:rPr>
        <w:t xml:space="preserve">Samoa Law and Justice Sector Plan 2012–2016, </w:t>
      </w:r>
      <w:r>
        <w:t>2012.</w:t>
      </w:r>
      <w:proofErr w:type="gramEnd"/>
      <w:r>
        <w:t xml:space="preserve"> </w:t>
      </w:r>
    </w:p>
  </w:footnote>
  <w:footnote w:id="73">
    <w:p w14:paraId="25719C97" w14:textId="50D83E46" w:rsidR="00F32E28" w:rsidRDefault="00F32E28">
      <w:pPr>
        <w:pStyle w:val="FootnoteText"/>
      </w:pPr>
      <w:r>
        <w:rPr>
          <w:rStyle w:val="FootnoteReference"/>
        </w:rPr>
        <w:footnoteRef/>
      </w:r>
      <w:r>
        <w:t xml:space="preserve"> Samoa non-government organisation Shadow Report on the Status of Women in Samoa, </w:t>
      </w:r>
      <w:r w:rsidRPr="00A33A90">
        <w:rPr>
          <w:i/>
        </w:rPr>
        <w:t>4</w:t>
      </w:r>
      <w:r w:rsidRPr="00A33A90">
        <w:rPr>
          <w:i/>
          <w:vertAlign w:val="superscript"/>
        </w:rPr>
        <w:t>th</w:t>
      </w:r>
      <w:r w:rsidRPr="00A33A90">
        <w:rPr>
          <w:i/>
        </w:rPr>
        <w:t xml:space="preserve"> </w:t>
      </w:r>
      <w:r>
        <w:rPr>
          <w:i/>
        </w:rPr>
        <w:t>and</w:t>
      </w:r>
      <w:r w:rsidRPr="00A33A90">
        <w:rPr>
          <w:i/>
        </w:rPr>
        <w:t xml:space="preserve"> 5</w:t>
      </w:r>
      <w:r w:rsidRPr="00A33A90">
        <w:rPr>
          <w:i/>
          <w:vertAlign w:val="superscript"/>
        </w:rPr>
        <w:t>th</w:t>
      </w:r>
      <w:r w:rsidRPr="00A33A90">
        <w:rPr>
          <w:i/>
        </w:rPr>
        <w:t xml:space="preserve"> Periodic reports of S</w:t>
      </w:r>
      <w:r>
        <w:rPr>
          <w:i/>
        </w:rPr>
        <w:t>t</w:t>
      </w:r>
      <w:r w:rsidRPr="00A33A90">
        <w:rPr>
          <w:i/>
        </w:rPr>
        <w:t>ate Parties (2005</w:t>
      </w:r>
      <w:r>
        <w:rPr>
          <w:i/>
        </w:rPr>
        <w:t>–</w:t>
      </w:r>
      <w:r w:rsidRPr="00A33A90">
        <w:rPr>
          <w:i/>
        </w:rPr>
        <w:t>2009)</w:t>
      </w:r>
      <w:r>
        <w:t xml:space="preserve">, May 2012. </w:t>
      </w:r>
    </w:p>
  </w:footnote>
  <w:footnote w:id="74">
    <w:p w14:paraId="74210BD5" w14:textId="77777777" w:rsidR="00F32E28" w:rsidRDefault="00F32E28" w:rsidP="004152C6">
      <w:pPr>
        <w:pStyle w:val="FootnoteText"/>
      </w:pPr>
      <w:r>
        <w:rPr>
          <w:rStyle w:val="FootnoteReference"/>
        </w:rPr>
        <w:footnoteRef/>
      </w:r>
      <w:r>
        <w:t xml:space="preserve"> </w:t>
      </w:r>
      <w:proofErr w:type="gramStart"/>
      <w:r>
        <w:t xml:space="preserve">Samoa Law and Justice Sector, </w:t>
      </w:r>
      <w:r>
        <w:rPr>
          <w:i/>
        </w:rPr>
        <w:t>s</w:t>
      </w:r>
      <w:r w:rsidRPr="008E4D46">
        <w:t>ix</w:t>
      </w:r>
      <w:r>
        <w:t>-m</w:t>
      </w:r>
      <w:r w:rsidRPr="008E4D46">
        <w:t xml:space="preserve">onthly </w:t>
      </w:r>
      <w:r>
        <w:t>p</w:t>
      </w:r>
      <w:r w:rsidRPr="008E4D46">
        <w:t xml:space="preserve">rogress </w:t>
      </w:r>
      <w:r>
        <w:t>r</w:t>
      </w:r>
      <w:r w:rsidRPr="008E4D46">
        <w:t>eport</w:t>
      </w:r>
      <w:r>
        <w:t>s,</w:t>
      </w:r>
      <w:r w:rsidRPr="008E4D46">
        <w:t xml:space="preserve"> </w:t>
      </w:r>
      <w:r>
        <w:t>July 2012 and February 2013.</w:t>
      </w:r>
      <w:proofErr w:type="gramEnd"/>
    </w:p>
  </w:footnote>
  <w:footnote w:id="75">
    <w:p w14:paraId="05745FC1" w14:textId="6CECA200" w:rsidR="00F32E28" w:rsidRDefault="00F32E28">
      <w:pPr>
        <w:pStyle w:val="FootnoteText"/>
      </w:pPr>
      <w:r>
        <w:rPr>
          <w:rStyle w:val="FootnoteReference"/>
        </w:rPr>
        <w:footnoteRef/>
      </w:r>
      <w:r>
        <w:t xml:space="preserve"> </w:t>
      </w:r>
      <w:proofErr w:type="gramStart"/>
      <w:r w:rsidR="008C2716">
        <w:t>The Australian aid program</w:t>
      </w:r>
      <w:r>
        <w:t xml:space="preserve">, </w:t>
      </w:r>
      <w:r w:rsidRPr="008E4D46">
        <w:t>Draft Investment Concept for Samoa Law and Justice Sector Program</w:t>
      </w:r>
      <w:r>
        <w:t>, April 2013.</w:t>
      </w:r>
      <w:proofErr w:type="gramEnd"/>
    </w:p>
  </w:footnote>
  <w:footnote w:id="76">
    <w:p w14:paraId="14DD48B7" w14:textId="62C991D0" w:rsidR="00F32E28" w:rsidRDefault="00F32E28">
      <w:pPr>
        <w:pStyle w:val="FootnoteText"/>
      </w:pPr>
      <w:r>
        <w:rPr>
          <w:rStyle w:val="FootnoteReference"/>
        </w:rPr>
        <w:footnoteRef/>
      </w:r>
      <w:r>
        <w:t xml:space="preserve"> A summary of previous quality at implementation ratings is at Attachment C. The Samoan Program Evaluation Pipeline is at Annex D.</w:t>
      </w:r>
    </w:p>
  </w:footnote>
  <w:footnote w:id="77">
    <w:p w14:paraId="74C94FBC" w14:textId="45CEF09B" w:rsidR="00F32E28" w:rsidRDefault="00F32E28">
      <w:pPr>
        <w:pStyle w:val="FootnoteText"/>
      </w:pPr>
      <w:r>
        <w:rPr>
          <w:rStyle w:val="FootnoteReference"/>
        </w:rPr>
        <w:footnoteRef/>
      </w:r>
      <w:r>
        <w:t xml:space="preserve"> </w:t>
      </w:r>
      <w:r w:rsidRPr="00F47036">
        <w:t xml:space="preserve">Designs will be completed for new programs in disability inclusive development, economic infrastructure, a new Parliament </w:t>
      </w:r>
      <w:r>
        <w:t>C</w:t>
      </w:r>
      <w:r w:rsidRPr="00F47036">
        <w:t xml:space="preserve">omplex and support for gender equality. A new phase of the Joint Policy Action Matrix, </w:t>
      </w:r>
      <w:r>
        <w:t>l</w:t>
      </w:r>
      <w:r w:rsidRPr="00F47036">
        <w:t xml:space="preserve">aw and </w:t>
      </w:r>
      <w:r>
        <w:t>j</w:t>
      </w:r>
      <w:r w:rsidRPr="00F47036">
        <w:t xml:space="preserve">ustice, </w:t>
      </w:r>
      <w:r>
        <w:t>h</w:t>
      </w:r>
      <w:r w:rsidRPr="00F47036">
        <w:t xml:space="preserve">ealth, </w:t>
      </w:r>
      <w:r>
        <w:t>e</w:t>
      </w:r>
      <w:r w:rsidRPr="00F47036">
        <w:t xml:space="preserve">ducation and </w:t>
      </w:r>
      <w:r>
        <w:t>c</w:t>
      </w:r>
      <w:r w:rsidRPr="00F47036">
        <w:t xml:space="preserve">limate </w:t>
      </w:r>
      <w:r>
        <w:t>c</w:t>
      </w:r>
      <w:r w:rsidRPr="00F47036">
        <w:t>hange support will also be completed.</w:t>
      </w:r>
    </w:p>
  </w:footnote>
  <w:footnote w:id="78">
    <w:p w14:paraId="1DC7396F" w14:textId="7B95EB5E" w:rsidR="00F32E28" w:rsidRPr="004152C6" w:rsidRDefault="00F32E28" w:rsidP="00795609">
      <w:pPr>
        <w:pStyle w:val="FootnoteText"/>
        <w:rPr>
          <w:color w:val="000000" w:themeColor="text1"/>
        </w:rPr>
      </w:pPr>
      <w:r>
        <w:rPr>
          <w:rStyle w:val="FootnoteReference"/>
        </w:rPr>
        <w:footnoteRef/>
      </w:r>
      <w:r>
        <w:t xml:space="preserve"> Risk management is guided by </w:t>
      </w:r>
      <w:hyperlink r:id="rId2" w:history="1">
        <w:r>
          <w:rPr>
            <w:rStyle w:val="Hyperlink"/>
            <w:color w:val="000000" w:themeColor="text1"/>
            <w:sz w:val="14"/>
            <w:szCs w:val="14"/>
          </w:rPr>
          <w:t>DFAT</w:t>
        </w:r>
        <w:r w:rsidRPr="004152C6">
          <w:rPr>
            <w:rStyle w:val="Hyperlink"/>
            <w:color w:val="000000" w:themeColor="text1"/>
            <w:sz w:val="14"/>
            <w:szCs w:val="14"/>
          </w:rPr>
          <w:t>’s Risk Management Framework and Policy</w:t>
        </w:r>
      </w:hyperlink>
      <w:r w:rsidRPr="004152C6">
        <w:rPr>
          <w:rStyle w:val="Hyperlink"/>
          <w:color w:val="000000" w:themeColor="text1"/>
          <w:sz w:val="14"/>
          <w:szCs w:val="14"/>
        </w:rPr>
        <w:t>.</w:t>
      </w:r>
    </w:p>
  </w:footnote>
  <w:footnote w:id="79">
    <w:p w14:paraId="206149B2" w14:textId="03151C21" w:rsidR="00F32E28" w:rsidRDefault="00F32E28" w:rsidP="00FE3ABF">
      <w:pPr>
        <w:pStyle w:val="FootnoteText"/>
      </w:pPr>
      <w:r>
        <w:rPr>
          <w:rStyle w:val="FootnoteReference"/>
        </w:rPr>
        <w:footnoteRef/>
      </w:r>
      <w:r>
        <w:t xml:space="preserve"> Funding figures are for regional programs. They do not represent the value of the program in Samoa alone.</w:t>
      </w:r>
    </w:p>
  </w:footnote>
  <w:footnote w:id="80">
    <w:p w14:paraId="62FF91A0" w14:textId="6F21A86B" w:rsidR="00F32E28" w:rsidRDefault="00F32E28" w:rsidP="009C61B4">
      <w:pPr>
        <w:pStyle w:val="FootnoteText"/>
      </w:pPr>
      <w:r>
        <w:rPr>
          <w:rStyle w:val="FootnoteReference"/>
        </w:rPr>
        <w:footnoteRef/>
      </w:r>
      <w:r>
        <w:t xml:space="preserve"> This report was prepared by the Australian Federal Police in consultation with</w:t>
      </w:r>
      <w:r w:rsidR="009145BA">
        <w:t xml:space="preserve"> </w:t>
      </w:r>
      <w:r>
        <w:t>DFAT.</w:t>
      </w:r>
    </w:p>
  </w:footnote>
  <w:footnote w:id="81">
    <w:p w14:paraId="2AEE4122" w14:textId="179D0DE7" w:rsidR="00F32E28" w:rsidRPr="00071B95" w:rsidRDefault="00F32E28" w:rsidP="00EA10CE">
      <w:pPr>
        <w:pStyle w:val="FootnoteText"/>
      </w:pPr>
      <w:r w:rsidRPr="00F77E6A">
        <w:rPr>
          <w:rStyle w:val="FootnoteReference"/>
        </w:rPr>
        <w:footnoteRef/>
      </w:r>
      <w:r w:rsidRPr="00071B95">
        <w:t xml:space="preserve"> ‘</w:t>
      </w:r>
      <w:r>
        <w:t>C</w:t>
      </w:r>
      <w:r w:rsidRPr="00071B95">
        <w:t>ompleted’ means the final version of the report has been received</w:t>
      </w:r>
      <w:r>
        <w:t xml:space="preserve">. </w:t>
      </w:r>
    </w:p>
  </w:footnote>
  <w:footnote w:id="82">
    <w:p w14:paraId="74C6D885" w14:textId="4A890EAE" w:rsidR="00F32E28" w:rsidRPr="00071B95" w:rsidRDefault="00F32E28" w:rsidP="00305D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6F" w14:textId="0242C5B4" w:rsidR="00F32E28" w:rsidRDefault="00F32E28">
    <w:pPr>
      <w:pStyle w:val="Header"/>
    </w:pPr>
  </w:p>
  <w:p w14:paraId="367D2D70" w14:textId="6FF0EA71" w:rsidR="00F32E28" w:rsidRDefault="00384536">
    <w:r>
      <w:rPr>
        <w:noProof/>
      </w:rPr>
      <w:drawing>
        <wp:anchor distT="0" distB="0" distL="114300" distR="114300" simplePos="0" relativeHeight="251726848" behindDoc="0" locked="0" layoutInCell="1" allowOverlap="1" wp14:anchorId="085EDD2D" wp14:editId="5347FB15">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2" w14:textId="58C6B3FE" w:rsidR="00F32E28" w:rsidRDefault="00384536">
    <w:pPr>
      <w:pStyle w:val="Header"/>
    </w:pPr>
    <w:r>
      <w:rPr>
        <w:noProof/>
      </w:rPr>
      <w:drawing>
        <wp:anchor distT="0" distB="0" distL="114300" distR="114300" simplePos="0" relativeHeight="251724800" behindDoc="0" locked="0" layoutInCell="1" allowOverlap="1" wp14:anchorId="59F3E9EB" wp14:editId="069885C8">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EF5C" w14:textId="5F75F647" w:rsidR="00F32E28" w:rsidRDefault="00F32E28">
    <w:pPr>
      <w:pStyle w:val="Header"/>
    </w:pPr>
  </w:p>
  <w:p w14:paraId="3E1B549E" w14:textId="77777777" w:rsidR="00F32E28" w:rsidRDefault="00F32E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4" w14:textId="77777777" w:rsidR="00F32E28" w:rsidRDefault="00F32E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BB9D" w14:textId="0B782D6C" w:rsidR="00F32E28" w:rsidRDefault="00384536">
    <w:pPr>
      <w:pStyle w:val="Header"/>
    </w:pPr>
    <w:r>
      <w:rPr>
        <w:noProof/>
      </w:rPr>
      <w:drawing>
        <wp:anchor distT="0" distB="0" distL="114300" distR="114300" simplePos="0" relativeHeight="251728896" behindDoc="0" locked="0" layoutInCell="1" allowOverlap="1" wp14:anchorId="1C734514" wp14:editId="328F811B">
          <wp:simplePos x="0" y="0"/>
          <wp:positionH relativeFrom="page">
            <wp:align>left</wp:align>
          </wp:positionH>
          <wp:positionV relativeFrom="page">
            <wp:align>top</wp:align>
          </wp:positionV>
          <wp:extent cx="7560000" cy="1440000"/>
          <wp:effectExtent l="0" t="0" r="3175"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2B7C26D1" w14:textId="1DD5EA0D" w:rsidR="00F32E28" w:rsidRDefault="00F32E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951B3" w14:textId="49AA0AFA" w:rsidR="00F32E28" w:rsidRPr="00EA10CE" w:rsidRDefault="00F32E28" w:rsidP="00EA10CE">
    <w:pPr>
      <w:pStyle w:val="Header"/>
    </w:pPr>
    <w:r>
      <w:rPr>
        <w:noProof/>
      </w:rPr>
      <mc:AlternateContent>
        <mc:Choice Requires="wps">
          <w:drawing>
            <wp:anchor distT="0" distB="0" distL="114300" distR="114300" simplePos="0" relativeHeight="251700224" behindDoc="0" locked="1" layoutInCell="1" allowOverlap="1" wp14:anchorId="1B740086" wp14:editId="07FE5E57">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23" name="Rectangle 23"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alt="Australian Aid Factsheets olive-2" style="position:absolute;margin-left:0;margin-top:0;width:595.3pt;height:119.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7B350" w14:textId="77777777" w:rsidR="00F32E28" w:rsidRDefault="00F32E28">
    <w:pPr>
      <w:pStyle w:val="Header"/>
    </w:pPr>
  </w:p>
  <w:p w14:paraId="2F06D68F" w14:textId="14DA553E" w:rsidR="00F32E28" w:rsidRDefault="00F32E2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2D77" w14:textId="77777777" w:rsidR="00F32E28" w:rsidRDefault="00F32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25F905DF"/>
    <w:multiLevelType w:val="hybridMultilevel"/>
    <w:tmpl w:val="1E5C2F78"/>
    <w:lvl w:ilvl="0" w:tplc="84D6A6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nsid w:val="2DE01C6F"/>
    <w:multiLevelType w:val="hybridMultilevel"/>
    <w:tmpl w:val="F30CAB2E"/>
    <w:lvl w:ilvl="0" w:tplc="A86E1EB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00057F"/>
    <w:multiLevelType w:val="hybridMultilevel"/>
    <w:tmpl w:val="F83CD0B2"/>
    <w:lvl w:ilvl="0" w:tplc="879A9104">
      <w:start w:val="2010"/>
      <w:numFmt w:val="bullet"/>
      <w:lvlText w:val="-"/>
      <w:lvlJc w:val="left"/>
      <w:pPr>
        <w:tabs>
          <w:tab w:val="num" w:pos="360"/>
        </w:tabs>
        <w:ind w:left="360" w:hanging="360"/>
      </w:pPr>
      <w:rPr>
        <w:rFonts w:ascii="Franklin Gothic Book" w:eastAsia="Times New Roman" w:hAnsi="Franklin Gothic Book" w:cs="Times New Roman" w:hint="default"/>
      </w:rPr>
    </w:lvl>
    <w:lvl w:ilvl="1" w:tplc="0C090003">
      <w:start w:val="1"/>
      <w:numFmt w:val="decimal"/>
      <w:lvlText w:val="%2."/>
      <w:lvlJc w:val="left"/>
      <w:pPr>
        <w:tabs>
          <w:tab w:val="num" w:pos="1440"/>
        </w:tabs>
        <w:ind w:left="1440" w:hanging="360"/>
      </w:p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F9830C9"/>
    <w:multiLevelType w:val="hybridMultilevel"/>
    <w:tmpl w:val="E58833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6F159B8"/>
    <w:multiLevelType w:val="hybridMultilevel"/>
    <w:tmpl w:val="5CB4D39E"/>
    <w:lvl w:ilvl="0" w:tplc="879A9104">
      <w:start w:val="2010"/>
      <w:numFmt w:val="bullet"/>
      <w:lvlText w:val="-"/>
      <w:lvlJc w:val="left"/>
      <w:pPr>
        <w:tabs>
          <w:tab w:val="num" w:pos="360"/>
        </w:tabs>
        <w:ind w:left="360" w:hanging="360"/>
      </w:pPr>
      <w:rPr>
        <w:rFonts w:ascii="Franklin Gothic Book" w:eastAsia="Times New Roman" w:hAnsi="Franklin Gothic Book"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C78664B"/>
    <w:multiLevelType w:val="hybridMultilevel"/>
    <w:tmpl w:val="C8585154"/>
    <w:lvl w:ilvl="0" w:tplc="24DA3746">
      <w:start w:val="5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5"/>
  </w:num>
  <w:num w:numId="4">
    <w:abstractNumId w:val="3"/>
  </w:num>
  <w:num w:numId="5">
    <w:abstractNumId w:val="14"/>
  </w:num>
  <w:num w:numId="6">
    <w:abstractNumId w:val="11"/>
  </w:num>
  <w:num w:numId="7">
    <w:abstractNumId w:val="10"/>
  </w:num>
  <w:num w:numId="8">
    <w:abstractNumId w:val="17"/>
  </w:num>
  <w:num w:numId="9">
    <w:abstractNumId w:val="2"/>
  </w:num>
  <w:num w:numId="10">
    <w:abstractNumId w:val="13"/>
  </w:num>
  <w:num w:numId="11">
    <w:abstractNumId w:val="19"/>
  </w:num>
  <w:num w:numId="12">
    <w:abstractNumId w:val="4"/>
  </w:num>
  <w:num w:numId="13">
    <w:abstractNumId w:val="21"/>
  </w:num>
  <w:num w:numId="14">
    <w:abstractNumId w:val="23"/>
  </w:num>
  <w:num w:numId="15">
    <w:abstractNumId w:val="8"/>
  </w:num>
  <w:num w:numId="16">
    <w:abstractNumId w:val="0"/>
  </w:num>
  <w:num w:numId="17">
    <w:abstractNumId w:val="1"/>
  </w:num>
  <w:num w:numId="18">
    <w:abstractNumId w:val="22"/>
  </w:num>
  <w:num w:numId="19">
    <w:abstractNumId w:val="5"/>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10E49"/>
    <w:rsid w:val="000143D9"/>
    <w:rsid w:val="00014D00"/>
    <w:rsid w:val="00020121"/>
    <w:rsid w:val="00021A9E"/>
    <w:rsid w:val="0002291B"/>
    <w:rsid w:val="00030111"/>
    <w:rsid w:val="00031100"/>
    <w:rsid w:val="00035C31"/>
    <w:rsid w:val="000521C1"/>
    <w:rsid w:val="0005277F"/>
    <w:rsid w:val="000530C2"/>
    <w:rsid w:val="00071B95"/>
    <w:rsid w:val="000745E2"/>
    <w:rsid w:val="000774FD"/>
    <w:rsid w:val="000810F3"/>
    <w:rsid w:val="00086FA5"/>
    <w:rsid w:val="000979A0"/>
    <w:rsid w:val="000A1618"/>
    <w:rsid w:val="000B3121"/>
    <w:rsid w:val="000B628C"/>
    <w:rsid w:val="000C04FD"/>
    <w:rsid w:val="000C29BF"/>
    <w:rsid w:val="000C424C"/>
    <w:rsid w:val="000C6080"/>
    <w:rsid w:val="000C60A8"/>
    <w:rsid w:val="000C7B16"/>
    <w:rsid w:val="000D15FA"/>
    <w:rsid w:val="000E7297"/>
    <w:rsid w:val="000F7F38"/>
    <w:rsid w:val="00100AA2"/>
    <w:rsid w:val="00112E97"/>
    <w:rsid w:val="00120346"/>
    <w:rsid w:val="00120FC7"/>
    <w:rsid w:val="0013235E"/>
    <w:rsid w:val="001330C6"/>
    <w:rsid w:val="0013492F"/>
    <w:rsid w:val="001366B4"/>
    <w:rsid w:val="00137FA4"/>
    <w:rsid w:val="00141A30"/>
    <w:rsid w:val="001423AF"/>
    <w:rsid w:val="0014411B"/>
    <w:rsid w:val="001612CE"/>
    <w:rsid w:val="0016544D"/>
    <w:rsid w:val="00173C6E"/>
    <w:rsid w:val="00174A5C"/>
    <w:rsid w:val="00180B19"/>
    <w:rsid w:val="0018196F"/>
    <w:rsid w:val="001829BB"/>
    <w:rsid w:val="00192498"/>
    <w:rsid w:val="00194806"/>
    <w:rsid w:val="001A27E1"/>
    <w:rsid w:val="001A4841"/>
    <w:rsid w:val="001A68E4"/>
    <w:rsid w:val="001B1A0C"/>
    <w:rsid w:val="001B658C"/>
    <w:rsid w:val="001C1EA0"/>
    <w:rsid w:val="001C2D04"/>
    <w:rsid w:val="001C507E"/>
    <w:rsid w:val="001C700E"/>
    <w:rsid w:val="001C7117"/>
    <w:rsid w:val="001D20FC"/>
    <w:rsid w:val="001D210A"/>
    <w:rsid w:val="001D262B"/>
    <w:rsid w:val="001D3D95"/>
    <w:rsid w:val="001D4545"/>
    <w:rsid w:val="001E2841"/>
    <w:rsid w:val="001F5964"/>
    <w:rsid w:val="001F678B"/>
    <w:rsid w:val="001F7480"/>
    <w:rsid w:val="00200ADE"/>
    <w:rsid w:val="0020193C"/>
    <w:rsid w:val="00207EF2"/>
    <w:rsid w:val="00210205"/>
    <w:rsid w:val="002102C2"/>
    <w:rsid w:val="002115BD"/>
    <w:rsid w:val="00211B01"/>
    <w:rsid w:val="00214266"/>
    <w:rsid w:val="002205B3"/>
    <w:rsid w:val="002227B5"/>
    <w:rsid w:val="00222A06"/>
    <w:rsid w:val="0022433B"/>
    <w:rsid w:val="002266BC"/>
    <w:rsid w:val="002274FD"/>
    <w:rsid w:val="00231D45"/>
    <w:rsid w:val="00237915"/>
    <w:rsid w:val="00237C4B"/>
    <w:rsid w:val="00244B0A"/>
    <w:rsid w:val="00246E5F"/>
    <w:rsid w:val="00260467"/>
    <w:rsid w:val="002630E1"/>
    <w:rsid w:val="00267EBB"/>
    <w:rsid w:val="00275101"/>
    <w:rsid w:val="002811F3"/>
    <w:rsid w:val="002849B4"/>
    <w:rsid w:val="0029109A"/>
    <w:rsid w:val="002A12B7"/>
    <w:rsid w:val="002A1935"/>
    <w:rsid w:val="002A22F7"/>
    <w:rsid w:val="002A480D"/>
    <w:rsid w:val="002A4ACF"/>
    <w:rsid w:val="002B433A"/>
    <w:rsid w:val="002B5528"/>
    <w:rsid w:val="002B79D4"/>
    <w:rsid w:val="002C3003"/>
    <w:rsid w:val="002C5F7C"/>
    <w:rsid w:val="002D0BC1"/>
    <w:rsid w:val="002D49E5"/>
    <w:rsid w:val="002D571B"/>
    <w:rsid w:val="002D5B72"/>
    <w:rsid w:val="002D6914"/>
    <w:rsid w:val="002E0ECC"/>
    <w:rsid w:val="002E1CB3"/>
    <w:rsid w:val="002F13A4"/>
    <w:rsid w:val="002F3998"/>
    <w:rsid w:val="002F479A"/>
    <w:rsid w:val="002F5A14"/>
    <w:rsid w:val="003015FD"/>
    <w:rsid w:val="00303038"/>
    <w:rsid w:val="00304C76"/>
    <w:rsid w:val="00305D9D"/>
    <w:rsid w:val="00310426"/>
    <w:rsid w:val="00315D05"/>
    <w:rsid w:val="00315D13"/>
    <w:rsid w:val="003223F8"/>
    <w:rsid w:val="0032486D"/>
    <w:rsid w:val="003260C0"/>
    <w:rsid w:val="00326B5A"/>
    <w:rsid w:val="003327F8"/>
    <w:rsid w:val="003345F4"/>
    <w:rsid w:val="003352A3"/>
    <w:rsid w:val="00336CE4"/>
    <w:rsid w:val="00337EAE"/>
    <w:rsid w:val="00341177"/>
    <w:rsid w:val="0034419C"/>
    <w:rsid w:val="00344C38"/>
    <w:rsid w:val="00345B8E"/>
    <w:rsid w:val="00351ACA"/>
    <w:rsid w:val="00352AE5"/>
    <w:rsid w:val="00357769"/>
    <w:rsid w:val="00357AF7"/>
    <w:rsid w:val="00360662"/>
    <w:rsid w:val="00361211"/>
    <w:rsid w:val="00361A8D"/>
    <w:rsid w:val="00372E1B"/>
    <w:rsid w:val="003817E4"/>
    <w:rsid w:val="00383294"/>
    <w:rsid w:val="00384536"/>
    <w:rsid w:val="00386C24"/>
    <w:rsid w:val="00395CFA"/>
    <w:rsid w:val="003A2D7B"/>
    <w:rsid w:val="003A74BF"/>
    <w:rsid w:val="003B0FAD"/>
    <w:rsid w:val="003B19D0"/>
    <w:rsid w:val="003B66F5"/>
    <w:rsid w:val="003C64BD"/>
    <w:rsid w:val="003C7721"/>
    <w:rsid w:val="003D081D"/>
    <w:rsid w:val="003D0DDA"/>
    <w:rsid w:val="003E08FF"/>
    <w:rsid w:val="003E3A7E"/>
    <w:rsid w:val="003E4982"/>
    <w:rsid w:val="003F1002"/>
    <w:rsid w:val="003F2620"/>
    <w:rsid w:val="003F2F10"/>
    <w:rsid w:val="004077F9"/>
    <w:rsid w:val="00412611"/>
    <w:rsid w:val="00412B04"/>
    <w:rsid w:val="00413539"/>
    <w:rsid w:val="0041406D"/>
    <w:rsid w:val="004152C6"/>
    <w:rsid w:val="0041564C"/>
    <w:rsid w:val="00415A92"/>
    <w:rsid w:val="00415FA0"/>
    <w:rsid w:val="00416DE3"/>
    <w:rsid w:val="004228CD"/>
    <w:rsid w:val="00424395"/>
    <w:rsid w:val="00426354"/>
    <w:rsid w:val="00436BB8"/>
    <w:rsid w:val="00440570"/>
    <w:rsid w:val="00440E2D"/>
    <w:rsid w:val="00443639"/>
    <w:rsid w:val="00444CE6"/>
    <w:rsid w:val="00445A3B"/>
    <w:rsid w:val="00454498"/>
    <w:rsid w:val="004615AA"/>
    <w:rsid w:val="004615AF"/>
    <w:rsid w:val="0047636A"/>
    <w:rsid w:val="00477552"/>
    <w:rsid w:val="00483C71"/>
    <w:rsid w:val="0049304D"/>
    <w:rsid w:val="004A7400"/>
    <w:rsid w:val="004B3CE4"/>
    <w:rsid w:val="004B55FE"/>
    <w:rsid w:val="004B5E38"/>
    <w:rsid w:val="004C0AE4"/>
    <w:rsid w:val="004C4A3E"/>
    <w:rsid w:val="004C65B2"/>
    <w:rsid w:val="004C660D"/>
    <w:rsid w:val="004D1529"/>
    <w:rsid w:val="004D19CE"/>
    <w:rsid w:val="004D3BA2"/>
    <w:rsid w:val="004D4522"/>
    <w:rsid w:val="004D4CBB"/>
    <w:rsid w:val="004D7A3C"/>
    <w:rsid w:val="004E6400"/>
    <w:rsid w:val="004E6E33"/>
    <w:rsid w:val="004F01C0"/>
    <w:rsid w:val="004F11E4"/>
    <w:rsid w:val="004F2077"/>
    <w:rsid w:val="004F20FD"/>
    <w:rsid w:val="004F521E"/>
    <w:rsid w:val="004F709F"/>
    <w:rsid w:val="005030A2"/>
    <w:rsid w:val="00503974"/>
    <w:rsid w:val="0050529F"/>
    <w:rsid w:val="00514B5E"/>
    <w:rsid w:val="00515D9A"/>
    <w:rsid w:val="00522251"/>
    <w:rsid w:val="00522831"/>
    <w:rsid w:val="0052286C"/>
    <w:rsid w:val="00522AB9"/>
    <w:rsid w:val="005265B9"/>
    <w:rsid w:val="00533533"/>
    <w:rsid w:val="005341AF"/>
    <w:rsid w:val="00535E24"/>
    <w:rsid w:val="00536B6D"/>
    <w:rsid w:val="00541B4D"/>
    <w:rsid w:val="005422E9"/>
    <w:rsid w:val="005429B0"/>
    <w:rsid w:val="005435B4"/>
    <w:rsid w:val="005440F6"/>
    <w:rsid w:val="0054557A"/>
    <w:rsid w:val="0054667E"/>
    <w:rsid w:val="00546DD6"/>
    <w:rsid w:val="0055771D"/>
    <w:rsid w:val="00567FCF"/>
    <w:rsid w:val="00575295"/>
    <w:rsid w:val="005845CB"/>
    <w:rsid w:val="0058498A"/>
    <w:rsid w:val="005851B2"/>
    <w:rsid w:val="00586350"/>
    <w:rsid w:val="0058710B"/>
    <w:rsid w:val="0059277E"/>
    <w:rsid w:val="00594F7F"/>
    <w:rsid w:val="00596F41"/>
    <w:rsid w:val="005A18C5"/>
    <w:rsid w:val="005A7682"/>
    <w:rsid w:val="005B0E6E"/>
    <w:rsid w:val="005B4C50"/>
    <w:rsid w:val="005B7C71"/>
    <w:rsid w:val="005C01AB"/>
    <w:rsid w:val="005C4A6B"/>
    <w:rsid w:val="005D2A59"/>
    <w:rsid w:val="005D36CC"/>
    <w:rsid w:val="005D54F0"/>
    <w:rsid w:val="005D6E17"/>
    <w:rsid w:val="005F0C00"/>
    <w:rsid w:val="005F0CC5"/>
    <w:rsid w:val="005F33F2"/>
    <w:rsid w:val="005F35C5"/>
    <w:rsid w:val="006019BA"/>
    <w:rsid w:val="00602195"/>
    <w:rsid w:val="006101B2"/>
    <w:rsid w:val="00617F30"/>
    <w:rsid w:val="00621B71"/>
    <w:rsid w:val="00625C98"/>
    <w:rsid w:val="006408DB"/>
    <w:rsid w:val="00642E50"/>
    <w:rsid w:val="00646049"/>
    <w:rsid w:val="00647EF2"/>
    <w:rsid w:val="0065220E"/>
    <w:rsid w:val="00657108"/>
    <w:rsid w:val="00663909"/>
    <w:rsid w:val="006670D8"/>
    <w:rsid w:val="006671BC"/>
    <w:rsid w:val="00674F59"/>
    <w:rsid w:val="00680679"/>
    <w:rsid w:val="00680BCD"/>
    <w:rsid w:val="006838B2"/>
    <w:rsid w:val="00683FFB"/>
    <w:rsid w:val="00684289"/>
    <w:rsid w:val="00687303"/>
    <w:rsid w:val="00695279"/>
    <w:rsid w:val="006974C8"/>
    <w:rsid w:val="006A1042"/>
    <w:rsid w:val="006B4FE5"/>
    <w:rsid w:val="006C3955"/>
    <w:rsid w:val="006C6800"/>
    <w:rsid w:val="006D12C5"/>
    <w:rsid w:val="006D2E37"/>
    <w:rsid w:val="006D7F5D"/>
    <w:rsid w:val="006E0C21"/>
    <w:rsid w:val="006E1C86"/>
    <w:rsid w:val="006E2144"/>
    <w:rsid w:val="006E7E9F"/>
    <w:rsid w:val="006E7FA8"/>
    <w:rsid w:val="006F2D9E"/>
    <w:rsid w:val="006F4623"/>
    <w:rsid w:val="006F4B40"/>
    <w:rsid w:val="006F6A20"/>
    <w:rsid w:val="00700B0C"/>
    <w:rsid w:val="00701FEA"/>
    <w:rsid w:val="00706DE1"/>
    <w:rsid w:val="00710F68"/>
    <w:rsid w:val="007110C9"/>
    <w:rsid w:val="00714A83"/>
    <w:rsid w:val="00714BA3"/>
    <w:rsid w:val="007176C8"/>
    <w:rsid w:val="00720233"/>
    <w:rsid w:val="00721098"/>
    <w:rsid w:val="007221B4"/>
    <w:rsid w:val="00723755"/>
    <w:rsid w:val="0072468D"/>
    <w:rsid w:val="00736FCA"/>
    <w:rsid w:val="007426CF"/>
    <w:rsid w:val="0074377C"/>
    <w:rsid w:val="00745FC9"/>
    <w:rsid w:val="0075038F"/>
    <w:rsid w:val="00750E77"/>
    <w:rsid w:val="00755FE9"/>
    <w:rsid w:val="00762307"/>
    <w:rsid w:val="00764A4E"/>
    <w:rsid w:val="00766BCF"/>
    <w:rsid w:val="00766E38"/>
    <w:rsid w:val="00767F39"/>
    <w:rsid w:val="007726E1"/>
    <w:rsid w:val="007737ED"/>
    <w:rsid w:val="00774F4B"/>
    <w:rsid w:val="0079256F"/>
    <w:rsid w:val="00792787"/>
    <w:rsid w:val="00792D18"/>
    <w:rsid w:val="007933ED"/>
    <w:rsid w:val="0079424C"/>
    <w:rsid w:val="00795609"/>
    <w:rsid w:val="00796FD3"/>
    <w:rsid w:val="00797954"/>
    <w:rsid w:val="007A3A9F"/>
    <w:rsid w:val="007A3C6A"/>
    <w:rsid w:val="007A5821"/>
    <w:rsid w:val="007A5D06"/>
    <w:rsid w:val="007B235F"/>
    <w:rsid w:val="007B51E2"/>
    <w:rsid w:val="007C602B"/>
    <w:rsid w:val="007D410C"/>
    <w:rsid w:val="007D6CBF"/>
    <w:rsid w:val="007E139E"/>
    <w:rsid w:val="007E2A95"/>
    <w:rsid w:val="007E5E0E"/>
    <w:rsid w:val="007F1E41"/>
    <w:rsid w:val="007F2841"/>
    <w:rsid w:val="007F5F40"/>
    <w:rsid w:val="0080092E"/>
    <w:rsid w:val="00802A66"/>
    <w:rsid w:val="00812FC0"/>
    <w:rsid w:val="00814382"/>
    <w:rsid w:val="00815D83"/>
    <w:rsid w:val="00820807"/>
    <w:rsid w:val="00821541"/>
    <w:rsid w:val="008217CD"/>
    <w:rsid w:val="00830647"/>
    <w:rsid w:val="00830E80"/>
    <w:rsid w:val="00831177"/>
    <w:rsid w:val="0083163D"/>
    <w:rsid w:val="00833928"/>
    <w:rsid w:val="00835FB6"/>
    <w:rsid w:val="008454DE"/>
    <w:rsid w:val="00866C00"/>
    <w:rsid w:val="008727FA"/>
    <w:rsid w:val="008810FA"/>
    <w:rsid w:val="00881861"/>
    <w:rsid w:val="00882172"/>
    <w:rsid w:val="00883D54"/>
    <w:rsid w:val="00884878"/>
    <w:rsid w:val="00885B9C"/>
    <w:rsid w:val="008908B7"/>
    <w:rsid w:val="00896927"/>
    <w:rsid w:val="00897E16"/>
    <w:rsid w:val="008A144E"/>
    <w:rsid w:val="008A6C9B"/>
    <w:rsid w:val="008B5F65"/>
    <w:rsid w:val="008C1F01"/>
    <w:rsid w:val="008C2716"/>
    <w:rsid w:val="008C33CC"/>
    <w:rsid w:val="008C4443"/>
    <w:rsid w:val="008C7051"/>
    <w:rsid w:val="008D27EF"/>
    <w:rsid w:val="008D2DC8"/>
    <w:rsid w:val="008D34F9"/>
    <w:rsid w:val="008D745E"/>
    <w:rsid w:val="008E237B"/>
    <w:rsid w:val="008E461C"/>
    <w:rsid w:val="008E4D46"/>
    <w:rsid w:val="008F06F2"/>
    <w:rsid w:val="008F4C4B"/>
    <w:rsid w:val="008F5D80"/>
    <w:rsid w:val="00900B4A"/>
    <w:rsid w:val="009024EE"/>
    <w:rsid w:val="009145BA"/>
    <w:rsid w:val="009209E5"/>
    <w:rsid w:val="00923D3D"/>
    <w:rsid w:val="00924CCB"/>
    <w:rsid w:val="0092520A"/>
    <w:rsid w:val="00932FAD"/>
    <w:rsid w:val="009349C3"/>
    <w:rsid w:val="0094164F"/>
    <w:rsid w:val="00947D3C"/>
    <w:rsid w:val="00951562"/>
    <w:rsid w:val="00954EF3"/>
    <w:rsid w:val="009668EF"/>
    <w:rsid w:val="00966E79"/>
    <w:rsid w:val="0096743F"/>
    <w:rsid w:val="009729A9"/>
    <w:rsid w:val="0097312F"/>
    <w:rsid w:val="009753CB"/>
    <w:rsid w:val="0098030D"/>
    <w:rsid w:val="00980D48"/>
    <w:rsid w:val="00981E62"/>
    <w:rsid w:val="009841BF"/>
    <w:rsid w:val="009872C1"/>
    <w:rsid w:val="009917A5"/>
    <w:rsid w:val="009A1E07"/>
    <w:rsid w:val="009A28D2"/>
    <w:rsid w:val="009A40DB"/>
    <w:rsid w:val="009A4D39"/>
    <w:rsid w:val="009A62A1"/>
    <w:rsid w:val="009A73C6"/>
    <w:rsid w:val="009B502F"/>
    <w:rsid w:val="009B5190"/>
    <w:rsid w:val="009B654F"/>
    <w:rsid w:val="009C16DF"/>
    <w:rsid w:val="009C3B51"/>
    <w:rsid w:val="009C4804"/>
    <w:rsid w:val="009C61B4"/>
    <w:rsid w:val="009D24A4"/>
    <w:rsid w:val="009D3524"/>
    <w:rsid w:val="009D4118"/>
    <w:rsid w:val="009E1476"/>
    <w:rsid w:val="009E33A3"/>
    <w:rsid w:val="009E6780"/>
    <w:rsid w:val="009E6B2D"/>
    <w:rsid w:val="009F4D99"/>
    <w:rsid w:val="009F50F0"/>
    <w:rsid w:val="00A03911"/>
    <w:rsid w:val="00A04A2B"/>
    <w:rsid w:val="00A04DDE"/>
    <w:rsid w:val="00A05140"/>
    <w:rsid w:val="00A10DE1"/>
    <w:rsid w:val="00A1532D"/>
    <w:rsid w:val="00A1589C"/>
    <w:rsid w:val="00A215AB"/>
    <w:rsid w:val="00A22538"/>
    <w:rsid w:val="00A2417E"/>
    <w:rsid w:val="00A24407"/>
    <w:rsid w:val="00A34039"/>
    <w:rsid w:val="00A3552E"/>
    <w:rsid w:val="00A35DB3"/>
    <w:rsid w:val="00A417FA"/>
    <w:rsid w:val="00A42760"/>
    <w:rsid w:val="00A443C7"/>
    <w:rsid w:val="00A45A10"/>
    <w:rsid w:val="00A47ECF"/>
    <w:rsid w:val="00A5132D"/>
    <w:rsid w:val="00A5426E"/>
    <w:rsid w:val="00A5551F"/>
    <w:rsid w:val="00A55735"/>
    <w:rsid w:val="00A62CE3"/>
    <w:rsid w:val="00A63C2F"/>
    <w:rsid w:val="00A63D4B"/>
    <w:rsid w:val="00A65CAA"/>
    <w:rsid w:val="00A67D8F"/>
    <w:rsid w:val="00A72845"/>
    <w:rsid w:val="00A766FD"/>
    <w:rsid w:val="00A779B1"/>
    <w:rsid w:val="00A8132E"/>
    <w:rsid w:val="00A820E7"/>
    <w:rsid w:val="00A837B0"/>
    <w:rsid w:val="00A858D9"/>
    <w:rsid w:val="00A85F91"/>
    <w:rsid w:val="00A863AA"/>
    <w:rsid w:val="00A94EC5"/>
    <w:rsid w:val="00A96FAD"/>
    <w:rsid w:val="00A974BE"/>
    <w:rsid w:val="00AA4F9F"/>
    <w:rsid w:val="00AA75C8"/>
    <w:rsid w:val="00AB01B9"/>
    <w:rsid w:val="00AB2642"/>
    <w:rsid w:val="00AB3900"/>
    <w:rsid w:val="00AB7215"/>
    <w:rsid w:val="00AC073C"/>
    <w:rsid w:val="00AC19C9"/>
    <w:rsid w:val="00AC20E0"/>
    <w:rsid w:val="00AC56C2"/>
    <w:rsid w:val="00AC5E19"/>
    <w:rsid w:val="00AD0DED"/>
    <w:rsid w:val="00AD73A4"/>
    <w:rsid w:val="00AE5C52"/>
    <w:rsid w:val="00AE6C84"/>
    <w:rsid w:val="00AF045F"/>
    <w:rsid w:val="00AF0FA2"/>
    <w:rsid w:val="00AF0FDD"/>
    <w:rsid w:val="00B16D3B"/>
    <w:rsid w:val="00B17A9D"/>
    <w:rsid w:val="00B21C2F"/>
    <w:rsid w:val="00B237C1"/>
    <w:rsid w:val="00B2764E"/>
    <w:rsid w:val="00B30E77"/>
    <w:rsid w:val="00B31220"/>
    <w:rsid w:val="00B33F27"/>
    <w:rsid w:val="00B35C0B"/>
    <w:rsid w:val="00B456CC"/>
    <w:rsid w:val="00B478EF"/>
    <w:rsid w:val="00B51BAD"/>
    <w:rsid w:val="00B56551"/>
    <w:rsid w:val="00B57AE9"/>
    <w:rsid w:val="00B61F83"/>
    <w:rsid w:val="00B638BD"/>
    <w:rsid w:val="00B65EB5"/>
    <w:rsid w:val="00B721B9"/>
    <w:rsid w:val="00B72CEC"/>
    <w:rsid w:val="00B80707"/>
    <w:rsid w:val="00B8362D"/>
    <w:rsid w:val="00B83F76"/>
    <w:rsid w:val="00B87675"/>
    <w:rsid w:val="00B9345C"/>
    <w:rsid w:val="00B948EC"/>
    <w:rsid w:val="00B94928"/>
    <w:rsid w:val="00B95043"/>
    <w:rsid w:val="00BA3026"/>
    <w:rsid w:val="00BA3EFF"/>
    <w:rsid w:val="00BA4972"/>
    <w:rsid w:val="00BA5FE7"/>
    <w:rsid w:val="00BA6BDB"/>
    <w:rsid w:val="00BB1C24"/>
    <w:rsid w:val="00BB28A4"/>
    <w:rsid w:val="00BB3350"/>
    <w:rsid w:val="00BC0AC7"/>
    <w:rsid w:val="00BC6774"/>
    <w:rsid w:val="00BC6EEF"/>
    <w:rsid w:val="00BC7980"/>
    <w:rsid w:val="00BD15F3"/>
    <w:rsid w:val="00BD4D43"/>
    <w:rsid w:val="00BE09A7"/>
    <w:rsid w:val="00BE0D5C"/>
    <w:rsid w:val="00BE269B"/>
    <w:rsid w:val="00BE65E4"/>
    <w:rsid w:val="00BF0AA7"/>
    <w:rsid w:val="00BF2F97"/>
    <w:rsid w:val="00BF3906"/>
    <w:rsid w:val="00BF7264"/>
    <w:rsid w:val="00C002E3"/>
    <w:rsid w:val="00C00765"/>
    <w:rsid w:val="00C00A8E"/>
    <w:rsid w:val="00C06287"/>
    <w:rsid w:val="00C07C3F"/>
    <w:rsid w:val="00C14047"/>
    <w:rsid w:val="00C20D5E"/>
    <w:rsid w:val="00C22E36"/>
    <w:rsid w:val="00C23583"/>
    <w:rsid w:val="00C31F3B"/>
    <w:rsid w:val="00C36A47"/>
    <w:rsid w:val="00C36AE5"/>
    <w:rsid w:val="00C36C67"/>
    <w:rsid w:val="00C4066A"/>
    <w:rsid w:val="00C40D0E"/>
    <w:rsid w:val="00C440B8"/>
    <w:rsid w:val="00C469FC"/>
    <w:rsid w:val="00C56BAB"/>
    <w:rsid w:val="00C60D92"/>
    <w:rsid w:val="00C65930"/>
    <w:rsid w:val="00C72317"/>
    <w:rsid w:val="00C75AB0"/>
    <w:rsid w:val="00C80DEA"/>
    <w:rsid w:val="00C82AA4"/>
    <w:rsid w:val="00C8305C"/>
    <w:rsid w:val="00C83A68"/>
    <w:rsid w:val="00C8463D"/>
    <w:rsid w:val="00C95691"/>
    <w:rsid w:val="00CA1ECD"/>
    <w:rsid w:val="00CA2464"/>
    <w:rsid w:val="00CA3761"/>
    <w:rsid w:val="00CA4C7F"/>
    <w:rsid w:val="00CA51F0"/>
    <w:rsid w:val="00CC12D1"/>
    <w:rsid w:val="00CC1BE1"/>
    <w:rsid w:val="00CC3540"/>
    <w:rsid w:val="00CD0FA4"/>
    <w:rsid w:val="00CD6667"/>
    <w:rsid w:val="00CD6889"/>
    <w:rsid w:val="00CE161D"/>
    <w:rsid w:val="00CF00FB"/>
    <w:rsid w:val="00CF2190"/>
    <w:rsid w:val="00CF3661"/>
    <w:rsid w:val="00CF3785"/>
    <w:rsid w:val="00CF5974"/>
    <w:rsid w:val="00CF6A1E"/>
    <w:rsid w:val="00CF73F7"/>
    <w:rsid w:val="00CF7756"/>
    <w:rsid w:val="00D000A5"/>
    <w:rsid w:val="00D02B30"/>
    <w:rsid w:val="00D0608D"/>
    <w:rsid w:val="00D06E87"/>
    <w:rsid w:val="00D06EFC"/>
    <w:rsid w:val="00D1197E"/>
    <w:rsid w:val="00D15773"/>
    <w:rsid w:val="00D1619E"/>
    <w:rsid w:val="00D201FF"/>
    <w:rsid w:val="00D21563"/>
    <w:rsid w:val="00D23DB6"/>
    <w:rsid w:val="00D24735"/>
    <w:rsid w:val="00D27AF9"/>
    <w:rsid w:val="00D31D07"/>
    <w:rsid w:val="00D32078"/>
    <w:rsid w:val="00D32169"/>
    <w:rsid w:val="00D33DA7"/>
    <w:rsid w:val="00D33FDF"/>
    <w:rsid w:val="00D472D8"/>
    <w:rsid w:val="00D47575"/>
    <w:rsid w:val="00D47A6D"/>
    <w:rsid w:val="00D51456"/>
    <w:rsid w:val="00D54E8C"/>
    <w:rsid w:val="00D55E33"/>
    <w:rsid w:val="00D56FF4"/>
    <w:rsid w:val="00D60F8D"/>
    <w:rsid w:val="00D66B52"/>
    <w:rsid w:val="00D67831"/>
    <w:rsid w:val="00D74036"/>
    <w:rsid w:val="00D808EE"/>
    <w:rsid w:val="00D80B3E"/>
    <w:rsid w:val="00D8132E"/>
    <w:rsid w:val="00D8135F"/>
    <w:rsid w:val="00D858C0"/>
    <w:rsid w:val="00D8654D"/>
    <w:rsid w:val="00D93663"/>
    <w:rsid w:val="00D94097"/>
    <w:rsid w:val="00DA103C"/>
    <w:rsid w:val="00DA1ABF"/>
    <w:rsid w:val="00DA52C7"/>
    <w:rsid w:val="00DA7DA7"/>
    <w:rsid w:val="00DB0CB2"/>
    <w:rsid w:val="00DB18D4"/>
    <w:rsid w:val="00DB5409"/>
    <w:rsid w:val="00DB597F"/>
    <w:rsid w:val="00DB7A6F"/>
    <w:rsid w:val="00DD407C"/>
    <w:rsid w:val="00DD459C"/>
    <w:rsid w:val="00DD58AC"/>
    <w:rsid w:val="00DE55E6"/>
    <w:rsid w:val="00E04482"/>
    <w:rsid w:val="00E05361"/>
    <w:rsid w:val="00E07968"/>
    <w:rsid w:val="00E20E53"/>
    <w:rsid w:val="00E22084"/>
    <w:rsid w:val="00E2267F"/>
    <w:rsid w:val="00E228B6"/>
    <w:rsid w:val="00E2393A"/>
    <w:rsid w:val="00E27C9F"/>
    <w:rsid w:val="00E30553"/>
    <w:rsid w:val="00E34089"/>
    <w:rsid w:val="00E3485B"/>
    <w:rsid w:val="00E53359"/>
    <w:rsid w:val="00E56685"/>
    <w:rsid w:val="00E56811"/>
    <w:rsid w:val="00E57AC1"/>
    <w:rsid w:val="00E60960"/>
    <w:rsid w:val="00E6139F"/>
    <w:rsid w:val="00E61E1E"/>
    <w:rsid w:val="00E61F4A"/>
    <w:rsid w:val="00E62387"/>
    <w:rsid w:val="00E64B3B"/>
    <w:rsid w:val="00E67F9A"/>
    <w:rsid w:val="00E71A05"/>
    <w:rsid w:val="00E73E0C"/>
    <w:rsid w:val="00E8100A"/>
    <w:rsid w:val="00E823D2"/>
    <w:rsid w:val="00E90B9D"/>
    <w:rsid w:val="00E923F1"/>
    <w:rsid w:val="00E96185"/>
    <w:rsid w:val="00E974C3"/>
    <w:rsid w:val="00EA10CE"/>
    <w:rsid w:val="00EB3D8A"/>
    <w:rsid w:val="00EB4AF9"/>
    <w:rsid w:val="00EB711D"/>
    <w:rsid w:val="00EC2A0E"/>
    <w:rsid w:val="00EC44C3"/>
    <w:rsid w:val="00EC5F87"/>
    <w:rsid w:val="00ED2536"/>
    <w:rsid w:val="00EE0E84"/>
    <w:rsid w:val="00EE308D"/>
    <w:rsid w:val="00EE44C9"/>
    <w:rsid w:val="00EF019C"/>
    <w:rsid w:val="00EF2769"/>
    <w:rsid w:val="00EF4DF3"/>
    <w:rsid w:val="00EF554F"/>
    <w:rsid w:val="00F00FA4"/>
    <w:rsid w:val="00F0799D"/>
    <w:rsid w:val="00F162CF"/>
    <w:rsid w:val="00F17CEB"/>
    <w:rsid w:val="00F209D8"/>
    <w:rsid w:val="00F25B64"/>
    <w:rsid w:val="00F27ED1"/>
    <w:rsid w:val="00F32E28"/>
    <w:rsid w:val="00F46297"/>
    <w:rsid w:val="00F47036"/>
    <w:rsid w:val="00F47D8A"/>
    <w:rsid w:val="00F5172B"/>
    <w:rsid w:val="00F53655"/>
    <w:rsid w:val="00F537DB"/>
    <w:rsid w:val="00F6071E"/>
    <w:rsid w:val="00F65284"/>
    <w:rsid w:val="00F711FF"/>
    <w:rsid w:val="00F71512"/>
    <w:rsid w:val="00F74FA5"/>
    <w:rsid w:val="00F75FA8"/>
    <w:rsid w:val="00F777F4"/>
    <w:rsid w:val="00F77E6A"/>
    <w:rsid w:val="00F77F24"/>
    <w:rsid w:val="00F81D93"/>
    <w:rsid w:val="00F82CCB"/>
    <w:rsid w:val="00F84951"/>
    <w:rsid w:val="00F86C62"/>
    <w:rsid w:val="00F93164"/>
    <w:rsid w:val="00F940A3"/>
    <w:rsid w:val="00F9413F"/>
    <w:rsid w:val="00F94D21"/>
    <w:rsid w:val="00F953E5"/>
    <w:rsid w:val="00FA11D0"/>
    <w:rsid w:val="00FA3242"/>
    <w:rsid w:val="00FA406D"/>
    <w:rsid w:val="00FA4570"/>
    <w:rsid w:val="00FB00AC"/>
    <w:rsid w:val="00FB6A9D"/>
    <w:rsid w:val="00FC19A6"/>
    <w:rsid w:val="00FC3797"/>
    <w:rsid w:val="00FC3C87"/>
    <w:rsid w:val="00FE1536"/>
    <w:rsid w:val="00FE25EE"/>
    <w:rsid w:val="00FE3ABF"/>
    <w:rsid w:val="00FE4491"/>
    <w:rsid w:val="00FE4E79"/>
    <w:rsid w:val="00FE7013"/>
    <w:rsid w:val="00FF2D07"/>
    <w:rsid w:val="00FF6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67D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F"/>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F2077"/>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F2077"/>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8453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2C5F7C"/>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2C5F7C"/>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D33FD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B83F76"/>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D33FD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B83F76"/>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3E3A7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0"/>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4"/>
      </w:numPr>
    </w:pPr>
  </w:style>
  <w:style w:type="paragraph" w:styleId="ListBullet2">
    <w:name w:val="List Bullet 2"/>
    <w:basedOn w:val="ListBullet"/>
    <w:rsid w:val="0050529F"/>
    <w:pPr>
      <w:numPr>
        <w:numId w:val="12"/>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3"/>
      </w:numPr>
      <w:ind w:left="568" w:hanging="284"/>
    </w:pPr>
  </w:style>
  <w:style w:type="paragraph" w:customStyle="1" w:styleId="Ratinggreen">
    <w:name w:val="Rating green"/>
    <w:basedOn w:val="Ratingamber"/>
    <w:semiHidden/>
    <w:rsid w:val="0050529F"/>
    <w:pPr>
      <w:numPr>
        <w:numId w:val="11"/>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4F2077"/>
    <w:pPr>
      <w:keepLines/>
      <w:numPr>
        <w:numId w:val="6"/>
      </w:numPr>
      <w:tabs>
        <w:tab w:val="clear" w:pos="284"/>
        <w:tab w:val="num" w:pos="454"/>
      </w:tabs>
      <w:spacing w:before="0"/>
      <w:ind w:left="357" w:hanging="357"/>
    </w:pPr>
    <w:rPr>
      <w:szCs w:val="20"/>
    </w:rPr>
  </w:style>
  <w:style w:type="paragraph" w:customStyle="1" w:styleId="BoxText">
    <w:name w:val="Box Text"/>
    <w:basedOn w:val="Normal"/>
    <w:link w:val="BoxTextChar"/>
    <w:autoRedefine/>
    <w:qFormat/>
    <w:rsid w:val="004F2077"/>
    <w:pPr>
      <w:spacing w:before="80" w:after="80" w:line="280" w:lineRule="atLeast"/>
    </w:pPr>
    <w:rPr>
      <w:rFonts w:ascii="Franklin Gothic Book" w:eastAsia="Times New Roman" w:hAnsi="Franklin Gothic Book"/>
      <w:iCs/>
      <w:szCs w:val="22"/>
      <w:lang w:val="en"/>
    </w:rPr>
  </w:style>
  <w:style w:type="character" w:customStyle="1" w:styleId="BoxTextChar">
    <w:name w:val="Box Text Char"/>
    <w:link w:val="BoxText"/>
    <w:rsid w:val="004F2077"/>
    <w:rPr>
      <w:rFonts w:ascii="Franklin Gothic Book" w:eastAsia="Times New Roman" w:hAnsi="Franklin Gothic Book" w:cs="Times New Roman"/>
      <w:iCs/>
      <w:sz w:val="20"/>
      <w:lang w:val="en"/>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8"/>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D33FDF"/>
    <w:pPr>
      <w:spacing w:before="40" w:after="40"/>
    </w:pPr>
    <w:rPr>
      <w:rFonts w:ascii="Franklin Gothic Book" w:hAnsi="Franklin Gothic Book"/>
      <w:b/>
      <w:i/>
    </w:rPr>
  </w:style>
  <w:style w:type="paragraph" w:customStyle="1" w:styleId="TableListBullet2">
    <w:name w:val="Table List Bullet 2"/>
    <w:basedOn w:val="TableListBullet"/>
    <w:link w:val="TableListBullet2CharChar"/>
    <w:rsid w:val="0050529F"/>
    <w:pPr>
      <w:numPr>
        <w:numId w:val="9"/>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3"/>
      </w:numPr>
    </w:pPr>
  </w:style>
  <w:style w:type="paragraph" w:customStyle="1" w:styleId="TableListNumber2">
    <w:name w:val="Table List Number 2"/>
    <w:basedOn w:val="TableListNumber"/>
    <w:rsid w:val="0050529F"/>
    <w:pPr>
      <w:numPr>
        <w:numId w:val="4"/>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5"/>
      </w:numPr>
      <w:tabs>
        <w:tab w:val="clear" w:pos="567"/>
        <w:tab w:val="num" w:pos="227"/>
      </w:tabs>
      <w:ind w:left="227" w:hanging="227"/>
    </w:pPr>
    <w:rPr>
      <w:szCs w:val="18"/>
    </w:rPr>
  </w:style>
  <w:style w:type="paragraph" w:customStyle="1" w:styleId="BoxListNumber">
    <w:name w:val="Box List Number"/>
    <w:basedOn w:val="BoxText"/>
    <w:rsid w:val="0050529F"/>
    <w:pPr>
      <w:numPr>
        <w:numId w:val="7"/>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5"/>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5"/>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6"/>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7"/>
      </w:numPr>
    </w:pPr>
  </w:style>
  <w:style w:type="character" w:customStyle="1" w:styleId="CaptionChar">
    <w:name w:val="Caption Char"/>
    <w:link w:val="Caption"/>
    <w:locked/>
    <w:rsid w:val="00D33FD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A45A10"/>
    <w:pPr>
      <w:spacing w:after="0"/>
      <w:contextualSpacing/>
    </w:pPr>
    <w:rPr>
      <w:sz w:val="16"/>
      <w:szCs w:val="20"/>
    </w:rPr>
  </w:style>
  <w:style w:type="character" w:customStyle="1" w:styleId="FootnoteTextChar">
    <w:name w:val="Footnote Text Char"/>
    <w:basedOn w:val="DefaultParagraphFont"/>
    <w:link w:val="FootnoteText"/>
    <w:uiPriority w:val="99"/>
    <w:rsid w:val="00A45A10"/>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semiHidden/>
    <w:rsid w:val="00F77E6A"/>
    <w:rPr>
      <w:rFonts w:ascii="Times New Roman" w:hAnsi="Times New Roman"/>
      <w:w w:val="100"/>
      <w:position w:val="6"/>
      <w:sz w:val="16"/>
      <w:szCs w:val="12"/>
      <w:vertAlign w:val="baseline"/>
    </w:rPr>
  </w:style>
  <w:style w:type="paragraph" w:styleId="NoSpacing">
    <w:name w:val="No Spacing"/>
    <w:uiPriority w:val="1"/>
    <w:qFormat/>
    <w:rsid w:val="00D55E33"/>
    <w:pPr>
      <w:spacing w:after="0" w:line="240" w:lineRule="auto"/>
    </w:pPr>
    <w:rPr>
      <w:lang w:eastAsia="en-US"/>
    </w:rPr>
  </w:style>
  <w:style w:type="paragraph" w:customStyle="1" w:styleId="CharChar">
    <w:name w:val="Char Char"/>
    <w:basedOn w:val="Normal"/>
    <w:semiHidden/>
    <w:rsid w:val="00CF3661"/>
    <w:pPr>
      <w:spacing w:before="180" w:line="280" w:lineRule="atLeast"/>
    </w:pPr>
    <w:rPr>
      <w:rFonts w:ascii="Arial" w:eastAsia="Times New Roman" w:hAnsi="Arial"/>
      <w:sz w:val="22"/>
      <w:szCs w:val="20"/>
      <w:lang w:eastAsia="en-US"/>
    </w:rPr>
  </w:style>
  <w:style w:type="paragraph" w:customStyle="1" w:styleId="tabletextentries0">
    <w:name w:val="tabletextentries"/>
    <w:basedOn w:val="Normal"/>
    <w:rsid w:val="005851B2"/>
    <w:pPr>
      <w:spacing w:before="40" w:after="40" w:line="200" w:lineRule="atLeast"/>
    </w:pPr>
    <w:rPr>
      <w:rFonts w:ascii="Franklin Gothic Book" w:eastAsia="Times New Roman" w:hAnsi="Franklin Gothic Book"/>
      <w:sz w:val="17"/>
      <w:szCs w:val="17"/>
    </w:rPr>
  </w:style>
  <w:style w:type="character" w:customStyle="1" w:styleId="st">
    <w:name w:val="st"/>
    <w:basedOn w:val="DefaultParagraphFont"/>
    <w:rsid w:val="000B628C"/>
  </w:style>
  <w:style w:type="character" w:styleId="Emphasis">
    <w:name w:val="Emphasis"/>
    <w:basedOn w:val="DefaultParagraphFont"/>
    <w:uiPriority w:val="20"/>
    <w:qFormat/>
    <w:rsid w:val="00833928"/>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F"/>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F2077"/>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F2077"/>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8453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2C5F7C"/>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2C5F7C"/>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qFormat/>
    <w:rsid w:val="00D33FD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B83F76"/>
    <w:pPr>
      <w:keepNext/>
      <w:spacing w:before="20" w:after="20" w:line="180" w:lineRule="atLeast"/>
    </w:pPr>
    <w:rPr>
      <w:iCs/>
      <w:sz w:val="14"/>
      <w:szCs w:val="14"/>
      <w:lang w:eastAsia="en-AU"/>
    </w:rPr>
  </w:style>
  <w:style w:type="paragraph" w:customStyle="1" w:styleId="TableTextEntries">
    <w:name w:val="Table Text Entries"/>
    <w:basedOn w:val="Normal"/>
    <w:uiPriority w:val="99"/>
    <w:rsid w:val="00D33FD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B83F76"/>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3E3A7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0"/>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4"/>
      </w:numPr>
    </w:pPr>
  </w:style>
  <w:style w:type="paragraph" w:styleId="ListBullet2">
    <w:name w:val="List Bullet 2"/>
    <w:basedOn w:val="ListBullet"/>
    <w:rsid w:val="0050529F"/>
    <w:pPr>
      <w:numPr>
        <w:numId w:val="12"/>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3"/>
      </w:numPr>
      <w:ind w:left="568" w:hanging="284"/>
    </w:pPr>
  </w:style>
  <w:style w:type="paragraph" w:customStyle="1" w:styleId="Ratinggreen">
    <w:name w:val="Rating green"/>
    <w:basedOn w:val="Ratingamber"/>
    <w:semiHidden/>
    <w:rsid w:val="0050529F"/>
    <w:pPr>
      <w:numPr>
        <w:numId w:val="11"/>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4F2077"/>
    <w:pPr>
      <w:keepLines/>
      <w:numPr>
        <w:numId w:val="6"/>
      </w:numPr>
      <w:tabs>
        <w:tab w:val="clear" w:pos="284"/>
        <w:tab w:val="num" w:pos="454"/>
      </w:tabs>
      <w:spacing w:before="0"/>
      <w:ind w:left="357" w:hanging="357"/>
    </w:pPr>
    <w:rPr>
      <w:szCs w:val="20"/>
    </w:rPr>
  </w:style>
  <w:style w:type="paragraph" w:customStyle="1" w:styleId="BoxText">
    <w:name w:val="Box Text"/>
    <w:basedOn w:val="Normal"/>
    <w:link w:val="BoxTextChar"/>
    <w:autoRedefine/>
    <w:qFormat/>
    <w:rsid w:val="004F2077"/>
    <w:pPr>
      <w:spacing w:before="80" w:after="80" w:line="280" w:lineRule="atLeast"/>
    </w:pPr>
    <w:rPr>
      <w:rFonts w:ascii="Franklin Gothic Book" w:eastAsia="Times New Roman" w:hAnsi="Franklin Gothic Book"/>
      <w:iCs/>
      <w:szCs w:val="22"/>
      <w:lang w:val="en"/>
    </w:rPr>
  </w:style>
  <w:style w:type="character" w:customStyle="1" w:styleId="BoxTextChar">
    <w:name w:val="Box Text Char"/>
    <w:link w:val="BoxText"/>
    <w:rsid w:val="004F2077"/>
    <w:rPr>
      <w:rFonts w:ascii="Franklin Gothic Book" w:eastAsia="Times New Roman" w:hAnsi="Franklin Gothic Book" w:cs="Times New Roman"/>
      <w:iCs/>
      <w:sz w:val="20"/>
      <w:lang w:val="en"/>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8"/>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D33FDF"/>
    <w:pPr>
      <w:spacing w:before="40" w:after="40"/>
    </w:pPr>
    <w:rPr>
      <w:rFonts w:ascii="Franklin Gothic Book" w:hAnsi="Franklin Gothic Book"/>
      <w:b/>
      <w:i/>
    </w:rPr>
  </w:style>
  <w:style w:type="paragraph" w:customStyle="1" w:styleId="TableListBullet2">
    <w:name w:val="Table List Bullet 2"/>
    <w:basedOn w:val="TableListBullet"/>
    <w:link w:val="TableListBullet2CharChar"/>
    <w:rsid w:val="0050529F"/>
    <w:pPr>
      <w:numPr>
        <w:numId w:val="9"/>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3"/>
      </w:numPr>
    </w:pPr>
  </w:style>
  <w:style w:type="paragraph" w:customStyle="1" w:styleId="TableListNumber2">
    <w:name w:val="Table List Number 2"/>
    <w:basedOn w:val="TableListNumber"/>
    <w:rsid w:val="0050529F"/>
    <w:pPr>
      <w:numPr>
        <w:numId w:val="4"/>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5"/>
      </w:numPr>
      <w:tabs>
        <w:tab w:val="clear" w:pos="567"/>
        <w:tab w:val="num" w:pos="227"/>
      </w:tabs>
      <w:ind w:left="227" w:hanging="227"/>
    </w:pPr>
    <w:rPr>
      <w:szCs w:val="18"/>
    </w:rPr>
  </w:style>
  <w:style w:type="paragraph" w:customStyle="1" w:styleId="BoxListNumber">
    <w:name w:val="Box List Number"/>
    <w:basedOn w:val="BoxText"/>
    <w:rsid w:val="0050529F"/>
    <w:pPr>
      <w:numPr>
        <w:numId w:val="7"/>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Arial Bold" w:hAnsi="Arial Bol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5"/>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5"/>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6"/>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7"/>
      </w:numPr>
    </w:pPr>
  </w:style>
  <w:style w:type="character" w:customStyle="1" w:styleId="CaptionChar">
    <w:name w:val="Caption Char"/>
    <w:link w:val="Caption"/>
    <w:locked/>
    <w:rsid w:val="00D33FD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A45A10"/>
    <w:pPr>
      <w:spacing w:after="0"/>
      <w:contextualSpacing/>
    </w:pPr>
    <w:rPr>
      <w:sz w:val="16"/>
      <w:szCs w:val="20"/>
    </w:rPr>
  </w:style>
  <w:style w:type="character" w:customStyle="1" w:styleId="FootnoteTextChar">
    <w:name w:val="Footnote Text Char"/>
    <w:basedOn w:val="DefaultParagraphFont"/>
    <w:link w:val="FootnoteText"/>
    <w:uiPriority w:val="99"/>
    <w:rsid w:val="00A45A10"/>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semiHidden/>
    <w:rsid w:val="00F77E6A"/>
    <w:rPr>
      <w:rFonts w:ascii="Times New Roman" w:hAnsi="Times New Roman"/>
      <w:w w:val="100"/>
      <w:position w:val="6"/>
      <w:sz w:val="16"/>
      <w:szCs w:val="12"/>
      <w:vertAlign w:val="baseline"/>
    </w:rPr>
  </w:style>
  <w:style w:type="paragraph" w:styleId="NoSpacing">
    <w:name w:val="No Spacing"/>
    <w:uiPriority w:val="1"/>
    <w:qFormat/>
    <w:rsid w:val="00D55E33"/>
    <w:pPr>
      <w:spacing w:after="0" w:line="240" w:lineRule="auto"/>
    </w:pPr>
    <w:rPr>
      <w:lang w:eastAsia="en-US"/>
    </w:rPr>
  </w:style>
  <w:style w:type="paragraph" w:customStyle="1" w:styleId="CharChar">
    <w:name w:val="Char Char"/>
    <w:basedOn w:val="Normal"/>
    <w:semiHidden/>
    <w:rsid w:val="00CF3661"/>
    <w:pPr>
      <w:spacing w:before="180" w:line="280" w:lineRule="atLeast"/>
    </w:pPr>
    <w:rPr>
      <w:rFonts w:ascii="Arial" w:eastAsia="Times New Roman" w:hAnsi="Arial"/>
      <w:sz w:val="22"/>
      <w:szCs w:val="20"/>
      <w:lang w:eastAsia="en-US"/>
    </w:rPr>
  </w:style>
  <w:style w:type="paragraph" w:customStyle="1" w:styleId="tabletextentries0">
    <w:name w:val="tabletextentries"/>
    <w:basedOn w:val="Normal"/>
    <w:rsid w:val="005851B2"/>
    <w:pPr>
      <w:spacing w:before="40" w:after="40" w:line="200" w:lineRule="atLeast"/>
    </w:pPr>
    <w:rPr>
      <w:rFonts w:ascii="Franklin Gothic Book" w:eastAsia="Times New Roman" w:hAnsi="Franklin Gothic Book"/>
      <w:sz w:val="17"/>
      <w:szCs w:val="17"/>
    </w:rPr>
  </w:style>
  <w:style w:type="character" w:customStyle="1" w:styleId="st">
    <w:name w:val="st"/>
    <w:basedOn w:val="DefaultParagraphFont"/>
    <w:rsid w:val="000B628C"/>
  </w:style>
  <w:style w:type="character" w:styleId="Emphasis">
    <w:name w:val="Emphasis"/>
    <w:basedOn w:val="DefaultParagraphFont"/>
    <w:uiPriority w:val="20"/>
    <w:qFormat/>
    <w:rsid w:val="0083392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aidworks.ausaid.gov.au/Function/QualityReport/QualityReportDefault.aspx?EntityID=11569" TargetMode="External"/><Relationship Id="rId39" Type="http://schemas.openxmlformats.org/officeDocument/2006/relationships/hyperlink" Target="http://aidworks.ausaid.gov.au/Function/QualityReport/QualityReportDefault.aspx?EntityID=11934" TargetMode="External"/><Relationship Id="rId21" Type="http://schemas.openxmlformats.org/officeDocument/2006/relationships/hyperlink" Target="http://aidworks.ausaid.gov.au/Function/QualityReport/QualityReportDefault.aspx?EntityID=13330" TargetMode="External"/><Relationship Id="rId34" Type="http://schemas.openxmlformats.org/officeDocument/2006/relationships/hyperlink" Target="http://aidworks.ausaid.gov.au/Function/QualityReport/QualityReportDefault.aspx?EntityID=14735" TargetMode="External"/><Relationship Id="rId42" Type="http://schemas.openxmlformats.org/officeDocument/2006/relationships/hyperlink" Target="http://aidworks.ausaid.gov.au/Function/QualityReport/QualityReportDefault.aspx?EntityID=14745" TargetMode="External"/><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aidworks.ausaid.gov.au/Function/Initiative/InitiativeDefault.aspx?EntityID=19431" TargetMode="External"/><Relationship Id="rId11" Type="http://schemas.openxmlformats.org/officeDocument/2006/relationships/header" Target="header2.xml"/><Relationship Id="rId24" Type="http://schemas.openxmlformats.org/officeDocument/2006/relationships/hyperlink" Target="http://aidworks.ausaid.gov.au/Function/QualityReport/QualityReportDefault.aspx?EntityID=11445" TargetMode="External"/><Relationship Id="rId32" Type="http://schemas.openxmlformats.org/officeDocument/2006/relationships/hyperlink" Target="http://aidworks.ausaid.gov.au/Function/QualityReport/QualityReportDefault.aspx?EntityID=14737" TargetMode="External"/><Relationship Id="rId37" Type="http://schemas.openxmlformats.org/officeDocument/2006/relationships/hyperlink" Target="http://aidworks.ausaid.gov.au/Function/Initiative/InitiativeDefault.aspx?EntityID=17000" TargetMode="External"/><Relationship Id="rId40" Type="http://schemas.openxmlformats.org/officeDocument/2006/relationships/hyperlink" Target="http://aidworks.ausaid.gov.au/Function/QualityReport/QualityReportDefault.aspx?EntityID=11940" TargetMode="External"/><Relationship Id="rId45" Type="http://schemas.openxmlformats.org/officeDocument/2006/relationships/hyperlink" Target="http://aidworks.ausaid.gov.au/Function/QualityReport/QualityReportDefault.aspx?EntityID=14756" TargetMode="External"/><Relationship Id="rId53"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aidworks.ausaid.gov.au/Function/Initiative/InitiativeDefault.aspx?EntityID=19431" TargetMode="External"/><Relationship Id="rId44" Type="http://schemas.openxmlformats.org/officeDocument/2006/relationships/hyperlink" Target="http://aidworks.ausaid.gov.au/Function/QualityReport/QualityReportDefault.aspx?EntityID=1193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aidworks.ausaid.gov.au/Function/QualityReport/QualityReportDefault.aspx?EntityID=13333" TargetMode="External"/><Relationship Id="rId27" Type="http://schemas.openxmlformats.org/officeDocument/2006/relationships/hyperlink" Target="http://aidworks.ausaid.gov.au/Function/QualityReport/QualityReportDefault.aspx?EntityID=11582" TargetMode="External"/><Relationship Id="rId30" Type="http://schemas.openxmlformats.org/officeDocument/2006/relationships/hyperlink" Target="http://aidworks.ausaid.gov.au/Function/QualityReport/QualityReportDefault.aspx?EntityID=14738" TargetMode="External"/><Relationship Id="rId35" Type="http://schemas.openxmlformats.org/officeDocument/2006/relationships/hyperlink" Target="http://aidworks.ausaid.gov.au/Function/Initiative/InitiativeDefault.aspx?EntityID=19431" TargetMode="External"/><Relationship Id="rId43" Type="http://schemas.openxmlformats.org/officeDocument/2006/relationships/hyperlink" Target="http://aidworks.ausaid.gov.au/Function/QualityReport/QualityReportDefault.aspx?EntityID=14746" TargetMode="External"/><Relationship Id="rId48"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aidworks.ausaid.gov.au/Function/QualityReport/QualityReportDefault.aspx?EntityID=14754" TargetMode="External"/><Relationship Id="rId33" Type="http://schemas.openxmlformats.org/officeDocument/2006/relationships/hyperlink" Target="http://aidworks.ausaid.gov.au/Function/Initiative/InitiativeDefault.aspx?EntityID=19431" TargetMode="External"/><Relationship Id="rId38" Type="http://schemas.openxmlformats.org/officeDocument/2006/relationships/hyperlink" Target="http://aidworks.ausaid.gov.au/Function/QualityReport/QualityReportDefault.aspx?EntityID=11079" TargetMode="External"/><Relationship Id="rId46" Type="http://schemas.openxmlformats.org/officeDocument/2006/relationships/hyperlink" Target="http://aidworks.ausaid.gov.au/Function/QualityReport/QualityReportDefault.aspx?EntityID=11941" TargetMode="External"/><Relationship Id="rId20" Type="http://schemas.openxmlformats.org/officeDocument/2006/relationships/footer" Target="footer5.xml"/><Relationship Id="rId41" Type="http://schemas.openxmlformats.org/officeDocument/2006/relationships/hyperlink" Target="http://aidworks.ausaid.gov.au/Function/QualityReport/QualityReportDefault.aspx?EntityID=13331"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aidworks.ausaid.gov.au/Function/QualityReport/QualityReportDefault.aspx?EntityID=13764" TargetMode="External"/><Relationship Id="rId28" Type="http://schemas.openxmlformats.org/officeDocument/2006/relationships/hyperlink" Target="http://aidworks.ausaid.gov.au/Function/QualityReport/QualityReportDefault.aspx?EntityID=11582" TargetMode="External"/><Relationship Id="rId36" Type="http://schemas.openxmlformats.org/officeDocument/2006/relationships/hyperlink" Target="http://aidworks.ausaid.gov.au/Function/QualityReport/QualityReportDefault.aspx?EntityID=14736" TargetMode="External"/><Relationship Id="rId49" Type="http://schemas.openxmlformats.org/officeDocument/2006/relationships/header" Target="header8.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ausaid.gov.au/Publications/Pages/3952_1911_7332_5552_5433.aspx" TargetMode="External"/><Relationship Id="rId1" Type="http://schemas.openxmlformats.org/officeDocument/2006/relationships/hyperlink" Target="http://www.ausaid.gov.au/Publications/Pages/Samoa-Annual-Program-Performance-Report-2011.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0D5A11-22FA-408D-90CF-696649960269}"/>
</file>

<file path=customXml/itemProps2.xml><?xml version="1.0" encoding="utf-8"?>
<ds:datastoreItem xmlns:ds="http://schemas.openxmlformats.org/officeDocument/2006/customXml" ds:itemID="{7651D2F8-9291-4FD2-8590-5E2D0778D19E}"/>
</file>

<file path=customXml/itemProps3.xml><?xml version="1.0" encoding="utf-8"?>
<ds:datastoreItem xmlns:ds="http://schemas.openxmlformats.org/officeDocument/2006/customXml" ds:itemID="{00470D73-ADD5-449A-9ED9-264202F2C55E}"/>
</file>

<file path=customXml/itemProps4.xml><?xml version="1.0" encoding="utf-8"?>
<ds:datastoreItem xmlns:ds="http://schemas.openxmlformats.org/officeDocument/2006/customXml" ds:itemID="{23E8AE8E-1DF9-4974-93C1-FD920A5C0693}"/>
</file>

<file path=docProps/app.xml><?xml version="1.0" encoding="utf-8"?>
<Properties xmlns="http://schemas.openxmlformats.org/officeDocument/2006/extended-properties" xmlns:vt="http://schemas.openxmlformats.org/officeDocument/2006/docPropsVTypes">
  <Template>Normal.dotm</Template>
  <TotalTime>0</TotalTime>
  <Pages>31</Pages>
  <Words>12358</Words>
  <Characters>70446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2014-01-30T00:30:00Z</dcterms:created>
  <dcterms:modified xsi:type="dcterms:W3CDTF">2014-01-30T00:36:00Z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313700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