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749EA19A" wp14:editId="04AA804B">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1C086DBA" wp14:editId="0A6640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 xml:space="preserve">report </w:t>
      </w:r>
      <w:r w:rsidR="00550890">
        <w:rPr>
          <w:spacing w:val="-20"/>
          <w:sz w:val="60"/>
        </w:rPr>
        <w:t xml:space="preserve">SUMMARY </w:t>
      </w:r>
      <w:r>
        <w:rPr>
          <w:spacing w:val="-20"/>
          <w:sz w:val="60"/>
        </w:rPr>
        <w:t>201</w:t>
      </w:r>
      <w:r w:rsidR="00550890">
        <w:rPr>
          <w:spacing w:val="-20"/>
          <w:sz w:val="60"/>
        </w:rPr>
        <w:t>8-19</w:t>
      </w:r>
    </w:p>
    <w:p w:rsidR="0059146A" w:rsidRDefault="00005BC6"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sidRPr="00E2434A">
        <w:rPr>
          <w:b/>
          <w:sz w:val="40"/>
        </w:rPr>
        <w:t>Samoa</w:t>
      </w:r>
      <w:r w:rsidR="0059146A">
        <w:rPr>
          <w:sz w:val="40"/>
        </w:rPr>
        <w:br/>
      </w:r>
      <w:r w:rsidR="0059146A" w:rsidRPr="0059146A">
        <w:rPr>
          <w:sz w:val="24"/>
        </w:rPr>
        <w:t>September 201</w:t>
      </w:r>
      <w:r w:rsidR="00550890">
        <w:rPr>
          <w:sz w:val="24"/>
        </w:rPr>
        <w:t>9</w:t>
      </w:r>
    </w:p>
    <w:p w:rsidR="005B5769" w:rsidRPr="00BB648A" w:rsidRDefault="00005BC6" w:rsidP="00E01C62">
      <w:pPr>
        <w:pStyle w:val="Title"/>
        <w:spacing w:before="120" w:after="240" w:line="300" w:lineRule="exact"/>
        <w:contextualSpacing w:val="0"/>
        <w:rPr>
          <w:szCs w:val="38"/>
        </w:rPr>
      </w:pPr>
      <w:r w:rsidRPr="0002615E">
        <w:rPr>
          <w:szCs w:val="38"/>
        </w:rPr>
        <w:lastRenderedPageBreak/>
        <w:t>SAMOA</w:t>
      </w:r>
      <w:r w:rsidR="005B5769" w:rsidRPr="0002615E">
        <w:rPr>
          <w:szCs w:val="38"/>
        </w:rPr>
        <w:t xml:space="preserve"> </w:t>
      </w:r>
      <w:r w:rsidR="005B5769" w:rsidRPr="00BB648A">
        <w:rPr>
          <w:szCs w:val="38"/>
        </w:rPr>
        <w:t>Aid Program Performance Information 201</w:t>
      </w:r>
      <w:r w:rsidR="00272B5F">
        <w:rPr>
          <w:szCs w:val="38"/>
        </w:rPr>
        <w:t>8-19</w:t>
      </w:r>
    </w:p>
    <w:p w:rsidR="005B5769" w:rsidRPr="00877607"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877607">
        <w:rPr>
          <w:rFonts w:asciiTheme="majorHAnsi" w:eastAsiaTheme="majorEastAsia" w:hAnsiTheme="majorHAnsi" w:cstheme="majorBidi"/>
          <w:caps/>
          <w:color w:val="495965" w:themeColor="text2"/>
          <w:sz w:val="38"/>
          <w:szCs w:val="38"/>
          <w:lang w:val="en-GB" w:eastAsia="en-US"/>
        </w:rPr>
        <w:t>Summary</w:t>
      </w:r>
    </w:p>
    <w:p w:rsidR="00FE3EB3" w:rsidRPr="009376D7" w:rsidRDefault="00CD1652" w:rsidP="009376D7">
      <w:r w:rsidRPr="009376D7">
        <w:t xml:space="preserve">This report summarises the performance of Australia’s aid program in </w:t>
      </w:r>
      <w:r w:rsidR="004C0419" w:rsidRPr="009376D7">
        <w:t>Samoa</w:t>
      </w:r>
      <w:r w:rsidRPr="009376D7">
        <w:t xml:space="preserve"> from July 201</w:t>
      </w:r>
      <w:r w:rsidR="006545B9" w:rsidRPr="009376D7">
        <w:t>8</w:t>
      </w:r>
      <w:r w:rsidRPr="009376D7">
        <w:t xml:space="preserve"> to June 201</w:t>
      </w:r>
      <w:r w:rsidR="006545B9" w:rsidRPr="009376D7">
        <w:t>9</w:t>
      </w:r>
      <w:r w:rsidRPr="009376D7">
        <w:t xml:space="preserve"> against the</w:t>
      </w:r>
      <w:r w:rsidR="00692BAF" w:rsidRPr="009376D7">
        <w:t xml:space="preserve"> three strategic priorities outlined in the </w:t>
      </w:r>
      <w:r w:rsidR="004C0419" w:rsidRPr="009376D7">
        <w:t>Samoa</w:t>
      </w:r>
      <w:r w:rsidRPr="009376D7">
        <w:t xml:space="preserve"> Aid Investment Plan</w:t>
      </w:r>
      <w:r w:rsidR="00323E53" w:rsidRPr="009376D7">
        <w:t xml:space="preserve"> (AIP)</w:t>
      </w:r>
      <w:r w:rsidRPr="009376D7">
        <w:t xml:space="preserve"> </w:t>
      </w:r>
      <w:r w:rsidR="004C0419" w:rsidRPr="009376D7">
        <w:t>2015-2019</w:t>
      </w:r>
      <w:r w:rsidR="006545B9" w:rsidRPr="009376D7">
        <w:t>.</w:t>
      </w:r>
      <w:r w:rsidR="00FE3EB3" w:rsidRPr="009376D7">
        <w:t xml:space="preserve"> </w:t>
      </w:r>
    </w:p>
    <w:p w:rsidR="00A76E71" w:rsidRPr="009376D7" w:rsidRDefault="00692BAF" w:rsidP="009376D7">
      <w:pPr>
        <w:pStyle w:val="ListParagraph"/>
        <w:numPr>
          <w:ilvl w:val="0"/>
          <w:numId w:val="54"/>
        </w:numPr>
      </w:pPr>
      <w:r w:rsidRPr="009376D7">
        <w:rPr>
          <w:b/>
        </w:rPr>
        <w:t>Enabling</w:t>
      </w:r>
      <w:r w:rsidR="00FE3EB3" w:rsidRPr="009376D7">
        <w:rPr>
          <w:b/>
        </w:rPr>
        <w:t xml:space="preserve"> economic growth</w:t>
      </w:r>
      <w:r w:rsidRPr="009376D7">
        <w:rPr>
          <w:b/>
        </w:rPr>
        <w:t>:</w:t>
      </w:r>
      <w:r w:rsidRPr="009376D7">
        <w:t xml:space="preserve"> </w:t>
      </w:r>
      <w:r w:rsidR="00880F67" w:rsidRPr="009376D7">
        <w:t>strengthening the resilience of critical economic infrastructure in Samoa</w:t>
      </w:r>
      <w:r w:rsidRPr="009376D7">
        <w:t>;</w:t>
      </w:r>
      <w:r w:rsidR="00880F67" w:rsidRPr="009376D7">
        <w:t xml:space="preserve"> improving the regulatory environment for b</w:t>
      </w:r>
      <w:r w:rsidRPr="009376D7">
        <w:t>usiness and international trade;</w:t>
      </w:r>
      <w:r w:rsidR="00880F67" w:rsidRPr="009376D7">
        <w:t xml:space="preserve"> and supporting Samoa to pursue reforms which stimulate economic growth</w:t>
      </w:r>
      <w:r w:rsidRPr="009376D7">
        <w:t>.</w:t>
      </w:r>
    </w:p>
    <w:p w:rsidR="00880F67" w:rsidRPr="009376D7" w:rsidRDefault="00692BAF" w:rsidP="009376D7">
      <w:pPr>
        <w:pStyle w:val="ListParagraph"/>
        <w:numPr>
          <w:ilvl w:val="0"/>
          <w:numId w:val="54"/>
        </w:numPr>
      </w:pPr>
      <w:r w:rsidRPr="009376D7">
        <w:rPr>
          <w:b/>
        </w:rPr>
        <w:t>P</w:t>
      </w:r>
      <w:r w:rsidR="00FE3EB3" w:rsidRPr="009376D7">
        <w:rPr>
          <w:b/>
        </w:rPr>
        <w:t>rogress</w:t>
      </w:r>
      <w:r w:rsidRPr="009376D7">
        <w:rPr>
          <w:b/>
        </w:rPr>
        <w:t>ing</w:t>
      </w:r>
      <w:r w:rsidR="00FE3EB3" w:rsidRPr="009376D7">
        <w:rPr>
          <w:b/>
        </w:rPr>
        <w:t xml:space="preserve"> health and education outcomes</w:t>
      </w:r>
      <w:r w:rsidRPr="009376D7">
        <w:rPr>
          <w:b/>
        </w:rPr>
        <w:t>:</w:t>
      </w:r>
      <w:r w:rsidR="00FE3EB3" w:rsidRPr="009376D7">
        <w:t xml:space="preserve"> improving the quality of </w:t>
      </w:r>
      <w:r w:rsidR="00880F67" w:rsidRPr="009376D7">
        <w:t xml:space="preserve">education and health systems; </w:t>
      </w:r>
      <w:r w:rsidR="00FE3EB3" w:rsidRPr="009376D7">
        <w:t>supporting more young people to complete secondary ed</w:t>
      </w:r>
      <w:r w:rsidRPr="009376D7">
        <w:t>ucation and vocational training;</w:t>
      </w:r>
      <w:r w:rsidR="00880F67" w:rsidRPr="009376D7">
        <w:t xml:space="preserve"> </w:t>
      </w:r>
      <w:r w:rsidR="00FE3EB3" w:rsidRPr="009376D7">
        <w:t>providing targeted scholarships for Samoans to study in Australia and the region</w:t>
      </w:r>
      <w:r w:rsidRPr="009376D7">
        <w:t>;</w:t>
      </w:r>
      <w:r w:rsidR="00880F67" w:rsidRPr="009376D7">
        <w:t xml:space="preserve"> and </w:t>
      </w:r>
      <w:r w:rsidR="00FE3EB3" w:rsidRPr="009376D7">
        <w:t>reducing v</w:t>
      </w:r>
      <w:r w:rsidRPr="009376D7">
        <w:t>iolence against women and girls.</w:t>
      </w:r>
      <w:r w:rsidR="00FE3EB3" w:rsidRPr="009376D7">
        <w:t xml:space="preserve"> </w:t>
      </w:r>
    </w:p>
    <w:p w:rsidR="00FE3EB3" w:rsidRPr="009376D7" w:rsidRDefault="00692BAF" w:rsidP="009376D7">
      <w:pPr>
        <w:pStyle w:val="ListParagraph"/>
        <w:numPr>
          <w:ilvl w:val="0"/>
          <w:numId w:val="54"/>
        </w:numPr>
      </w:pPr>
      <w:r w:rsidRPr="009376D7">
        <w:rPr>
          <w:b/>
        </w:rPr>
        <w:t>S</w:t>
      </w:r>
      <w:r w:rsidR="00FE3EB3" w:rsidRPr="009376D7">
        <w:rPr>
          <w:b/>
        </w:rPr>
        <w:t>trengthen</w:t>
      </w:r>
      <w:r w:rsidR="009376D7" w:rsidRPr="009376D7">
        <w:rPr>
          <w:b/>
        </w:rPr>
        <w:t>ing</w:t>
      </w:r>
      <w:r w:rsidR="00FE3EB3" w:rsidRPr="009376D7">
        <w:rPr>
          <w:b/>
        </w:rPr>
        <w:t xml:space="preserve"> governance</w:t>
      </w:r>
      <w:r w:rsidRPr="009376D7">
        <w:rPr>
          <w:b/>
        </w:rPr>
        <w:t>:</w:t>
      </w:r>
      <w:r w:rsidR="00FE3EB3" w:rsidRPr="009376D7">
        <w:t xml:space="preserve"> supporting improved local policing through the Sam</w:t>
      </w:r>
      <w:r w:rsidRPr="009376D7">
        <w:t>oa Australia Police Partnership;</w:t>
      </w:r>
      <w:r w:rsidR="003D6948" w:rsidRPr="009376D7">
        <w:t xml:space="preserve"> </w:t>
      </w:r>
      <w:r w:rsidR="00FE3EB3" w:rsidRPr="009376D7">
        <w:t>supporting the public sector to operate and deliver services mo</w:t>
      </w:r>
      <w:r w:rsidR="003D6948" w:rsidRPr="009376D7">
        <w:t xml:space="preserve">re effectively and efficiently and </w:t>
      </w:r>
      <w:r w:rsidR="00FE3EB3" w:rsidRPr="009376D7">
        <w:t>help</w:t>
      </w:r>
      <w:r w:rsidRPr="009376D7">
        <w:t>ing</w:t>
      </w:r>
      <w:r w:rsidR="00FE3EB3" w:rsidRPr="009376D7">
        <w:t xml:space="preserve"> create the environment for private sector-led economic growth</w:t>
      </w:r>
      <w:r w:rsidR="003D6948" w:rsidRPr="009376D7">
        <w:t xml:space="preserve">; </w:t>
      </w:r>
      <w:r w:rsidR="00FE3EB3" w:rsidRPr="009376D7">
        <w:t>increasing opportunities for women to engage in political participation and other leadership roles</w:t>
      </w:r>
      <w:r w:rsidRPr="009376D7">
        <w:t>;</w:t>
      </w:r>
      <w:r w:rsidR="003D6948" w:rsidRPr="009376D7">
        <w:t xml:space="preserve"> </w:t>
      </w:r>
      <w:r w:rsidR="00FE3EB3" w:rsidRPr="009376D7">
        <w:t>supporting civil society and private sector initiatives to address Samoa’s development challenges</w:t>
      </w:r>
      <w:r w:rsidRPr="009376D7">
        <w:t>;</w:t>
      </w:r>
      <w:r w:rsidR="00FE3EB3" w:rsidRPr="009376D7">
        <w:t xml:space="preserve"> </w:t>
      </w:r>
      <w:r w:rsidR="003D6948" w:rsidRPr="009376D7">
        <w:t xml:space="preserve">and </w:t>
      </w:r>
      <w:r w:rsidR="00FE3EB3" w:rsidRPr="009376D7">
        <w:t xml:space="preserve">building a quality and accessible Parliament House to meet the 21st century needs of Samoa’s Parliament. </w:t>
      </w:r>
    </w:p>
    <w:p w:rsidR="009F0000" w:rsidRPr="009376D7" w:rsidRDefault="003D6948" w:rsidP="009376D7">
      <w:r w:rsidRPr="009376D7">
        <w:t>The AIP also</w:t>
      </w:r>
      <w:r w:rsidR="00692BAF" w:rsidRPr="009376D7">
        <w:t xml:space="preserve"> commits Australia to address</w:t>
      </w:r>
      <w:r w:rsidRPr="009376D7">
        <w:t xml:space="preserve"> gender equality, inclusion of people with disability and climate change resilience across all </w:t>
      </w:r>
      <w:r w:rsidR="00915E3B" w:rsidRPr="009376D7">
        <w:t>investments. Over</w:t>
      </w:r>
      <w:r w:rsidR="00692BAF" w:rsidRPr="009376D7">
        <w:t xml:space="preserve"> the past</w:t>
      </w:r>
      <w:r w:rsidR="00195D49" w:rsidRPr="009376D7">
        <w:t xml:space="preserve"> year</w:t>
      </w:r>
      <w:r w:rsidR="00692BAF" w:rsidRPr="009376D7">
        <w:t>,</w:t>
      </w:r>
      <w:r w:rsidR="00195D49" w:rsidRPr="009376D7">
        <w:t xml:space="preserve"> the bilateral development program </w:t>
      </w:r>
      <w:r w:rsidR="009F0000" w:rsidRPr="009376D7">
        <w:t>and the partnerships and quality outcomes that it has produced</w:t>
      </w:r>
      <w:r w:rsidR="009376D7" w:rsidRPr="009376D7">
        <w:t>,</w:t>
      </w:r>
      <w:r w:rsidR="009F0000" w:rsidRPr="009376D7">
        <w:t xml:space="preserve"> </w:t>
      </w:r>
      <w:r w:rsidR="009376D7" w:rsidRPr="009376D7">
        <w:t>ha</w:t>
      </w:r>
      <w:r w:rsidR="001E1374">
        <w:t>ve</w:t>
      </w:r>
      <w:r w:rsidR="009F0000" w:rsidRPr="009376D7">
        <w:t xml:space="preserve"> been a strong foundation from which to progress</w:t>
      </w:r>
      <w:r w:rsidR="00BD4E11" w:rsidRPr="009376D7">
        <w:t xml:space="preserve"> Australia’s Step</w:t>
      </w:r>
      <w:r w:rsidRPr="009376D7">
        <w:t>-</w:t>
      </w:r>
      <w:r w:rsidR="00692BAF" w:rsidRPr="009376D7">
        <w:t>u</w:t>
      </w:r>
      <w:r w:rsidR="00195D49" w:rsidRPr="009376D7">
        <w:t xml:space="preserve">p in the Pacific. </w:t>
      </w:r>
    </w:p>
    <w:p w:rsidR="00D0545A" w:rsidRPr="009376D7" w:rsidRDefault="00206281" w:rsidP="009376D7">
      <w:r w:rsidRPr="009376D7">
        <w:t xml:space="preserve">Development </w:t>
      </w:r>
      <w:r w:rsidR="00A75B8E" w:rsidRPr="009376D7">
        <w:t>of</w:t>
      </w:r>
      <w:r w:rsidRPr="009376D7">
        <w:t xml:space="preserve"> a new </w:t>
      </w:r>
      <w:r w:rsidR="00D0545A" w:rsidRPr="009376D7">
        <w:t xml:space="preserve">Aid Investment Plan </w:t>
      </w:r>
      <w:r w:rsidR="007C460F" w:rsidRPr="009376D7">
        <w:t xml:space="preserve">(AIP) </w:t>
      </w:r>
      <w:r w:rsidRPr="009376D7">
        <w:t xml:space="preserve">2019-2022 is underway, which will </w:t>
      </w:r>
      <w:r w:rsidR="002C1044" w:rsidRPr="009376D7">
        <w:t xml:space="preserve">build on </w:t>
      </w:r>
      <w:r w:rsidR="0069547F" w:rsidRPr="009376D7">
        <w:t>lessons learnt</w:t>
      </w:r>
      <w:r w:rsidR="00757F9A" w:rsidRPr="009376D7">
        <w:t xml:space="preserve"> from the AIP 2015 – 2019</w:t>
      </w:r>
      <w:r w:rsidR="001E1374">
        <w:t xml:space="preserve"> and our </w:t>
      </w:r>
      <w:r w:rsidR="000866AA">
        <w:t>engagement more broadly.</w:t>
      </w:r>
    </w:p>
    <w:p w:rsidR="00692BAF" w:rsidRPr="009376D7" w:rsidRDefault="00692BAF" w:rsidP="009376D7">
      <w:r w:rsidRPr="009376D7">
        <w:t>Australia is Samoa’s largest bilateral aid donor. Other significant donors include New Zealand, China and Japan. In 2018-19, Australia’s total official development assistance (ODA) expenditure was $34 million, equivalent to approximately eight per cent of Samoa’s national budget.</w:t>
      </w:r>
    </w:p>
    <w:p w:rsidR="00776DE0" w:rsidRPr="009376D7" w:rsidRDefault="002C1044" w:rsidP="009376D7">
      <w:r w:rsidRPr="009376D7">
        <w:t>Good progress was made in 2018-19 under the objectives Enable Economic Growth and Strengthen Governance. An</w:t>
      </w:r>
      <w:r w:rsidR="00776DE0" w:rsidRPr="009376D7">
        <w:t xml:space="preserve"> accessible, climate</w:t>
      </w:r>
      <w:r w:rsidR="004E64CC">
        <w:t>-</w:t>
      </w:r>
      <w:r w:rsidR="00776DE0" w:rsidRPr="009376D7">
        <w:t>resilient Parliament House</w:t>
      </w:r>
      <w:r w:rsidRPr="009376D7">
        <w:t xml:space="preserve"> opened</w:t>
      </w:r>
      <w:r w:rsidR="00776DE0" w:rsidRPr="009376D7">
        <w:t xml:space="preserve"> in March 2019 and </w:t>
      </w:r>
      <w:r w:rsidRPr="009376D7">
        <w:t xml:space="preserve">construction </w:t>
      </w:r>
      <w:r w:rsidR="00692BAF" w:rsidRPr="009376D7">
        <w:t xml:space="preserve">was </w:t>
      </w:r>
      <w:r w:rsidRPr="009376D7">
        <w:t xml:space="preserve">completed on a </w:t>
      </w:r>
      <w:r w:rsidRPr="00C16245">
        <w:t>new</w:t>
      </w:r>
      <w:r w:rsidR="004E64CC" w:rsidRPr="00C16245">
        <w:t xml:space="preserve"> Government of Samoa</w:t>
      </w:r>
      <w:r w:rsidR="00776DE0" w:rsidRPr="009376D7">
        <w:t xml:space="preserve"> Radio 2AP tower</w:t>
      </w:r>
      <w:r w:rsidRPr="009376D7">
        <w:t>,</w:t>
      </w:r>
      <w:r w:rsidR="00776DE0" w:rsidRPr="009376D7">
        <w:t xml:space="preserve"> used for critical communication messaging during emergencies and disasters. The bilateral program supported improvements in digital connectivity </w:t>
      </w:r>
      <w:r w:rsidRPr="009376D7">
        <w:t>(</w:t>
      </w:r>
      <w:r w:rsidR="00776DE0" w:rsidRPr="009376D7">
        <w:t>with an increased focus on cyber security threats</w:t>
      </w:r>
      <w:r w:rsidRPr="009376D7">
        <w:t>)</w:t>
      </w:r>
      <w:r w:rsidR="00776DE0" w:rsidRPr="009376D7">
        <w:t>; and the compl</w:t>
      </w:r>
      <w:r w:rsidR="004E64CC">
        <w:t>etion of a Government of Samoa p</w:t>
      </w:r>
      <w:r w:rsidR="00776DE0" w:rsidRPr="009376D7">
        <w:t xml:space="preserve">rocurement </w:t>
      </w:r>
      <w:r w:rsidR="004E64CC">
        <w:t>m</w:t>
      </w:r>
      <w:r w:rsidR="00776DE0" w:rsidRPr="009376D7">
        <w:t xml:space="preserve">anual reflecting new </w:t>
      </w:r>
      <w:r w:rsidR="00684DBD" w:rsidRPr="009376D7">
        <w:t xml:space="preserve">Ministry of Finance </w:t>
      </w:r>
      <w:r w:rsidR="00776DE0" w:rsidRPr="009376D7">
        <w:t xml:space="preserve">Instructions.  </w:t>
      </w:r>
    </w:p>
    <w:p w:rsidR="004717FF" w:rsidRPr="009376D7" w:rsidRDefault="006C7DAC" w:rsidP="004717FF">
      <w:r w:rsidRPr="009376D7">
        <w:t xml:space="preserve">A number of projects managed through the Samoa Governance Support Program contributed to </w:t>
      </w:r>
      <w:r w:rsidR="00692BAF" w:rsidRPr="009376D7">
        <w:t xml:space="preserve">improved </w:t>
      </w:r>
      <w:r w:rsidR="00BD4E11" w:rsidRPr="009376D7">
        <w:t xml:space="preserve">labour </w:t>
      </w:r>
      <w:r w:rsidR="004E64CC">
        <w:t>policies</w:t>
      </w:r>
      <w:r w:rsidR="00BD4E11" w:rsidRPr="009376D7">
        <w:t xml:space="preserve">, tax arrangements, infrastructure management and </w:t>
      </w:r>
      <w:r w:rsidRPr="009376D7">
        <w:t xml:space="preserve">the </w:t>
      </w:r>
      <w:r w:rsidR="00BD4E11" w:rsidRPr="009376D7">
        <w:t>development of a national security p</w:t>
      </w:r>
      <w:r w:rsidR="000866AA">
        <w:t>olicy</w:t>
      </w:r>
      <w:r w:rsidR="00BD4E11" w:rsidRPr="009376D7">
        <w:t>.</w:t>
      </w:r>
      <w:r w:rsidR="00016F6D" w:rsidRPr="00016F6D">
        <w:t xml:space="preserve"> </w:t>
      </w:r>
      <w:r w:rsidR="00016F6D" w:rsidRPr="009376D7">
        <w:t>Australia, with UNDP and UN</w:t>
      </w:r>
      <w:r w:rsidR="00490978">
        <w:t xml:space="preserve"> </w:t>
      </w:r>
      <w:r w:rsidR="00016F6D" w:rsidRPr="009376D7">
        <w:t xml:space="preserve">Women, launched a new program to support Samoan women to have stronger voices in decision making processes.  </w:t>
      </w:r>
    </w:p>
    <w:p w:rsidR="003D6948" w:rsidRPr="009376D7" w:rsidRDefault="00016F6D" w:rsidP="009376D7">
      <w:r w:rsidRPr="00016F6D">
        <w:t>The Samoa Fiscal Resilience Program continued to support the Government of Samoa’s capabilities in moving forward their economic reform agenda. Guided by the mutually agreed Joint Policy Action Matrix (JPAM), and leveraging their technical expertise the World Bank, Australia, the ADB and New Zealand continued to provide direct budget support to the Government of Samoa to incentivise reforms.</w:t>
      </w:r>
    </w:p>
    <w:p w:rsidR="003D6948" w:rsidRPr="009376D7" w:rsidRDefault="00692BAF" w:rsidP="009376D7">
      <w:r w:rsidRPr="009376D7">
        <w:t>The design</w:t>
      </w:r>
      <w:r w:rsidR="003D6948" w:rsidRPr="009376D7">
        <w:t xml:space="preserve"> for a new Australian education program was expected in the reporting period, but this was delayed to ensure </w:t>
      </w:r>
      <w:r w:rsidRPr="009376D7">
        <w:t>the investment’s</w:t>
      </w:r>
      <w:r w:rsidR="003D6948" w:rsidRPr="009376D7">
        <w:t xml:space="preserve"> coherence and alignment with </w:t>
      </w:r>
      <w:r w:rsidR="002B70D1" w:rsidRPr="009376D7">
        <w:t xml:space="preserve">the </w:t>
      </w:r>
      <w:r w:rsidR="003D6948" w:rsidRPr="009376D7">
        <w:t>Samoan government</w:t>
      </w:r>
      <w:r w:rsidR="009376D7" w:rsidRPr="009376D7">
        <w:t>’s</w:t>
      </w:r>
      <w:r w:rsidR="003D6948" w:rsidRPr="009376D7">
        <w:t xml:space="preserve"> </w:t>
      </w:r>
      <w:r w:rsidR="002B70D1" w:rsidRPr="009376D7">
        <w:t xml:space="preserve">education </w:t>
      </w:r>
      <w:r w:rsidR="003D6948" w:rsidRPr="009376D7">
        <w:t xml:space="preserve">sector plan </w:t>
      </w:r>
      <w:r w:rsidR="002B70D1" w:rsidRPr="009376D7">
        <w:t>that</w:t>
      </w:r>
      <w:r w:rsidR="003D6948" w:rsidRPr="009376D7">
        <w:t xml:space="preserve"> is yet to be released. A new health program design was also planned for 2018-19, but was delayed due to the impact of the </w:t>
      </w:r>
      <w:r w:rsidRPr="009376D7">
        <w:t>integration</w:t>
      </w:r>
      <w:r w:rsidR="003D6948" w:rsidRPr="009376D7">
        <w:t xml:space="preserve"> of the National Health Service in the Ministry of Health in </w:t>
      </w:r>
      <w:r w:rsidR="003D6948" w:rsidRPr="009376D7">
        <w:lastRenderedPageBreak/>
        <w:t xml:space="preserve">February 2019. </w:t>
      </w:r>
      <w:r w:rsidR="000866AA">
        <w:t>P</w:t>
      </w:r>
      <w:r w:rsidR="003D6948" w:rsidRPr="009376D7">
        <w:t>rogress was rated amber under the Progressing Health and Education outcomes objective</w:t>
      </w:r>
      <w:r w:rsidR="000866AA">
        <w:t xml:space="preserve"> based on the achievement</w:t>
      </w:r>
      <w:r w:rsidR="004E64CC">
        <w:t xml:space="preserve"> </w:t>
      </w:r>
      <w:r w:rsidR="000866AA">
        <w:t xml:space="preserve">of mutually agreed </w:t>
      </w:r>
      <w:r w:rsidR="004E64CC">
        <w:t>outcomes that</w:t>
      </w:r>
      <w:r w:rsidR="000866AA">
        <w:t xml:space="preserve"> prepare Samoa for its renewed focus on primary health care</w:t>
      </w:r>
      <w:r w:rsidR="004E64CC">
        <w:t xml:space="preserve"> going forward</w:t>
      </w:r>
      <w:r w:rsidR="000866AA">
        <w:t>.</w:t>
      </w:r>
    </w:p>
    <w:p w:rsidR="00692BAF" w:rsidRPr="009376D7" w:rsidRDefault="00692BAF" w:rsidP="009376D7">
      <w:r w:rsidRPr="009376D7">
        <w:t>Despite political economy challenges</w:t>
      </w:r>
      <w:r w:rsidR="009376D7" w:rsidRPr="009376D7">
        <w:t xml:space="preserve"> in the health sector</w:t>
      </w:r>
      <w:r w:rsidR="003D6948" w:rsidRPr="009376D7">
        <w:t xml:space="preserve">, Australia supported </w:t>
      </w:r>
      <w:r w:rsidR="002B70D1" w:rsidRPr="009376D7">
        <w:t xml:space="preserve">sustained </w:t>
      </w:r>
      <w:r w:rsidR="003D6948" w:rsidRPr="009376D7">
        <w:t>progress in bio-medical maintenance and pharmaceutical procurement</w:t>
      </w:r>
      <w:r w:rsidR="00A75B8E" w:rsidRPr="009376D7">
        <w:t>,</w:t>
      </w:r>
      <w:r w:rsidRPr="009376D7">
        <w:t xml:space="preserve"> and increased access to sexual and reproductive health services in the most isolated communities</w:t>
      </w:r>
      <w:r w:rsidR="002B70D1" w:rsidRPr="009376D7">
        <w:t xml:space="preserve">. </w:t>
      </w:r>
    </w:p>
    <w:p w:rsidR="00BD4E11" w:rsidRPr="009376D7" w:rsidRDefault="00692BAF" w:rsidP="009376D7">
      <w:r w:rsidRPr="009376D7">
        <w:t>Australia’s investment in education continued to increase access for children with disabilities</w:t>
      </w:r>
      <w:r w:rsidR="003D6948" w:rsidRPr="009376D7">
        <w:t>. The education sector has also recognised the need to increase vocational options to provide better opportunities for students locally and overseas and the Australia Pacific Training Coalition is working closely with relevant partners to support a consolidated approach to tertiary and vocational education and training in Samoa.</w:t>
      </w:r>
      <w:r w:rsidR="00785479" w:rsidRPr="009376D7">
        <w:t xml:space="preserve"> In 2018-19, Australia awarded 56 new Australia Awards scholarships.</w:t>
      </w:r>
    </w:p>
    <w:p w:rsidR="00184F1E" w:rsidRPr="00BB648A" w:rsidRDefault="00184F1E"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B648A">
        <w:rPr>
          <w:rFonts w:asciiTheme="majorHAnsi" w:eastAsiaTheme="majorEastAsia" w:hAnsiTheme="majorHAnsi" w:cstheme="majorBidi"/>
          <w:caps/>
          <w:color w:val="495965" w:themeColor="text2"/>
          <w:sz w:val="38"/>
          <w:szCs w:val="38"/>
          <w:lang w:val="en-GB" w:eastAsia="en-US"/>
        </w:rPr>
        <w:t>Expenditure</w:t>
      </w:r>
    </w:p>
    <w:p w:rsidR="00ED6E51" w:rsidRPr="009376D7" w:rsidRDefault="00ED6E51" w:rsidP="009376D7">
      <w:r w:rsidRPr="009376D7">
        <w:t>Spending by Other Government Departments temporarily increased due to enga</w:t>
      </w:r>
      <w:r w:rsidR="00016F6D">
        <w:t>gement around the Pacific Games</w:t>
      </w:r>
      <w:r w:rsidR="00FD164D" w:rsidRPr="009376D7">
        <w:t>.</w:t>
      </w:r>
      <w:r w:rsidR="009F1154" w:rsidRPr="009376D7">
        <w:t xml:space="preserve"> </w:t>
      </w:r>
      <w:r w:rsidR="00D71CE7">
        <w:t xml:space="preserve">Total ODA to Samoa </w:t>
      </w:r>
      <w:r w:rsidRPr="009376D7">
        <w:t xml:space="preserve">as a percentage of total </w:t>
      </w:r>
      <w:r w:rsidR="00F53262" w:rsidRPr="009376D7">
        <w:t xml:space="preserve">Australian </w:t>
      </w:r>
      <w:r w:rsidRPr="009376D7">
        <w:t>ODA decreased from 0.9 to 0.8</w:t>
      </w:r>
      <w:r w:rsidR="00671A3F" w:rsidRPr="009376D7">
        <w:t xml:space="preserve"> per cent</w:t>
      </w:r>
      <w:r w:rsidRPr="009376D7">
        <w:t>.</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F3C09">
        <w:rPr>
          <w:b/>
          <w:noProof/>
          <w:sz w:val="24"/>
        </w:rPr>
        <w:t>1</w:t>
      </w:r>
      <w:r w:rsidRPr="008C2F58">
        <w:rPr>
          <w:b/>
          <w:noProof/>
          <w:sz w:val="24"/>
        </w:rPr>
        <w:fldChar w:fldCharType="end"/>
      </w:r>
      <w:r w:rsidRPr="008C2F58">
        <w:rPr>
          <w:b/>
          <w:sz w:val="24"/>
        </w:rPr>
        <w:t xml:space="preserve"> Total ODA Expenditure in FY 201</w:t>
      </w:r>
      <w:r w:rsidR="00272B5F">
        <w:rPr>
          <w:b/>
          <w:sz w:val="24"/>
        </w:rPr>
        <w:t>8-19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Tr="00CD1652">
        <w:tc>
          <w:tcPr>
            <w:tcW w:w="6374" w:type="dxa"/>
          </w:tcPr>
          <w:p w:rsidR="00CD1652" w:rsidRDefault="00CD1652" w:rsidP="00E01C62">
            <w:pPr>
              <w:spacing w:before="60"/>
              <w:rPr>
                <w:b/>
                <w:sz w:val="24"/>
              </w:rPr>
            </w:pPr>
            <w:r w:rsidRPr="00BE6C6D">
              <w:rPr>
                <w:sz w:val="20"/>
              </w:rPr>
              <w:t>Objective</w:t>
            </w:r>
          </w:p>
        </w:tc>
        <w:tc>
          <w:tcPr>
            <w:tcW w:w="1423" w:type="dxa"/>
          </w:tcPr>
          <w:p w:rsidR="00CD1652" w:rsidRDefault="00CD1652" w:rsidP="00E01C62">
            <w:pPr>
              <w:spacing w:before="60"/>
              <w:jc w:val="center"/>
              <w:rPr>
                <w:b/>
                <w:sz w:val="24"/>
              </w:rPr>
            </w:pPr>
            <w:r w:rsidRPr="00BE6C6D">
              <w:rPr>
                <w:sz w:val="20"/>
              </w:rPr>
              <w:t>A$ million</w:t>
            </w:r>
          </w:p>
        </w:tc>
        <w:tc>
          <w:tcPr>
            <w:tcW w:w="1417" w:type="dxa"/>
          </w:tcPr>
          <w:p w:rsidR="00CD1652" w:rsidRDefault="00CD1652" w:rsidP="00E01C62">
            <w:pPr>
              <w:spacing w:before="60"/>
              <w:jc w:val="center"/>
              <w:rPr>
                <w:b/>
                <w:sz w:val="24"/>
              </w:rPr>
            </w:pPr>
            <w:r w:rsidRPr="00BE6C6D">
              <w:rPr>
                <w:sz w:val="20"/>
              </w:rPr>
              <w:t>% of total ODA</w:t>
            </w:r>
          </w:p>
        </w:tc>
      </w:tr>
      <w:tr w:rsidR="00CD1652" w:rsidTr="00CD1652">
        <w:tc>
          <w:tcPr>
            <w:tcW w:w="6374" w:type="dxa"/>
          </w:tcPr>
          <w:p w:rsidR="00CD1652" w:rsidRDefault="00CD1652" w:rsidP="00E01C62">
            <w:pPr>
              <w:spacing w:before="60"/>
              <w:rPr>
                <w:b/>
                <w:sz w:val="24"/>
              </w:rPr>
            </w:pPr>
            <w:r w:rsidRPr="00BE6C6D">
              <w:rPr>
                <w:sz w:val="20"/>
              </w:rPr>
              <w:t>Objective 1</w:t>
            </w:r>
            <w:r w:rsidR="00692BAF">
              <w:rPr>
                <w:sz w:val="20"/>
              </w:rPr>
              <w:t xml:space="preserve">: </w:t>
            </w:r>
            <w:r w:rsidR="00692BAF">
              <w:t>Enable economic growth</w:t>
            </w:r>
          </w:p>
        </w:tc>
        <w:tc>
          <w:tcPr>
            <w:tcW w:w="1423" w:type="dxa"/>
          </w:tcPr>
          <w:p w:rsidR="00CD1652" w:rsidRPr="00FC5609" w:rsidRDefault="00C52E9F" w:rsidP="00FC5609">
            <w:pPr>
              <w:spacing w:before="60"/>
              <w:jc w:val="center"/>
              <w:rPr>
                <w:b/>
                <w:sz w:val="20"/>
                <w:szCs w:val="20"/>
              </w:rPr>
            </w:pPr>
            <w:r>
              <w:rPr>
                <w:b/>
                <w:sz w:val="20"/>
                <w:szCs w:val="20"/>
              </w:rPr>
              <w:t>6.9</w:t>
            </w:r>
          </w:p>
        </w:tc>
        <w:tc>
          <w:tcPr>
            <w:tcW w:w="1417" w:type="dxa"/>
          </w:tcPr>
          <w:p w:rsidR="00CD1652" w:rsidRPr="00FC5609" w:rsidRDefault="00C52E9F" w:rsidP="00FC5609">
            <w:pPr>
              <w:spacing w:before="60"/>
              <w:jc w:val="center"/>
              <w:rPr>
                <w:b/>
                <w:sz w:val="20"/>
                <w:szCs w:val="20"/>
              </w:rPr>
            </w:pPr>
            <w:r>
              <w:rPr>
                <w:b/>
                <w:sz w:val="20"/>
                <w:szCs w:val="20"/>
              </w:rPr>
              <w:t>20%</w:t>
            </w:r>
          </w:p>
        </w:tc>
      </w:tr>
      <w:tr w:rsidR="00CD1652" w:rsidTr="00CD1652">
        <w:tc>
          <w:tcPr>
            <w:tcW w:w="6374" w:type="dxa"/>
          </w:tcPr>
          <w:p w:rsidR="00CD1652" w:rsidRDefault="00CD1652" w:rsidP="00E01C62">
            <w:pPr>
              <w:spacing w:before="60"/>
              <w:rPr>
                <w:b/>
                <w:sz w:val="24"/>
              </w:rPr>
            </w:pPr>
            <w:r w:rsidRPr="00BE6C6D">
              <w:rPr>
                <w:sz w:val="20"/>
              </w:rPr>
              <w:t>Objective 2</w:t>
            </w:r>
            <w:r w:rsidR="00692BAF">
              <w:rPr>
                <w:sz w:val="20"/>
              </w:rPr>
              <w:t>:</w:t>
            </w:r>
            <w:r w:rsidR="00692BAF">
              <w:t xml:space="preserve"> Progress health and education outcomes</w:t>
            </w:r>
          </w:p>
        </w:tc>
        <w:tc>
          <w:tcPr>
            <w:tcW w:w="1423" w:type="dxa"/>
          </w:tcPr>
          <w:p w:rsidR="00CD1652" w:rsidRPr="00FC5609" w:rsidRDefault="00C52E9F" w:rsidP="00FC5609">
            <w:pPr>
              <w:spacing w:before="60"/>
              <w:jc w:val="center"/>
              <w:rPr>
                <w:b/>
                <w:sz w:val="20"/>
                <w:szCs w:val="20"/>
              </w:rPr>
            </w:pPr>
            <w:r>
              <w:rPr>
                <w:b/>
                <w:sz w:val="20"/>
                <w:szCs w:val="20"/>
              </w:rPr>
              <w:t>11.4</w:t>
            </w:r>
          </w:p>
        </w:tc>
        <w:tc>
          <w:tcPr>
            <w:tcW w:w="1417" w:type="dxa"/>
          </w:tcPr>
          <w:p w:rsidR="00CD1652" w:rsidRPr="00FC5609" w:rsidRDefault="00C52E9F" w:rsidP="00FC5609">
            <w:pPr>
              <w:spacing w:before="60"/>
              <w:jc w:val="center"/>
              <w:rPr>
                <w:b/>
                <w:sz w:val="20"/>
                <w:szCs w:val="20"/>
              </w:rPr>
            </w:pPr>
            <w:r>
              <w:rPr>
                <w:b/>
                <w:sz w:val="20"/>
                <w:szCs w:val="20"/>
              </w:rPr>
              <w:t>33%</w:t>
            </w:r>
          </w:p>
        </w:tc>
      </w:tr>
      <w:tr w:rsidR="00CD1652" w:rsidTr="00B7617C">
        <w:tc>
          <w:tcPr>
            <w:tcW w:w="6374" w:type="dxa"/>
          </w:tcPr>
          <w:p w:rsidR="00CD1652" w:rsidRDefault="00CD1652" w:rsidP="00E01C62">
            <w:pPr>
              <w:spacing w:before="60"/>
              <w:rPr>
                <w:b/>
                <w:sz w:val="24"/>
              </w:rPr>
            </w:pPr>
            <w:r w:rsidRPr="00BE6C6D">
              <w:rPr>
                <w:sz w:val="20"/>
              </w:rPr>
              <w:t>Objective 3</w:t>
            </w:r>
            <w:r w:rsidR="00692BAF">
              <w:rPr>
                <w:sz w:val="20"/>
              </w:rPr>
              <w:t xml:space="preserve">: </w:t>
            </w:r>
            <w:r w:rsidR="00692BAF">
              <w:t>Strengthen governance</w:t>
            </w:r>
          </w:p>
        </w:tc>
        <w:tc>
          <w:tcPr>
            <w:tcW w:w="1423" w:type="dxa"/>
            <w:tcBorders>
              <w:bottom w:val="single" w:sz="4" w:space="0" w:color="auto"/>
            </w:tcBorders>
          </w:tcPr>
          <w:p w:rsidR="00CD1652" w:rsidRPr="00FC5609" w:rsidRDefault="00C52E9F" w:rsidP="00FC5609">
            <w:pPr>
              <w:spacing w:before="60"/>
              <w:jc w:val="center"/>
              <w:rPr>
                <w:b/>
                <w:sz w:val="20"/>
                <w:szCs w:val="20"/>
              </w:rPr>
            </w:pPr>
            <w:r>
              <w:rPr>
                <w:b/>
                <w:sz w:val="20"/>
                <w:szCs w:val="20"/>
              </w:rPr>
              <w:t>5.6</w:t>
            </w:r>
          </w:p>
        </w:tc>
        <w:tc>
          <w:tcPr>
            <w:tcW w:w="1417" w:type="dxa"/>
          </w:tcPr>
          <w:p w:rsidR="00CD1652" w:rsidRPr="00FC5609" w:rsidRDefault="00C52E9F" w:rsidP="00FC5609">
            <w:pPr>
              <w:spacing w:before="60"/>
              <w:jc w:val="center"/>
              <w:rPr>
                <w:b/>
                <w:sz w:val="20"/>
                <w:szCs w:val="20"/>
              </w:rPr>
            </w:pPr>
            <w:r>
              <w:rPr>
                <w:b/>
                <w:sz w:val="20"/>
                <w:szCs w:val="20"/>
              </w:rPr>
              <w:t>16%</w:t>
            </w:r>
          </w:p>
        </w:tc>
      </w:tr>
      <w:tr w:rsidR="00CD1652" w:rsidTr="00B7617C">
        <w:tc>
          <w:tcPr>
            <w:tcW w:w="6374" w:type="dxa"/>
          </w:tcPr>
          <w:p w:rsidR="00CD1652" w:rsidRDefault="00CD1652" w:rsidP="00E01C62">
            <w:pPr>
              <w:spacing w:before="60"/>
              <w:rPr>
                <w:b/>
                <w:sz w:val="24"/>
              </w:rPr>
            </w:pPr>
            <w:r w:rsidRPr="00BE6C6D">
              <w:rPr>
                <w:sz w:val="20"/>
              </w:rPr>
              <w:t>Sub-Total Bilateral</w:t>
            </w:r>
          </w:p>
        </w:tc>
        <w:tc>
          <w:tcPr>
            <w:tcW w:w="1423" w:type="dxa"/>
            <w:tcBorders>
              <w:top w:val="single" w:sz="4" w:space="0" w:color="auto"/>
              <w:bottom w:val="nil"/>
            </w:tcBorders>
          </w:tcPr>
          <w:p w:rsidR="00CD1652" w:rsidRPr="00FC5609" w:rsidRDefault="00FC5609" w:rsidP="00FC5609">
            <w:pPr>
              <w:spacing w:before="60"/>
              <w:jc w:val="center"/>
              <w:rPr>
                <w:b/>
                <w:sz w:val="20"/>
                <w:szCs w:val="20"/>
              </w:rPr>
            </w:pPr>
            <w:r w:rsidRPr="00FC5609">
              <w:rPr>
                <w:b/>
                <w:sz w:val="20"/>
                <w:szCs w:val="20"/>
              </w:rPr>
              <w:t>23.6</w:t>
            </w:r>
          </w:p>
        </w:tc>
        <w:tc>
          <w:tcPr>
            <w:tcW w:w="1417" w:type="dxa"/>
          </w:tcPr>
          <w:p w:rsidR="00CD1652" w:rsidRPr="00FC5609" w:rsidRDefault="00C52E9F" w:rsidP="00FC5609">
            <w:pPr>
              <w:spacing w:before="60"/>
              <w:jc w:val="center"/>
              <w:rPr>
                <w:b/>
                <w:sz w:val="20"/>
                <w:szCs w:val="20"/>
              </w:rPr>
            </w:pPr>
            <w:r>
              <w:rPr>
                <w:b/>
                <w:sz w:val="20"/>
                <w:szCs w:val="20"/>
              </w:rPr>
              <w:t>70%</w:t>
            </w:r>
          </w:p>
        </w:tc>
      </w:tr>
      <w:tr w:rsidR="00CD1652" w:rsidTr="00B7617C">
        <w:tc>
          <w:tcPr>
            <w:tcW w:w="6374" w:type="dxa"/>
          </w:tcPr>
          <w:p w:rsidR="00CD1652" w:rsidRDefault="00CD1652" w:rsidP="00E01C62">
            <w:pPr>
              <w:spacing w:before="60"/>
              <w:rPr>
                <w:b/>
                <w:sz w:val="24"/>
              </w:rPr>
            </w:pPr>
            <w:r w:rsidRPr="00BE6C6D">
              <w:rPr>
                <w:sz w:val="20"/>
              </w:rPr>
              <w:t>Regional and Global</w:t>
            </w:r>
          </w:p>
        </w:tc>
        <w:tc>
          <w:tcPr>
            <w:tcW w:w="1423" w:type="dxa"/>
            <w:tcBorders>
              <w:top w:val="nil"/>
            </w:tcBorders>
          </w:tcPr>
          <w:p w:rsidR="00CD1652" w:rsidRPr="00FC5609" w:rsidRDefault="00FC5609" w:rsidP="00FC5609">
            <w:pPr>
              <w:spacing w:before="60"/>
              <w:jc w:val="center"/>
              <w:rPr>
                <w:b/>
                <w:sz w:val="20"/>
                <w:szCs w:val="20"/>
              </w:rPr>
            </w:pPr>
            <w:r w:rsidRPr="00FC5609">
              <w:rPr>
                <w:b/>
                <w:sz w:val="20"/>
                <w:szCs w:val="20"/>
              </w:rPr>
              <w:t>7.2</w:t>
            </w:r>
          </w:p>
        </w:tc>
        <w:tc>
          <w:tcPr>
            <w:tcW w:w="1417" w:type="dxa"/>
          </w:tcPr>
          <w:p w:rsidR="00CD1652" w:rsidRPr="00FC5609" w:rsidRDefault="00C52E9F" w:rsidP="00FC5609">
            <w:pPr>
              <w:spacing w:before="60"/>
              <w:jc w:val="center"/>
              <w:rPr>
                <w:b/>
                <w:sz w:val="20"/>
                <w:szCs w:val="20"/>
              </w:rPr>
            </w:pPr>
            <w:r>
              <w:rPr>
                <w:b/>
                <w:sz w:val="20"/>
                <w:szCs w:val="20"/>
              </w:rPr>
              <w:t>21%</w:t>
            </w:r>
          </w:p>
        </w:tc>
      </w:tr>
      <w:tr w:rsidR="00CD1652" w:rsidTr="00B7617C">
        <w:tc>
          <w:tcPr>
            <w:tcW w:w="6374" w:type="dxa"/>
          </w:tcPr>
          <w:p w:rsidR="00CD1652" w:rsidRDefault="00CD1652" w:rsidP="00E01C62">
            <w:pPr>
              <w:spacing w:before="60"/>
              <w:rPr>
                <w:b/>
                <w:sz w:val="24"/>
              </w:rPr>
            </w:pPr>
            <w:r w:rsidRPr="00BE6C6D">
              <w:rPr>
                <w:sz w:val="20"/>
              </w:rPr>
              <w:t>Other Government Departments</w:t>
            </w:r>
          </w:p>
        </w:tc>
        <w:tc>
          <w:tcPr>
            <w:tcW w:w="1423" w:type="dxa"/>
            <w:tcBorders>
              <w:bottom w:val="single" w:sz="4" w:space="0" w:color="auto"/>
            </w:tcBorders>
          </w:tcPr>
          <w:p w:rsidR="00CD1652" w:rsidRPr="00FC5609" w:rsidRDefault="00FC5609" w:rsidP="00FC5609">
            <w:pPr>
              <w:spacing w:before="60"/>
              <w:jc w:val="center"/>
              <w:rPr>
                <w:b/>
                <w:sz w:val="20"/>
                <w:szCs w:val="20"/>
              </w:rPr>
            </w:pPr>
            <w:r w:rsidRPr="00FC5609">
              <w:rPr>
                <w:b/>
                <w:sz w:val="20"/>
                <w:szCs w:val="20"/>
              </w:rPr>
              <w:t>3.1</w:t>
            </w:r>
          </w:p>
        </w:tc>
        <w:tc>
          <w:tcPr>
            <w:tcW w:w="1417" w:type="dxa"/>
          </w:tcPr>
          <w:p w:rsidR="00CD1652" w:rsidRPr="00FC5609" w:rsidRDefault="00C52E9F" w:rsidP="00FC5609">
            <w:pPr>
              <w:spacing w:before="60"/>
              <w:jc w:val="center"/>
              <w:rPr>
                <w:b/>
                <w:sz w:val="20"/>
                <w:szCs w:val="20"/>
              </w:rPr>
            </w:pPr>
            <w:r>
              <w:rPr>
                <w:b/>
                <w:sz w:val="20"/>
                <w:szCs w:val="20"/>
              </w:rPr>
              <w:t>9%</w:t>
            </w:r>
          </w:p>
        </w:tc>
      </w:tr>
      <w:tr w:rsidR="00CD1652" w:rsidTr="00B7617C">
        <w:tc>
          <w:tcPr>
            <w:tcW w:w="6374" w:type="dxa"/>
          </w:tcPr>
          <w:p w:rsidR="00CD1652" w:rsidRDefault="00CD1652" w:rsidP="00E01C62">
            <w:pPr>
              <w:spacing w:before="60"/>
              <w:rPr>
                <w:b/>
                <w:sz w:val="24"/>
              </w:rPr>
            </w:pPr>
            <w:r w:rsidRPr="00BE6C6D">
              <w:rPr>
                <w:sz w:val="20"/>
              </w:rPr>
              <w:t>Total ODA Expenditure</w:t>
            </w:r>
          </w:p>
        </w:tc>
        <w:tc>
          <w:tcPr>
            <w:tcW w:w="1423" w:type="dxa"/>
            <w:tcBorders>
              <w:top w:val="single" w:sz="4" w:space="0" w:color="auto"/>
              <w:bottom w:val="single" w:sz="12" w:space="0" w:color="auto"/>
            </w:tcBorders>
          </w:tcPr>
          <w:p w:rsidR="00CD1652" w:rsidRPr="00FC5609" w:rsidRDefault="00FC5609" w:rsidP="00B7617C">
            <w:pPr>
              <w:spacing w:before="60"/>
              <w:jc w:val="center"/>
              <w:rPr>
                <w:b/>
                <w:sz w:val="20"/>
                <w:szCs w:val="20"/>
              </w:rPr>
            </w:pPr>
            <w:r w:rsidRPr="00FC5609">
              <w:rPr>
                <w:b/>
                <w:sz w:val="20"/>
                <w:szCs w:val="20"/>
              </w:rPr>
              <w:t>34.</w:t>
            </w:r>
            <w:r w:rsidR="00391EE2">
              <w:rPr>
                <w:b/>
                <w:sz w:val="20"/>
                <w:szCs w:val="20"/>
              </w:rPr>
              <w:t>0</w:t>
            </w:r>
          </w:p>
        </w:tc>
        <w:tc>
          <w:tcPr>
            <w:tcW w:w="1417" w:type="dxa"/>
          </w:tcPr>
          <w:p w:rsidR="00CD1652" w:rsidRPr="00FC5609" w:rsidRDefault="00C52E9F" w:rsidP="00FC5609">
            <w:pPr>
              <w:spacing w:before="60"/>
              <w:jc w:val="center"/>
              <w:rPr>
                <w:b/>
                <w:sz w:val="20"/>
                <w:szCs w:val="20"/>
              </w:rPr>
            </w:pPr>
            <w:r>
              <w:rPr>
                <w:b/>
                <w:sz w:val="20"/>
                <w:szCs w:val="20"/>
              </w:rPr>
              <w:t>100%</w:t>
            </w:r>
          </w:p>
        </w:tc>
      </w:tr>
    </w:tbl>
    <w:p w:rsidR="007866A5" w:rsidRDefault="007866A5">
      <w:pPr>
        <w:suppressAutoHyphens w:val="0"/>
        <w:spacing w:before="0" w:after="120" w:line="440" w:lineRule="atLeast"/>
        <w:rPr>
          <w:rFonts w:asciiTheme="majorHAnsi" w:eastAsiaTheme="majorEastAsia" w:hAnsiTheme="majorHAnsi" w:cstheme="majorBidi"/>
          <w:caps/>
          <w:sz w:val="38"/>
          <w:szCs w:val="38"/>
        </w:rPr>
      </w:pPr>
    </w:p>
    <w:p w:rsidR="005B5769" w:rsidRDefault="005B5769" w:rsidP="00323E53">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D29CD">
        <w:rPr>
          <w:rFonts w:asciiTheme="majorHAnsi" w:eastAsiaTheme="majorEastAsia" w:hAnsiTheme="majorHAnsi" w:cstheme="majorBidi"/>
          <w:caps/>
          <w:color w:val="495965" w:themeColor="text2"/>
          <w:sz w:val="38"/>
          <w:szCs w:val="38"/>
          <w:lang w:val="en-GB" w:eastAsia="en-US"/>
        </w:rPr>
        <w:t xml:space="preserve">Performance </w:t>
      </w:r>
      <w:r w:rsidR="006545B9" w:rsidRPr="00BD29CD">
        <w:rPr>
          <w:rFonts w:asciiTheme="majorHAnsi" w:eastAsiaTheme="majorEastAsia" w:hAnsiTheme="majorHAnsi" w:cstheme="majorBidi"/>
          <w:caps/>
          <w:color w:val="495965" w:themeColor="text2"/>
          <w:sz w:val="38"/>
          <w:szCs w:val="38"/>
          <w:lang w:val="en-GB" w:eastAsia="en-US"/>
        </w:rPr>
        <w:t xml:space="preserve">TOWARDS aip </w:t>
      </w:r>
      <w:r w:rsidRPr="00BD29CD">
        <w:rPr>
          <w:rFonts w:asciiTheme="majorHAnsi" w:eastAsiaTheme="majorEastAsia" w:hAnsiTheme="majorHAnsi" w:cstheme="majorBidi"/>
          <w:caps/>
          <w:color w:val="495965" w:themeColor="text2"/>
          <w:sz w:val="38"/>
          <w:szCs w:val="38"/>
          <w:lang w:val="en-GB" w:eastAsia="en-US"/>
        </w:rPr>
        <w:t>Objectives</w:t>
      </w:r>
    </w:p>
    <w:p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CF3C09">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4"/>
        <w:gridCol w:w="1416"/>
        <w:gridCol w:w="1419"/>
      </w:tblGrid>
      <w:tr w:rsidR="00436526" w:rsidRPr="00812509" w:rsidTr="00436526">
        <w:trPr>
          <w:cnfStyle w:val="000000010000" w:firstRow="0" w:lastRow="0" w:firstColumn="0" w:lastColumn="0" w:oddVBand="0" w:evenVBand="0" w:oddHBand="0" w:evenHBand="1" w:firstRowFirstColumn="0" w:firstRowLastColumn="0" w:lastRowFirstColumn="0" w:lastRowLastColumn="0"/>
          <w:trHeight w:val="651"/>
        </w:trPr>
        <w:tc>
          <w:tcPr>
            <w:tcW w:w="6622" w:type="dxa"/>
          </w:tcPr>
          <w:p w:rsidR="00436526" w:rsidRPr="00812509" w:rsidRDefault="00436526" w:rsidP="00436526">
            <w:pPr>
              <w:pStyle w:val="TableTextColumnHeading"/>
              <w:ind w:left="0"/>
            </w:pPr>
            <w:r w:rsidRPr="00812509">
              <w:rPr>
                <w:noProof/>
              </w:rPr>
              <w:drawing>
                <wp:anchor distT="0" distB="0" distL="114300" distR="114300" simplePos="0" relativeHeight="251680768" behindDoc="0" locked="0" layoutInCell="1" allowOverlap="1" wp14:anchorId="0FB41781" wp14:editId="0AF66F1B">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Pr>
          <w:p w:rsidR="00436526" w:rsidRPr="00812509" w:rsidRDefault="00436526" w:rsidP="00E65105">
            <w:pPr>
              <w:pStyle w:val="TableTextColumnHeading"/>
            </w:pPr>
            <w:r w:rsidRPr="00812509">
              <w:t>Previous Rating</w:t>
            </w:r>
          </w:p>
        </w:tc>
        <w:tc>
          <w:tcPr>
            <w:tcW w:w="1377" w:type="dxa"/>
          </w:tcPr>
          <w:p w:rsidR="00436526" w:rsidRPr="00812509" w:rsidRDefault="00436526" w:rsidP="00E65105">
            <w:pPr>
              <w:pStyle w:val="TableTextColumnHeading"/>
            </w:pPr>
            <w:r w:rsidRPr="00B77B92">
              <w:t>Current Rating</w:t>
            </w:r>
          </w:p>
        </w:tc>
      </w:tr>
      <w:tr w:rsidR="00436526" w:rsidRPr="00812509" w:rsidTr="00994D76">
        <w:trPr>
          <w:cnfStyle w:val="000000010000" w:firstRow="0" w:lastRow="0" w:firstColumn="0" w:lastColumn="0" w:oddVBand="0" w:evenVBand="0" w:oddHBand="0" w:evenHBand="1" w:firstRowFirstColumn="0" w:firstRowLastColumn="0" w:lastRowFirstColumn="0" w:lastRowLastColumn="0"/>
        </w:trPr>
        <w:tc>
          <w:tcPr>
            <w:tcW w:w="6622" w:type="dxa"/>
          </w:tcPr>
          <w:p w:rsidR="00436526" w:rsidRPr="00812509" w:rsidRDefault="00436526" w:rsidP="002A4A0E">
            <w:pPr>
              <w:pStyle w:val="TableTextEntries"/>
              <w:rPr>
                <w:rFonts w:asciiTheme="minorHAnsi" w:hAnsiTheme="minorHAnsi"/>
              </w:rPr>
            </w:pPr>
            <w:r w:rsidRPr="00812509">
              <w:rPr>
                <w:rFonts w:asciiTheme="minorHAnsi" w:hAnsiTheme="minorHAnsi"/>
              </w:rPr>
              <w:t>Objective 1</w:t>
            </w:r>
            <w:r w:rsidR="00985472">
              <w:rPr>
                <w:rFonts w:asciiTheme="minorHAnsi" w:hAnsiTheme="minorHAnsi"/>
              </w:rPr>
              <w:t>: Enable economic growth</w:t>
            </w:r>
          </w:p>
        </w:tc>
        <w:tc>
          <w:tcPr>
            <w:tcW w:w="1388" w:type="dxa"/>
            <w:shd w:val="clear" w:color="auto" w:fill="72AF2F"/>
            <w:noWrap/>
          </w:tcPr>
          <w:p w:rsidR="00436526" w:rsidRPr="00812509" w:rsidRDefault="00436526"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7FB64D" w:themeFill="accent3" w:themeFillShade="BF"/>
            <w:noWrap/>
          </w:tcPr>
          <w:p w:rsidR="00436526" w:rsidRPr="00812509" w:rsidRDefault="00994D7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994D76" w:rsidRPr="00812509" w:rsidTr="00711C36">
        <w:trPr>
          <w:cnfStyle w:val="000000010000" w:firstRow="0" w:lastRow="0" w:firstColumn="0" w:lastColumn="0" w:oddVBand="0" w:evenVBand="0" w:oddHBand="0" w:evenHBand="1" w:firstRowFirstColumn="0" w:firstRowLastColumn="0" w:lastRowFirstColumn="0" w:lastRowLastColumn="0"/>
        </w:trPr>
        <w:tc>
          <w:tcPr>
            <w:tcW w:w="6622" w:type="dxa"/>
          </w:tcPr>
          <w:p w:rsidR="00994D76" w:rsidRPr="00812509" w:rsidRDefault="00994D76" w:rsidP="00994D76">
            <w:pPr>
              <w:pStyle w:val="TableTextEntries"/>
              <w:rPr>
                <w:rFonts w:asciiTheme="minorHAnsi" w:hAnsiTheme="minorHAnsi"/>
              </w:rPr>
            </w:pPr>
            <w:r w:rsidRPr="00812509">
              <w:rPr>
                <w:rFonts w:asciiTheme="minorHAnsi" w:hAnsiTheme="minorHAnsi"/>
              </w:rPr>
              <w:t>Objective 2</w:t>
            </w:r>
            <w:r>
              <w:rPr>
                <w:rFonts w:asciiTheme="minorHAnsi" w:hAnsiTheme="minorHAnsi"/>
              </w:rPr>
              <w:t>: Progress health and education outcomes</w:t>
            </w:r>
          </w:p>
        </w:tc>
        <w:tc>
          <w:tcPr>
            <w:tcW w:w="1388" w:type="dxa"/>
            <w:shd w:val="clear" w:color="auto" w:fill="7FB64D" w:themeFill="accent3" w:themeFillShade="BF"/>
            <w:noWrap/>
          </w:tcPr>
          <w:p w:rsidR="00994D76" w:rsidRPr="00812509" w:rsidRDefault="00994D76" w:rsidP="00994D7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shd w:val="clear" w:color="auto" w:fill="FFC000"/>
            <w:noWrap/>
          </w:tcPr>
          <w:p w:rsidR="00994D76" w:rsidRPr="00812509" w:rsidRDefault="00994D76" w:rsidP="00994D76">
            <w:pPr>
              <w:pStyle w:val="TableTextEntries"/>
              <w:jc w:val="center"/>
              <w:rPr>
                <w:rFonts w:asciiTheme="minorHAnsi" w:hAnsiTheme="minorHAnsi"/>
                <w:color w:val="FFFFFF" w:themeColor="background1"/>
              </w:rPr>
            </w:pPr>
            <w:r w:rsidRPr="007269FF">
              <w:rPr>
                <w:rFonts w:asciiTheme="minorHAnsi" w:hAnsiTheme="minorHAnsi"/>
                <w:color w:val="FFFFFF" w:themeColor="background1"/>
              </w:rPr>
              <w:t>Amber</w:t>
            </w:r>
          </w:p>
        </w:tc>
      </w:tr>
      <w:tr w:rsidR="00994D76" w:rsidRPr="00812509" w:rsidTr="00757F9A">
        <w:trPr>
          <w:cnfStyle w:val="000000010000" w:firstRow="0" w:lastRow="0" w:firstColumn="0" w:lastColumn="0" w:oddVBand="0" w:evenVBand="0" w:oddHBand="0" w:evenHBand="1" w:firstRowFirstColumn="0" w:firstRowLastColumn="0" w:lastRowFirstColumn="0" w:lastRowLastColumn="0"/>
        </w:trPr>
        <w:tc>
          <w:tcPr>
            <w:tcW w:w="6622" w:type="dxa"/>
          </w:tcPr>
          <w:p w:rsidR="00994D76" w:rsidRPr="00812509" w:rsidRDefault="00994D76" w:rsidP="00994D76">
            <w:pPr>
              <w:pStyle w:val="TableTextEntries"/>
              <w:rPr>
                <w:rFonts w:asciiTheme="minorHAnsi" w:hAnsiTheme="minorHAnsi"/>
              </w:rPr>
            </w:pPr>
            <w:r w:rsidRPr="00812509">
              <w:rPr>
                <w:rFonts w:asciiTheme="minorHAnsi" w:hAnsiTheme="minorHAnsi"/>
              </w:rPr>
              <w:t>Objective 3</w:t>
            </w:r>
            <w:r>
              <w:rPr>
                <w:rFonts w:asciiTheme="minorHAnsi" w:hAnsiTheme="minorHAnsi"/>
              </w:rPr>
              <w:t>: Strengthen governance</w:t>
            </w:r>
          </w:p>
        </w:tc>
        <w:tc>
          <w:tcPr>
            <w:tcW w:w="1388" w:type="dxa"/>
            <w:shd w:val="clear" w:color="auto" w:fill="FFC000"/>
            <w:noWrap/>
          </w:tcPr>
          <w:p w:rsidR="00994D76" w:rsidRPr="00812509" w:rsidRDefault="00994D76" w:rsidP="00994D7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377" w:type="dxa"/>
            <w:shd w:val="clear" w:color="auto" w:fill="7FB64D" w:themeFill="accent3" w:themeFillShade="BF"/>
            <w:noWrap/>
          </w:tcPr>
          <w:p w:rsidR="00994D76" w:rsidRPr="00812509" w:rsidRDefault="00757F9A" w:rsidP="00994D76">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Pr="007866A5" w:rsidRDefault="005B5769" w:rsidP="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7866A5" w:rsidRDefault="007866A5" w:rsidP="00877607">
      <w:pPr>
        <w:spacing w:before="240"/>
        <w:rPr>
          <w:rFonts w:asciiTheme="majorHAnsi" w:eastAsiaTheme="majorEastAsia" w:hAnsiTheme="majorHAnsi" w:cstheme="majorBidi"/>
          <w:caps/>
          <w:sz w:val="32"/>
          <w:szCs w:val="32"/>
        </w:rPr>
      </w:pPr>
    </w:p>
    <w:p w:rsidR="00695730" w:rsidRPr="00877607" w:rsidRDefault="00695730"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lastRenderedPageBreak/>
        <w:t>Objective 1</w:t>
      </w:r>
      <w:r w:rsidR="0002615E">
        <w:rPr>
          <w:rFonts w:asciiTheme="majorHAnsi" w:eastAsiaTheme="majorEastAsia" w:hAnsiTheme="majorHAnsi" w:cstheme="majorBidi"/>
          <w:caps/>
          <w:sz w:val="32"/>
          <w:szCs w:val="32"/>
        </w:rPr>
        <w:t>:</w:t>
      </w:r>
      <w:r w:rsidR="00436526">
        <w:rPr>
          <w:rFonts w:asciiTheme="majorHAnsi" w:eastAsiaTheme="majorEastAsia" w:hAnsiTheme="majorHAnsi" w:cstheme="majorBidi"/>
          <w:caps/>
          <w:sz w:val="32"/>
          <w:szCs w:val="32"/>
        </w:rPr>
        <w:t xml:space="preserve"> </w:t>
      </w:r>
      <w:r w:rsidR="0002615E">
        <w:rPr>
          <w:rFonts w:asciiTheme="majorHAnsi" w:eastAsiaTheme="majorEastAsia" w:hAnsiTheme="majorHAnsi" w:cstheme="majorBidi"/>
          <w:caps/>
          <w:sz w:val="32"/>
          <w:szCs w:val="32"/>
        </w:rPr>
        <w:t>ENABLING ECONOMIC GROWTH</w:t>
      </w:r>
    </w:p>
    <w:tbl>
      <w:tblPr>
        <w:tblStyle w:val="APPR"/>
        <w:tblW w:w="0" w:type="auto"/>
        <w:tblBorders>
          <w:top w:val="none" w:sz="0" w:space="0" w:color="auto"/>
          <w:bottom w:val="none" w:sz="0" w:space="0" w:color="auto"/>
        </w:tblBorders>
        <w:tblLook w:val="04A0" w:firstRow="1" w:lastRow="0" w:firstColumn="1" w:lastColumn="0" w:noHBand="0" w:noVBand="1"/>
      </w:tblPr>
      <w:tblGrid>
        <w:gridCol w:w="2059"/>
        <w:gridCol w:w="1900"/>
        <w:gridCol w:w="1902"/>
        <w:gridCol w:w="1902"/>
        <w:gridCol w:w="1875"/>
      </w:tblGrid>
      <w:tr w:rsidR="00695730" w:rsidRPr="00695730" w:rsidTr="004D1B00">
        <w:trPr>
          <w:cnfStyle w:val="100000000000" w:firstRow="1" w:lastRow="0" w:firstColumn="0" w:lastColumn="0" w:oddVBand="0" w:evenVBand="0" w:oddHBand="0" w:evenHBand="0" w:firstRowFirstColumn="0" w:firstRowLastColumn="0" w:lastRowFirstColumn="0" w:lastRowLastColumn="0"/>
        </w:trPr>
        <w:tc>
          <w:tcPr>
            <w:tcW w:w="2017" w:type="dxa"/>
            <w:tcBorders>
              <w:top w:val="none" w:sz="0" w:space="0" w:color="auto"/>
              <w:bottom w:val="none" w:sz="0" w:space="0" w:color="auto"/>
            </w:tcBorders>
          </w:tcPr>
          <w:p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rPr>
              <w:drawing>
                <wp:inline distT="0" distB="0" distL="0" distR="0" wp14:anchorId="2B111DFA" wp14:editId="4AB7B804">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872" w:type="dxa"/>
            <w:tcBorders>
              <w:top w:val="none" w:sz="0" w:space="0" w:color="auto"/>
              <w:bottom w:val="none" w:sz="0" w:space="0" w:color="auto"/>
            </w:tcBorders>
          </w:tcPr>
          <w:p w:rsidR="00695730" w:rsidRPr="00695730" w:rsidRDefault="004D1B00"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rPr>
              <w:drawing>
                <wp:inline distT="0" distB="0" distL="0" distR="0" wp14:anchorId="051B5423" wp14:editId="04777EA9">
                  <wp:extent cx="609600" cy="609600"/>
                  <wp:effectExtent l="0" t="0" r="0" b="0"/>
                  <wp:docPr id="48" name="Picture 4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874" w:type="dxa"/>
            <w:tcBorders>
              <w:top w:val="none" w:sz="0" w:space="0" w:color="auto"/>
              <w:bottom w:val="none" w:sz="0" w:space="0" w:color="auto"/>
            </w:tcBorders>
          </w:tcPr>
          <w:p w:rsidR="00695730" w:rsidRPr="00695730" w:rsidRDefault="004D1B00"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rPr>
              <w:drawing>
                <wp:inline distT="0" distB="0" distL="0" distR="0" wp14:anchorId="7742D8DB" wp14:editId="5A8643FD">
                  <wp:extent cx="612000" cy="61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74" w:type="dxa"/>
            <w:tcBorders>
              <w:top w:val="none" w:sz="0" w:space="0" w:color="auto"/>
              <w:bottom w:val="none" w:sz="0" w:space="0" w:color="auto"/>
            </w:tcBorders>
          </w:tcPr>
          <w:p w:rsidR="00695730" w:rsidRPr="00695730" w:rsidRDefault="004D1B00"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rPr>
              <w:drawing>
                <wp:inline distT="0" distB="0" distL="0" distR="0" wp14:anchorId="6BEB399E" wp14:editId="3A0E5424">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33" w:type="dxa"/>
            <w:tcBorders>
              <w:top w:val="none" w:sz="0" w:space="0" w:color="auto"/>
              <w:bottom w:val="none" w:sz="0" w:space="0" w:color="auto"/>
            </w:tcBorders>
          </w:tcPr>
          <w:p w:rsidR="00994D76" w:rsidRPr="00695730" w:rsidRDefault="00994D76" w:rsidP="004D1B00">
            <w:pPr>
              <w:suppressAutoHyphens w:val="0"/>
              <w:spacing w:before="160" w:after="80" w:line="240" w:lineRule="auto"/>
              <w:jc w:val="center"/>
              <w:rPr>
                <w:rFonts w:asciiTheme="majorHAnsi" w:eastAsiaTheme="majorEastAsia" w:hAnsiTheme="majorHAnsi" w:cstheme="majorBidi"/>
                <w:caps/>
                <w:sz w:val="38"/>
                <w:szCs w:val="26"/>
              </w:rPr>
            </w:pPr>
          </w:p>
        </w:tc>
      </w:tr>
    </w:tbl>
    <w:p w:rsidR="004D1B00" w:rsidRPr="00E2434A" w:rsidRDefault="004D1B00" w:rsidP="00695730">
      <w:pPr>
        <w:suppressAutoHyphens w:val="0"/>
        <w:spacing w:before="80" w:after="80" w:line="240" w:lineRule="auto"/>
        <w:jc w:val="center"/>
        <w:rPr>
          <w:rFonts w:asciiTheme="majorHAnsi" w:eastAsiaTheme="majorEastAsia" w:hAnsiTheme="majorHAnsi" w:cstheme="majorBidi"/>
          <w:b/>
          <w:caps/>
          <w:noProof/>
          <w:sz w:val="16"/>
          <w:szCs w:val="16"/>
          <w:lang w:val="en-AU"/>
        </w:rPr>
        <w:sectPr w:rsidR="004D1B00" w:rsidRPr="00E2434A" w:rsidSect="00D2653F">
          <w:headerReference w:type="default" r:id="rId21"/>
          <w:footerReference w:type="default" r:id="rId22"/>
          <w:pgSz w:w="11906" w:h="16838" w:code="9"/>
          <w:pgMar w:top="1811" w:right="1134" w:bottom="851" w:left="1134" w:header="1565" w:footer="342" w:gutter="0"/>
          <w:cols w:space="397"/>
          <w:docGrid w:linePitch="360"/>
        </w:sectPr>
      </w:pPr>
    </w:p>
    <w:p w:rsidR="001320D6" w:rsidRPr="009376D7" w:rsidRDefault="00CA5C87" w:rsidP="004C0419">
      <w:r w:rsidRPr="009376D7">
        <w:t xml:space="preserve">Australia’s support for the construction of the Tui-Samoa submarine cable (with ADB and World Bank), and </w:t>
      </w:r>
      <w:r w:rsidR="00BC50CB" w:rsidRPr="009376D7">
        <w:t xml:space="preserve">the </w:t>
      </w:r>
      <w:r w:rsidR="006C7DAC" w:rsidRPr="009376D7">
        <w:t xml:space="preserve">associated </w:t>
      </w:r>
      <w:r w:rsidRPr="009376D7">
        <w:t>legislative reform processes, ha</w:t>
      </w:r>
      <w:r w:rsidR="00C143B2" w:rsidRPr="009376D7">
        <w:t>s</w:t>
      </w:r>
      <w:r w:rsidRPr="009376D7">
        <w:t xml:space="preserve"> significantly improved Samoa’s digital connectivity, </w:t>
      </w:r>
      <w:r w:rsidR="00BC50CB" w:rsidRPr="009376D7">
        <w:t xml:space="preserve">contributing to </w:t>
      </w:r>
      <w:r w:rsidRPr="009376D7">
        <w:t xml:space="preserve">economic growth. </w:t>
      </w:r>
      <w:r w:rsidR="001320D6" w:rsidRPr="009376D7">
        <w:t>The wholesale price of internet bandwidth is 90</w:t>
      </w:r>
      <w:r w:rsidR="00671A3F" w:rsidRPr="009376D7">
        <w:t xml:space="preserve"> per cent</w:t>
      </w:r>
      <w:r w:rsidR="001320D6" w:rsidRPr="009376D7">
        <w:t xml:space="preserve"> lower</w:t>
      </w:r>
      <w:r w:rsidR="00671A3F" w:rsidRPr="009376D7">
        <w:t xml:space="preserve"> </w:t>
      </w:r>
      <w:r w:rsidR="00F57CD8" w:rsidRPr="009376D7">
        <w:t xml:space="preserve">than in 2015, </w:t>
      </w:r>
      <w:r w:rsidR="001320D6" w:rsidRPr="009376D7">
        <w:t>significant increases in the volume of data usage</w:t>
      </w:r>
      <w:r w:rsidR="00641EC8">
        <w:t xml:space="preserve"> occurred in 2018 -19</w:t>
      </w:r>
      <w:r w:rsidR="001320D6" w:rsidRPr="009376D7">
        <w:t xml:space="preserve">, and mobile operators are aiming to reach universal 3G coverage by the end of 2019. </w:t>
      </w:r>
    </w:p>
    <w:p w:rsidR="001320D6" w:rsidRPr="009376D7" w:rsidRDefault="00A52DDD" w:rsidP="004C0419">
      <w:r w:rsidRPr="009376D7">
        <w:t xml:space="preserve">With </w:t>
      </w:r>
      <w:r w:rsidR="00CA5C87" w:rsidRPr="009376D7">
        <w:t xml:space="preserve">Samoa’s increased capacity and </w:t>
      </w:r>
      <w:r w:rsidR="00671A3F" w:rsidRPr="009376D7">
        <w:t xml:space="preserve">interest in </w:t>
      </w:r>
      <w:r w:rsidR="00CA5C87" w:rsidRPr="009376D7">
        <w:t xml:space="preserve">cyber </w:t>
      </w:r>
      <w:r w:rsidR="00671A3F" w:rsidRPr="009376D7">
        <w:t>issues</w:t>
      </w:r>
      <w:r w:rsidRPr="009376D7">
        <w:t>, Australia supported the G</w:t>
      </w:r>
      <w:r w:rsidR="002D75CF" w:rsidRPr="009376D7">
        <w:t>overnment of Samoa</w:t>
      </w:r>
      <w:r w:rsidRPr="009376D7">
        <w:t xml:space="preserve"> with strategic</w:t>
      </w:r>
      <w:r w:rsidR="001320D6" w:rsidRPr="009376D7">
        <w:t xml:space="preserve"> </w:t>
      </w:r>
      <w:r w:rsidRPr="009376D7">
        <w:t xml:space="preserve">planning in the ICT sector, as well as developing a Cyber </w:t>
      </w:r>
      <w:r w:rsidR="001320D6" w:rsidRPr="009376D7">
        <w:t>S</w:t>
      </w:r>
      <w:r w:rsidRPr="009376D7">
        <w:t xml:space="preserve">ecurity Policy. A number of </w:t>
      </w:r>
      <w:r w:rsidR="006C6938" w:rsidRPr="009376D7">
        <w:t xml:space="preserve">Australian-funded </w:t>
      </w:r>
      <w:r w:rsidRPr="009376D7">
        <w:t xml:space="preserve">assessments </w:t>
      </w:r>
      <w:r w:rsidR="005B76AD" w:rsidRPr="009376D7">
        <w:t>recommended measures to</w:t>
      </w:r>
      <w:r w:rsidRPr="009376D7">
        <w:t xml:space="preserve"> </w:t>
      </w:r>
      <w:r w:rsidR="005B76AD" w:rsidRPr="009376D7">
        <w:t xml:space="preserve">strengthen Samoa’s cyber security.  Australia </w:t>
      </w:r>
      <w:r w:rsidR="001320D6" w:rsidRPr="009376D7">
        <w:t xml:space="preserve">is working with </w:t>
      </w:r>
      <w:r w:rsidR="005B76AD" w:rsidRPr="009376D7">
        <w:t xml:space="preserve">Samoa to establish </w:t>
      </w:r>
      <w:r w:rsidR="00CE7943" w:rsidRPr="009376D7">
        <w:t>a</w:t>
      </w:r>
      <w:r w:rsidR="005B76AD" w:rsidRPr="009376D7">
        <w:t xml:space="preserve"> Computer Emergency Response Team to monitor and coordinate response</w:t>
      </w:r>
      <w:r w:rsidR="00CC0306" w:rsidRPr="009376D7">
        <w:t>s</w:t>
      </w:r>
      <w:r w:rsidR="005B76AD" w:rsidRPr="009376D7">
        <w:t xml:space="preserve"> to cyber</w:t>
      </w:r>
      <w:r w:rsidR="00CC0306" w:rsidRPr="009376D7">
        <w:t xml:space="preserve"> </w:t>
      </w:r>
      <w:r w:rsidR="005B76AD" w:rsidRPr="009376D7">
        <w:t>threats</w:t>
      </w:r>
      <w:r w:rsidR="00016F6D">
        <w:t xml:space="preserve"> in 2019-</w:t>
      </w:r>
      <w:r w:rsidR="00641EC8">
        <w:t>20</w:t>
      </w:r>
      <w:r w:rsidR="001320D6" w:rsidRPr="009376D7">
        <w:t>.</w:t>
      </w:r>
      <w:r w:rsidRPr="009376D7">
        <w:t xml:space="preserve"> </w:t>
      </w:r>
    </w:p>
    <w:p w:rsidR="00283FDD" w:rsidRPr="009376D7" w:rsidRDefault="00283FDD" w:rsidP="009376D7">
      <w:r w:rsidRPr="009376D7">
        <w:t>The construction of roads and bridges through</w:t>
      </w:r>
      <w:r w:rsidR="004E64CC">
        <w:t xml:space="preserve"> the</w:t>
      </w:r>
      <w:r w:rsidRPr="009376D7">
        <w:t xml:space="preserve"> Emergency Roads Access Project </w:t>
      </w:r>
      <w:r w:rsidR="00CC0306" w:rsidRPr="009376D7">
        <w:t xml:space="preserve">financed with the World Bank </w:t>
      </w:r>
      <w:r w:rsidRPr="009376D7">
        <w:t>continued in 2018</w:t>
      </w:r>
      <w:r w:rsidR="00466AA3" w:rsidRPr="009376D7">
        <w:t>-19</w:t>
      </w:r>
      <w:r w:rsidR="00016F6D">
        <w:t xml:space="preserve">, but delays led to the extension of the project for an additional year. </w:t>
      </w:r>
      <w:r w:rsidR="00466AA3" w:rsidRPr="009376D7">
        <w:t>Construction</w:t>
      </w:r>
      <w:r w:rsidR="006C7DAC" w:rsidRPr="009376D7">
        <w:t xml:space="preserve"> began on the</w:t>
      </w:r>
      <w:r w:rsidR="00466AA3" w:rsidRPr="009376D7">
        <w:t xml:space="preserve"> </w:t>
      </w:r>
      <w:r w:rsidRPr="009376D7">
        <w:t>Maliolio Bridge</w:t>
      </w:r>
      <w:r w:rsidR="00466AA3" w:rsidRPr="009376D7">
        <w:t xml:space="preserve">, </w:t>
      </w:r>
      <w:r w:rsidRPr="009376D7">
        <w:t xml:space="preserve">which will ensure continued access </w:t>
      </w:r>
      <w:r w:rsidR="008B3F4B" w:rsidRPr="009376D7">
        <w:t xml:space="preserve">to </w:t>
      </w:r>
      <w:r w:rsidRPr="009376D7">
        <w:t>rural communities in Savai</w:t>
      </w:r>
      <w:r w:rsidR="0025035C" w:rsidRPr="009376D7">
        <w:t>’</w:t>
      </w:r>
      <w:r w:rsidRPr="009376D7">
        <w:t xml:space="preserve">i </w:t>
      </w:r>
      <w:r w:rsidR="008B3F4B" w:rsidRPr="009376D7">
        <w:t>during</w:t>
      </w:r>
      <w:r w:rsidRPr="009376D7">
        <w:t xml:space="preserve"> severe flooding.</w:t>
      </w:r>
      <w:r w:rsidR="00A8669E" w:rsidRPr="009376D7">
        <w:t xml:space="preserve"> </w:t>
      </w:r>
      <w:r w:rsidR="00CC0306" w:rsidRPr="009376D7">
        <w:t xml:space="preserve">Construction </w:t>
      </w:r>
      <w:r w:rsidR="008B3F4B" w:rsidRPr="009376D7">
        <w:t xml:space="preserve">also began on </w:t>
      </w:r>
      <w:r w:rsidR="00CC0306" w:rsidRPr="009376D7">
        <w:t>a bailey bridge at Lotosamasoni</w:t>
      </w:r>
      <w:r w:rsidR="008B3F4B" w:rsidRPr="009376D7">
        <w:t>, which</w:t>
      </w:r>
      <w:r w:rsidR="0043721B" w:rsidRPr="009376D7">
        <w:t xml:space="preserve"> </w:t>
      </w:r>
      <w:r w:rsidR="00CC0306" w:rsidRPr="009376D7">
        <w:t>will facilitate traffic flows from eastern Apia into th</w:t>
      </w:r>
      <w:r w:rsidR="00023EB9" w:rsidRPr="009376D7">
        <w:t xml:space="preserve">e </w:t>
      </w:r>
      <w:r w:rsidR="00BC50CB" w:rsidRPr="009376D7">
        <w:t xml:space="preserve">central business district </w:t>
      </w:r>
      <w:r w:rsidR="00671A3F" w:rsidRPr="009376D7">
        <w:t>and through to the industrial area</w:t>
      </w:r>
      <w:r w:rsidR="00CC0306" w:rsidRPr="009376D7">
        <w:t>.</w:t>
      </w:r>
      <w:r w:rsidR="00A8669E" w:rsidRPr="009376D7">
        <w:t xml:space="preserve"> </w:t>
      </w:r>
      <w:r w:rsidR="0043721B" w:rsidRPr="009376D7">
        <w:t xml:space="preserve">The bridge has accessible pedestrian access. </w:t>
      </w:r>
      <w:r w:rsidR="00A8669E" w:rsidRPr="009376D7">
        <w:t>Both the Maliolio and Lotosamasoni bridges are expected to be completed</w:t>
      </w:r>
      <w:r w:rsidR="00016F6D">
        <w:t xml:space="preserve"> as planned</w:t>
      </w:r>
      <w:r w:rsidR="00A8669E" w:rsidRPr="009376D7">
        <w:t xml:space="preserve"> in the first half of 2019-20</w:t>
      </w:r>
      <w:r w:rsidR="00206281" w:rsidRPr="009376D7">
        <w:t xml:space="preserve"> and have been designed to be resilient to projected climate change impacts.</w:t>
      </w:r>
    </w:p>
    <w:p w:rsidR="001F4A49" w:rsidRPr="009376D7" w:rsidRDefault="001F4A49" w:rsidP="009376D7">
      <w:r w:rsidRPr="009376D7">
        <w:t xml:space="preserve">In collaboration with the Australian Broadcasting Corporation, Australia supported the redevelopment of the National Radio 2AP </w:t>
      </w:r>
      <w:r w:rsidR="006C7DAC" w:rsidRPr="009376D7">
        <w:t xml:space="preserve">broadcasting facility, including the construction of a new </w:t>
      </w:r>
      <w:r w:rsidRPr="009376D7">
        <w:t>transmission tower. Radio 2AP is the official source of disaster information for Samoa and is the main means of communication with rural communiti</w:t>
      </w:r>
      <w:r w:rsidR="00023EB9" w:rsidRPr="009376D7">
        <w:t>es during disasters. The tower</w:t>
      </w:r>
      <w:r w:rsidR="00206281" w:rsidRPr="009376D7">
        <w:t>, which was modified to ensure resilience to climate change and natural disasters,</w:t>
      </w:r>
      <w:r w:rsidR="00023EB9" w:rsidRPr="009376D7">
        <w:t xml:space="preserve"> is</w:t>
      </w:r>
      <w:r w:rsidRPr="009376D7">
        <w:t xml:space="preserve"> expected to be </w:t>
      </w:r>
      <w:r w:rsidR="00023EB9" w:rsidRPr="009376D7">
        <w:t xml:space="preserve">fully </w:t>
      </w:r>
      <w:r w:rsidRPr="009376D7">
        <w:t xml:space="preserve">operational early in 2019-20. </w:t>
      </w:r>
    </w:p>
    <w:p w:rsidR="008D32B7" w:rsidRPr="009376D7" w:rsidRDefault="008D32B7" w:rsidP="009376D7">
      <w:r w:rsidRPr="009376D7">
        <w:t xml:space="preserve">The Samoa Fiscal Resilience Program </w:t>
      </w:r>
      <w:r w:rsidR="00BC50CB" w:rsidRPr="009376D7">
        <w:t xml:space="preserve">continued </w:t>
      </w:r>
      <w:r w:rsidRPr="009376D7">
        <w:t xml:space="preserve">to support the Government of Samoa’s capabilities in economic reform. Guided by the Joint Policy Action Matrix (JPAM), </w:t>
      </w:r>
      <w:r w:rsidR="00016F6D" w:rsidRPr="009376D7">
        <w:t xml:space="preserve">Australia, </w:t>
      </w:r>
      <w:r w:rsidRPr="009376D7">
        <w:t xml:space="preserve">the World Bank, the ADB and New </w:t>
      </w:r>
      <w:r w:rsidR="00016F6D" w:rsidRPr="009376D7">
        <w:t>Zealand continued</w:t>
      </w:r>
      <w:r w:rsidR="00BC50CB" w:rsidRPr="009376D7">
        <w:t xml:space="preserve"> to provide </w:t>
      </w:r>
      <w:r w:rsidRPr="009376D7">
        <w:t xml:space="preserve">direct budget support </w:t>
      </w:r>
      <w:r w:rsidR="004E64CC">
        <w:t xml:space="preserve">and technical expertise </w:t>
      </w:r>
      <w:r w:rsidRPr="009376D7">
        <w:t xml:space="preserve">to the Government of Samoa to incentivise reforms. </w:t>
      </w:r>
      <w:r w:rsidR="00016F6D">
        <w:t xml:space="preserve">Australia disbursed a total of AUD3m in early 2019. </w:t>
      </w:r>
      <w:r w:rsidR="00BC50CB" w:rsidRPr="009376D7">
        <w:t xml:space="preserve">JPAM targets met in the reporting period included the </w:t>
      </w:r>
      <w:r w:rsidR="0097359B" w:rsidRPr="009376D7">
        <w:t>completion and</w:t>
      </w:r>
      <w:r w:rsidRPr="009376D7">
        <w:t xml:space="preserve"> </w:t>
      </w:r>
      <w:r w:rsidR="0097359B" w:rsidRPr="009376D7">
        <w:t>Cabinet e</w:t>
      </w:r>
      <w:r w:rsidRPr="009376D7">
        <w:t>ndorsement of the Samoa Infrastructure Asset Management Strategy 2018</w:t>
      </w:r>
      <w:r w:rsidR="0097359B" w:rsidRPr="009376D7">
        <w:t>; u</w:t>
      </w:r>
      <w:r w:rsidRPr="009376D7">
        <w:t>pdated C</w:t>
      </w:r>
      <w:r w:rsidR="0097359B" w:rsidRPr="009376D7">
        <w:t xml:space="preserve">ommunity </w:t>
      </w:r>
      <w:r w:rsidRPr="009376D7">
        <w:t>I</w:t>
      </w:r>
      <w:r w:rsidR="0097359B" w:rsidRPr="009376D7">
        <w:t xml:space="preserve">ntegrated </w:t>
      </w:r>
      <w:r w:rsidRPr="009376D7">
        <w:t>M</w:t>
      </w:r>
      <w:r w:rsidR="0097359B" w:rsidRPr="009376D7">
        <w:t>anagement</w:t>
      </w:r>
      <w:r w:rsidRPr="009376D7">
        <w:t xml:space="preserve"> Plans that </w:t>
      </w:r>
      <w:r w:rsidR="0097359B" w:rsidRPr="009376D7">
        <w:t>reinforce the</w:t>
      </w:r>
      <w:r w:rsidRPr="009376D7">
        <w:t xml:space="preserve"> climate resilience of districts</w:t>
      </w:r>
      <w:r w:rsidR="0097359B" w:rsidRPr="009376D7">
        <w:t>; c</w:t>
      </w:r>
      <w:r w:rsidRPr="009376D7">
        <w:t>ompletion of the National Disaster Management Plan 2017-2020</w:t>
      </w:r>
      <w:r w:rsidR="0097359B" w:rsidRPr="009376D7">
        <w:t>; and strengthening of</w:t>
      </w:r>
      <w:r w:rsidRPr="009376D7">
        <w:t xml:space="preserve"> the Money Laundering Prevention Act</w:t>
      </w:r>
      <w:r w:rsidR="0097359B" w:rsidRPr="009376D7">
        <w:t>.</w:t>
      </w:r>
      <w:r w:rsidR="00644427">
        <w:t xml:space="preserve"> </w:t>
      </w:r>
      <w:r w:rsidR="00644427" w:rsidRPr="00644427">
        <w:t>JPAM contribute</w:t>
      </w:r>
      <w:r w:rsidR="007D28C7">
        <w:t>d</w:t>
      </w:r>
      <w:r w:rsidR="00644427" w:rsidRPr="00644427">
        <w:t xml:space="preserve"> to debt management reforms </w:t>
      </w:r>
      <w:r w:rsidR="00331D01">
        <w:t xml:space="preserve">through a </w:t>
      </w:r>
      <w:r w:rsidR="00016F6D">
        <w:t xml:space="preserve">target linked to Samoa’s </w:t>
      </w:r>
      <w:r w:rsidR="00331D01">
        <w:t>Medium-Term Debt Strategy</w:t>
      </w:r>
      <w:r w:rsidR="00016F6D">
        <w:t>,</w:t>
      </w:r>
      <w:r w:rsidR="00331D01">
        <w:t xml:space="preserve"> </w:t>
      </w:r>
      <w:r w:rsidR="00016F6D">
        <w:t>which has</w:t>
      </w:r>
      <w:r w:rsidR="00644427" w:rsidRPr="00644427">
        <w:t xml:space="preserve"> contributed to a reduction in Samoa’s</w:t>
      </w:r>
      <w:r w:rsidR="00644427">
        <w:t xml:space="preserve"> external debt</w:t>
      </w:r>
      <w:r w:rsidR="007D28C7">
        <w:t xml:space="preserve">. </w:t>
      </w:r>
    </w:p>
    <w:p w:rsidR="00A76E71" w:rsidRPr="009376D7" w:rsidRDefault="00283FDD" w:rsidP="009376D7">
      <w:r w:rsidRPr="00C16245">
        <w:t xml:space="preserve">A rating of green is given for this objective overall as </w:t>
      </w:r>
      <w:r w:rsidR="00641EC8" w:rsidRPr="00C16245">
        <w:t xml:space="preserve">two of </w:t>
      </w:r>
      <w:r w:rsidR="00016F6D" w:rsidRPr="00C16245">
        <w:t>four</w:t>
      </w:r>
      <w:r w:rsidR="00641EC8" w:rsidRPr="00C16245">
        <w:t xml:space="preserve"> </w:t>
      </w:r>
      <w:r w:rsidRPr="00C16245">
        <w:t>ben</w:t>
      </w:r>
      <w:r w:rsidR="00023EB9" w:rsidRPr="00C16245">
        <w:t>chmarks</w:t>
      </w:r>
      <w:r w:rsidR="004E64CC" w:rsidRPr="00C16245">
        <w:t xml:space="preserve">, linked to economic growth and the larger proportion of our investment, </w:t>
      </w:r>
      <w:r w:rsidR="00023EB9" w:rsidRPr="00C16245">
        <w:t xml:space="preserve"> were achieved in 2018- 19</w:t>
      </w:r>
      <w:r w:rsidR="004E64CC" w:rsidRPr="00C16245">
        <w:t>. Substantial progress was made on economic inclusion and economic infrastructure; however, the ambitious benchmarks were not met in the reporting period.</w:t>
      </w:r>
    </w:p>
    <w:p w:rsidR="006545B9" w:rsidRPr="00877607" w:rsidRDefault="006545B9"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0002615E">
        <w:rPr>
          <w:rFonts w:asciiTheme="majorHAnsi" w:eastAsiaTheme="majorEastAsia" w:hAnsiTheme="majorHAnsi" w:cstheme="majorBidi"/>
          <w:caps/>
          <w:sz w:val="32"/>
          <w:szCs w:val="32"/>
        </w:rPr>
        <w:t>: PROGRESS HEALTH AND EDUCATION OUTCOMES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545B9" w:rsidRPr="00695730" w:rsidTr="00A5433C">
        <w:tc>
          <w:tcPr>
            <w:tcW w:w="2016" w:type="dxa"/>
          </w:tcPr>
          <w:p w:rsidR="006545B9" w:rsidRPr="00695730" w:rsidRDefault="006545B9" w:rsidP="00994D76">
            <w:pPr>
              <w:spacing w:after="120"/>
              <w:rPr>
                <w:rFonts w:asciiTheme="majorHAnsi" w:eastAsiaTheme="majorEastAsia" w:hAnsiTheme="majorHAnsi" w:cstheme="majorBidi"/>
                <w:caps/>
                <w:sz w:val="38"/>
                <w:szCs w:val="26"/>
              </w:rPr>
            </w:pPr>
            <w:r w:rsidRPr="00994D76">
              <w:rPr>
                <w:noProof/>
                <w:color w:val="auto"/>
                <w:lang w:val="en-AU" w:eastAsia="en-AU"/>
              </w:rPr>
              <w:lastRenderedPageBreak/>
              <w:drawing>
                <wp:inline distT="0" distB="0" distL="0" distR="0" wp14:anchorId="52BEB8BA" wp14:editId="79C194A1">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6545B9" w:rsidRPr="00695730" w:rsidRDefault="00396BA0" w:rsidP="00A5433C">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126FD542" wp14:editId="675506B0">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545B9" w:rsidRPr="00695730" w:rsidRDefault="00396BA0" w:rsidP="00A5433C">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43EE733E" wp14:editId="2DC7DB2E">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545B9" w:rsidRPr="00695730" w:rsidRDefault="00396BA0" w:rsidP="00A5433C">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7303C64" wp14:editId="4089A983">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994D76" w:rsidRPr="00695730" w:rsidRDefault="00396BA0" w:rsidP="004D1B00">
            <w:pPr>
              <w:suppressAutoHyphens w:val="0"/>
              <w:spacing w:before="16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7C38D09E" wp14:editId="2AA828EC">
                  <wp:extent cx="609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r>
    </w:tbl>
    <w:p w:rsidR="004D1B00" w:rsidRPr="00E2434A" w:rsidRDefault="004D1B00" w:rsidP="0002615E">
      <w:pPr>
        <w:spacing w:before="240"/>
        <w:rPr>
          <w:rFonts w:asciiTheme="majorHAnsi" w:eastAsiaTheme="majorEastAsia" w:hAnsiTheme="majorHAnsi" w:cstheme="majorBidi"/>
          <w:caps/>
          <w:sz w:val="16"/>
          <w:szCs w:val="16"/>
        </w:rPr>
        <w:sectPr w:rsidR="004D1B00" w:rsidRPr="00E2434A" w:rsidSect="004D1B00">
          <w:type w:val="continuous"/>
          <w:pgSz w:w="11906" w:h="16838" w:code="9"/>
          <w:pgMar w:top="1811" w:right="1134" w:bottom="851" w:left="1134" w:header="1565" w:footer="342" w:gutter="0"/>
          <w:cols w:space="397"/>
          <w:docGrid w:linePitch="360"/>
        </w:sectPr>
      </w:pPr>
    </w:p>
    <w:p w:rsidR="008B3F4B" w:rsidRPr="009376D7" w:rsidRDefault="003C6A0E" w:rsidP="009376D7">
      <w:r w:rsidRPr="009376D7">
        <w:t>Australia’s Samoa Health Program seeks to improve the health of Samoans so that they can lead l</w:t>
      </w:r>
      <w:r w:rsidR="009376D7" w:rsidRPr="009376D7">
        <w:t>onger and more productive lives.</w:t>
      </w:r>
      <w:r w:rsidR="007478DD">
        <w:t xml:space="preserve"> </w:t>
      </w:r>
    </w:p>
    <w:p w:rsidR="008B3F4B" w:rsidRPr="009376D7" w:rsidRDefault="00EE00DA" w:rsidP="009376D7">
      <w:r w:rsidRPr="009376D7">
        <w:t xml:space="preserve">The Samoan National Health Service </w:t>
      </w:r>
      <w:r w:rsidR="00BC50CB" w:rsidRPr="009376D7">
        <w:t>was integrated</w:t>
      </w:r>
      <w:r w:rsidRPr="009376D7">
        <w:t xml:space="preserve"> into the Ministry of Health in February 2019. The impact of the </w:t>
      </w:r>
      <w:r w:rsidR="00BC50CB" w:rsidRPr="009376D7">
        <w:t>integration</w:t>
      </w:r>
      <w:r w:rsidRPr="009376D7">
        <w:t xml:space="preserve"> contributed to a </w:t>
      </w:r>
      <w:r w:rsidR="008B3F4B" w:rsidRPr="009376D7">
        <w:t xml:space="preserve">delay in the design and </w:t>
      </w:r>
      <w:r w:rsidR="009376D7" w:rsidRPr="009376D7">
        <w:t>mobilisation</w:t>
      </w:r>
      <w:r w:rsidR="008B3F4B" w:rsidRPr="009376D7">
        <w:t xml:space="preserve"> of </w:t>
      </w:r>
      <w:r w:rsidRPr="009376D7">
        <w:t xml:space="preserve">a </w:t>
      </w:r>
      <w:r w:rsidR="008B3F4B" w:rsidRPr="009376D7">
        <w:t>new program in primary healthcare</w:t>
      </w:r>
      <w:r w:rsidRPr="009376D7">
        <w:t>, which mean</w:t>
      </w:r>
      <w:r w:rsidR="00211F5A" w:rsidRPr="009376D7">
        <w:t>t</w:t>
      </w:r>
      <w:r w:rsidRPr="009376D7">
        <w:t xml:space="preserve"> the </w:t>
      </w:r>
      <w:r w:rsidR="00211F5A" w:rsidRPr="009376D7">
        <w:t xml:space="preserve">performance </w:t>
      </w:r>
      <w:r w:rsidRPr="009376D7">
        <w:t xml:space="preserve">benchmark </w:t>
      </w:r>
      <w:r w:rsidR="00ED41AA">
        <w:t>“</w:t>
      </w:r>
      <w:r w:rsidR="00211F5A" w:rsidRPr="009376D7">
        <w:t>Improved NCD services at district health centres</w:t>
      </w:r>
      <w:r w:rsidR="00ED41AA">
        <w:t>”</w:t>
      </w:r>
      <w:r w:rsidR="00211F5A" w:rsidRPr="009376D7">
        <w:t xml:space="preserve"> </w:t>
      </w:r>
      <w:r w:rsidRPr="009376D7">
        <w:t xml:space="preserve">was not achieved. </w:t>
      </w:r>
    </w:p>
    <w:p w:rsidR="00F07BB8" w:rsidRPr="009376D7" w:rsidRDefault="00296820" w:rsidP="009376D7">
      <w:r w:rsidRPr="009376D7">
        <w:t xml:space="preserve">Despite </w:t>
      </w:r>
      <w:r w:rsidR="004E64CC">
        <w:t>this</w:t>
      </w:r>
      <w:r w:rsidRPr="009376D7">
        <w:t xml:space="preserve"> setback, </w:t>
      </w:r>
      <w:r w:rsidR="00211F5A" w:rsidRPr="009376D7">
        <w:t>standalone health</w:t>
      </w:r>
      <w:r w:rsidR="008B3F4B" w:rsidRPr="009376D7">
        <w:t xml:space="preserve"> </w:t>
      </w:r>
      <w:r w:rsidR="00F07BB8" w:rsidRPr="009376D7">
        <w:t xml:space="preserve">activities </w:t>
      </w:r>
      <w:r w:rsidR="00EE00DA" w:rsidRPr="009376D7">
        <w:t xml:space="preserve">continued successfully </w:t>
      </w:r>
      <w:r w:rsidR="00F07BB8" w:rsidRPr="009376D7">
        <w:t>in 2018-19</w:t>
      </w:r>
      <w:r w:rsidR="00EE00DA" w:rsidRPr="009376D7">
        <w:t>.</w:t>
      </w:r>
      <w:r w:rsidR="00F07BB8" w:rsidRPr="009376D7">
        <w:t xml:space="preserve"> </w:t>
      </w:r>
      <w:r w:rsidR="00EE00DA" w:rsidRPr="009376D7">
        <w:t xml:space="preserve">Australia provided </w:t>
      </w:r>
      <w:r w:rsidR="00F07BB8" w:rsidRPr="009376D7">
        <w:t>priority advisers</w:t>
      </w:r>
      <w:r w:rsidR="00A818C6" w:rsidRPr="009376D7">
        <w:t xml:space="preserve"> to the Ministry of Health</w:t>
      </w:r>
      <w:r w:rsidR="004E64CC">
        <w:t>:</w:t>
      </w:r>
      <w:r w:rsidR="00F07BB8" w:rsidRPr="009376D7">
        <w:t xml:space="preserve"> a bio-medical engineer for </w:t>
      </w:r>
      <w:r w:rsidR="00023EB9" w:rsidRPr="009376D7">
        <w:t xml:space="preserve">the </w:t>
      </w:r>
      <w:r w:rsidR="00F07BB8" w:rsidRPr="009376D7">
        <w:t xml:space="preserve">provision of safe equipment and mentoring </w:t>
      </w:r>
      <w:r w:rsidR="00023EB9" w:rsidRPr="009376D7">
        <w:t>of the</w:t>
      </w:r>
      <w:r w:rsidR="00F07BB8" w:rsidRPr="009376D7">
        <w:t xml:space="preserve"> biomedical team; an epidemiologist for public health survei</w:t>
      </w:r>
      <w:r w:rsidR="00023EB9" w:rsidRPr="009376D7">
        <w:t>llance data and analysis</w:t>
      </w:r>
      <w:r w:rsidR="00F07BB8" w:rsidRPr="009376D7">
        <w:t xml:space="preserve">; and a pharmaceutical procurement adviser for strengthening procurement reforms including improving efficiencies for </w:t>
      </w:r>
      <w:r w:rsidR="004E64CC">
        <w:t>medicine purchase</w:t>
      </w:r>
      <w:r w:rsidR="00F07BB8" w:rsidRPr="009376D7">
        <w:t>.</w:t>
      </w:r>
      <w:r w:rsidR="00EE00DA" w:rsidRPr="009376D7">
        <w:t xml:space="preserve"> </w:t>
      </w:r>
      <w:r w:rsidR="00B77B92" w:rsidRPr="009376D7">
        <w:t xml:space="preserve">Visiting doctors commented on the improved quality of the equipment managed by the biomedical team. </w:t>
      </w:r>
      <w:r w:rsidR="000B683D" w:rsidRPr="009376D7">
        <w:t xml:space="preserve">Under the ongoing Strategic Partnership Program between the Queensland Department of Health </w:t>
      </w:r>
      <w:r w:rsidR="009376D7" w:rsidRPr="009376D7">
        <w:t>and the Samoan</w:t>
      </w:r>
      <w:r w:rsidR="0082773C" w:rsidRPr="009376D7">
        <w:t xml:space="preserve"> </w:t>
      </w:r>
      <w:r w:rsidR="003C6A0E" w:rsidRPr="009376D7">
        <w:t>Ministry of Health</w:t>
      </w:r>
      <w:r w:rsidR="000B683D" w:rsidRPr="009376D7">
        <w:t xml:space="preserve">, </w:t>
      </w:r>
      <w:r w:rsidR="009376D7" w:rsidRPr="009376D7">
        <w:t xml:space="preserve">training was provided to Samoan health officials responsible for managing service providers. As a result of the training, health officials </w:t>
      </w:r>
      <w:r w:rsidR="00915E3B">
        <w:t xml:space="preserve">have </w:t>
      </w:r>
      <w:r w:rsidR="00C13C9A">
        <w:t>trialled two service agreements (with Samoa Cancer Soc</w:t>
      </w:r>
      <w:r w:rsidR="00016F6D">
        <w:t>iety and Samoa AIDS Foundation),</w:t>
      </w:r>
      <w:r w:rsidR="00C13C9A">
        <w:t xml:space="preserve"> introducing </w:t>
      </w:r>
      <w:r w:rsidR="00016F6D">
        <w:t xml:space="preserve">greater </w:t>
      </w:r>
      <w:r w:rsidR="00C13C9A">
        <w:t xml:space="preserve">accountability into the Ministry of Health’s funding of NGOs.  </w:t>
      </w:r>
    </w:p>
    <w:p w:rsidR="003C6A0E" w:rsidRPr="009376D7" w:rsidRDefault="00E80094" w:rsidP="009376D7">
      <w:r w:rsidRPr="009376D7">
        <w:t>Under t</w:t>
      </w:r>
      <w:r w:rsidR="00F07BB8" w:rsidRPr="009376D7">
        <w:t>he Impact Project: Improving Sexual and Reproductive Health Rights (SRHR), implemented by the Samoa Family Health Association</w:t>
      </w:r>
      <w:r w:rsidR="00B83C01" w:rsidRPr="009376D7">
        <w:t>,</w:t>
      </w:r>
      <w:r w:rsidR="00F07BB8" w:rsidRPr="009376D7">
        <w:t xml:space="preserve"> a SRHR clinic</w:t>
      </w:r>
      <w:r w:rsidRPr="009376D7">
        <w:t xml:space="preserve"> was established on the larger but more remote</w:t>
      </w:r>
      <w:r w:rsidR="00F07BB8" w:rsidRPr="009376D7">
        <w:t xml:space="preserve"> island of Savai</w:t>
      </w:r>
      <w:r w:rsidR="0025035C" w:rsidRPr="009376D7">
        <w:t>’</w:t>
      </w:r>
      <w:r w:rsidR="00F07BB8" w:rsidRPr="009376D7">
        <w:t>i and the SRHR clinic at Moto</w:t>
      </w:r>
      <w:r w:rsidR="0025035C" w:rsidRPr="009376D7">
        <w:t>’</w:t>
      </w:r>
      <w:r w:rsidR="00F07BB8" w:rsidRPr="009376D7">
        <w:t>otua, a central location opposite the national hospital</w:t>
      </w:r>
      <w:r w:rsidRPr="009376D7">
        <w:t>, was refurbished</w:t>
      </w:r>
      <w:r w:rsidR="00F07BB8" w:rsidRPr="009376D7">
        <w:t xml:space="preserve">. </w:t>
      </w:r>
      <w:r w:rsidR="00B77B92" w:rsidRPr="009376D7">
        <w:t>The impact on service delivery of the (re)opening of these two health clinics will be confirmed through the mid-term evaluation in 2019-20. The mobile van provided in 2017-18 increased sexual and reproductive health outreach services</w:t>
      </w:r>
      <w:r w:rsidR="00A106F3">
        <w:t xml:space="preserve"> to rural communities</w:t>
      </w:r>
      <w:r w:rsidR="00016F6D">
        <w:t xml:space="preserve"> </w:t>
      </w:r>
      <w:r w:rsidR="00B77B92" w:rsidRPr="009376D7">
        <w:t>from negligible to over 10,000 people in 2018-19</w:t>
      </w:r>
      <w:r w:rsidR="00ED41AA">
        <w:t>.</w:t>
      </w:r>
      <w:r w:rsidR="00B77B92" w:rsidRPr="009376D7" w:rsidDel="00B77B92">
        <w:t xml:space="preserve"> </w:t>
      </w:r>
    </w:p>
    <w:p w:rsidR="0089291E" w:rsidRPr="009376D7" w:rsidRDefault="0089291E" w:rsidP="00B77B92">
      <w:r w:rsidRPr="009376D7">
        <w:t xml:space="preserve">In 2018-19, a design was completed for </w:t>
      </w:r>
      <w:r w:rsidR="000B683D" w:rsidRPr="009376D7">
        <w:t>the second phase of Australia’s disability p</w:t>
      </w:r>
      <w:r w:rsidRPr="009376D7">
        <w:t>rogram: the Samoa Disability Partnership Program (SDPP). The design of the new SDPP looks to address issues and gaps in the disability sector whilst progressing achievements from phase one</w:t>
      </w:r>
      <w:r w:rsidR="00A63FDF">
        <w:t>,</w:t>
      </w:r>
      <w:r w:rsidR="007478DD">
        <w:t xml:space="preserve"> which included achieving the benchmark for 600 mobility devices provided to people with disabilities.</w:t>
      </w:r>
      <w:r w:rsidR="007616F6">
        <w:t xml:space="preserve"> At the end of phase one of the Disability Program, </w:t>
      </w:r>
      <w:r w:rsidR="007616F6">
        <w:rPr>
          <w:rFonts w:eastAsia="Times New Roman"/>
        </w:rPr>
        <w:t>1,367 Samoans (47.5</w:t>
      </w:r>
      <w:r w:rsidR="00160FCC">
        <w:rPr>
          <w:rFonts w:eastAsia="Times New Roman"/>
        </w:rPr>
        <w:t xml:space="preserve"> per cent</w:t>
      </w:r>
      <w:r w:rsidR="007616F6">
        <w:rPr>
          <w:rFonts w:eastAsia="Times New Roman"/>
        </w:rPr>
        <w:t xml:space="preserve"> women) were provided with 1,889 mobility devices. This exceeded the target of 1,080 clients. A</w:t>
      </w:r>
      <w:r w:rsidR="007616F6">
        <w:t xml:space="preserve"> </w:t>
      </w:r>
      <w:r w:rsidRPr="009376D7">
        <w:t xml:space="preserve">new focus of </w:t>
      </w:r>
      <w:r w:rsidR="007478DD" w:rsidRPr="009376D7">
        <w:t xml:space="preserve">the </w:t>
      </w:r>
      <w:r w:rsidR="007616F6">
        <w:t>SDPP</w:t>
      </w:r>
      <w:r w:rsidRPr="009376D7">
        <w:t xml:space="preserve"> is a coordinated hearing service at the newly established Ear Nose </w:t>
      </w:r>
      <w:r w:rsidR="004E64CC">
        <w:t xml:space="preserve">and </w:t>
      </w:r>
      <w:r w:rsidRPr="009376D7">
        <w:t>Throat Unit at the National Hospital to be managed by Samoa’s Ministry of Health.</w:t>
      </w:r>
      <w:r w:rsidR="007478DD">
        <w:t xml:space="preserve"> </w:t>
      </w:r>
    </w:p>
    <w:p w:rsidR="0089291E" w:rsidRPr="009376D7" w:rsidRDefault="0089291E" w:rsidP="0089291E">
      <w:r w:rsidRPr="009376D7">
        <w:t xml:space="preserve">Sustainability remains a challenge </w:t>
      </w:r>
      <w:r w:rsidR="00ED41AA">
        <w:t>for</w:t>
      </w:r>
      <w:r w:rsidR="00ED41AA" w:rsidRPr="009376D7">
        <w:t xml:space="preserve"> </w:t>
      </w:r>
      <w:r w:rsidRPr="009376D7">
        <w:t xml:space="preserve">the Ministry of Health </w:t>
      </w:r>
      <w:r w:rsidR="00ED41AA">
        <w:t>in</w:t>
      </w:r>
      <w:r w:rsidR="00ED41AA" w:rsidRPr="009376D7">
        <w:t xml:space="preserve"> </w:t>
      </w:r>
      <w:r w:rsidRPr="009376D7">
        <w:t>ensur</w:t>
      </w:r>
      <w:r w:rsidR="00ED41AA">
        <w:t>ing</w:t>
      </w:r>
      <w:r w:rsidRPr="009376D7">
        <w:t xml:space="preserve"> operations of the Mobility Device Clinic and quality of the devices remain at a high standard for people with disabilities. To address sustainability, the bio-medical division at the national hospital, mentored by an Australian-funded advisor, is taking on the assessment of mobility devices to identify maintenance issues for repair. </w:t>
      </w:r>
    </w:p>
    <w:p w:rsidR="00EE00DA" w:rsidRPr="009376D7" w:rsidRDefault="003C6A0E" w:rsidP="009376D7">
      <w:r w:rsidRPr="009376D7">
        <w:t>The Samoa Education Sector Support Program seeks to improve the effectiveness and efficie</w:t>
      </w:r>
      <w:r w:rsidR="00DE7B54">
        <w:t>ncy of Samoa’s education system, measured against the Samoan Government’s own targets in its</w:t>
      </w:r>
      <w:r w:rsidRPr="009376D7">
        <w:t xml:space="preserve"> Education Sector Plan 2013-2018 (ESP)</w:t>
      </w:r>
      <w:r w:rsidR="00DE7B54">
        <w:t>.</w:t>
      </w:r>
      <w:r w:rsidRPr="009376D7">
        <w:t xml:space="preserve"> </w:t>
      </w:r>
      <w:r w:rsidR="00DE7B54">
        <w:t>Australia provided performance based payments</w:t>
      </w:r>
      <w:r w:rsidR="00776DE0" w:rsidRPr="009376D7">
        <w:t xml:space="preserve"> linked to nine mutually agreed indicators, drawn from the </w:t>
      </w:r>
      <w:r w:rsidR="0002500B" w:rsidRPr="009376D7">
        <w:t>35</w:t>
      </w:r>
      <w:r w:rsidR="00776DE0" w:rsidRPr="009376D7">
        <w:t xml:space="preserve"> indicators in the ESP. </w:t>
      </w:r>
    </w:p>
    <w:p w:rsidR="00EE00DA" w:rsidRPr="009376D7" w:rsidRDefault="009249D4" w:rsidP="009376D7">
      <w:r w:rsidRPr="009376D7">
        <w:t>The 2017 and 2018 independent verifications of the ESP results showed an improved 55</w:t>
      </w:r>
      <w:r w:rsidR="0002500B" w:rsidRPr="009376D7">
        <w:t xml:space="preserve"> per cent</w:t>
      </w:r>
      <w:r w:rsidRPr="009376D7">
        <w:t xml:space="preserve"> achievement </w:t>
      </w:r>
      <w:r w:rsidR="000B683D" w:rsidRPr="009376D7">
        <w:t xml:space="preserve">against </w:t>
      </w:r>
      <w:r w:rsidRPr="009376D7">
        <w:t xml:space="preserve">the nine indicators used by Australia and New Zealand to </w:t>
      </w:r>
      <w:r w:rsidR="009376D7" w:rsidRPr="009376D7">
        <w:t>trigger</w:t>
      </w:r>
      <w:r w:rsidRPr="009376D7">
        <w:t xml:space="preserve"> financial </w:t>
      </w:r>
      <w:r w:rsidRPr="009376D7">
        <w:lastRenderedPageBreak/>
        <w:t>disbursements</w:t>
      </w:r>
      <w:r w:rsidR="009376D7" w:rsidRPr="009376D7">
        <w:t xml:space="preserve"> to Samoa</w:t>
      </w:r>
      <w:r w:rsidRPr="009376D7">
        <w:t xml:space="preserve">. </w:t>
      </w:r>
      <w:r w:rsidR="00FC527A">
        <w:t xml:space="preserve">As a result, a total </w:t>
      </w:r>
      <w:r w:rsidR="00FC527A" w:rsidRPr="00C16245">
        <w:t xml:space="preserve">of </w:t>
      </w:r>
      <w:r w:rsidR="0086507D" w:rsidRPr="00C16245">
        <w:t xml:space="preserve">AUD </w:t>
      </w:r>
      <w:r w:rsidR="00FC527A" w:rsidRPr="00C16245">
        <w:t>5</w:t>
      </w:r>
      <w:r w:rsidR="000A6175" w:rsidRPr="00C16245">
        <w:t>.4 million</w:t>
      </w:r>
      <w:r w:rsidR="0086507D" w:rsidRPr="00C16245">
        <w:t xml:space="preserve"> </w:t>
      </w:r>
      <w:r w:rsidR="000A6175" w:rsidRPr="00C16245">
        <w:t>was</w:t>
      </w:r>
      <w:r w:rsidR="000A6175" w:rsidRPr="00A63FDF">
        <w:t xml:space="preserve"> disbursed to the Education Sector from financial year 2017-18 to 2018-19, which makes up the total DFA</w:t>
      </w:r>
      <w:r w:rsidR="00A63FDF">
        <w:t xml:space="preserve">T financial contribution of </w:t>
      </w:r>
      <w:r w:rsidR="0086507D" w:rsidRPr="00C16245">
        <w:t xml:space="preserve">AUD </w:t>
      </w:r>
      <w:r w:rsidR="0086507D" w:rsidRPr="00C16245">
        <w:rPr>
          <w:color w:val="auto"/>
        </w:rPr>
        <w:t xml:space="preserve">10 million </w:t>
      </w:r>
      <w:r w:rsidR="000A6175" w:rsidRPr="00A63FDF">
        <w:t>within 4 years.</w:t>
      </w:r>
      <w:r w:rsidR="000A6175" w:rsidRPr="009376D7">
        <w:t xml:space="preserve"> </w:t>
      </w:r>
      <w:r w:rsidR="00DE7B54" w:rsidRPr="00FC527A">
        <w:t>More broadly</w:t>
      </w:r>
      <w:r w:rsidRPr="00FC527A">
        <w:t xml:space="preserve">, the ESP’s </w:t>
      </w:r>
      <w:r w:rsidR="00187FD9" w:rsidRPr="00FC527A">
        <w:t xml:space="preserve">2017-18 annual review </w:t>
      </w:r>
      <w:r w:rsidR="00DE7B54" w:rsidRPr="00FC527A">
        <w:t>found that challenges remained in the education sector and that the Samoan Government’s ambitious targets remain difficult to achieve.</w:t>
      </w:r>
      <w:r w:rsidR="00187FD9" w:rsidRPr="009376D7">
        <w:t xml:space="preserve"> </w:t>
      </w:r>
    </w:p>
    <w:p w:rsidR="00EE00DA" w:rsidRPr="009376D7" w:rsidRDefault="009249D4" w:rsidP="009376D7">
      <w:r w:rsidRPr="009376D7">
        <w:t xml:space="preserve">The </w:t>
      </w:r>
      <w:r w:rsidR="00DE7B54">
        <w:t>Samoan Government</w:t>
      </w:r>
      <w:r w:rsidRPr="009376D7">
        <w:t xml:space="preserve"> is now developing its next </w:t>
      </w:r>
      <w:r w:rsidR="00DE7B54">
        <w:t xml:space="preserve">education </w:t>
      </w:r>
      <w:r w:rsidRPr="009376D7">
        <w:t>sector plan and Australia is strongly encouraging the adoption of more realistic indicators.</w:t>
      </w:r>
      <w:r w:rsidR="00187FD9" w:rsidRPr="009376D7">
        <w:t xml:space="preserve"> </w:t>
      </w:r>
      <w:r w:rsidR="00EE00DA" w:rsidRPr="009376D7">
        <w:t xml:space="preserve">A new </w:t>
      </w:r>
      <w:r w:rsidR="00776DE0" w:rsidRPr="009376D7">
        <w:t xml:space="preserve">Australian </w:t>
      </w:r>
      <w:r w:rsidR="00EE00DA" w:rsidRPr="009376D7">
        <w:t xml:space="preserve">education program design, planned for 2018-19, was delayed until the release of the new education sector plan, to ensure coherence and alignment with </w:t>
      </w:r>
      <w:r w:rsidR="000B683D" w:rsidRPr="009376D7">
        <w:t>Samoan Government</w:t>
      </w:r>
      <w:r w:rsidR="00EE00DA" w:rsidRPr="009376D7">
        <w:t xml:space="preserve"> priorities.</w:t>
      </w:r>
    </w:p>
    <w:p w:rsidR="00187FD9" w:rsidRPr="009376D7" w:rsidRDefault="009249D4" w:rsidP="009376D7">
      <w:r w:rsidRPr="009376D7">
        <w:t>T</w:t>
      </w:r>
      <w:r w:rsidR="00187FD9" w:rsidRPr="009376D7">
        <w:t xml:space="preserve">here were </w:t>
      </w:r>
      <w:r w:rsidRPr="009376D7">
        <w:t>positive developments in the area of inclusive education</w:t>
      </w:r>
      <w:r w:rsidR="00187FD9" w:rsidRPr="009376D7">
        <w:t>,</w:t>
      </w:r>
      <w:r w:rsidRPr="009376D7">
        <w:t xml:space="preserve"> including on the identification </w:t>
      </w:r>
      <w:r w:rsidR="00187FD9" w:rsidRPr="009376D7">
        <w:t xml:space="preserve">of children with disabilities that are enrolled in mainstream government schools: 258 enrolled in Primary Schools and 12 students in Secondary Schools, nearly double the number reported in the previous survey. </w:t>
      </w:r>
    </w:p>
    <w:p w:rsidR="003C6A0E" w:rsidRPr="009376D7" w:rsidRDefault="003C6A0E" w:rsidP="009376D7">
      <w:r w:rsidRPr="009376D7">
        <w:t xml:space="preserve">Australia also provides a Strategic Planning Adviser </w:t>
      </w:r>
      <w:r w:rsidR="00C51F3D" w:rsidRPr="009376D7">
        <w:t>to</w:t>
      </w:r>
      <w:r w:rsidRPr="009376D7">
        <w:t xml:space="preserve"> the education sector and an Education Technical Assistance Facility to enhance coordination and the achievement of ESP outcomes</w:t>
      </w:r>
      <w:r w:rsidR="00187FD9" w:rsidRPr="009376D7">
        <w:t>.  The focus has expanded</w:t>
      </w:r>
      <w:r w:rsidR="00B7617C" w:rsidRPr="009376D7">
        <w:t xml:space="preserve"> </w:t>
      </w:r>
      <w:r w:rsidR="00187FD9" w:rsidRPr="009376D7">
        <w:t>from improving numeracy and literacy levels to</w:t>
      </w:r>
      <w:r w:rsidR="00ED41AA">
        <w:t xml:space="preserve"> include</w:t>
      </w:r>
      <w:r w:rsidR="00187FD9" w:rsidRPr="009376D7">
        <w:t xml:space="preserve"> ICT and information systems development, a national TVET strategy, and research and capacity building for staff.</w:t>
      </w:r>
    </w:p>
    <w:p w:rsidR="003C6A0E" w:rsidRPr="009376D7" w:rsidRDefault="003C6A0E" w:rsidP="009376D7">
      <w:r w:rsidRPr="009376D7">
        <w:t>In 2018</w:t>
      </w:r>
      <w:r w:rsidR="00187FD9" w:rsidRPr="009376D7">
        <w:t>-19</w:t>
      </w:r>
      <w:r w:rsidRPr="009376D7">
        <w:t xml:space="preserve"> an additional 5</w:t>
      </w:r>
      <w:r w:rsidR="00187FD9" w:rsidRPr="009376D7">
        <w:t>6</w:t>
      </w:r>
      <w:r w:rsidRPr="009376D7">
        <w:t xml:space="preserve"> Samoans (</w:t>
      </w:r>
      <w:r w:rsidR="00187FD9" w:rsidRPr="009376D7">
        <w:t xml:space="preserve">27 </w:t>
      </w:r>
      <w:r w:rsidRPr="009376D7">
        <w:t xml:space="preserve">women) received an Australia Awards scholarship for tertiary studies in Australia and the region. The scholarships were awarded </w:t>
      </w:r>
      <w:r w:rsidR="008906C7" w:rsidRPr="009376D7">
        <w:t xml:space="preserve">through a tripartite agreement with the Governments of Samoa and New Zealand </w:t>
      </w:r>
      <w:r w:rsidRPr="009376D7">
        <w:t>to</w:t>
      </w:r>
      <w:r w:rsidR="008906C7" w:rsidRPr="009376D7">
        <w:t xml:space="preserve"> </w:t>
      </w:r>
      <w:r w:rsidRPr="009376D7">
        <w:t xml:space="preserve">address </w:t>
      </w:r>
      <w:r w:rsidR="008906C7" w:rsidRPr="009376D7">
        <w:t xml:space="preserve">Samoa’s prioritised </w:t>
      </w:r>
      <w:r w:rsidRPr="009376D7">
        <w:t xml:space="preserve">skills shortages </w:t>
      </w:r>
      <w:r w:rsidR="00ED41AA">
        <w:t>while also promoting</w:t>
      </w:r>
      <w:r w:rsidRPr="009376D7">
        <w:t xml:space="preserve"> people to people links with Australia.</w:t>
      </w:r>
    </w:p>
    <w:p w:rsidR="003C6A0E" w:rsidRPr="009376D7" w:rsidRDefault="003C6A0E" w:rsidP="009376D7">
      <w:r w:rsidRPr="009376D7">
        <w:t xml:space="preserve">Solid progress was made across </w:t>
      </w:r>
      <w:r w:rsidR="00CC27AB" w:rsidRPr="009376D7">
        <w:t>many</w:t>
      </w:r>
      <w:r w:rsidRPr="009376D7">
        <w:t xml:space="preserve"> performance benchmarks</w:t>
      </w:r>
      <w:r w:rsidR="00160FCC">
        <w:t xml:space="preserve"> under this objective</w:t>
      </w:r>
      <w:r w:rsidRPr="009376D7">
        <w:t xml:space="preserve">, </w:t>
      </w:r>
      <w:r w:rsidR="00160FCC">
        <w:t xml:space="preserve">with full achievement against the provision of mobility devices and partial achievement of most other benchmarks. One benchmark, </w:t>
      </w:r>
      <w:r w:rsidR="00160FCC" w:rsidRPr="00A63FDF">
        <w:t xml:space="preserve">improved NCD services at district </w:t>
      </w:r>
      <w:r w:rsidR="00A63FDF" w:rsidRPr="00A63FDF">
        <w:t>health centres</w:t>
      </w:r>
      <w:r w:rsidR="00DE7B54">
        <w:t>,</w:t>
      </w:r>
      <w:r w:rsidR="00A63FDF" w:rsidRPr="00A63FDF">
        <w:t xml:space="preserve"> was not achieved</w:t>
      </w:r>
      <w:r w:rsidR="00DE7B54">
        <w:t>,</w:t>
      </w:r>
      <w:r w:rsidR="00A63FDF" w:rsidRPr="00A63FDF">
        <w:t xml:space="preserve"> as</w:t>
      </w:r>
      <w:r w:rsidR="0002500B" w:rsidRPr="009376D7">
        <w:t xml:space="preserve"> </w:t>
      </w:r>
      <w:r w:rsidR="00160FCC">
        <w:t xml:space="preserve">planned </w:t>
      </w:r>
      <w:r w:rsidR="00160FCC" w:rsidRPr="009376D7">
        <w:t>new programs in primary healthcare</w:t>
      </w:r>
      <w:r w:rsidR="00160FCC">
        <w:t xml:space="preserve"> were not implemented during the reporting period</w:t>
      </w:r>
      <w:r w:rsidR="00A63FDF">
        <w:t>,</w:t>
      </w:r>
      <w:r w:rsidR="00A63FDF" w:rsidRPr="00A63FDF">
        <w:t xml:space="preserve"> </w:t>
      </w:r>
      <w:r w:rsidR="00A63FDF" w:rsidRPr="009376D7">
        <w:t>due</w:t>
      </w:r>
      <w:r w:rsidR="00A63FDF">
        <w:t xml:space="preserve"> to delays related</w:t>
      </w:r>
      <w:r w:rsidR="00A63FDF" w:rsidRPr="009376D7">
        <w:t xml:space="preserve"> to the ongoing restructure of the health sector</w:t>
      </w:r>
      <w:r w:rsidR="00160FCC">
        <w:t>.</w:t>
      </w:r>
      <w:r w:rsidR="00160FCC" w:rsidRPr="009376D7">
        <w:t xml:space="preserve"> </w:t>
      </w:r>
      <w:r w:rsidR="00160FCC">
        <w:t xml:space="preserve">The overall mixed results against benchmarks </w:t>
      </w:r>
      <w:r w:rsidRPr="009376D7">
        <w:t>leads to an amber rating.</w:t>
      </w:r>
    </w:p>
    <w:p w:rsidR="00A76E71" w:rsidRPr="00E2434A" w:rsidRDefault="00A76E71" w:rsidP="00E2434A">
      <w:pPr>
        <w:suppressAutoHyphens w:val="0"/>
        <w:spacing w:before="0" w:after="0" w:line="440" w:lineRule="atLeast"/>
        <w:rPr>
          <w:rFonts w:asciiTheme="majorHAnsi" w:eastAsiaTheme="majorEastAsia" w:hAnsiTheme="majorHAnsi" w:cstheme="majorBidi"/>
          <w:caps/>
          <w:sz w:val="16"/>
          <w:szCs w:val="16"/>
        </w:rPr>
      </w:pPr>
    </w:p>
    <w:p w:rsidR="0002615E" w:rsidRPr="00877607" w:rsidRDefault="0002615E" w:rsidP="0002615E">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 xml:space="preserve">Objective </w:t>
      </w:r>
      <w:r>
        <w:rPr>
          <w:rFonts w:asciiTheme="majorHAnsi" w:eastAsiaTheme="majorEastAsia" w:hAnsiTheme="majorHAnsi" w:cstheme="majorBidi"/>
          <w:caps/>
          <w:sz w:val="32"/>
          <w:szCs w:val="32"/>
        </w:rPr>
        <w:t>3: STRENGTHEN GOVERNANCE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02615E" w:rsidRPr="00695730" w:rsidTr="00AC6459">
        <w:tc>
          <w:tcPr>
            <w:tcW w:w="2016" w:type="dxa"/>
          </w:tcPr>
          <w:p w:rsidR="0002615E" w:rsidRPr="00695730" w:rsidRDefault="0002615E" w:rsidP="00AC6459">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1036B264" wp14:editId="1D6652D7">
                  <wp:extent cx="1137600" cy="720000"/>
                  <wp:effectExtent l="0" t="0" r="571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02615E" w:rsidRPr="00695730" w:rsidRDefault="004D1B00" w:rsidP="00AC6459">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984B188" wp14:editId="729BADC8">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02615E" w:rsidRPr="00695730" w:rsidRDefault="004D1B00" w:rsidP="00AC6459">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966C9C4" wp14:editId="575744A2">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02615E" w:rsidRPr="00695730" w:rsidRDefault="004D1B00" w:rsidP="00AC6459">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9F0F249" wp14:editId="3B8BC8E4">
                  <wp:extent cx="608400" cy="612000"/>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906" w:type="dxa"/>
          </w:tcPr>
          <w:p w:rsidR="00994D76" w:rsidRPr="00695730" w:rsidRDefault="00994D76" w:rsidP="004D1B00">
            <w:pPr>
              <w:suppressAutoHyphens w:val="0"/>
              <w:spacing w:before="160" w:after="80" w:line="240" w:lineRule="auto"/>
              <w:jc w:val="center"/>
              <w:rPr>
                <w:rFonts w:asciiTheme="majorHAnsi" w:eastAsiaTheme="majorEastAsia" w:hAnsiTheme="majorHAnsi" w:cstheme="majorBidi"/>
                <w:caps/>
                <w:sz w:val="38"/>
                <w:szCs w:val="26"/>
              </w:rPr>
            </w:pPr>
          </w:p>
        </w:tc>
      </w:tr>
    </w:tbl>
    <w:p w:rsidR="004D1B00" w:rsidRDefault="004D1B00" w:rsidP="00E01C62">
      <w:pPr>
        <w:spacing w:after="120"/>
        <w:rPr>
          <w:rFonts w:eastAsia="Times New Roman"/>
          <w:color w:val="FF0000"/>
        </w:rPr>
        <w:sectPr w:rsidR="004D1B00" w:rsidSect="004D1B00">
          <w:type w:val="continuous"/>
          <w:pgSz w:w="11906" w:h="16838" w:code="9"/>
          <w:pgMar w:top="1811" w:right="1134" w:bottom="851" w:left="1134" w:header="1565" w:footer="342" w:gutter="0"/>
          <w:cols w:space="397"/>
          <w:docGrid w:linePitch="360"/>
        </w:sectPr>
      </w:pPr>
    </w:p>
    <w:p w:rsidR="009D6E84" w:rsidRPr="009376D7" w:rsidRDefault="00F15BF8" w:rsidP="009376D7">
      <w:r w:rsidRPr="009376D7">
        <w:t>The new Samoan Parliament House</w:t>
      </w:r>
      <w:r w:rsidR="00925D0E" w:rsidRPr="009376D7">
        <w:t>, funded by the Australian and Samoan governments,</w:t>
      </w:r>
      <w:r w:rsidRPr="009376D7">
        <w:t xml:space="preserve"> was opened and </w:t>
      </w:r>
      <w:r w:rsidR="009D6E84" w:rsidRPr="009376D7">
        <w:t>the Legislative Assembly began</w:t>
      </w:r>
      <w:r w:rsidRPr="009376D7">
        <w:t xml:space="preserve"> sittings in March 2019. The building</w:t>
      </w:r>
      <w:r w:rsidR="00925D0E" w:rsidRPr="009376D7">
        <w:t xml:space="preserve"> is climate resilient and meets universal design principles for accessibility</w:t>
      </w:r>
      <w:r w:rsidRPr="009376D7">
        <w:t>. The project has been used as a case study by other stakeholders as a model of good practice in the region</w:t>
      </w:r>
      <w:r w:rsidR="000B683D" w:rsidRPr="009376D7">
        <w:t>, using expert advice to influence design</w:t>
      </w:r>
      <w:r w:rsidRPr="009376D7">
        <w:t xml:space="preserve">. </w:t>
      </w:r>
      <w:r w:rsidR="009D6E84" w:rsidRPr="009376D7">
        <w:t xml:space="preserve">The national disabled </w:t>
      </w:r>
      <w:r w:rsidR="00023EB9" w:rsidRPr="009376D7">
        <w:t>person’s</w:t>
      </w:r>
      <w:r w:rsidR="009D6E84" w:rsidRPr="009376D7">
        <w:t xml:space="preserve"> organisation (NOLA) provided assessments to improve general </w:t>
      </w:r>
      <w:r w:rsidR="00BE0F63" w:rsidRPr="009376D7">
        <w:t>accessibility</w:t>
      </w:r>
      <w:r w:rsidR="009D6E84" w:rsidRPr="009376D7">
        <w:t xml:space="preserve"> inside the building and the surrounding area. </w:t>
      </w:r>
      <w:r w:rsidRPr="009376D7">
        <w:t xml:space="preserve">A group of climate scientists </w:t>
      </w:r>
      <w:r w:rsidR="00206281" w:rsidRPr="009376D7">
        <w:t xml:space="preserve">and practitioners </w:t>
      </w:r>
      <w:r w:rsidRPr="009376D7">
        <w:t xml:space="preserve">involved in the </w:t>
      </w:r>
      <w:r w:rsidR="000A022B" w:rsidRPr="009376D7">
        <w:t>development</w:t>
      </w:r>
      <w:r w:rsidRPr="009376D7">
        <w:t xml:space="preserve"> of the project </w:t>
      </w:r>
      <w:r w:rsidR="000A022B" w:rsidRPr="009376D7">
        <w:t xml:space="preserve">published </w:t>
      </w:r>
      <w:r w:rsidRPr="009376D7">
        <w:t xml:space="preserve">an academic paper to highlight how the project identified critical climate change risks and subsequently suggested </w:t>
      </w:r>
      <w:r w:rsidR="00641EC8">
        <w:t xml:space="preserve">climate </w:t>
      </w:r>
      <w:r w:rsidRPr="009376D7">
        <w:t>adaptation measures</w:t>
      </w:r>
      <w:r w:rsidR="00641EC8">
        <w:t xml:space="preserve"> including the planting of mangroves</w:t>
      </w:r>
      <w:r w:rsidRPr="009376D7">
        <w:t xml:space="preserve"> to be integrated into the building design. </w:t>
      </w:r>
    </w:p>
    <w:p w:rsidR="00BE0F63" w:rsidRPr="009376D7" w:rsidRDefault="00F15BF8" w:rsidP="009376D7">
      <w:r w:rsidRPr="009376D7">
        <w:t xml:space="preserve">Through </w:t>
      </w:r>
      <w:r w:rsidR="00D82442" w:rsidRPr="009376D7">
        <w:t>the</w:t>
      </w:r>
      <w:r w:rsidRPr="009376D7">
        <w:t xml:space="preserve"> Samoa Governance </w:t>
      </w:r>
      <w:r w:rsidR="00D82442" w:rsidRPr="009376D7">
        <w:t xml:space="preserve">Support </w:t>
      </w:r>
      <w:r w:rsidRPr="009376D7">
        <w:t xml:space="preserve">Program </w:t>
      </w:r>
      <w:r w:rsidR="00127913" w:rsidRPr="009376D7">
        <w:t xml:space="preserve">(SGSP), </w:t>
      </w:r>
      <w:r w:rsidR="00D82442" w:rsidRPr="009376D7">
        <w:t xml:space="preserve">Australia </w:t>
      </w:r>
      <w:r w:rsidRPr="009376D7">
        <w:t>worked with the Government of Samoa to</w:t>
      </w:r>
      <w:r w:rsidR="00127913" w:rsidRPr="009376D7">
        <w:t xml:space="preserve"> review and develop a number of critical plans, programs and strategies</w:t>
      </w:r>
      <w:r w:rsidR="008E339F" w:rsidRPr="009376D7">
        <w:t>, all now Cabinet endorsed and in the implementation stage</w:t>
      </w:r>
      <w:r w:rsidR="00127913" w:rsidRPr="009376D7">
        <w:t xml:space="preserve">. These included the </w:t>
      </w:r>
      <w:r w:rsidR="00D7446B" w:rsidRPr="009376D7">
        <w:t>develop</w:t>
      </w:r>
      <w:r w:rsidR="00127913" w:rsidRPr="009376D7">
        <w:t>ment of</w:t>
      </w:r>
      <w:r w:rsidR="00D7446B" w:rsidRPr="009376D7">
        <w:t xml:space="preserve"> Samoa’s first </w:t>
      </w:r>
      <w:r w:rsidR="000866AA">
        <w:t>N</w:t>
      </w:r>
      <w:r w:rsidR="00D7446B" w:rsidRPr="009376D7">
        <w:t>ational Security P</w:t>
      </w:r>
      <w:r w:rsidR="000866AA">
        <w:t>olicy</w:t>
      </w:r>
      <w:r w:rsidR="00D7446B" w:rsidRPr="009376D7">
        <w:t xml:space="preserve"> and </w:t>
      </w:r>
      <w:r w:rsidR="00D7446B" w:rsidRPr="009376D7">
        <w:lastRenderedPageBreak/>
        <w:t>Implementation Strategy</w:t>
      </w:r>
      <w:r w:rsidR="00B77B92" w:rsidRPr="009376D7">
        <w:t xml:space="preserve">. </w:t>
      </w:r>
      <w:r w:rsidR="00127913" w:rsidRPr="009376D7">
        <w:t xml:space="preserve"> </w:t>
      </w:r>
      <w:r w:rsidR="007F029A" w:rsidRPr="009376D7">
        <w:t xml:space="preserve">Special Investigation training was undertaken with the Samoan Audit Office and </w:t>
      </w:r>
      <w:r w:rsidR="000D5D8A" w:rsidRPr="009376D7">
        <w:t>Ombudsm</w:t>
      </w:r>
      <w:r w:rsidR="000D5D8A">
        <w:t>a</w:t>
      </w:r>
      <w:r w:rsidR="000D5D8A" w:rsidRPr="009376D7">
        <w:t xml:space="preserve">n’s </w:t>
      </w:r>
      <w:r w:rsidR="007F029A" w:rsidRPr="009376D7">
        <w:t>Office which enabled each to respond more effectively to public complaints, strengthening government accountability.</w:t>
      </w:r>
      <w:r w:rsidR="007D28C7">
        <w:t xml:space="preserve"> The </w:t>
      </w:r>
      <w:r w:rsidR="006D00E5">
        <w:t xml:space="preserve">Samoa Auditor General </w:t>
      </w:r>
      <w:r w:rsidR="00A63FDF">
        <w:t>won</w:t>
      </w:r>
      <w:r w:rsidR="006D00E5">
        <w:t xml:space="preserve"> the International Association of Certified Fraud Examiners 2018 Outstanding Achievement in Community Outreach Service Award.</w:t>
      </w:r>
      <w:r w:rsidR="007F029A" w:rsidRPr="009376D7">
        <w:t xml:space="preserve"> Australia also provided</w:t>
      </w:r>
      <w:r w:rsidR="008906C7" w:rsidRPr="009376D7">
        <w:t xml:space="preserve"> </w:t>
      </w:r>
      <w:r w:rsidR="002428D7" w:rsidRPr="009376D7">
        <w:t>support</w:t>
      </w:r>
      <w:r w:rsidR="00127913" w:rsidRPr="009376D7">
        <w:t xml:space="preserve"> for</w:t>
      </w:r>
      <w:r w:rsidR="002428D7" w:rsidRPr="009376D7">
        <w:t xml:space="preserve"> whole-of-go</w:t>
      </w:r>
      <w:r w:rsidR="00C821E2" w:rsidRPr="009376D7">
        <w:t xml:space="preserve">vernment procurement reform </w:t>
      </w:r>
      <w:r w:rsidR="007F029A" w:rsidRPr="009376D7">
        <w:t xml:space="preserve">which included </w:t>
      </w:r>
      <w:r w:rsidR="002428D7" w:rsidRPr="009376D7">
        <w:t>revisions ma</w:t>
      </w:r>
      <w:r w:rsidR="00C821E2" w:rsidRPr="009376D7">
        <w:t xml:space="preserve">de to the </w:t>
      </w:r>
      <w:r w:rsidR="00684DBD" w:rsidRPr="009376D7">
        <w:t>Ministry of Finance</w:t>
      </w:r>
      <w:r w:rsidR="00C821E2" w:rsidRPr="009376D7">
        <w:t xml:space="preserve"> Instructions</w:t>
      </w:r>
      <w:r w:rsidR="007F029A" w:rsidRPr="009376D7">
        <w:t>, and a trial of the new procurement contract framework for medicines</w:t>
      </w:r>
      <w:r w:rsidR="00127913" w:rsidRPr="009376D7">
        <w:t>.</w:t>
      </w:r>
      <w:r w:rsidR="00C821E2" w:rsidRPr="009376D7">
        <w:t xml:space="preserve"> </w:t>
      </w:r>
      <w:r w:rsidR="00127913" w:rsidRPr="009376D7">
        <w:t xml:space="preserve"> </w:t>
      </w:r>
    </w:p>
    <w:p w:rsidR="00A35262" w:rsidRPr="009376D7" w:rsidRDefault="00A35262" w:rsidP="009376D7">
      <w:r w:rsidRPr="009376D7">
        <w:t xml:space="preserve">The Civil Society Support Program (CSSP) </w:t>
      </w:r>
      <w:r w:rsidR="00317AFB">
        <w:t>awarded</w:t>
      </w:r>
      <w:r w:rsidR="00317AFB" w:rsidRPr="009376D7">
        <w:t xml:space="preserve"> </w:t>
      </w:r>
      <w:r w:rsidR="00603156" w:rsidRPr="009376D7">
        <w:t>funding to seven l</w:t>
      </w:r>
      <w:r w:rsidRPr="009376D7">
        <w:t xml:space="preserve">ocal NGOs </w:t>
      </w:r>
      <w:r w:rsidR="00603156" w:rsidRPr="009376D7">
        <w:t xml:space="preserve">to </w:t>
      </w:r>
      <w:r w:rsidRPr="009376D7">
        <w:t>implement capacity building training within communities on gender-based violence, child protection, disaster risk reduction and agricultural growth</w:t>
      </w:r>
      <w:r w:rsidR="002B2C53">
        <w:t>,</w:t>
      </w:r>
      <w:r w:rsidR="004D16B4" w:rsidRPr="009376D7">
        <w:t xml:space="preserve"> </w:t>
      </w:r>
      <w:r w:rsidR="00603156" w:rsidRPr="009376D7">
        <w:t>and eight</w:t>
      </w:r>
      <w:r w:rsidR="004D16B4" w:rsidRPr="009376D7">
        <w:t xml:space="preserve"> community based organis</w:t>
      </w:r>
      <w:r w:rsidRPr="009376D7">
        <w:t>ations received funding to implement small scale gender-focused development initiatives</w:t>
      </w:r>
      <w:r w:rsidR="00317AFB">
        <w:t xml:space="preserve"> which will be implemented in 2018-19</w:t>
      </w:r>
      <w:r w:rsidRPr="009376D7">
        <w:t xml:space="preserve">. Technical support provided to CSSP </w:t>
      </w:r>
      <w:r w:rsidR="003B72EE" w:rsidRPr="009376D7">
        <w:t>contributed to</w:t>
      </w:r>
      <w:r w:rsidRPr="009376D7">
        <w:t xml:space="preserve"> the completion of the CSSP Operational Manual, a Communications Strategy and a Civil Society Capacity Development Strategy.  </w:t>
      </w:r>
    </w:p>
    <w:p w:rsidR="00561DF0" w:rsidRPr="009376D7" w:rsidRDefault="002C1044" w:rsidP="009376D7">
      <w:r w:rsidRPr="009376D7">
        <w:t xml:space="preserve">A </w:t>
      </w:r>
      <w:r w:rsidR="002B2C53">
        <w:t>g</w:t>
      </w:r>
      <w:r w:rsidR="002B2C53" w:rsidRPr="009376D7">
        <w:t xml:space="preserve">ender </w:t>
      </w:r>
      <w:r w:rsidRPr="009376D7">
        <w:t>adviser was engaged through Pacific Women to support Post and the Ministry of Women, Community and Social Development (MWCSD) for 2018-</w:t>
      </w:r>
      <w:r w:rsidR="000B683D" w:rsidRPr="009376D7">
        <w:t>19. G</w:t>
      </w:r>
      <w:r w:rsidR="00561DF0" w:rsidRPr="009376D7">
        <w:t xml:space="preserve">ender mainstreaming training was delivered by the gender adviser to public servants from various government agencies, facilitated by the Public Service Commission and the </w:t>
      </w:r>
      <w:r w:rsidR="000866AA">
        <w:t>Ministry of Women, Community and social Development (</w:t>
      </w:r>
      <w:r w:rsidR="00561DF0" w:rsidRPr="009376D7">
        <w:t>MWCSD</w:t>
      </w:r>
      <w:r w:rsidR="000866AA">
        <w:t>)</w:t>
      </w:r>
      <w:r w:rsidR="00561DF0" w:rsidRPr="009376D7">
        <w:t>.</w:t>
      </w:r>
    </w:p>
    <w:p w:rsidR="002C1044" w:rsidRPr="009376D7" w:rsidRDefault="004D6A28" w:rsidP="009376D7">
      <w:r w:rsidRPr="009376D7">
        <w:t>Given</w:t>
      </w:r>
      <w:r w:rsidR="000B683D" w:rsidRPr="009376D7">
        <w:t xml:space="preserve"> implementation challenges </w:t>
      </w:r>
      <w:r w:rsidR="009376D7">
        <w:t xml:space="preserve">associated with </w:t>
      </w:r>
      <w:r w:rsidRPr="009376D7">
        <w:t>the previous bilateral gender program (Samoa</w:t>
      </w:r>
      <w:r w:rsidR="0070387B">
        <w:t>n</w:t>
      </w:r>
      <w:r w:rsidRPr="009376D7">
        <w:t xml:space="preserve"> Women Shaping Development), </w:t>
      </w:r>
      <w:r w:rsidR="000B683D" w:rsidRPr="009376D7">
        <w:t xml:space="preserve">Australia </w:t>
      </w:r>
      <w:r w:rsidRPr="009376D7">
        <w:t xml:space="preserve">is </w:t>
      </w:r>
      <w:r w:rsidR="009376D7">
        <w:t>reflecting on lessons learned and</w:t>
      </w:r>
      <w:r w:rsidRPr="009376D7">
        <w:t xml:space="preserve"> exploring</w:t>
      </w:r>
      <w:r w:rsidR="000B683D" w:rsidRPr="009376D7">
        <w:t xml:space="preserve"> ways to build capacity in  MWCSD with the aim of </w:t>
      </w:r>
      <w:r w:rsidR="00925D0E" w:rsidRPr="009376D7">
        <w:t>recommencing</w:t>
      </w:r>
      <w:r w:rsidR="000B683D" w:rsidRPr="009376D7">
        <w:t xml:space="preserve"> funding </w:t>
      </w:r>
      <w:r w:rsidR="00925D0E" w:rsidRPr="009376D7">
        <w:t xml:space="preserve">gender programs </w:t>
      </w:r>
      <w:r w:rsidR="000B683D" w:rsidRPr="009376D7">
        <w:t xml:space="preserve">through this Ministry. </w:t>
      </w:r>
      <w:r w:rsidR="00561DF0" w:rsidRPr="009376D7">
        <w:t>To assist Post in progressing</w:t>
      </w:r>
      <w:r w:rsidRPr="009376D7">
        <w:t xml:space="preserve"> a new gender program design</w:t>
      </w:r>
      <w:r w:rsidR="00561DF0" w:rsidRPr="009376D7">
        <w:t>, a</w:t>
      </w:r>
      <w:r w:rsidR="002C1044" w:rsidRPr="009376D7">
        <w:t xml:space="preserve"> gender analysis was </w:t>
      </w:r>
      <w:r w:rsidR="00561DF0" w:rsidRPr="009376D7">
        <w:t>undertaken</w:t>
      </w:r>
      <w:r w:rsidR="002C1044" w:rsidRPr="009376D7">
        <w:t xml:space="preserve"> wi</w:t>
      </w:r>
      <w:r w:rsidR="00561DF0" w:rsidRPr="009376D7">
        <w:t>th the support of Pacific Women</w:t>
      </w:r>
      <w:r w:rsidR="002C1044" w:rsidRPr="009376D7">
        <w:t xml:space="preserve">. </w:t>
      </w:r>
    </w:p>
    <w:p w:rsidR="002C1044" w:rsidRPr="009376D7" w:rsidRDefault="004D6A28" w:rsidP="009376D7">
      <w:r w:rsidRPr="009376D7">
        <w:t>Activities under the Women in Leadership in Samoa (WILS) program, funded by Australia, UNDP and UN Women, began in August 2018, f</w:t>
      </w:r>
      <w:r w:rsidR="00561DF0" w:rsidRPr="009376D7">
        <w:t>ollowing some delays due to staff turnover and delayed receipt of funds from U</w:t>
      </w:r>
      <w:r w:rsidRPr="009376D7">
        <w:t>N Regional to UN Samoa Office</w:t>
      </w:r>
      <w:r w:rsidR="002C1044" w:rsidRPr="009376D7">
        <w:t>.</w:t>
      </w:r>
      <w:r w:rsidR="00561DF0" w:rsidRPr="009376D7">
        <w:t xml:space="preserve"> </w:t>
      </w:r>
      <w:r w:rsidR="002C1044" w:rsidRPr="009376D7">
        <w:t xml:space="preserve">Research </w:t>
      </w:r>
      <w:r w:rsidRPr="009376D7">
        <w:t>commenced</w:t>
      </w:r>
      <w:r w:rsidR="00561DF0" w:rsidRPr="009376D7">
        <w:t xml:space="preserve"> </w:t>
      </w:r>
      <w:r w:rsidR="002C1044" w:rsidRPr="009376D7">
        <w:t>on women’s leadership</w:t>
      </w:r>
      <w:r w:rsidR="00561DF0" w:rsidRPr="009376D7">
        <w:t>,</w:t>
      </w:r>
      <w:r w:rsidR="002C1044" w:rsidRPr="009376D7">
        <w:t xml:space="preserve"> which will provide valuable data</w:t>
      </w:r>
      <w:r w:rsidRPr="009376D7">
        <w:t>,</w:t>
      </w:r>
      <w:r w:rsidR="00603156" w:rsidRPr="009376D7">
        <w:t xml:space="preserve"> including to measure the impact of the WILS program</w:t>
      </w:r>
      <w:r w:rsidR="002C1044" w:rsidRPr="009376D7">
        <w:t xml:space="preserve">. </w:t>
      </w:r>
      <w:r w:rsidR="005F31B7" w:rsidRPr="009376D7">
        <w:t xml:space="preserve">Due to lack of baseline data and </w:t>
      </w:r>
      <w:r w:rsidR="001C1E1B" w:rsidRPr="009376D7">
        <w:t>implementation</w:t>
      </w:r>
      <w:r w:rsidR="009376D7">
        <w:t xml:space="preserve"> delays</w:t>
      </w:r>
      <w:r w:rsidR="001C1E1B" w:rsidRPr="009376D7">
        <w:t>, the benchmark of increased number of women in leadership positions was not met during the reporting period. However, with a number of activities implemented in 2018-19, the benchmark is expected to be met in 2019-20.</w:t>
      </w:r>
    </w:p>
    <w:p w:rsidR="004D6A28" w:rsidRPr="009376D7" w:rsidRDefault="002B70D1" w:rsidP="009376D7">
      <w:r w:rsidRPr="009376D7">
        <w:t>Activities to end gender based violence were supported under the bilateral and regional development programs and through the Australian Federal Police partnership with the Samoa Police Service.</w:t>
      </w:r>
      <w:r w:rsidR="0021252A" w:rsidRPr="009376D7">
        <w:t xml:space="preserve"> </w:t>
      </w:r>
      <w:r w:rsidR="00B77B92" w:rsidRPr="009376D7">
        <w:t xml:space="preserve">An </w:t>
      </w:r>
      <w:r w:rsidR="00EB2E6F" w:rsidRPr="009376D7">
        <w:t>Ending Violence Against Women (</w:t>
      </w:r>
      <w:r w:rsidR="00B77B92" w:rsidRPr="009376D7">
        <w:t>EVAW</w:t>
      </w:r>
      <w:r w:rsidR="00EB2E6F" w:rsidRPr="009376D7">
        <w:t>)</w:t>
      </w:r>
      <w:r w:rsidR="00B77B92" w:rsidRPr="009376D7">
        <w:t xml:space="preserve"> media campaign was rolled-out on national television, in Samoan and English, promoting “Safe Families, Safe Samoa”. Related merchandise including t-shirts and mugs were distributed to sustain the message. Through UN</w:t>
      </w:r>
      <w:r w:rsidR="000866AA">
        <w:t xml:space="preserve"> </w:t>
      </w:r>
      <w:r w:rsidR="00B77B92" w:rsidRPr="009376D7">
        <w:t>Women, the regional Pacific Partnerships for EVAW began developing an Interagency Essential Services Guide for Samoa, compiling services available, and relevant providers and partners in EVAW.</w:t>
      </w:r>
      <w:r w:rsidR="00B77B92" w:rsidRPr="009376D7" w:rsidDel="00B77B92">
        <w:t xml:space="preserve"> </w:t>
      </w:r>
    </w:p>
    <w:p w:rsidR="00603156" w:rsidRPr="009376D7" w:rsidRDefault="00812DF0" w:rsidP="009376D7">
      <w:r w:rsidRPr="009376D7">
        <w:t>The two</w:t>
      </w:r>
      <w:r w:rsidR="00F15BF8" w:rsidRPr="009376D7">
        <w:t xml:space="preserve"> Australian Federal Police officers deployed to Samoa </w:t>
      </w:r>
      <w:r w:rsidR="00603156" w:rsidRPr="009376D7">
        <w:t>under</w:t>
      </w:r>
      <w:r w:rsidR="008B3F4B" w:rsidRPr="009376D7">
        <w:t xml:space="preserve"> the </w:t>
      </w:r>
      <w:r w:rsidR="00F15BF8" w:rsidRPr="009376D7">
        <w:t>Samoa Australia Police Partnership (SAPP)</w:t>
      </w:r>
      <w:r w:rsidR="00603156" w:rsidRPr="009376D7">
        <w:t>,</w:t>
      </w:r>
      <w:r w:rsidR="00F15BF8" w:rsidRPr="009376D7">
        <w:t xml:space="preserve"> </w:t>
      </w:r>
      <w:r w:rsidRPr="009376D7">
        <w:t xml:space="preserve">continued to </w:t>
      </w:r>
      <w:r w:rsidR="00F15BF8" w:rsidRPr="009376D7">
        <w:t xml:space="preserve">provide capacity building </w:t>
      </w:r>
      <w:r w:rsidR="00603156" w:rsidRPr="009376D7">
        <w:t xml:space="preserve">support </w:t>
      </w:r>
      <w:r w:rsidR="00F15BF8" w:rsidRPr="009376D7">
        <w:t xml:space="preserve">to the Samoa Police Service (SPS) to improve the effectiveness of, and community confidence in, the SPS. </w:t>
      </w:r>
      <w:r w:rsidR="00603156" w:rsidRPr="009376D7">
        <w:t xml:space="preserve">In 2018-19 </w:t>
      </w:r>
      <w:r w:rsidR="00D82442" w:rsidRPr="009376D7">
        <w:t xml:space="preserve">SAPP </w:t>
      </w:r>
      <w:r w:rsidR="00603156" w:rsidRPr="009376D7">
        <w:t xml:space="preserve">provided </w:t>
      </w:r>
      <w:r w:rsidR="00D82442" w:rsidRPr="009376D7">
        <w:t xml:space="preserve">continued mentoring and guidance </w:t>
      </w:r>
      <w:r w:rsidR="00603156" w:rsidRPr="009376D7">
        <w:t>o</w:t>
      </w:r>
      <w:r w:rsidR="00D82442" w:rsidRPr="009376D7">
        <w:t xml:space="preserve">n the establishment of the Samoa Sex Offenders Register and </w:t>
      </w:r>
      <w:r w:rsidR="00603156" w:rsidRPr="009376D7">
        <w:t>funded</w:t>
      </w:r>
      <w:r w:rsidR="00D82442" w:rsidRPr="009376D7">
        <w:t xml:space="preserve"> the purchase of equipment in order for the SPS to comply with </w:t>
      </w:r>
      <w:r w:rsidR="00B77B92" w:rsidRPr="009376D7">
        <w:t>the Sex Offender’s Registration Act 2017</w:t>
      </w:r>
      <w:r w:rsidR="00D82442" w:rsidRPr="009376D7">
        <w:t>.</w:t>
      </w:r>
      <w:r w:rsidR="00603156" w:rsidRPr="009376D7">
        <w:t xml:space="preserve"> </w:t>
      </w:r>
      <w:r w:rsidR="00D82442" w:rsidRPr="009376D7">
        <w:t xml:space="preserve">The SPS and SAPP </w:t>
      </w:r>
      <w:r w:rsidR="00603156" w:rsidRPr="009376D7">
        <w:t xml:space="preserve">undertook a </w:t>
      </w:r>
      <w:r w:rsidR="00964A08" w:rsidRPr="009376D7">
        <w:t xml:space="preserve">range </w:t>
      </w:r>
      <w:r w:rsidR="00603156" w:rsidRPr="009376D7">
        <w:t xml:space="preserve">of </w:t>
      </w:r>
      <w:r w:rsidR="00964A08" w:rsidRPr="009376D7">
        <w:t xml:space="preserve">command and control and response </w:t>
      </w:r>
      <w:r w:rsidR="00603156" w:rsidRPr="009376D7">
        <w:t>activities to prepare for</w:t>
      </w:r>
      <w:r w:rsidR="00D82442" w:rsidRPr="009376D7">
        <w:t xml:space="preserve"> the Pacific Games held in Apia in July 2019. </w:t>
      </w:r>
      <w:r w:rsidR="00925D0E" w:rsidRPr="009376D7">
        <w:t>The Games ran smoothly with no major incidents.</w:t>
      </w:r>
    </w:p>
    <w:p w:rsidR="00D82442" w:rsidRPr="009376D7" w:rsidRDefault="009D0F84" w:rsidP="009376D7">
      <w:r w:rsidRPr="009376D7">
        <w:t xml:space="preserve">SAPP continues to support SPS Women Advisory Network (WAN) activities including mentoring and guidance. </w:t>
      </w:r>
      <w:r w:rsidR="00603156" w:rsidRPr="009376D7">
        <w:t xml:space="preserve">The </w:t>
      </w:r>
      <w:r w:rsidRPr="009376D7">
        <w:t xml:space="preserve">SAPP sponsored scholarship scheme has </w:t>
      </w:r>
      <w:r w:rsidR="00F57CD8" w:rsidRPr="009376D7">
        <w:t>supported</w:t>
      </w:r>
      <w:r w:rsidRPr="009376D7">
        <w:t xml:space="preserve"> a number of SPS members to undertake tertiary and college education</w:t>
      </w:r>
      <w:r w:rsidR="00F57CD8" w:rsidRPr="009376D7">
        <w:t xml:space="preserve">, with positive results in their studies and </w:t>
      </w:r>
      <w:r w:rsidR="004D6A28" w:rsidRPr="009376D7">
        <w:t>in</w:t>
      </w:r>
      <w:r w:rsidRPr="009376D7">
        <w:t xml:space="preserve"> the workplace.</w:t>
      </w:r>
    </w:p>
    <w:p w:rsidR="004D1B00" w:rsidRPr="009376D7" w:rsidRDefault="00F15BF8" w:rsidP="009376D7">
      <w:r w:rsidRPr="009376D7">
        <w:lastRenderedPageBreak/>
        <w:t>This objective is rated as</w:t>
      </w:r>
      <w:r w:rsidR="00257A14" w:rsidRPr="009376D7">
        <w:t xml:space="preserve"> green as </w:t>
      </w:r>
      <w:r w:rsidR="00CB4D49">
        <w:t xml:space="preserve">two of the </w:t>
      </w:r>
      <w:r w:rsidR="00B35DE8">
        <w:t xml:space="preserve">three </w:t>
      </w:r>
      <w:r w:rsidR="00CB4D49">
        <w:t>benchmarks were met</w:t>
      </w:r>
      <w:r w:rsidR="00B35DE8">
        <w:t>, with partial achievement against the third</w:t>
      </w:r>
      <w:r w:rsidR="00A63FDF">
        <w:t>.</w:t>
      </w:r>
    </w:p>
    <w:p w:rsidR="00AA5BDA" w:rsidRDefault="00AA5BDA"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REGIONAL AND GLOBAL PROGRAMS</w:t>
      </w:r>
    </w:p>
    <w:p w:rsidR="00CC3868" w:rsidRDefault="00CC3868" w:rsidP="00870891">
      <w:r>
        <w:t xml:space="preserve">In addition to Australia’s bilateral development </w:t>
      </w:r>
      <w:r w:rsidR="00925D0E">
        <w:t>cooperation</w:t>
      </w:r>
      <w:r>
        <w:t>, activities benefiting Samoa were delivered under a number of regional and global programs, including, but not limited to, the programs detailed below.</w:t>
      </w:r>
    </w:p>
    <w:p w:rsidR="00CC3868" w:rsidRPr="00693FF5" w:rsidRDefault="00CC3868" w:rsidP="00870891">
      <w:r>
        <w:t xml:space="preserve">As part of the </w:t>
      </w:r>
      <w:r w:rsidRPr="00693FF5">
        <w:rPr>
          <w:b/>
        </w:rPr>
        <w:t xml:space="preserve">Pacific Agreement on Closer Economic Relations (PACER) Plus </w:t>
      </w:r>
      <w:r w:rsidR="00C34283">
        <w:rPr>
          <w:b/>
        </w:rPr>
        <w:t>Readiness</w:t>
      </w:r>
      <w:r w:rsidRPr="00693FF5">
        <w:rPr>
          <w:b/>
        </w:rPr>
        <w:t xml:space="preserve"> Package</w:t>
      </w:r>
      <w:r>
        <w:t xml:space="preserve">, Australia, through the </w:t>
      </w:r>
      <w:r w:rsidRPr="00880F67">
        <w:t>Oceanic Customs Organisation (OCO), assisted Samoa to adopt the latest international customs nomenclature HS2017.</w:t>
      </w:r>
      <w:r w:rsidRPr="00693FF5">
        <w:t xml:space="preserve"> Through the United Nations Conference on Trade and Development (UNCTAD), Australia helped Samoa develop a regionally integrated online trade portal, which, in addition to providing advice on tariff rates under PACER Plus, comprehensively documents import and export procedures.</w:t>
      </w:r>
      <w:r w:rsidR="00C34283">
        <w:t xml:space="preserve"> Activities under the Readiness Package will enable Samoa to reap early benefits from PACER Plus when it enters into force.</w:t>
      </w:r>
    </w:p>
    <w:p w:rsidR="00684DBD" w:rsidRPr="00684DBD" w:rsidRDefault="00684DBD" w:rsidP="00684DBD">
      <w:r w:rsidRPr="00684DBD">
        <w:t xml:space="preserve">The </w:t>
      </w:r>
      <w:r w:rsidRPr="00684DBD">
        <w:rPr>
          <w:b/>
        </w:rPr>
        <w:t>Private Sector Development Initiative</w:t>
      </w:r>
      <w:r w:rsidRPr="00684DBD">
        <w:t xml:space="preserve"> (PSDI) continued to support reforms to help </w:t>
      </w:r>
      <w:r w:rsidR="00DE7B54">
        <w:t>support</w:t>
      </w:r>
      <w:r w:rsidRPr="00684DBD">
        <w:t xml:space="preserve"> the busi</w:t>
      </w:r>
      <w:r>
        <w:t xml:space="preserve">ness environment in Samoa. In </w:t>
      </w:r>
      <w:r w:rsidRPr="00684DBD">
        <w:t>2018-19, PSDI developed and piloted sector value-chain financing products to assist in the full use of the personal properties securities registry. A taro value-chain product was piloted in Upolu, while cocoa value-chain product will be developed and pil</w:t>
      </w:r>
      <w:r w:rsidR="00897AD4">
        <w:t>oted in Savai’i</w:t>
      </w:r>
      <w:r>
        <w:t>.</w:t>
      </w:r>
      <w:r w:rsidRPr="00684DBD">
        <w:t> PSDI also strengthened the policy framework for Development Bank of Samoa, contributing to management strategies</w:t>
      </w:r>
      <w:r w:rsidR="00897AD4">
        <w:t xml:space="preserve"> on major non-performing loans.</w:t>
      </w:r>
    </w:p>
    <w:p w:rsidR="00897AD4" w:rsidRDefault="00897AD4" w:rsidP="00CC3868">
      <w:r>
        <w:t>Under</w:t>
      </w:r>
      <w:r w:rsidR="00684DBD">
        <w:t xml:space="preserve"> the </w:t>
      </w:r>
      <w:r w:rsidR="00684DBD" w:rsidRPr="00684DBD">
        <w:rPr>
          <w:b/>
        </w:rPr>
        <w:t>Pacific Financial Inclusion Program</w:t>
      </w:r>
      <w:r w:rsidR="00684DBD">
        <w:t>,</w:t>
      </w:r>
      <w:r w:rsidR="00684DBD" w:rsidRPr="00684DBD">
        <w:t xml:space="preserve"> The Innovation Lab</w:t>
      </w:r>
      <w:r w:rsidR="00684DBD">
        <w:t>,</w:t>
      </w:r>
      <w:r w:rsidR="00684DBD" w:rsidRPr="00684DBD">
        <w:t xml:space="preserve"> with the National Bank of Samoa </w:t>
      </w:r>
      <w:r w:rsidR="00684DBD">
        <w:t xml:space="preserve">and </w:t>
      </w:r>
      <w:r w:rsidR="00684DBD" w:rsidRPr="00684DBD">
        <w:t>in partnership with Digicel</w:t>
      </w:r>
      <w:r w:rsidR="00684DBD">
        <w:t>,</w:t>
      </w:r>
      <w:r w:rsidR="00684DBD" w:rsidRPr="00684DBD">
        <w:t xml:space="preserve"> launched its first pro</w:t>
      </w:r>
      <w:r>
        <w:t>duct</w:t>
      </w:r>
      <w:r>
        <w:softHyphen/>
        <w:t>—Ezibank—</w:t>
      </w:r>
      <w:r w:rsidR="00684DBD" w:rsidRPr="00684DBD">
        <w:t xml:space="preserve">in last quarter of 2018. This was the first time a mobile network operator and bank </w:t>
      </w:r>
      <w:r w:rsidR="00684DBD">
        <w:t xml:space="preserve">partnered </w:t>
      </w:r>
      <w:r w:rsidR="00684DBD" w:rsidRPr="00684DBD">
        <w:t>to launch a product after completing the technical integration of their systems. Customers are now able to view their bank account balances on their mobile phones, transfer funds from their account to phone and transfer funds from their Digicel mobile money account to their account.</w:t>
      </w:r>
    </w:p>
    <w:p w:rsidR="00CC3868" w:rsidRDefault="00CC3868" w:rsidP="00CC3868">
      <w:pPr>
        <w:rPr>
          <w:color w:val="1F497D"/>
        </w:rPr>
      </w:pPr>
      <w:r>
        <w:t xml:space="preserve">Under the </w:t>
      </w:r>
      <w:r w:rsidRPr="00693FF5">
        <w:rPr>
          <w:b/>
        </w:rPr>
        <w:t>Business Partnerships Platform</w:t>
      </w:r>
      <w:r>
        <w:t xml:space="preserve">, a partnership between Fairtrade Australia New Zealand, Krissy Co, the Savai’i Coconut Farmers Association and the Department of Foreign Affairs and Trade is helping to address unmet demand for organic coconut cream and boost Samoa’s participation in global markets. In 2018-19, </w:t>
      </w:r>
      <w:r w:rsidRPr="00693FF5">
        <w:t xml:space="preserve">Krissy Co increased </w:t>
      </w:r>
      <w:r w:rsidR="00964A08">
        <w:t>its</w:t>
      </w:r>
      <w:r w:rsidR="00964A08" w:rsidRPr="00693FF5">
        <w:t xml:space="preserve"> </w:t>
      </w:r>
      <w:r w:rsidRPr="00693FF5">
        <w:t xml:space="preserve">supplier base for Fairtrade, organic certified coconuts from 69 to 111 farmers through increased membership in the Savai’i Coconut Farmers Association. Members of the Savai’i coconut farmers association have seen an average </w:t>
      </w:r>
      <w:r w:rsidR="0002500B">
        <w:t xml:space="preserve">55 per cent </w:t>
      </w:r>
      <w:r w:rsidRPr="00693FF5">
        <w:t>increase in their annual incomes from coconut farming.</w:t>
      </w:r>
    </w:p>
    <w:p w:rsidR="00F40188" w:rsidRDefault="00F40188" w:rsidP="00F40188">
      <w:pPr>
        <w:rPr>
          <w:b/>
        </w:rPr>
      </w:pPr>
      <w:r w:rsidRPr="00F40188">
        <w:t xml:space="preserve">During 2018-2019, 18 new </w:t>
      </w:r>
      <w:r w:rsidRPr="00693FF5">
        <w:rPr>
          <w:b/>
        </w:rPr>
        <w:t>Australian Volunteers</w:t>
      </w:r>
      <w:r w:rsidRPr="00F40188">
        <w:t xml:space="preserve"> commenced assignments in Samoa, alongside 12 ongoing Volunteers</w:t>
      </w:r>
      <w:r>
        <w:t>. Volunteer assignments focused on</w:t>
      </w:r>
      <w:r w:rsidRPr="00F40188">
        <w:t xml:space="preserve"> support </w:t>
      </w:r>
      <w:r>
        <w:t xml:space="preserve">to </w:t>
      </w:r>
      <w:r w:rsidRPr="00F40188">
        <w:t xml:space="preserve">the education, health and governance sectors, </w:t>
      </w:r>
      <w:r>
        <w:t>improving</w:t>
      </w:r>
      <w:r w:rsidRPr="00F40188">
        <w:t xml:space="preserve"> the regulatory environment for Samoan businesses</w:t>
      </w:r>
      <w:r>
        <w:t xml:space="preserve">, and </w:t>
      </w:r>
      <w:r w:rsidRPr="00F40188">
        <w:t>on increasing women’s and people with disabilities’ financial literacy and economic opportunities</w:t>
      </w:r>
      <w:r>
        <w:t>. In 2018-19, the program supported four volunteer placements in the Ministry of Education, Sports and Culture (MESC)’s</w:t>
      </w:r>
      <w:r w:rsidRPr="00F40188">
        <w:t xml:space="preserve"> Inclusive Education Unit</w:t>
      </w:r>
      <w:r>
        <w:t xml:space="preserve">, to assist MESC </w:t>
      </w:r>
      <w:r w:rsidRPr="00F40188">
        <w:t xml:space="preserve">colleagues on the implementation plan (2017-20) of the </w:t>
      </w:r>
      <w:r w:rsidRPr="00F40188">
        <w:rPr>
          <w:i/>
          <w:iCs/>
        </w:rPr>
        <w:t>Inclusive Education Policy</w:t>
      </w:r>
      <w:r w:rsidRPr="00F40188">
        <w:t xml:space="preserve"> </w:t>
      </w:r>
      <w:r w:rsidRPr="00693FF5">
        <w:rPr>
          <w:i/>
        </w:rPr>
        <w:t>for</w:t>
      </w:r>
      <w:r w:rsidRPr="00F40188">
        <w:t xml:space="preserve"> </w:t>
      </w:r>
      <w:r w:rsidRPr="00F40188">
        <w:rPr>
          <w:i/>
          <w:iCs/>
        </w:rPr>
        <w:t>Students Living with Disability</w:t>
      </w:r>
      <w:r w:rsidRPr="00F40188">
        <w:t xml:space="preserve"> </w:t>
      </w:r>
      <w:r w:rsidRPr="00693FF5">
        <w:rPr>
          <w:i/>
        </w:rPr>
        <w:t>2014</w:t>
      </w:r>
      <w:r w:rsidRPr="00F40188">
        <w:t>.</w:t>
      </w:r>
    </w:p>
    <w:p w:rsidR="00410801" w:rsidRPr="00693FF5" w:rsidRDefault="00410801" w:rsidP="00693FF5">
      <w:r w:rsidRPr="00693FF5">
        <w:t xml:space="preserve">Through the </w:t>
      </w:r>
      <w:r w:rsidRPr="00693FF5">
        <w:rPr>
          <w:b/>
        </w:rPr>
        <w:t>Indo-Pacific Centre for Health Security (CHS),</w:t>
      </w:r>
      <w:r w:rsidRPr="00693FF5">
        <w:t xml:space="preserve"> </w:t>
      </w:r>
      <w:r w:rsidR="00925D0E">
        <w:t>t</w:t>
      </w:r>
      <w:r w:rsidRPr="00693FF5">
        <w:t>echnical assistance to strengthen Infection Prevention and Control in key health care facilities was provided to Tupua Tamasese Mea</w:t>
      </w:r>
      <w:r w:rsidR="0025035C">
        <w:t>’</w:t>
      </w:r>
      <w:r w:rsidRPr="00693FF5">
        <w:t>ole Hospital in Apia, providing an infection prevention and control assessment and options for re-modelling to improve infection prevention and control.</w:t>
      </w:r>
    </w:p>
    <w:p w:rsidR="000A022B" w:rsidRPr="00693FF5" w:rsidRDefault="000A022B" w:rsidP="00693FF5">
      <w:r w:rsidRPr="00693FF5">
        <w:t xml:space="preserve">In 2018-19 Samoa benefited from a number of </w:t>
      </w:r>
      <w:r w:rsidRPr="00693FF5">
        <w:rPr>
          <w:b/>
        </w:rPr>
        <w:t xml:space="preserve">regional climate change investments. </w:t>
      </w:r>
      <w:r w:rsidRPr="00693FF5">
        <w:t>The</w:t>
      </w:r>
      <w:r w:rsidRPr="0021252A">
        <w:t xml:space="preserve"> Climate and Oceans Support Program in the Pacific Phase 2 (COSPPac</w:t>
      </w:r>
      <w:r w:rsidRPr="00693FF5">
        <w:t xml:space="preserve">2) supported climate and ocean monitoring and prediction services in Samoa, including </w:t>
      </w:r>
      <w:r w:rsidR="00FB0516">
        <w:t xml:space="preserve">for </w:t>
      </w:r>
      <w:r w:rsidRPr="00693FF5">
        <w:t xml:space="preserve">sea level changes. The Climate Change Finance Readiness for the </w:t>
      </w:r>
      <w:r w:rsidRPr="00693FF5">
        <w:lastRenderedPageBreak/>
        <w:t>Pacific project supported climate finance awareness workshops and undertook a mapping of private sector opportunities for engagement in climate finance in Samoa. The Regional Management of Climate Change Information in the Pacific (iCLIM) project, is working in partnership with the Samoan Ministry of Natural Resources and Environment (MNRE) to identify areas where the project could add value to MNRE’s existing Data Knowledge Information Facility, develop a business case for engagement and an information and knowledge management framework.</w:t>
      </w:r>
    </w:p>
    <w:p w:rsidR="00684DBD" w:rsidRDefault="00684DBD" w:rsidP="00897AD4">
      <w:r>
        <w:t xml:space="preserve">In 2018-19, 95 Samoans graduated from the </w:t>
      </w:r>
      <w:r w:rsidRPr="00897AD4">
        <w:rPr>
          <w:b/>
        </w:rPr>
        <w:t>Australia Pacific Training Coalition</w:t>
      </w:r>
      <w:r>
        <w:t xml:space="preserve"> (formerly the Australia Pacific Technical Collage, APTC) with technical and vocational qualifications in a range of areas including metal fabrication, plumbing, education support, hospitality, commercial cookery, electro-technology, light vehicle maintenance, tourism and training and assessment. Now in its third phase (began 1 July 2018), the program is shifting its focus to developing partnerships to strengthen national TVET providers and systems, increasing co-investment and linking graduates with labour mobility opportunities in the region. To support this, APTC has developed strong partnerships with the National University of Samoa, Samoa Water and the Ministry of Education, Sports and Culture. These partnerships will increase the quality and relevance of TVET qualifications and </w:t>
      </w:r>
      <w:r w:rsidR="00FB0516">
        <w:t xml:space="preserve">strengthen </w:t>
      </w:r>
      <w:r>
        <w:t>employment outcomes for students.</w:t>
      </w:r>
    </w:p>
    <w:p w:rsidR="00870891" w:rsidRDefault="00870891" w:rsidP="00870891">
      <w:pPr>
        <w:rPr>
          <w:color w:val="1F497D"/>
        </w:rPr>
      </w:pPr>
    </w:p>
    <w:p w:rsidR="00A76E71" w:rsidRDefault="00A76E7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Mutual Obligations</w:t>
      </w:r>
    </w:p>
    <w:p w:rsidR="00CD24F8" w:rsidRDefault="00CD24F8" w:rsidP="00CD24F8">
      <w:pPr>
        <w:spacing w:line="240" w:lineRule="auto"/>
      </w:pPr>
      <w:r>
        <w:t xml:space="preserve">Australia and Samoa continued to </w:t>
      </w:r>
      <w:r w:rsidR="00B94428">
        <w:t xml:space="preserve">deliver against </w:t>
      </w:r>
      <w:r>
        <w:t>agreed mutual obligations as outlined in Australia’s Aid Investment Plan for Samoa and the Australia-Samoa Aid Partnership Arrangement 2016-2019</w:t>
      </w:r>
      <w:r w:rsidRPr="007866A5">
        <w:t xml:space="preserve">. </w:t>
      </w:r>
    </w:p>
    <w:p w:rsidR="00CD24F8" w:rsidRDefault="00CD24F8" w:rsidP="00CD24F8">
      <w:pPr>
        <w:spacing w:after="0" w:line="240" w:lineRule="auto"/>
      </w:pPr>
      <w:r>
        <w:t xml:space="preserve"> In 2018-19 the Government of Samoa:</w:t>
      </w:r>
    </w:p>
    <w:p w:rsidR="00CD24F8" w:rsidRDefault="00CD24F8" w:rsidP="00CD24F8">
      <w:pPr>
        <w:pStyle w:val="ListParagraph"/>
        <w:numPr>
          <w:ilvl w:val="0"/>
          <w:numId w:val="37"/>
        </w:numPr>
        <w:spacing w:before="0" w:line="240" w:lineRule="auto"/>
        <w:ind w:left="714" w:hanging="357"/>
        <w:rPr>
          <w:rFonts w:eastAsia="Times New Roman"/>
        </w:rPr>
      </w:pPr>
      <w:r>
        <w:rPr>
          <w:rFonts w:eastAsia="Times New Roman"/>
        </w:rPr>
        <w:t>implemented national development plans and coordinated development partner assistance, including through regular sectoral working groups;</w:t>
      </w:r>
    </w:p>
    <w:p w:rsidR="00CD24F8" w:rsidRDefault="00CD24F8" w:rsidP="00CD24F8">
      <w:pPr>
        <w:pStyle w:val="ListParagraph"/>
        <w:numPr>
          <w:ilvl w:val="0"/>
          <w:numId w:val="37"/>
        </w:numPr>
        <w:spacing w:before="0" w:line="240" w:lineRule="auto"/>
        <w:ind w:left="714" w:hanging="357"/>
        <w:rPr>
          <w:rFonts w:eastAsia="Times New Roman"/>
        </w:rPr>
      </w:pPr>
      <w:r>
        <w:rPr>
          <w:rFonts w:eastAsia="Times New Roman"/>
        </w:rPr>
        <w:t>continued to improve government procurement and financial systems; and</w:t>
      </w:r>
    </w:p>
    <w:p w:rsidR="00CD24F8" w:rsidRPr="0057514F" w:rsidRDefault="00CD24F8" w:rsidP="00CD24F8">
      <w:pPr>
        <w:pStyle w:val="ListParagraph"/>
        <w:numPr>
          <w:ilvl w:val="0"/>
          <w:numId w:val="37"/>
        </w:numPr>
        <w:spacing w:line="240" w:lineRule="auto"/>
        <w:ind w:left="714" w:hanging="357"/>
        <w:rPr>
          <w:rFonts w:eastAsia="Times New Roman"/>
        </w:rPr>
      </w:pPr>
      <w:r>
        <w:rPr>
          <w:rFonts w:eastAsia="Times New Roman"/>
        </w:rPr>
        <w:t>maintained budget expenditure on education, health and infrastructure maintenance.</w:t>
      </w:r>
    </w:p>
    <w:p w:rsidR="00CD24F8" w:rsidRDefault="00CD24F8" w:rsidP="00CD24F8">
      <w:pPr>
        <w:spacing w:after="0" w:line="240" w:lineRule="auto"/>
        <w:rPr>
          <w:rFonts w:eastAsia="Times New Roman"/>
        </w:rPr>
      </w:pPr>
      <w:r>
        <w:rPr>
          <w:rFonts w:eastAsia="Times New Roman"/>
        </w:rPr>
        <w:t xml:space="preserve">In 2018-19 the Australian Government: </w:t>
      </w:r>
    </w:p>
    <w:p w:rsidR="00CD24F8" w:rsidRDefault="00CD24F8" w:rsidP="00CD24F8">
      <w:pPr>
        <w:pStyle w:val="ListParagraph"/>
        <w:numPr>
          <w:ilvl w:val="0"/>
          <w:numId w:val="38"/>
        </w:numPr>
        <w:spacing w:before="0" w:line="240" w:lineRule="auto"/>
        <w:ind w:left="714" w:hanging="357"/>
        <w:rPr>
          <w:rFonts w:eastAsia="Times New Roman"/>
        </w:rPr>
      </w:pPr>
      <w:r>
        <w:rPr>
          <w:rFonts w:eastAsia="Times New Roman"/>
        </w:rPr>
        <w:t xml:space="preserve">continued to deliver timely, effective and predictable development assistance in line with the Government of Samoa’s Strategy for the Development of </w:t>
      </w:r>
      <w:r w:rsidRPr="00336923">
        <w:rPr>
          <w:rFonts w:eastAsia="Times New Roman"/>
        </w:rPr>
        <w:t xml:space="preserve">Samoa </w:t>
      </w:r>
      <w:r w:rsidRPr="002D75CF">
        <w:rPr>
          <w:rFonts w:eastAsia="Times New Roman"/>
        </w:rPr>
        <w:t>2016-20</w:t>
      </w:r>
      <w:r w:rsidRPr="00336923">
        <w:rPr>
          <w:rFonts w:eastAsia="Times New Roman"/>
        </w:rPr>
        <w:t>;</w:t>
      </w:r>
    </w:p>
    <w:p w:rsidR="00CD24F8" w:rsidRPr="00CD24F8" w:rsidRDefault="00CD24F8" w:rsidP="00CD24F8">
      <w:pPr>
        <w:pStyle w:val="ListParagraph"/>
        <w:numPr>
          <w:ilvl w:val="0"/>
          <w:numId w:val="37"/>
        </w:numPr>
        <w:spacing w:before="0" w:line="240" w:lineRule="auto"/>
        <w:ind w:left="714" w:hanging="357"/>
        <w:rPr>
          <w:rFonts w:eastAsia="Times New Roman"/>
        </w:rPr>
      </w:pPr>
      <w:r w:rsidRPr="00CD24F8">
        <w:rPr>
          <w:rFonts w:eastAsia="Times New Roman"/>
        </w:rPr>
        <w:t>continued to be transparent in the allocation of funding under the Partnership; and</w:t>
      </w:r>
    </w:p>
    <w:p w:rsidR="00AC6459" w:rsidRPr="00CD24F8" w:rsidRDefault="00CD24F8" w:rsidP="00CD24F8">
      <w:pPr>
        <w:pStyle w:val="ListParagraph"/>
        <w:numPr>
          <w:ilvl w:val="0"/>
          <w:numId w:val="37"/>
        </w:numPr>
        <w:spacing w:before="0" w:line="240" w:lineRule="auto"/>
        <w:ind w:left="714" w:hanging="357"/>
        <w:rPr>
          <w:rFonts w:eastAsia="Times New Roman"/>
        </w:rPr>
      </w:pPr>
      <w:r w:rsidRPr="00CD24F8">
        <w:rPr>
          <w:rFonts w:eastAsia="Times New Roman"/>
        </w:rPr>
        <w:t>delivered assistance through Samoa’s government systems where it ma</w:t>
      </w:r>
      <w:r>
        <w:rPr>
          <w:rFonts w:eastAsia="Times New Roman"/>
        </w:rPr>
        <w:t>de</w:t>
      </w:r>
      <w:r w:rsidRPr="00CD24F8">
        <w:rPr>
          <w:rFonts w:eastAsia="Times New Roman"/>
        </w:rPr>
        <w:t xml:space="preserve"> sense to do so.</w:t>
      </w:r>
    </w:p>
    <w:p w:rsidR="009376D7" w:rsidRPr="009376D7" w:rsidRDefault="009376D7" w:rsidP="009376D7">
      <w:pPr>
        <w:spacing w:line="240" w:lineRule="auto"/>
      </w:pPr>
      <w:r w:rsidRPr="009376D7">
        <w:t>An update of an assessment of Samoa’s national systems was conducted in 2018. The update provided several recommendations</w:t>
      </w:r>
      <w:r w:rsidR="00B94428">
        <w:t xml:space="preserve"> to improve performance and concluded</w:t>
      </w:r>
      <w:r w:rsidRPr="009376D7">
        <w:t xml:space="preserve"> that it was appropriate for Australia to continue to utilise Samoan Government systems for disbursement of development funding.  Implementation of some of the recommendations has commenced and the remainder will be implemented over the next reporting period. </w:t>
      </w:r>
      <w:r w:rsidR="00B94428">
        <w:t>Discussions</w:t>
      </w:r>
      <w:r w:rsidR="00B94428" w:rsidRPr="007866A5">
        <w:t xml:space="preserve"> will be held later in 2019</w:t>
      </w:r>
      <w:r w:rsidR="00B94428">
        <w:t xml:space="preserve"> between Australian and Samoan g</w:t>
      </w:r>
      <w:r w:rsidR="00B94428" w:rsidRPr="007866A5">
        <w:t>overnment officials to agree</w:t>
      </w:r>
      <w:r w:rsidR="00B94428">
        <w:t xml:space="preserve"> new</w:t>
      </w:r>
      <w:r w:rsidR="00B94428" w:rsidRPr="007866A5">
        <w:t xml:space="preserve"> mutual obligations</w:t>
      </w:r>
      <w:r w:rsidR="00B94428">
        <w:t xml:space="preserve">, potentially </w:t>
      </w:r>
      <w:r w:rsidR="00B94428" w:rsidRPr="007866A5">
        <w:t xml:space="preserve">as part of a broader </w:t>
      </w:r>
      <w:r w:rsidR="00B94428">
        <w:t xml:space="preserve">strategic </w:t>
      </w:r>
      <w:r w:rsidR="00B94428" w:rsidRPr="007866A5">
        <w:t xml:space="preserve">partnership agreement </w:t>
      </w:r>
      <w:r w:rsidR="00B94428">
        <w:t>covering all aspects of our relationship</w:t>
      </w:r>
      <w:r w:rsidR="00B94428" w:rsidRPr="007866A5">
        <w:t xml:space="preserve">. </w:t>
      </w:r>
      <w:r w:rsidR="00B94428">
        <w:t xml:space="preserve">This partnership will incorporate </w:t>
      </w:r>
      <w:r w:rsidR="00B94428" w:rsidRPr="00897AD4">
        <w:t>Step-up activities</w:t>
      </w:r>
      <w:r w:rsidR="00B94428">
        <w:t>, which</w:t>
      </w:r>
      <w:r w:rsidR="00B94428" w:rsidRPr="00897AD4">
        <w:t xml:space="preserve"> complement </w:t>
      </w:r>
      <w:r w:rsidR="00B94428">
        <w:t>our bilateral development program.</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3445FE" w:rsidRPr="009376D7" w:rsidRDefault="00DA27B9" w:rsidP="009376D7">
      <w:pPr>
        <w:spacing w:line="240" w:lineRule="auto"/>
      </w:pPr>
      <w:r w:rsidRPr="009376D7">
        <w:t xml:space="preserve">Aid Quality Check ratings across most initiatives in Australia’s development assistance to Samoa remained the same or slightly improved compared with last year. However, designs scheduled for </w:t>
      </w:r>
      <w:r w:rsidR="00925D0E" w:rsidRPr="009376D7">
        <w:t>supporting the education and health sectors</w:t>
      </w:r>
      <w:r w:rsidRPr="009376D7">
        <w:t xml:space="preserve"> were impacted by government delays in setting strategy and in engagement</w:t>
      </w:r>
      <w:r w:rsidR="00925D0E" w:rsidRPr="009376D7">
        <w:t xml:space="preserve"> with donors</w:t>
      </w:r>
      <w:r w:rsidRPr="009376D7">
        <w:t xml:space="preserve">. </w:t>
      </w:r>
      <w:r w:rsidR="00B77B92" w:rsidRPr="009376D7">
        <w:t xml:space="preserve">The Health program </w:t>
      </w:r>
      <w:r w:rsidR="00D73316" w:rsidRPr="009376D7">
        <w:t xml:space="preserve">will be </w:t>
      </w:r>
      <w:r w:rsidR="003B64FA" w:rsidRPr="009376D7">
        <w:t>review</w:t>
      </w:r>
      <w:r w:rsidR="00D73316" w:rsidRPr="009376D7">
        <w:t>ed</w:t>
      </w:r>
      <w:r w:rsidR="003B64FA" w:rsidRPr="009376D7">
        <w:t xml:space="preserve"> during 2019-20</w:t>
      </w:r>
      <w:r w:rsidR="00D73316" w:rsidRPr="009376D7">
        <w:t xml:space="preserve"> and findings</w:t>
      </w:r>
      <w:r w:rsidR="003B64FA" w:rsidRPr="009376D7">
        <w:t xml:space="preserve"> will be used in the design of future support and to improve existing activities.</w:t>
      </w:r>
    </w:p>
    <w:p w:rsidR="00A76E71" w:rsidRPr="009376D7" w:rsidRDefault="00AE4E1D" w:rsidP="009376D7">
      <w:pPr>
        <w:spacing w:line="240" w:lineRule="auto"/>
      </w:pPr>
      <w:r w:rsidRPr="009376D7">
        <w:t>The Gender Adviser</w:t>
      </w:r>
      <w:r w:rsidR="00925D0E" w:rsidRPr="009376D7">
        <w:t>, supported through Pacific Women,</w:t>
      </w:r>
      <w:r w:rsidRPr="009376D7">
        <w:t xml:space="preserve"> worked with program managers to </w:t>
      </w:r>
      <w:r w:rsidR="00200697" w:rsidRPr="009376D7">
        <w:t xml:space="preserve">improve analysis </w:t>
      </w:r>
      <w:r w:rsidR="00B94428">
        <w:t>of</w:t>
      </w:r>
      <w:r w:rsidR="00200697" w:rsidRPr="009376D7">
        <w:t xml:space="preserve"> progress towards </w:t>
      </w:r>
      <w:r w:rsidRPr="009376D7">
        <w:t xml:space="preserve">gender equality and empowerment of women and girls </w:t>
      </w:r>
      <w:r w:rsidR="00200697" w:rsidRPr="009376D7">
        <w:t xml:space="preserve">during this </w:t>
      </w:r>
      <w:r w:rsidRPr="009376D7">
        <w:t>year</w:t>
      </w:r>
      <w:r w:rsidR="00200697" w:rsidRPr="009376D7">
        <w:t>’s Aid Quality Check process</w:t>
      </w:r>
      <w:r w:rsidRPr="009376D7">
        <w:t xml:space="preserve">. </w:t>
      </w:r>
      <w:r w:rsidR="003B64FA" w:rsidRPr="009376D7">
        <w:t xml:space="preserve">Ratings for gender </w:t>
      </w:r>
      <w:r w:rsidR="00200697" w:rsidRPr="009376D7">
        <w:t xml:space="preserve">equality </w:t>
      </w:r>
      <w:r w:rsidR="003B64FA" w:rsidRPr="009376D7">
        <w:t>improved in many programs (Health, Government Support and Women in Leadership)</w:t>
      </w:r>
      <w:r w:rsidR="00200697" w:rsidRPr="009376D7">
        <w:t xml:space="preserve"> but declined for </w:t>
      </w:r>
      <w:r w:rsidR="00DE7B54">
        <w:t>e</w:t>
      </w:r>
      <w:r w:rsidR="00200697" w:rsidRPr="009376D7">
        <w:t xml:space="preserve">ducation and </w:t>
      </w:r>
      <w:r w:rsidR="00DE7B54">
        <w:t>g</w:t>
      </w:r>
      <w:r w:rsidR="00200697" w:rsidRPr="009376D7">
        <w:t>overnance, taking into account both AQC and FAQC scores</w:t>
      </w:r>
      <w:r w:rsidR="003B64FA" w:rsidRPr="009376D7">
        <w:t xml:space="preserve">. </w:t>
      </w:r>
      <w:r w:rsidR="00200697" w:rsidRPr="009376D7">
        <w:t>The Samoa program has dropped from a rating of 90 per cent to 78 per cent of investments satisfactorily addressing gender equality, not quite achieving the 80 per</w:t>
      </w:r>
      <w:r w:rsidR="00B94428">
        <w:t xml:space="preserve"> </w:t>
      </w:r>
      <w:r w:rsidR="00200697" w:rsidRPr="009376D7">
        <w:t xml:space="preserve">cent target. </w:t>
      </w:r>
      <w:r w:rsidR="00B94428">
        <w:t>We will ensure new designs to be finalised during 2019-20 integrate gender concerns effectively.</w:t>
      </w:r>
    </w:p>
    <w:p w:rsidR="0082773C" w:rsidRPr="009376D7" w:rsidRDefault="00AE4E1D" w:rsidP="009376D7">
      <w:pPr>
        <w:spacing w:line="240" w:lineRule="auto"/>
      </w:pPr>
      <w:r w:rsidRPr="009376D7">
        <w:t>M</w:t>
      </w:r>
      <w:r w:rsidR="003B64FA" w:rsidRPr="009376D7">
        <w:t xml:space="preserve">easures have been put in place through the Terms of </w:t>
      </w:r>
      <w:r w:rsidR="00C821E2" w:rsidRPr="009376D7">
        <w:t>R</w:t>
      </w:r>
      <w:r w:rsidR="003B64FA" w:rsidRPr="009376D7">
        <w:t>eference</w:t>
      </w:r>
      <w:r w:rsidR="00925D0E" w:rsidRPr="009376D7">
        <w:t xml:space="preserve"> for the new education program design</w:t>
      </w:r>
      <w:r w:rsidR="003B64FA" w:rsidRPr="009376D7">
        <w:t xml:space="preserve"> to strengthen the focus on gender equality</w:t>
      </w:r>
      <w:r w:rsidR="00336923" w:rsidRPr="009376D7">
        <w:t xml:space="preserve"> and social inclusion</w:t>
      </w:r>
      <w:r w:rsidR="003B64FA" w:rsidRPr="009376D7">
        <w:t xml:space="preserve"> for </w:t>
      </w:r>
      <w:r w:rsidR="00925D0E" w:rsidRPr="009376D7">
        <w:t>e</w:t>
      </w:r>
      <w:r w:rsidR="003B64FA" w:rsidRPr="009376D7">
        <w:t xml:space="preserve">ducation support. </w:t>
      </w:r>
      <w:r w:rsidR="00312887" w:rsidRPr="009376D7">
        <w:t xml:space="preserve">Lessons learned from the Governance program (captured in the FAQC) have been incorporated into the subsequent Samoa Governance Support Program, including the need for an overarching framework against which facility proposals can be assessed and outcomes measured, and the requirement for gender to be effectively considered and incorporated into proposals. </w:t>
      </w:r>
    </w:p>
    <w:p w:rsidR="00FD164D" w:rsidRPr="009376D7" w:rsidRDefault="0082773C" w:rsidP="009376D7">
      <w:pPr>
        <w:spacing w:line="240" w:lineRule="auto"/>
      </w:pPr>
      <w:r w:rsidRPr="009376D7">
        <w:t xml:space="preserve">An evaluation of the </w:t>
      </w:r>
      <w:r w:rsidRPr="009376D7">
        <w:rPr>
          <w:b/>
        </w:rPr>
        <w:t>Cyclone Evan Response and Recovery Program</w:t>
      </w:r>
      <w:r w:rsidRPr="009376D7">
        <w:t xml:space="preserve"> was undertaken in 2018-19. Under the program, Australia helped Samoa restore education and health services affected by Cyclone Evan in late 2012. Australia rebuilt two hospitals and seven school buildings and repaired five rural health clinics and 36 schools. The evaluation found qualitative evidence of better service delivery in health and education due to </w:t>
      </w:r>
      <w:r w:rsidRPr="009376D7">
        <w:lastRenderedPageBreak/>
        <w:t xml:space="preserve">improved infrastructure. However, there was a missed opportunity to address broader infrastructure needs in both sectors as recovery efforts focused on rehabilitating damaged infrastructure. Also, whilst the needs of vulnerable groups were considered, it was limited to physical accessibility. An adequate analysis of gender and disability issues would have ensured a more comprehensive approach to addressing the needs of vulnerable groups beyond physical access during the recovery process. </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rsidR="009F5488" w:rsidRPr="009376D7" w:rsidRDefault="00AA5BDA" w:rsidP="009376D7">
      <w:pPr>
        <w:spacing w:line="240" w:lineRule="auto"/>
      </w:pPr>
      <w:r w:rsidRPr="009376D7">
        <w:t>Following an assessment of Australian development assistance to Samoa, the following management responses have been identified to address challenges and risks associated with the program in 2019-20:</w:t>
      </w:r>
    </w:p>
    <w:p w:rsidR="00082D18" w:rsidRPr="009376D7" w:rsidRDefault="00082D18" w:rsidP="009376D7">
      <w:pPr>
        <w:pStyle w:val="ListParagraph"/>
        <w:numPr>
          <w:ilvl w:val="0"/>
          <w:numId w:val="55"/>
        </w:numPr>
        <w:spacing w:line="240" w:lineRule="auto"/>
      </w:pPr>
      <w:r w:rsidRPr="009376D7">
        <w:t>During partnership discussions scheduled for 2019 – 2020</w:t>
      </w:r>
      <w:r w:rsidR="009376D7">
        <w:t>,</w:t>
      </w:r>
      <w:r w:rsidRPr="009376D7">
        <w:t xml:space="preserve"> </w:t>
      </w:r>
      <w:r w:rsidR="00DE7B54">
        <w:t xml:space="preserve">develop </w:t>
      </w:r>
      <w:r w:rsidR="00DE7B54" w:rsidRPr="009376D7">
        <w:t>mutual</w:t>
      </w:r>
      <w:r w:rsidR="00DE7B54">
        <w:t>ly agreed</w:t>
      </w:r>
      <w:r w:rsidR="00DE7B54" w:rsidRPr="009376D7">
        <w:t xml:space="preserve"> development priorities</w:t>
      </w:r>
      <w:r w:rsidR="00DE7B54">
        <w:t xml:space="preserve"> and obligations with the Government of Samoa, </w:t>
      </w:r>
      <w:r w:rsidRPr="009376D7">
        <w:t>align</w:t>
      </w:r>
      <w:r w:rsidR="00DE7B54">
        <w:t xml:space="preserve">ed with </w:t>
      </w:r>
      <w:r w:rsidRPr="009376D7">
        <w:t xml:space="preserve">Samoa’s Strategy for Development </w:t>
      </w:r>
      <w:r w:rsidR="00F4318A" w:rsidRPr="009376D7">
        <w:t xml:space="preserve">(SDS) </w:t>
      </w:r>
      <w:r w:rsidRPr="009376D7">
        <w:t xml:space="preserve">and Samoa 2040, </w:t>
      </w:r>
      <w:r w:rsidR="00DE7B54">
        <w:t>as well as</w:t>
      </w:r>
      <w:r w:rsidRPr="009376D7">
        <w:t xml:space="preserve"> Australia’s White Paper and Pacific Step</w:t>
      </w:r>
      <w:r w:rsidR="00925D0E" w:rsidRPr="009376D7">
        <w:t>-u</w:t>
      </w:r>
      <w:r w:rsidRPr="009376D7">
        <w:t xml:space="preserve">p </w:t>
      </w:r>
      <w:r w:rsidR="00F4318A" w:rsidRPr="009376D7">
        <w:t>priorities</w:t>
      </w:r>
      <w:r w:rsidR="00DE7B54">
        <w:t>.</w:t>
      </w:r>
    </w:p>
    <w:p w:rsidR="00AA5BDA" w:rsidRPr="009376D7" w:rsidRDefault="004B2A83" w:rsidP="009376D7">
      <w:pPr>
        <w:pStyle w:val="ListParagraph"/>
        <w:numPr>
          <w:ilvl w:val="0"/>
          <w:numId w:val="55"/>
        </w:numPr>
        <w:spacing w:line="240" w:lineRule="auto"/>
      </w:pPr>
      <w:r w:rsidRPr="009376D7">
        <w:t>As agreed with the Ministry of Finance</w:t>
      </w:r>
      <w:r w:rsidR="00B94428">
        <w:t>,</w:t>
      </w:r>
      <w:r w:rsidRPr="009376D7">
        <w:t xml:space="preserve"> use DFAT procurement systems for the construction of the Parliamentary Complex Phase 2 to satisfy the </w:t>
      </w:r>
      <w:r w:rsidR="0025035C" w:rsidRPr="009376D7">
        <w:t>Samoan Government’s</w:t>
      </w:r>
      <w:r w:rsidRPr="009376D7">
        <w:t xml:space="preserve"> requirement for the Legislative Assembly Office to be completed </w:t>
      </w:r>
      <w:r w:rsidR="00082D18" w:rsidRPr="009376D7">
        <w:t>with</w:t>
      </w:r>
      <w:r w:rsidRPr="009376D7">
        <w:t xml:space="preserve">in a tight timeframe. </w:t>
      </w:r>
    </w:p>
    <w:p w:rsidR="00A34655" w:rsidRPr="009376D7" w:rsidRDefault="00A8669E" w:rsidP="009376D7">
      <w:pPr>
        <w:pStyle w:val="ListParagraph"/>
        <w:numPr>
          <w:ilvl w:val="0"/>
          <w:numId w:val="55"/>
        </w:numPr>
        <w:spacing w:line="240" w:lineRule="auto"/>
      </w:pPr>
      <w:r w:rsidRPr="009376D7">
        <w:t xml:space="preserve">Provide </w:t>
      </w:r>
      <w:r w:rsidR="00DE7B54" w:rsidRPr="009376D7">
        <w:t>long-term</w:t>
      </w:r>
      <w:r w:rsidRPr="009376D7">
        <w:t xml:space="preserve"> procurement expertise to support </w:t>
      </w:r>
      <w:r w:rsidR="00DE7B54">
        <w:t xml:space="preserve">the </w:t>
      </w:r>
      <w:r w:rsidR="0025035C" w:rsidRPr="009376D7">
        <w:t>Samoan Government</w:t>
      </w:r>
      <w:r w:rsidRPr="009376D7">
        <w:t xml:space="preserve"> </w:t>
      </w:r>
      <w:r w:rsidR="00082D18" w:rsidRPr="009376D7">
        <w:t xml:space="preserve">to </w:t>
      </w:r>
      <w:r w:rsidRPr="009376D7">
        <w:t>implement procurement reforms</w:t>
      </w:r>
      <w:r w:rsidR="00DE7B54">
        <w:t>,</w:t>
      </w:r>
      <w:r w:rsidR="000866AA">
        <w:t xml:space="preserve"> as outlined in </w:t>
      </w:r>
      <w:r w:rsidR="00DE7B54">
        <w:t>its</w:t>
      </w:r>
      <w:r w:rsidR="000866AA">
        <w:t xml:space="preserve"> new </w:t>
      </w:r>
      <w:r w:rsidR="00DE7B54">
        <w:t>p</w:t>
      </w:r>
      <w:r w:rsidR="000866AA">
        <w:t xml:space="preserve">rocurement </w:t>
      </w:r>
      <w:r w:rsidR="00DE7B54">
        <w:t>m</w:t>
      </w:r>
      <w:r w:rsidR="000866AA">
        <w:t xml:space="preserve">anual and </w:t>
      </w:r>
      <w:r w:rsidR="001F4A49" w:rsidRPr="009376D7">
        <w:t xml:space="preserve">consistent with </w:t>
      </w:r>
      <w:r w:rsidR="00082D18" w:rsidRPr="009376D7">
        <w:t xml:space="preserve">the </w:t>
      </w:r>
      <w:r w:rsidR="001F4A49" w:rsidRPr="009376D7">
        <w:t>recommendations o</w:t>
      </w:r>
      <w:r w:rsidR="008B7393" w:rsidRPr="009376D7">
        <w:t>f the ANS</w:t>
      </w:r>
      <w:r w:rsidR="00C821E2" w:rsidRPr="009376D7">
        <w:t>.</w:t>
      </w:r>
    </w:p>
    <w:p w:rsidR="00A34655" w:rsidRPr="009376D7" w:rsidRDefault="00925D0E" w:rsidP="009376D7">
      <w:pPr>
        <w:pStyle w:val="ListParagraph"/>
        <w:numPr>
          <w:ilvl w:val="0"/>
          <w:numId w:val="55"/>
        </w:numPr>
        <w:spacing w:line="240" w:lineRule="auto"/>
      </w:pPr>
      <w:r w:rsidRPr="009376D7">
        <w:t>Complete a design for a new investment in education that focuses on</w:t>
      </w:r>
      <w:r w:rsidR="00B94428">
        <w:t xml:space="preserve"> strengthening learning outcomes through</w:t>
      </w:r>
      <w:r w:rsidRPr="009376D7">
        <w:t xml:space="preserve"> improv</w:t>
      </w:r>
      <w:r w:rsidR="00B94428">
        <w:t>ed</w:t>
      </w:r>
      <w:r w:rsidRPr="009376D7">
        <w:t xml:space="preserve"> teacher quality</w:t>
      </w:r>
      <w:r w:rsidR="00B94428">
        <w:t>,</w:t>
      </w:r>
      <w:r w:rsidRPr="009376D7">
        <w:t xml:space="preserve"> and effectively </w:t>
      </w:r>
      <w:r w:rsidR="00E97F28" w:rsidRPr="009376D7">
        <w:t>address</w:t>
      </w:r>
      <w:r w:rsidR="00E97F28">
        <w:t>es</w:t>
      </w:r>
      <w:r w:rsidR="00E97F28" w:rsidRPr="009376D7">
        <w:t xml:space="preserve"> </w:t>
      </w:r>
      <w:r w:rsidRPr="009376D7">
        <w:t>gender equality and disability inclusive education.</w:t>
      </w:r>
      <w:r w:rsidR="000866AA">
        <w:t xml:space="preserve"> </w:t>
      </w:r>
      <w:r w:rsidR="00DE7B54">
        <w:t>In cooperation with APTC, t</w:t>
      </w:r>
      <w:r w:rsidR="000866AA">
        <w:t>he new design wil</w:t>
      </w:r>
      <w:r w:rsidR="00DE7B54">
        <w:t xml:space="preserve">l </w:t>
      </w:r>
      <w:r w:rsidR="000866AA">
        <w:t xml:space="preserve">incorporate a focus on vocational training to provide skills required </w:t>
      </w:r>
      <w:r w:rsidR="00DE7B54">
        <w:t>to gain employment in Samoa and access labour mobility opportunities</w:t>
      </w:r>
      <w:r w:rsidR="000866AA">
        <w:t>.</w:t>
      </w:r>
    </w:p>
    <w:p w:rsidR="00082D18" w:rsidRPr="009376D7" w:rsidRDefault="00F4318A" w:rsidP="009376D7">
      <w:pPr>
        <w:pStyle w:val="ListParagraph"/>
        <w:numPr>
          <w:ilvl w:val="0"/>
          <w:numId w:val="55"/>
        </w:numPr>
        <w:spacing w:line="240" w:lineRule="auto"/>
      </w:pPr>
      <w:r w:rsidRPr="009376D7">
        <w:t>T</w:t>
      </w:r>
      <w:r w:rsidR="00FF2724" w:rsidRPr="009376D7">
        <w:t xml:space="preserve">o mitigate the </w:t>
      </w:r>
      <w:r w:rsidR="00110781" w:rsidRPr="009376D7">
        <w:t>political economy challenges in the health sector</w:t>
      </w:r>
      <w:r w:rsidR="009376D7">
        <w:t>,</w:t>
      </w:r>
      <w:r w:rsidR="00FF2724" w:rsidRPr="009376D7">
        <w:t xml:space="preserve"> </w:t>
      </w:r>
      <w:r w:rsidR="00110781" w:rsidRPr="009376D7">
        <w:t>Australia</w:t>
      </w:r>
      <w:r w:rsidRPr="009376D7">
        <w:t xml:space="preserve"> will work with other development partners and NGOs to progress outcomes agreed with </w:t>
      </w:r>
      <w:r w:rsidR="00110781" w:rsidRPr="009376D7">
        <w:t>the Ministry of Health</w:t>
      </w:r>
      <w:r w:rsidR="003C1CFA">
        <w:t xml:space="preserve">. </w:t>
      </w:r>
      <w:r w:rsidR="00DE7B54">
        <w:t>This</w:t>
      </w:r>
      <w:r w:rsidR="00A63571">
        <w:t xml:space="preserve"> will include technical advisers, service delivery programs and a continuation of the strategic partnership between the Samoa Ministry of Health and Queensland’s Department of Health with a renewed focus on strengthening primary health at community level.</w:t>
      </w:r>
    </w:p>
    <w:p w:rsidR="00F4318A" w:rsidRPr="009376D7" w:rsidRDefault="00AF1D7C" w:rsidP="009376D7">
      <w:pPr>
        <w:pStyle w:val="ListParagraph"/>
        <w:numPr>
          <w:ilvl w:val="0"/>
          <w:numId w:val="55"/>
        </w:numPr>
        <w:spacing w:line="240" w:lineRule="auto"/>
      </w:pPr>
      <w:r w:rsidRPr="009376D7">
        <w:t xml:space="preserve">To mitigate previous investment failures DFAT shifted to a new modality of working with the Ministry of Women, Community and Social Development </w:t>
      </w:r>
      <w:r w:rsidR="0002500B" w:rsidRPr="009376D7">
        <w:t xml:space="preserve">(MWCSD) </w:t>
      </w:r>
      <w:r w:rsidRPr="009376D7">
        <w:t>on the Women in Leadership Samoa</w:t>
      </w:r>
      <w:r w:rsidR="00E97F28">
        <w:t xml:space="preserve"> program</w:t>
      </w:r>
      <w:r w:rsidR="00F90FE4">
        <w:t>,</w:t>
      </w:r>
      <w:r w:rsidRPr="009376D7">
        <w:t xml:space="preserve"> through UNDP and UN Women</w:t>
      </w:r>
      <w:r w:rsidR="00B77B92" w:rsidRPr="009376D7">
        <w:t>,</w:t>
      </w:r>
      <w:r w:rsidRPr="009376D7">
        <w:t xml:space="preserve"> to achieve gender outcomes in Samoa.  As part of a new gender design</w:t>
      </w:r>
      <w:r w:rsidR="00E97F28">
        <w:t>,</w:t>
      </w:r>
      <w:r w:rsidRPr="009376D7">
        <w:t xml:space="preserve"> DFAT will </w:t>
      </w:r>
      <w:r w:rsidR="00E97F28">
        <w:t>develop a plan</w:t>
      </w:r>
      <w:r w:rsidRPr="009376D7">
        <w:t xml:space="preserve"> to build </w:t>
      </w:r>
      <w:r w:rsidR="0002500B" w:rsidRPr="009376D7">
        <w:t xml:space="preserve">the capacity of </w:t>
      </w:r>
      <w:r w:rsidRPr="009376D7">
        <w:t xml:space="preserve">MWCSD with the aim of </w:t>
      </w:r>
      <w:r w:rsidR="00110781" w:rsidRPr="009376D7">
        <w:t>recommencing funding</w:t>
      </w:r>
      <w:r w:rsidR="00E97F28">
        <w:t xml:space="preserve"> to achieve women’s empowerment and gender equality outcomes </w:t>
      </w:r>
      <w:r w:rsidR="00110781" w:rsidRPr="009376D7">
        <w:t>through this Ministry.</w:t>
      </w:r>
      <w:r w:rsidRPr="009376D7">
        <w:t xml:space="preserve"> </w:t>
      </w:r>
      <w:r w:rsidR="000866AA">
        <w:t xml:space="preserve"> Support for mainstreaming gender by MWCSD will continue in </w:t>
      </w:r>
      <w:r w:rsidR="00DE7B54">
        <w:t>the new</w:t>
      </w:r>
      <w:r w:rsidR="000866AA">
        <w:t xml:space="preserve"> gender program.</w:t>
      </w:r>
    </w:p>
    <w:p w:rsidR="00015316" w:rsidRDefault="00AF1D7C" w:rsidP="009714E5">
      <w:pPr>
        <w:pStyle w:val="ListParagraph"/>
        <w:numPr>
          <w:ilvl w:val="0"/>
          <w:numId w:val="55"/>
        </w:numPr>
        <w:spacing w:after="0" w:line="240" w:lineRule="auto"/>
      </w:pPr>
      <w:r w:rsidRPr="009376D7">
        <w:t>As the only donor in the disability sector</w:t>
      </w:r>
      <w:r w:rsidR="00997EE2">
        <w:t>,</w:t>
      </w:r>
      <w:r w:rsidRPr="009376D7">
        <w:t xml:space="preserve"> DFAT will continue to work with the health and education sectors to mainstream and </w:t>
      </w:r>
      <w:r w:rsidR="00997EE2">
        <w:t>embed</w:t>
      </w:r>
      <w:r w:rsidRPr="009376D7">
        <w:t xml:space="preserve"> previous achievements </w:t>
      </w:r>
      <w:r w:rsidR="000312FC" w:rsidRPr="009376D7">
        <w:t>in Inclusive Education and the M</w:t>
      </w:r>
      <w:r w:rsidR="00997EE2">
        <w:t>obility Device Centre.</w:t>
      </w:r>
    </w:p>
    <w:p w:rsidR="00015316" w:rsidRDefault="00015316" w:rsidP="005B5769">
      <w:pPr>
        <w:pStyle w:val="ListBullet"/>
        <w:tabs>
          <w:tab w:val="clear" w:pos="284"/>
        </w:tabs>
      </w:pPr>
    </w:p>
    <w:p w:rsidR="00D00802" w:rsidRDefault="00D00802" w:rsidP="005B5769">
      <w:pPr>
        <w:pStyle w:val="ListBullet"/>
        <w:tabs>
          <w:tab w:val="clear" w:pos="284"/>
        </w:tabs>
      </w:pPr>
    </w:p>
    <w:p w:rsidR="00E97F28" w:rsidRDefault="00E97F28" w:rsidP="005B5769">
      <w:pPr>
        <w:pStyle w:val="ListBullet"/>
        <w:tabs>
          <w:tab w:val="clear" w:pos="284"/>
        </w:tabs>
        <w:sectPr w:rsidR="00E97F28" w:rsidSect="004D1B00">
          <w:type w:val="continuous"/>
          <w:pgSz w:w="11906" w:h="16838" w:code="9"/>
          <w:pgMar w:top="1811" w:right="1134" w:bottom="851" w:left="1134" w:header="1565" w:footer="342" w:gutter="0"/>
          <w:cols w:space="397"/>
          <w:docGrid w:linePitch="360"/>
        </w:sectPr>
      </w:pPr>
    </w:p>
    <w:p w:rsidR="00AF1B85" w:rsidRPr="00EF26B5" w:rsidRDefault="00AF1B85"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A - Progress in Addressing Management Responses</w:t>
      </w:r>
    </w:p>
    <w:p w:rsidR="00AF1B85" w:rsidRPr="00085E5F" w:rsidRDefault="00AF1B85" w:rsidP="00C73C66">
      <w:pPr>
        <w:spacing w:after="120"/>
        <w:rPr>
          <w:color w:val="FF0000"/>
        </w:rPr>
      </w:pP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1179"/>
        <w:gridCol w:w="6733"/>
      </w:tblGrid>
      <w:tr w:rsidR="00AF1B85" w:rsidRPr="00812509" w:rsidTr="00985472">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5D57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sidR="005D5723">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5D5723">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D5723">
              <w:rPr>
                <w:rFonts w:asciiTheme="minorHAnsi" w:eastAsia="Times New Roman" w:hAnsiTheme="minorHAnsi"/>
                <w:b/>
                <w:iCs/>
                <w:szCs w:val="17"/>
                <w:lang w:eastAsia="en-US"/>
              </w:rPr>
              <w:t>8-19</w:t>
            </w:r>
          </w:p>
        </w:tc>
      </w:tr>
      <w:tr w:rsidR="00985472" w:rsidRPr="00812509" w:rsidTr="00CF6DA7">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85472" w:rsidRPr="00812509" w:rsidRDefault="00985472" w:rsidP="0098547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will engage a gender adviser to support post and provide capacity building for staff and improve gender mainstreaming of DFAT sector programs.</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tcPr>
          <w:p w:rsidR="00985472" w:rsidRPr="00812509" w:rsidRDefault="00CF6DA7" w:rsidP="00985472">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85472" w:rsidRPr="00CF6DA7" w:rsidRDefault="00AE4E1D" w:rsidP="00200697">
            <w:pPr>
              <w:keepLines/>
              <w:spacing w:before="40" w:after="40" w:line="200" w:lineRule="atLeast"/>
              <w:rPr>
                <w:rFonts w:asciiTheme="minorHAnsi" w:eastAsia="Times New Roman" w:hAnsiTheme="minorHAnsi"/>
                <w:iCs/>
                <w:color w:val="auto"/>
                <w:szCs w:val="17"/>
                <w:lang w:eastAsia="en-US"/>
              </w:rPr>
            </w:pPr>
            <w:r w:rsidRPr="00AE4E1D">
              <w:rPr>
                <w:rFonts w:asciiTheme="minorHAnsi" w:eastAsia="Times New Roman" w:hAnsiTheme="minorHAnsi"/>
                <w:iCs/>
                <w:color w:val="auto"/>
                <w:szCs w:val="17"/>
                <w:lang w:eastAsia="en-US"/>
              </w:rPr>
              <w:t>A Gender adviser was engaged through Pacific Women to support Post and the Ministry of Women</w:t>
            </w:r>
            <w:r>
              <w:rPr>
                <w:rFonts w:asciiTheme="minorHAnsi" w:eastAsia="Times New Roman" w:hAnsiTheme="minorHAnsi"/>
                <w:iCs/>
                <w:color w:val="auto"/>
                <w:szCs w:val="17"/>
                <w:lang w:eastAsia="en-US"/>
              </w:rPr>
              <w:t>,</w:t>
            </w:r>
            <w:r w:rsidRPr="00AE4E1D">
              <w:rPr>
                <w:rFonts w:asciiTheme="minorHAnsi" w:eastAsia="Times New Roman" w:hAnsiTheme="minorHAnsi"/>
                <w:iCs/>
                <w:color w:val="auto"/>
                <w:szCs w:val="17"/>
                <w:lang w:eastAsia="en-US"/>
              </w:rPr>
              <w:t xml:space="preserve"> Community</w:t>
            </w:r>
            <w:r>
              <w:rPr>
                <w:rFonts w:asciiTheme="minorHAnsi" w:eastAsia="Times New Roman" w:hAnsiTheme="minorHAnsi"/>
                <w:iCs/>
                <w:color w:val="auto"/>
                <w:szCs w:val="17"/>
                <w:lang w:eastAsia="en-US"/>
              </w:rPr>
              <w:t xml:space="preserve"> and Social</w:t>
            </w:r>
            <w:r w:rsidRPr="00AE4E1D">
              <w:rPr>
                <w:rFonts w:asciiTheme="minorHAnsi" w:eastAsia="Times New Roman" w:hAnsiTheme="minorHAnsi"/>
                <w:iCs/>
                <w:color w:val="auto"/>
                <w:szCs w:val="17"/>
                <w:lang w:eastAsia="en-US"/>
              </w:rPr>
              <w:t xml:space="preserve"> Development</w:t>
            </w:r>
            <w:r>
              <w:rPr>
                <w:rFonts w:asciiTheme="minorHAnsi" w:eastAsia="Times New Roman" w:hAnsiTheme="minorHAnsi"/>
                <w:iCs/>
                <w:color w:val="auto"/>
                <w:szCs w:val="17"/>
                <w:lang w:eastAsia="en-US"/>
              </w:rPr>
              <w:t xml:space="preserve"> (MWCSD)</w:t>
            </w:r>
            <w:r w:rsidRPr="00AE4E1D">
              <w:rPr>
                <w:rFonts w:asciiTheme="minorHAnsi" w:eastAsia="Times New Roman" w:hAnsiTheme="minorHAnsi"/>
                <w:iCs/>
                <w:color w:val="auto"/>
                <w:szCs w:val="17"/>
                <w:lang w:eastAsia="en-US"/>
              </w:rPr>
              <w:t xml:space="preserve"> for 2018</w:t>
            </w:r>
            <w:r>
              <w:rPr>
                <w:rFonts w:asciiTheme="minorHAnsi" w:eastAsia="Times New Roman" w:hAnsiTheme="minorHAnsi"/>
                <w:iCs/>
                <w:color w:val="auto"/>
                <w:szCs w:val="17"/>
                <w:lang w:eastAsia="en-US"/>
              </w:rPr>
              <w:t>-</w:t>
            </w:r>
            <w:r w:rsidRPr="00AE4E1D">
              <w:rPr>
                <w:rFonts w:asciiTheme="minorHAnsi" w:eastAsia="Times New Roman" w:hAnsiTheme="minorHAnsi"/>
                <w:iCs/>
                <w:color w:val="auto"/>
                <w:szCs w:val="17"/>
                <w:lang w:eastAsia="en-US"/>
              </w:rPr>
              <w:t xml:space="preserve">19. The adviser assisted program managers with the narration and rating of gender for </w:t>
            </w:r>
            <w:r w:rsidR="00785479">
              <w:rPr>
                <w:rFonts w:asciiTheme="minorHAnsi" w:eastAsia="Times New Roman" w:hAnsiTheme="minorHAnsi"/>
                <w:iCs/>
                <w:color w:val="auto"/>
                <w:szCs w:val="17"/>
                <w:lang w:eastAsia="en-US"/>
              </w:rPr>
              <w:t>Aid Quality Checks</w:t>
            </w:r>
            <w:r w:rsidRPr="00AE4E1D">
              <w:rPr>
                <w:rFonts w:asciiTheme="minorHAnsi" w:eastAsia="Times New Roman" w:hAnsiTheme="minorHAnsi"/>
                <w:iCs/>
                <w:color w:val="auto"/>
                <w:szCs w:val="17"/>
                <w:lang w:eastAsia="en-US"/>
              </w:rPr>
              <w:t xml:space="preserve">. A gender analysis was also completed to assist Post, with the support of Pacific Women, in progressing a new gender program design for Samoa. </w:t>
            </w:r>
            <w:r w:rsidR="00B85D51">
              <w:rPr>
                <w:rFonts w:asciiTheme="minorHAnsi" w:eastAsia="Times New Roman" w:hAnsiTheme="minorHAnsi"/>
                <w:iCs/>
                <w:color w:val="auto"/>
                <w:szCs w:val="17"/>
                <w:lang w:eastAsia="en-US"/>
              </w:rPr>
              <w:t>G</w:t>
            </w:r>
            <w:r w:rsidRPr="00AE4E1D">
              <w:rPr>
                <w:rFonts w:asciiTheme="minorHAnsi" w:eastAsia="Times New Roman" w:hAnsiTheme="minorHAnsi"/>
                <w:iCs/>
                <w:color w:val="auto"/>
                <w:szCs w:val="17"/>
                <w:lang w:eastAsia="en-US"/>
              </w:rPr>
              <w:t>ender mainstreaming training was delivered by the gender adviser to public servants from various government agencies, facilitated by the Public Service Commission and the MWCSD.</w:t>
            </w:r>
          </w:p>
        </w:tc>
      </w:tr>
      <w:tr w:rsidR="00AF1B85" w:rsidRPr="00812509" w:rsidTr="00985472">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F3033" w:rsidP="00FF303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will develop a design brief for the construction of the new Legislative Assembly Office (part of the Parliamentary complex) which builds on the lessons learned from the construction of the Parliament House and supports government systems without burdening those systems.</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5319F3" w:rsidRDefault="005319F3" w:rsidP="00B85D51">
            <w:pPr>
              <w:keepLines/>
              <w:spacing w:before="40" w:after="40" w:line="200" w:lineRule="atLeast"/>
              <w:rPr>
                <w:rFonts w:asciiTheme="minorHAnsi" w:eastAsia="Times New Roman" w:hAnsiTheme="minorHAnsi"/>
                <w:iCs/>
                <w:color w:val="auto"/>
                <w:szCs w:val="17"/>
                <w:lang w:eastAsia="en-US"/>
              </w:rPr>
            </w:pPr>
            <w:r w:rsidRPr="005319F3">
              <w:rPr>
                <w:rFonts w:asciiTheme="minorHAnsi" w:eastAsia="Times New Roman" w:hAnsiTheme="minorHAnsi"/>
                <w:iCs/>
                <w:color w:val="auto"/>
                <w:szCs w:val="17"/>
                <w:lang w:eastAsia="en-US"/>
              </w:rPr>
              <w:t xml:space="preserve">The design brief was developed. </w:t>
            </w:r>
            <w:r>
              <w:rPr>
                <w:rFonts w:asciiTheme="minorHAnsi" w:eastAsia="Times New Roman" w:hAnsiTheme="minorHAnsi"/>
                <w:iCs/>
                <w:color w:val="auto"/>
                <w:szCs w:val="17"/>
                <w:lang w:eastAsia="en-US"/>
              </w:rPr>
              <w:t>Based on</w:t>
            </w:r>
            <w:r w:rsidRPr="005319F3">
              <w:rPr>
                <w:rFonts w:asciiTheme="minorHAnsi" w:eastAsia="Times New Roman" w:hAnsiTheme="minorHAnsi"/>
                <w:iCs/>
                <w:color w:val="auto"/>
                <w:szCs w:val="17"/>
                <w:lang w:eastAsia="en-US"/>
              </w:rPr>
              <w:t xml:space="preserve"> lessons learned f</w:t>
            </w:r>
            <w:r>
              <w:rPr>
                <w:rFonts w:asciiTheme="minorHAnsi" w:eastAsia="Times New Roman" w:hAnsiTheme="minorHAnsi"/>
                <w:iCs/>
                <w:color w:val="auto"/>
                <w:szCs w:val="17"/>
                <w:lang w:eastAsia="en-US"/>
              </w:rPr>
              <w:t>r</w:t>
            </w:r>
            <w:r w:rsidRPr="005319F3">
              <w:rPr>
                <w:rFonts w:asciiTheme="minorHAnsi" w:eastAsia="Times New Roman" w:hAnsiTheme="minorHAnsi"/>
                <w:iCs/>
                <w:color w:val="auto"/>
                <w:szCs w:val="17"/>
                <w:lang w:eastAsia="en-US"/>
              </w:rPr>
              <w:t xml:space="preserve">om the construction of Parliament House, procurement will be </w:t>
            </w:r>
            <w:r w:rsidR="00B85D51">
              <w:rPr>
                <w:rFonts w:asciiTheme="minorHAnsi" w:eastAsia="Times New Roman" w:hAnsiTheme="minorHAnsi"/>
                <w:iCs/>
                <w:color w:val="auto"/>
                <w:szCs w:val="17"/>
                <w:lang w:eastAsia="en-US"/>
              </w:rPr>
              <w:t>undertaken</w:t>
            </w:r>
            <w:r w:rsidR="00B85D51" w:rsidRPr="005319F3">
              <w:rPr>
                <w:rFonts w:asciiTheme="minorHAnsi" w:eastAsia="Times New Roman" w:hAnsiTheme="minorHAnsi"/>
                <w:iCs/>
                <w:color w:val="auto"/>
                <w:szCs w:val="17"/>
                <w:lang w:eastAsia="en-US"/>
              </w:rPr>
              <w:t xml:space="preserve"> </w:t>
            </w:r>
            <w:r w:rsidRPr="005319F3">
              <w:rPr>
                <w:rFonts w:asciiTheme="minorHAnsi" w:eastAsia="Times New Roman" w:hAnsiTheme="minorHAnsi"/>
                <w:iCs/>
                <w:color w:val="auto"/>
                <w:szCs w:val="17"/>
                <w:lang w:eastAsia="en-US"/>
              </w:rPr>
              <w:t xml:space="preserve">through Australian systems </w:t>
            </w:r>
            <w:r>
              <w:rPr>
                <w:rFonts w:asciiTheme="minorHAnsi" w:eastAsia="Times New Roman" w:hAnsiTheme="minorHAnsi"/>
                <w:iCs/>
                <w:color w:val="auto"/>
                <w:szCs w:val="17"/>
                <w:lang w:eastAsia="en-US"/>
              </w:rPr>
              <w:t>because of the tight time frame required.</w:t>
            </w:r>
          </w:p>
        </w:tc>
      </w:tr>
      <w:tr w:rsidR="00E74E9F" w:rsidRPr="00812509" w:rsidTr="004C0419">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E9F" w:rsidRPr="00812509" w:rsidRDefault="00E74E9F" w:rsidP="00E74E9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will explore ways to strengthen the capacity of the Ministry of Women and Community Development to implement development programs in the future which can achieve results and represent value for money.</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rsidR="00E74E9F" w:rsidRPr="00812509" w:rsidRDefault="00E74E9F" w:rsidP="00E74E9F">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E9F" w:rsidRPr="005319F3" w:rsidRDefault="00E74E9F" w:rsidP="00F9352E">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Ongoing. DFAT is exploring pilot programmes to build capacity. Meanwhile gender programs have been funded through other channels. The disability programme is continuing through the Ministry of Women, with careful monitoring of expenditure</w:t>
            </w:r>
            <w:r w:rsidR="00B85D51">
              <w:rPr>
                <w:rFonts w:asciiTheme="minorHAnsi" w:eastAsia="Times New Roman" w:hAnsiTheme="minorHAnsi"/>
                <w:iCs/>
                <w:color w:val="auto"/>
                <w:szCs w:val="17"/>
                <w:lang w:eastAsia="en-US"/>
              </w:rPr>
              <w:t xml:space="preserve"> and performance</w:t>
            </w:r>
            <w:r>
              <w:rPr>
                <w:rFonts w:asciiTheme="minorHAnsi" w:eastAsia="Times New Roman" w:hAnsiTheme="minorHAnsi"/>
                <w:iCs/>
                <w:color w:val="auto"/>
                <w:szCs w:val="17"/>
                <w:lang w:eastAsia="en-US"/>
              </w:rPr>
              <w:t>.</w:t>
            </w:r>
          </w:p>
        </w:tc>
      </w:tr>
      <w:tr w:rsidR="00E74E9F" w:rsidRPr="00812509" w:rsidTr="00985472">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E9F" w:rsidRPr="00812509" w:rsidRDefault="00E74E9F" w:rsidP="00E74E9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will work together with development partners to strengthen the capacity of the health sector to design and implement an integrated, patient centred primary health care program.</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rsidR="00E74E9F" w:rsidRPr="00812509" w:rsidRDefault="00E74E9F" w:rsidP="00E74E9F">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E9F" w:rsidRPr="005319F3" w:rsidRDefault="0002500B" w:rsidP="00B83C0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Design work was delayed </w:t>
            </w:r>
            <w:r w:rsidR="004C2930">
              <w:rPr>
                <w:rFonts w:asciiTheme="minorHAnsi" w:eastAsia="Times New Roman" w:hAnsiTheme="minorHAnsi"/>
                <w:iCs/>
                <w:color w:val="auto"/>
                <w:szCs w:val="17"/>
                <w:lang w:eastAsia="en-US"/>
              </w:rPr>
              <w:t>during</w:t>
            </w:r>
            <w:r>
              <w:rPr>
                <w:rFonts w:asciiTheme="minorHAnsi" w:eastAsia="Times New Roman" w:hAnsiTheme="minorHAnsi"/>
                <w:iCs/>
                <w:color w:val="auto"/>
                <w:szCs w:val="17"/>
                <w:lang w:eastAsia="en-US"/>
              </w:rPr>
              <w:t xml:space="preserve"> the merger of the Samoan National Health S</w:t>
            </w:r>
            <w:r w:rsidR="007616F6">
              <w:rPr>
                <w:rFonts w:asciiTheme="minorHAnsi" w:eastAsia="Times New Roman" w:hAnsiTheme="minorHAnsi"/>
                <w:iCs/>
                <w:color w:val="auto"/>
                <w:szCs w:val="17"/>
                <w:lang w:eastAsia="en-US"/>
              </w:rPr>
              <w:t>ervice</w:t>
            </w:r>
            <w:r>
              <w:rPr>
                <w:rFonts w:asciiTheme="minorHAnsi" w:eastAsia="Times New Roman" w:hAnsiTheme="minorHAnsi"/>
                <w:iCs/>
                <w:color w:val="auto"/>
                <w:szCs w:val="17"/>
                <w:lang w:eastAsia="en-US"/>
              </w:rPr>
              <w:t xml:space="preserve"> and the Ministry of Health in February 2019</w:t>
            </w:r>
            <w:r w:rsidR="00E74E9F">
              <w:rPr>
                <w:rFonts w:asciiTheme="minorHAnsi" w:eastAsia="Times New Roman" w:hAnsiTheme="minorHAnsi"/>
                <w:iCs/>
                <w:color w:val="auto"/>
                <w:szCs w:val="17"/>
                <w:lang w:eastAsia="en-US"/>
              </w:rPr>
              <w:t>. Initial plans are in place with relevant partners e</w:t>
            </w:r>
            <w:r w:rsidR="00B83C01">
              <w:rPr>
                <w:rFonts w:asciiTheme="minorHAnsi" w:eastAsia="Times New Roman" w:hAnsiTheme="minorHAnsi"/>
                <w:iCs/>
                <w:color w:val="auto"/>
                <w:szCs w:val="17"/>
                <w:lang w:eastAsia="en-US"/>
              </w:rPr>
              <w:t>.g.</w:t>
            </w:r>
            <w:r w:rsidR="00E74E9F">
              <w:rPr>
                <w:rFonts w:asciiTheme="minorHAnsi" w:eastAsia="Times New Roman" w:hAnsiTheme="minorHAnsi"/>
                <w:iCs/>
                <w:color w:val="auto"/>
                <w:szCs w:val="17"/>
                <w:lang w:eastAsia="en-US"/>
              </w:rPr>
              <w:t xml:space="preserve"> WHO, UN</w:t>
            </w:r>
            <w:r w:rsidR="00B83C01">
              <w:rPr>
                <w:rFonts w:asciiTheme="minorHAnsi" w:eastAsia="Times New Roman" w:hAnsiTheme="minorHAnsi"/>
                <w:iCs/>
                <w:color w:val="auto"/>
                <w:szCs w:val="17"/>
                <w:lang w:eastAsia="en-US"/>
              </w:rPr>
              <w:t>ICEF</w:t>
            </w:r>
            <w:r w:rsidR="00E74E9F">
              <w:rPr>
                <w:rFonts w:asciiTheme="minorHAnsi" w:eastAsia="Times New Roman" w:hAnsiTheme="minorHAnsi"/>
                <w:iCs/>
                <w:color w:val="auto"/>
                <w:szCs w:val="17"/>
                <w:lang w:eastAsia="en-US"/>
              </w:rPr>
              <w:t xml:space="preserve"> and WB to move forward.</w:t>
            </w:r>
          </w:p>
        </w:tc>
      </w:tr>
      <w:tr w:rsidR="00E74E9F" w:rsidRPr="00812509" w:rsidTr="00AC6459">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E9F" w:rsidRPr="00812509" w:rsidRDefault="00E74E9F" w:rsidP="00C56C3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DFAT will explore ways to strengthen technical and vocational education in Samoa to ensure that more Samoans are able to take advantage of the opportunities available through the </w:t>
            </w:r>
            <w:r w:rsidR="00C56C34">
              <w:rPr>
                <w:rFonts w:asciiTheme="minorHAnsi" w:eastAsia="Times New Roman" w:hAnsiTheme="minorHAnsi"/>
                <w:iCs/>
                <w:szCs w:val="17"/>
                <w:lang w:eastAsia="en-US"/>
              </w:rPr>
              <w:t xml:space="preserve">Pacific Labour </w:t>
            </w:r>
            <w:r>
              <w:rPr>
                <w:rFonts w:asciiTheme="minorHAnsi" w:eastAsia="Times New Roman" w:hAnsiTheme="minorHAnsi"/>
                <w:iCs/>
                <w:szCs w:val="17"/>
                <w:lang w:eastAsia="en-US"/>
              </w:rPr>
              <w:t>Scheme.</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rsidR="00E74E9F" w:rsidRPr="00812509" w:rsidRDefault="00E74E9F" w:rsidP="00E74E9F">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E9F" w:rsidRPr="005319F3" w:rsidRDefault="00E74E9F" w:rsidP="00B85D5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DFAT is working with the Government of Samoa on a National TVET Strategy, and with APTC to maximise support to the TVET sector. Early successes with uptake onto the </w:t>
            </w:r>
            <w:r w:rsidR="00C56C34">
              <w:rPr>
                <w:rFonts w:asciiTheme="minorHAnsi" w:eastAsia="Times New Roman" w:hAnsiTheme="minorHAnsi"/>
                <w:iCs/>
                <w:color w:val="auto"/>
                <w:szCs w:val="17"/>
                <w:lang w:eastAsia="en-US"/>
              </w:rPr>
              <w:t xml:space="preserve">Pacific </w:t>
            </w:r>
            <w:r>
              <w:rPr>
                <w:rFonts w:asciiTheme="minorHAnsi" w:eastAsia="Times New Roman" w:hAnsiTheme="minorHAnsi"/>
                <w:iCs/>
                <w:color w:val="auto"/>
                <w:szCs w:val="17"/>
                <w:lang w:eastAsia="en-US"/>
              </w:rPr>
              <w:t>Labour Scheme</w:t>
            </w:r>
            <w:r w:rsidR="00244B2B">
              <w:rPr>
                <w:rFonts w:asciiTheme="minorHAnsi" w:eastAsia="Times New Roman" w:hAnsiTheme="minorHAnsi"/>
                <w:iCs/>
                <w:color w:val="auto"/>
                <w:szCs w:val="17"/>
                <w:lang w:eastAsia="en-US"/>
              </w:rPr>
              <w:t xml:space="preserve"> – with 21 Samoan workers (2 women and 19 men) participating in the scheme at 30 June 2019</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28"/>
          <w:pgSz w:w="16838" w:h="11906" w:orient="landscape" w:code="9"/>
          <w:pgMar w:top="1134" w:right="1952" w:bottom="1134" w:left="851" w:header="1107" w:footer="567" w:gutter="0"/>
          <w:cols w:space="397"/>
          <w:titlePg/>
          <w:docGrid w:linePitch="360"/>
        </w:sectPr>
      </w:pPr>
    </w:p>
    <w:p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rsidR="00184F1E" w:rsidRPr="00F8189A" w:rsidRDefault="00F8189A" w:rsidP="00184F1E">
      <w:pPr>
        <w:rPr>
          <w:rFonts w:eastAsia="Times New Roman" w:cstheme="minorHAnsi"/>
          <w:sz w:val="32"/>
          <w:szCs w:val="32"/>
        </w:rPr>
      </w:pPr>
      <w:r>
        <w:rPr>
          <w:rFonts w:eastAsia="Times New Roman" w:cstheme="minorHAnsi"/>
          <w:sz w:val="32"/>
          <w:szCs w:val="32"/>
        </w:rPr>
        <w:t>1</w:t>
      </w:r>
      <w:r w:rsidR="00283FDD">
        <w:rPr>
          <w:rFonts w:eastAsia="Times New Roman" w:cstheme="minorHAnsi"/>
          <w:sz w:val="32"/>
          <w:szCs w:val="32"/>
        </w:rPr>
        <w:t>.</w:t>
      </w:r>
      <w:r>
        <w:rPr>
          <w:rFonts w:eastAsia="Times New Roman" w:cstheme="minorHAnsi"/>
          <w:sz w:val="32"/>
          <w:szCs w:val="32"/>
        </w:rPr>
        <w:t xml:space="preserve"> </w:t>
      </w:r>
      <w:r w:rsidR="00184F1E" w:rsidRPr="00F8189A">
        <w:rPr>
          <w:rFonts w:eastAsia="Times New Roman" w:cstheme="minorHAnsi"/>
          <w:sz w:val="32"/>
          <w:szCs w:val="32"/>
        </w:rPr>
        <w:t>Progress towards Performance Benchmarks in 201</w:t>
      </w:r>
      <w:r w:rsidRPr="00F8189A">
        <w:rPr>
          <w:rFonts w:eastAsia="Times New Roman" w:cstheme="minorHAnsi"/>
          <w:sz w:val="32"/>
          <w:szCs w:val="32"/>
        </w:rPr>
        <w:t>8-19</w:t>
      </w:r>
    </w:p>
    <w:p w:rsidR="00184F1E" w:rsidRPr="00F8189A" w:rsidRDefault="00184F1E" w:rsidP="00C73C66">
      <w:pPr>
        <w:spacing w:after="120"/>
        <w:rPr>
          <w:color w:val="FF0000"/>
        </w:rPr>
      </w:pP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4607"/>
        <w:gridCol w:w="1168"/>
        <w:gridCol w:w="6422"/>
      </w:tblGrid>
      <w:tr w:rsidR="00184F1E" w:rsidRPr="00C61187" w:rsidTr="009D54C6">
        <w:trPr>
          <w:tblHeader/>
        </w:trPr>
        <w:tc>
          <w:tcPr>
            <w:tcW w:w="780" w:type="pct"/>
            <w:tcMar>
              <w:top w:w="57" w:type="dxa"/>
              <w:bottom w:w="57" w:type="dxa"/>
            </w:tcMar>
          </w:tcPr>
          <w:p w:rsidR="00184F1E" w:rsidRPr="00880004" w:rsidRDefault="00184F1E" w:rsidP="00A5433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594" w:type="pct"/>
          </w:tcPr>
          <w:p w:rsidR="00184F1E" w:rsidRPr="00880004" w:rsidRDefault="00184F1E" w:rsidP="00A5433C">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04" w:type="pct"/>
          </w:tcPr>
          <w:p w:rsidR="00184F1E" w:rsidRPr="00880004" w:rsidRDefault="00184F1E" w:rsidP="00A5433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222" w:type="pct"/>
          </w:tcPr>
          <w:p w:rsidR="00184F1E" w:rsidRPr="00880004" w:rsidRDefault="00184F1E" w:rsidP="000847A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0847AD">
              <w:rPr>
                <w:rFonts w:asciiTheme="minorHAnsi" w:eastAsia="Times New Roman" w:hAnsiTheme="minorHAnsi"/>
                <w:b/>
                <w:iCs/>
                <w:szCs w:val="17"/>
                <w:lang w:eastAsia="en-US"/>
              </w:rPr>
              <w:t>8-19</w:t>
            </w:r>
          </w:p>
        </w:tc>
      </w:tr>
      <w:tr w:rsidR="00720CFC" w:rsidRPr="00C61187" w:rsidTr="002D75CF">
        <w:tc>
          <w:tcPr>
            <w:tcW w:w="780" w:type="pct"/>
            <w:tcMar>
              <w:top w:w="57" w:type="dxa"/>
              <w:bottom w:w="57" w:type="dxa"/>
            </w:tcMar>
          </w:tcPr>
          <w:p w:rsidR="00720CFC" w:rsidRPr="001421B7" w:rsidRDefault="00720CFC" w:rsidP="00720CFC">
            <w:pPr>
              <w:keepLines/>
              <w:spacing w:before="40" w:after="40" w:line="200" w:lineRule="atLeast"/>
              <w:rPr>
                <w:rFonts w:asciiTheme="minorHAnsi" w:eastAsia="Times New Roman" w:hAnsiTheme="minorHAnsi"/>
                <w:iCs/>
                <w:color w:val="auto"/>
                <w:szCs w:val="17"/>
                <w:lang w:eastAsia="en-US"/>
              </w:rPr>
            </w:pPr>
            <w:r w:rsidRPr="001421B7">
              <w:rPr>
                <w:rFonts w:asciiTheme="minorHAnsi" w:eastAsia="Times New Roman" w:hAnsiTheme="minorHAnsi"/>
                <w:iCs/>
                <w:color w:val="auto"/>
                <w:szCs w:val="17"/>
                <w:lang w:eastAsia="en-US"/>
              </w:rPr>
              <w:t xml:space="preserve">Enable </w:t>
            </w:r>
            <w:r>
              <w:rPr>
                <w:rFonts w:asciiTheme="minorHAnsi" w:eastAsia="Times New Roman" w:hAnsiTheme="minorHAnsi"/>
                <w:iCs/>
                <w:color w:val="auto"/>
                <w:szCs w:val="17"/>
                <w:lang w:eastAsia="en-US"/>
              </w:rPr>
              <w:t>e</w:t>
            </w:r>
            <w:r w:rsidRPr="001421B7">
              <w:rPr>
                <w:rFonts w:asciiTheme="minorHAnsi" w:eastAsia="Times New Roman" w:hAnsiTheme="minorHAnsi"/>
                <w:iCs/>
                <w:color w:val="auto"/>
                <w:szCs w:val="17"/>
                <w:lang w:eastAsia="en-US"/>
              </w:rPr>
              <w:t xml:space="preserve">conomic </w:t>
            </w:r>
            <w:r>
              <w:rPr>
                <w:rFonts w:asciiTheme="minorHAnsi" w:eastAsia="Times New Roman" w:hAnsiTheme="minorHAnsi"/>
                <w:iCs/>
                <w:color w:val="auto"/>
                <w:szCs w:val="17"/>
                <w:lang w:eastAsia="en-US"/>
              </w:rPr>
              <w:t>g</w:t>
            </w:r>
            <w:r w:rsidRPr="001421B7">
              <w:rPr>
                <w:rFonts w:asciiTheme="minorHAnsi" w:eastAsia="Times New Roman" w:hAnsiTheme="minorHAnsi"/>
                <w:iCs/>
                <w:color w:val="auto"/>
                <w:szCs w:val="17"/>
                <w:lang w:eastAsia="en-US"/>
              </w:rPr>
              <w:t>rowth</w:t>
            </w:r>
          </w:p>
        </w:tc>
        <w:tc>
          <w:tcPr>
            <w:tcW w:w="1594" w:type="pct"/>
          </w:tcPr>
          <w:p w:rsidR="00720CFC" w:rsidRPr="001421B7" w:rsidRDefault="00720CFC" w:rsidP="000D6803">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Economic reform priorities progresse</w:t>
            </w:r>
            <w:r w:rsidR="0030282A">
              <w:rPr>
                <w:rFonts w:asciiTheme="minorHAnsi" w:eastAsia="Times New Roman" w:hAnsiTheme="minorHAnsi"/>
                <w:iCs/>
                <w:color w:val="auto"/>
                <w:szCs w:val="17"/>
                <w:lang w:eastAsia="en-US"/>
              </w:rPr>
              <w:t>d</w:t>
            </w:r>
            <w:r>
              <w:rPr>
                <w:rFonts w:asciiTheme="minorHAnsi" w:eastAsia="Times New Roman" w:hAnsiTheme="minorHAnsi"/>
                <w:iCs/>
                <w:color w:val="auto"/>
                <w:szCs w:val="17"/>
                <w:lang w:eastAsia="en-US"/>
              </w:rPr>
              <w:t xml:space="preserve"> to strengthen environment for economic growth: a) Achievement of all prior actions under the Joint Policy Action Matrix triggers the release of </w:t>
            </w:r>
            <w:r w:rsidR="000D6803">
              <w:rPr>
                <w:rFonts w:asciiTheme="minorHAnsi" w:eastAsia="Times New Roman" w:hAnsiTheme="minorHAnsi"/>
                <w:iCs/>
                <w:color w:val="auto"/>
                <w:szCs w:val="17"/>
                <w:lang w:eastAsia="en-US"/>
              </w:rPr>
              <w:t>budget support.</w:t>
            </w:r>
          </w:p>
        </w:tc>
        <w:tc>
          <w:tcPr>
            <w:tcW w:w="404" w:type="pct"/>
            <w:shd w:val="clear" w:color="auto" w:fill="92D050"/>
          </w:tcPr>
          <w:p w:rsidR="00720CFC" w:rsidRPr="00880004" w:rsidRDefault="00720CFC" w:rsidP="00720CFC">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222" w:type="pct"/>
          </w:tcPr>
          <w:p w:rsidR="00720CFC" w:rsidRPr="001421B7" w:rsidRDefault="002A603D" w:rsidP="00331D01">
            <w:pPr>
              <w:pStyle w:val="TableTextEntries"/>
              <w:keepNext/>
              <w:rPr>
                <w:rFonts w:asciiTheme="minorHAnsi" w:hAnsiTheme="minorHAnsi" w:cstheme="minorBidi"/>
                <w:lang w:val="en-GB" w:eastAsia="en-US"/>
              </w:rPr>
            </w:pPr>
            <w:r>
              <w:rPr>
                <w:rFonts w:asciiTheme="minorHAnsi" w:hAnsiTheme="minorHAnsi" w:cstheme="minorBidi"/>
                <w:lang w:val="en-GB" w:eastAsia="en-US"/>
              </w:rPr>
              <w:t>Government of Samoa officials and development partners are generally satisfied that sufficient reforms are occurring. The debt management reforms have contributed to a reduction in Samoa’s external debt</w:t>
            </w:r>
            <w:r w:rsidR="00331D01">
              <w:rPr>
                <w:rFonts w:asciiTheme="minorHAnsi" w:hAnsiTheme="minorHAnsi" w:cstheme="minorBidi"/>
                <w:lang w:val="en-GB" w:eastAsia="en-US"/>
              </w:rPr>
              <w:t xml:space="preserve"> through the development of a Medium Term Debt Strategy</w:t>
            </w:r>
            <w:r>
              <w:rPr>
                <w:rFonts w:asciiTheme="minorHAnsi" w:hAnsiTheme="minorHAnsi" w:cstheme="minorBidi"/>
                <w:lang w:val="en-GB" w:eastAsia="en-US"/>
              </w:rPr>
              <w:t xml:space="preserve">. </w:t>
            </w:r>
          </w:p>
        </w:tc>
      </w:tr>
      <w:tr w:rsidR="00714FD2" w:rsidRPr="00C61187" w:rsidTr="004C0419">
        <w:tc>
          <w:tcPr>
            <w:tcW w:w="780" w:type="pct"/>
            <w:tcMar>
              <w:top w:w="57" w:type="dxa"/>
              <w:bottom w:w="57" w:type="dxa"/>
            </w:tcMar>
          </w:tcPr>
          <w:p w:rsidR="00714FD2" w:rsidRPr="001421B7" w:rsidRDefault="00714FD2" w:rsidP="00714FD2">
            <w:pPr>
              <w:keepLines/>
              <w:spacing w:before="40" w:after="40" w:line="200" w:lineRule="atLeast"/>
              <w:rPr>
                <w:rFonts w:asciiTheme="minorHAnsi" w:eastAsia="Times New Roman" w:hAnsiTheme="minorHAnsi"/>
                <w:iCs/>
                <w:color w:val="auto"/>
                <w:szCs w:val="17"/>
                <w:lang w:eastAsia="en-US"/>
              </w:rPr>
            </w:pPr>
            <w:r w:rsidRPr="00452438">
              <w:rPr>
                <w:rFonts w:asciiTheme="minorHAnsi" w:eastAsia="Times New Roman" w:hAnsiTheme="minorHAnsi"/>
                <w:iCs/>
                <w:color w:val="auto"/>
                <w:szCs w:val="17"/>
                <w:lang w:eastAsia="en-US"/>
              </w:rPr>
              <w:t>Enable economic growth</w:t>
            </w:r>
          </w:p>
        </w:tc>
        <w:tc>
          <w:tcPr>
            <w:tcW w:w="1594" w:type="pct"/>
          </w:tcPr>
          <w:p w:rsidR="00714FD2" w:rsidRPr="001421B7" w:rsidRDefault="00714FD2" w:rsidP="00641EC8">
            <w:pPr>
              <w:keepLines/>
              <w:spacing w:before="40" w:after="40" w:line="200" w:lineRule="atLeast"/>
              <w:rPr>
                <w:rFonts w:asciiTheme="minorHAnsi" w:eastAsia="Times New Roman" w:hAnsiTheme="minorHAnsi"/>
                <w:iCs/>
                <w:color w:val="auto"/>
                <w:szCs w:val="17"/>
                <w:lang w:eastAsia="en-US"/>
              </w:rPr>
            </w:pPr>
            <w:r w:rsidRPr="009D54C6">
              <w:rPr>
                <w:rFonts w:asciiTheme="minorHAnsi" w:eastAsia="Times New Roman" w:hAnsiTheme="minorHAnsi"/>
                <w:iCs/>
                <w:color w:val="auto"/>
                <w:szCs w:val="17"/>
                <w:lang w:eastAsia="en-US"/>
              </w:rPr>
              <w:t>Economic reform priorities progresse</w:t>
            </w:r>
            <w:r w:rsidR="00641EC8">
              <w:rPr>
                <w:rFonts w:asciiTheme="minorHAnsi" w:eastAsia="Times New Roman" w:hAnsiTheme="minorHAnsi"/>
                <w:iCs/>
                <w:color w:val="auto"/>
                <w:szCs w:val="17"/>
                <w:lang w:eastAsia="en-US"/>
              </w:rPr>
              <w:t>d</w:t>
            </w:r>
            <w:r w:rsidRPr="009D54C6">
              <w:rPr>
                <w:rFonts w:asciiTheme="minorHAnsi" w:eastAsia="Times New Roman" w:hAnsiTheme="minorHAnsi"/>
                <w:iCs/>
                <w:color w:val="auto"/>
                <w:szCs w:val="17"/>
                <w:lang w:eastAsia="en-US"/>
              </w:rPr>
              <w:t xml:space="preserve"> to strengthen en</w:t>
            </w:r>
            <w:r>
              <w:rPr>
                <w:rFonts w:asciiTheme="minorHAnsi" w:eastAsia="Times New Roman" w:hAnsiTheme="minorHAnsi"/>
                <w:iCs/>
                <w:color w:val="auto"/>
                <w:szCs w:val="17"/>
                <w:lang w:eastAsia="en-US"/>
              </w:rPr>
              <w:t>vironment for economic growth: b) Contribution of Australian funded technical assistance (including to progress economic reform priorities) is mutually assessed as being effective.</w:t>
            </w:r>
          </w:p>
        </w:tc>
        <w:tc>
          <w:tcPr>
            <w:tcW w:w="404" w:type="pct"/>
            <w:shd w:val="clear" w:color="auto" w:fill="92D050"/>
          </w:tcPr>
          <w:p w:rsidR="00714FD2" w:rsidRPr="00880004" w:rsidRDefault="00714FD2" w:rsidP="00714FD2">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222" w:type="pct"/>
          </w:tcPr>
          <w:p w:rsidR="00714FD2" w:rsidRPr="001421B7" w:rsidRDefault="00A22908" w:rsidP="00714FD2">
            <w:pPr>
              <w:pStyle w:val="TableTextEntries"/>
              <w:keepNext/>
              <w:rPr>
                <w:rFonts w:asciiTheme="minorHAnsi" w:hAnsiTheme="minorHAnsi" w:cstheme="minorBidi"/>
                <w:lang w:val="en-GB" w:eastAsia="en-US"/>
              </w:rPr>
            </w:pPr>
            <w:r>
              <w:rPr>
                <w:rFonts w:asciiTheme="minorHAnsi" w:hAnsiTheme="minorHAnsi" w:cstheme="minorBidi"/>
                <w:lang w:val="en-GB" w:eastAsia="en-US"/>
              </w:rPr>
              <w:t xml:space="preserve">The success of the Samoa Governance Support Program which supplies Australian funded technical expertise at the request of the Government of Samoa is evidenced by the increasing number of requests made to the SGSP and by feedback provided to the JPAM delegation by several Ministries including the Ministry of Finance. </w:t>
            </w:r>
          </w:p>
        </w:tc>
      </w:tr>
      <w:tr w:rsidR="00714FD2" w:rsidRPr="00C61187" w:rsidTr="004C0419">
        <w:tc>
          <w:tcPr>
            <w:tcW w:w="780" w:type="pct"/>
            <w:tcMar>
              <w:top w:w="57" w:type="dxa"/>
              <w:bottom w:w="57" w:type="dxa"/>
            </w:tcMar>
          </w:tcPr>
          <w:p w:rsidR="00714FD2" w:rsidRPr="001421B7" w:rsidRDefault="00714FD2" w:rsidP="00714FD2">
            <w:pPr>
              <w:keepLines/>
              <w:spacing w:before="40" w:after="40" w:line="200" w:lineRule="atLeast"/>
              <w:rPr>
                <w:rFonts w:asciiTheme="minorHAnsi" w:eastAsia="Times New Roman" w:hAnsiTheme="minorHAnsi"/>
                <w:iCs/>
                <w:color w:val="auto"/>
                <w:szCs w:val="17"/>
                <w:lang w:eastAsia="en-US"/>
              </w:rPr>
            </w:pPr>
            <w:r w:rsidRPr="00452438">
              <w:rPr>
                <w:rFonts w:asciiTheme="minorHAnsi" w:eastAsia="Times New Roman" w:hAnsiTheme="minorHAnsi"/>
                <w:iCs/>
                <w:color w:val="auto"/>
                <w:szCs w:val="17"/>
                <w:lang w:eastAsia="en-US"/>
              </w:rPr>
              <w:t>Enable economic growth</w:t>
            </w:r>
          </w:p>
        </w:tc>
        <w:tc>
          <w:tcPr>
            <w:tcW w:w="1594" w:type="pct"/>
          </w:tcPr>
          <w:p w:rsidR="00714FD2" w:rsidRPr="001421B7" w:rsidRDefault="00714FD2" w:rsidP="00714FD2">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Improved economic infrastructure: Maliolio Bridge constructed in accordance with climate resilient design.</w:t>
            </w:r>
          </w:p>
        </w:tc>
        <w:tc>
          <w:tcPr>
            <w:tcW w:w="404" w:type="pct"/>
            <w:shd w:val="clear" w:color="auto" w:fill="F7AA32"/>
          </w:tcPr>
          <w:p w:rsidR="00714FD2" w:rsidRPr="00880004" w:rsidRDefault="00714FD2" w:rsidP="00714FD2">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2222" w:type="pct"/>
          </w:tcPr>
          <w:p w:rsidR="00714FD2" w:rsidRPr="001421B7" w:rsidRDefault="00714FD2" w:rsidP="00714FD2">
            <w:pPr>
              <w:pStyle w:val="TableTextEntries"/>
              <w:keepNext/>
              <w:rPr>
                <w:rFonts w:asciiTheme="minorHAnsi" w:hAnsiTheme="minorHAnsi" w:cstheme="minorBidi"/>
                <w:lang w:val="en-GB" w:eastAsia="en-US"/>
              </w:rPr>
            </w:pPr>
            <w:r>
              <w:rPr>
                <w:rFonts w:asciiTheme="minorHAnsi" w:hAnsiTheme="minorHAnsi" w:cstheme="minorBidi"/>
                <w:lang w:val="en-GB" w:eastAsia="en-US"/>
              </w:rPr>
              <w:t>Progress delayed. Expected completion date Dec 2019</w:t>
            </w:r>
          </w:p>
        </w:tc>
      </w:tr>
      <w:tr w:rsidR="00F07BB8" w:rsidRPr="00C61187" w:rsidTr="002D75CF">
        <w:tc>
          <w:tcPr>
            <w:tcW w:w="780" w:type="pct"/>
            <w:tcMar>
              <w:top w:w="57" w:type="dxa"/>
              <w:bottom w:w="57" w:type="dxa"/>
            </w:tcMar>
          </w:tcPr>
          <w:p w:rsidR="00F07BB8" w:rsidRPr="001421B7" w:rsidRDefault="004C2930" w:rsidP="00F07BB8">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Enable economic growth</w:t>
            </w:r>
          </w:p>
        </w:tc>
        <w:tc>
          <w:tcPr>
            <w:tcW w:w="1594" w:type="pct"/>
          </w:tcPr>
          <w:p w:rsidR="00F07BB8" w:rsidRPr="001421B7" w:rsidRDefault="00F07BB8" w:rsidP="00F07BB8">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Increased economic opportunities for women and people with disabilities: Minimum 200 women and people with disabilities supported to establish businesses.</w:t>
            </w:r>
          </w:p>
        </w:tc>
        <w:tc>
          <w:tcPr>
            <w:tcW w:w="404" w:type="pct"/>
            <w:shd w:val="clear" w:color="auto" w:fill="F7AA32"/>
          </w:tcPr>
          <w:p w:rsidR="00F07BB8" w:rsidRPr="00880004" w:rsidRDefault="00F07BB8" w:rsidP="00F07BB8">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2222" w:type="pct"/>
          </w:tcPr>
          <w:p w:rsidR="00F07BB8" w:rsidRPr="001421B7" w:rsidRDefault="00812920" w:rsidP="00812920">
            <w:pPr>
              <w:pStyle w:val="TableTextEntries"/>
              <w:keepNext/>
              <w:rPr>
                <w:rFonts w:asciiTheme="minorHAnsi" w:hAnsiTheme="minorHAnsi" w:cstheme="minorBidi"/>
                <w:lang w:val="en-GB" w:eastAsia="en-US"/>
              </w:rPr>
            </w:pPr>
            <w:r>
              <w:rPr>
                <w:rFonts w:asciiTheme="minorHAnsi" w:hAnsiTheme="minorHAnsi" w:cstheme="minorBidi"/>
                <w:lang w:val="en-GB" w:eastAsia="en-US"/>
              </w:rPr>
              <w:t>Over the 4 years of the Samoa Disability Program</w:t>
            </w:r>
            <w:r w:rsidR="00703CA0">
              <w:rPr>
                <w:rFonts w:asciiTheme="minorHAnsi" w:hAnsiTheme="minorHAnsi" w:cstheme="minorBidi"/>
                <w:lang w:val="en-GB" w:eastAsia="en-US"/>
              </w:rPr>
              <w:t xml:space="preserve"> Phase 1</w:t>
            </w:r>
            <w:r>
              <w:rPr>
                <w:rFonts w:asciiTheme="minorHAnsi" w:hAnsiTheme="minorHAnsi" w:cstheme="minorBidi"/>
                <w:lang w:val="en-GB" w:eastAsia="en-US"/>
              </w:rPr>
              <w:t>, 22 small businesses were established by people with disabilities with 39 beneficiaries from those projects.</w:t>
            </w:r>
            <w:r w:rsidR="00B77B92" w:rsidRPr="00B77B92">
              <w:rPr>
                <w:rFonts w:asciiTheme="minorHAnsi" w:eastAsiaTheme="minorHAnsi" w:hAnsiTheme="minorHAnsi" w:cstheme="minorBidi"/>
                <w:iCs w:val="0"/>
                <w:color w:val="495965" w:themeColor="text2"/>
                <w:sz w:val="22"/>
                <w:szCs w:val="22"/>
                <w:lang w:val="en-GB" w:eastAsia="en-US"/>
              </w:rPr>
              <w:t xml:space="preserve"> </w:t>
            </w:r>
            <w:r w:rsidR="00B77B92" w:rsidRPr="00B77B92">
              <w:rPr>
                <w:rFonts w:asciiTheme="minorHAnsi" w:hAnsiTheme="minorHAnsi" w:cstheme="minorBidi"/>
                <w:lang w:val="en-GB" w:eastAsia="en-US"/>
              </w:rPr>
              <w:t>Over the 2.5 years of the Small Business Incubator program 41 women were supported to establish a business. The program was terminated in 2018 at the time funding was allocated away from MWSCD. Economic empowerment will continue to be a priority in the new gender program under design in 2019-20.</w:t>
            </w:r>
            <w:r w:rsidR="00B77B92">
              <w:rPr>
                <w:rFonts w:asciiTheme="minorHAnsi" w:hAnsiTheme="minorHAnsi" w:cstheme="minorBidi"/>
                <w:lang w:val="en-GB" w:eastAsia="en-US"/>
              </w:rPr>
              <w:t xml:space="preserve"> </w:t>
            </w:r>
            <w:r>
              <w:rPr>
                <w:rFonts w:asciiTheme="minorHAnsi" w:hAnsiTheme="minorHAnsi" w:cstheme="minorBidi"/>
                <w:lang w:val="en-GB" w:eastAsia="en-US"/>
              </w:rPr>
              <w:t xml:space="preserve"> </w:t>
            </w:r>
          </w:p>
        </w:tc>
      </w:tr>
      <w:tr w:rsidR="00714FD2" w:rsidRPr="00C61187" w:rsidTr="00711C36">
        <w:tc>
          <w:tcPr>
            <w:tcW w:w="780" w:type="pct"/>
            <w:tcMar>
              <w:top w:w="57" w:type="dxa"/>
              <w:bottom w:w="57" w:type="dxa"/>
            </w:tcMar>
          </w:tcPr>
          <w:p w:rsidR="00714FD2" w:rsidRPr="001421B7" w:rsidRDefault="00714FD2" w:rsidP="00714FD2">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Progress health and education outcomes</w:t>
            </w:r>
          </w:p>
        </w:tc>
        <w:tc>
          <w:tcPr>
            <w:tcW w:w="1594" w:type="pct"/>
          </w:tcPr>
          <w:p w:rsidR="00714FD2" w:rsidRPr="001421B7" w:rsidRDefault="00714FD2" w:rsidP="00714FD2">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Improved quality of the education system: Full or partial achievement against nine key performance indicators triggers payment on results.</w:t>
            </w:r>
          </w:p>
        </w:tc>
        <w:tc>
          <w:tcPr>
            <w:tcW w:w="404" w:type="pct"/>
            <w:shd w:val="clear" w:color="auto" w:fill="FFC000"/>
          </w:tcPr>
          <w:p w:rsidR="00714FD2" w:rsidRPr="00693FF5" w:rsidRDefault="000956A9" w:rsidP="007866A5">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w:t>
            </w:r>
            <w:r w:rsidR="00EC54FA">
              <w:rPr>
                <w:rFonts w:asciiTheme="minorHAnsi" w:eastAsia="Times New Roman" w:hAnsiTheme="minorHAnsi"/>
                <w:iCs/>
                <w:color w:val="FFFFFF" w:themeColor="background1"/>
                <w:szCs w:val="17"/>
                <w:lang w:eastAsia="en-US"/>
              </w:rPr>
              <w:t xml:space="preserve"> </w:t>
            </w:r>
            <w:r w:rsidR="00714FD2" w:rsidRPr="00880004">
              <w:rPr>
                <w:rFonts w:asciiTheme="minorHAnsi" w:eastAsia="Times New Roman" w:hAnsiTheme="minorHAnsi"/>
                <w:iCs/>
                <w:color w:val="FFFFFF" w:themeColor="background1"/>
                <w:szCs w:val="17"/>
                <w:lang w:eastAsia="en-US"/>
              </w:rPr>
              <w:t xml:space="preserve">Achieved </w:t>
            </w:r>
          </w:p>
        </w:tc>
        <w:tc>
          <w:tcPr>
            <w:tcW w:w="2222" w:type="pct"/>
          </w:tcPr>
          <w:p w:rsidR="00714FD2" w:rsidRPr="001421B7" w:rsidRDefault="000956A9" w:rsidP="00F90FE4">
            <w:pPr>
              <w:pStyle w:val="TableTextEntries"/>
              <w:keepNext/>
              <w:rPr>
                <w:rFonts w:asciiTheme="minorHAnsi" w:hAnsiTheme="minorHAnsi" w:cstheme="minorBidi"/>
                <w:lang w:val="en-GB" w:eastAsia="en-US"/>
              </w:rPr>
            </w:pPr>
            <w:r>
              <w:rPr>
                <w:rFonts w:asciiTheme="minorHAnsi" w:hAnsiTheme="minorHAnsi" w:cstheme="minorBidi"/>
                <w:lang w:val="en-GB" w:eastAsia="en-US"/>
              </w:rPr>
              <w:t xml:space="preserve">Partial achievement of the </w:t>
            </w:r>
            <w:r w:rsidR="00257A14">
              <w:rPr>
                <w:rFonts w:asciiTheme="minorHAnsi" w:hAnsiTheme="minorHAnsi" w:cstheme="minorBidi"/>
                <w:lang w:val="en-GB" w:eastAsia="en-US"/>
              </w:rPr>
              <w:t xml:space="preserve">nine </w:t>
            </w:r>
            <w:r>
              <w:rPr>
                <w:rFonts w:asciiTheme="minorHAnsi" w:hAnsiTheme="minorHAnsi" w:cstheme="minorBidi"/>
                <w:lang w:val="en-GB" w:eastAsia="en-US"/>
              </w:rPr>
              <w:t xml:space="preserve">KPIs </w:t>
            </w:r>
            <w:r w:rsidR="00257A14">
              <w:rPr>
                <w:rFonts w:asciiTheme="minorHAnsi" w:hAnsiTheme="minorHAnsi" w:cstheme="minorBidi"/>
                <w:lang w:val="en-GB" w:eastAsia="en-US"/>
              </w:rPr>
              <w:t>was independently verified.</w:t>
            </w:r>
            <w:r w:rsidR="000A6175">
              <w:rPr>
                <w:rFonts w:asciiTheme="minorHAnsi" w:hAnsiTheme="minorHAnsi" w:cstheme="minorBidi"/>
                <w:lang w:val="en-GB" w:eastAsia="en-US"/>
              </w:rPr>
              <w:t xml:space="preserve"> </w:t>
            </w:r>
            <w:r w:rsidR="00F90FE4">
              <w:rPr>
                <w:rFonts w:asciiTheme="minorHAnsi" w:hAnsiTheme="minorHAnsi" w:cstheme="minorBidi"/>
                <w:lang w:val="en-GB" w:eastAsia="en-US"/>
              </w:rPr>
              <w:t>The verification report</w:t>
            </w:r>
            <w:r w:rsidR="000A6175">
              <w:rPr>
                <w:rFonts w:asciiTheme="minorHAnsi" w:hAnsiTheme="minorHAnsi" w:cstheme="minorBidi"/>
                <w:lang w:val="en-GB" w:eastAsia="en-US"/>
              </w:rPr>
              <w:t xml:space="preserve"> noted partial achievement of</w:t>
            </w:r>
            <w:r w:rsidR="00F90FE4">
              <w:rPr>
                <w:rFonts w:asciiTheme="minorHAnsi" w:hAnsiTheme="minorHAnsi" w:cstheme="minorBidi"/>
                <w:lang w:val="en-GB" w:eastAsia="en-US"/>
              </w:rPr>
              <w:t xml:space="preserve"> KPIs for</w:t>
            </w:r>
            <w:r w:rsidR="000A6175">
              <w:rPr>
                <w:rFonts w:asciiTheme="minorHAnsi" w:hAnsiTheme="minorHAnsi" w:cstheme="minorBidi"/>
                <w:lang w:val="en-GB" w:eastAsia="en-US"/>
              </w:rPr>
              <w:t xml:space="preserve"> literacy and numeracy for Year 4 &amp; 6, completion rate for Primary Schools (Year 1 – 8) and participation of students with disabilities in mainstream government schools. No disbursements were made for the following unachieved KPIs – #3: Percentage of PSET graduates finding employment within 6</w:t>
            </w:r>
            <w:r w:rsidR="00F90FE4">
              <w:rPr>
                <w:rFonts w:asciiTheme="minorHAnsi" w:hAnsiTheme="minorHAnsi" w:cstheme="minorBidi"/>
                <w:lang w:val="en-GB" w:eastAsia="en-US"/>
              </w:rPr>
              <w:t xml:space="preserve"> </w:t>
            </w:r>
            <w:r w:rsidR="000A6175">
              <w:rPr>
                <w:rFonts w:asciiTheme="minorHAnsi" w:hAnsiTheme="minorHAnsi" w:cstheme="minorBidi"/>
                <w:lang w:val="en-GB" w:eastAsia="en-US"/>
              </w:rPr>
              <w:t xml:space="preserve">months and #5: Transition rate from Year 13 to formal Post-Secondary Education and Training (PSET). Meanwhile, full payment </w:t>
            </w:r>
            <w:r w:rsidR="00F90FE4">
              <w:rPr>
                <w:rFonts w:asciiTheme="minorHAnsi" w:hAnsiTheme="minorHAnsi" w:cstheme="minorBidi"/>
                <w:lang w:val="en-GB" w:eastAsia="en-US"/>
              </w:rPr>
              <w:t>was</w:t>
            </w:r>
            <w:r w:rsidR="000A6175">
              <w:rPr>
                <w:rFonts w:asciiTheme="minorHAnsi" w:hAnsiTheme="minorHAnsi" w:cstheme="minorBidi"/>
                <w:lang w:val="en-GB" w:eastAsia="en-US"/>
              </w:rPr>
              <w:t xml:space="preserve"> made for 3 KPIs: #7 – Teachers meeting performance standards, #8 – Schools meeting minimum service standards related to literacy and numeracy and #9 – number of accredited courses provided by PSET providers</w:t>
            </w:r>
          </w:p>
        </w:tc>
      </w:tr>
      <w:tr w:rsidR="00C73ADC" w:rsidRPr="00C61187" w:rsidTr="004C0419">
        <w:tc>
          <w:tcPr>
            <w:tcW w:w="780" w:type="pct"/>
            <w:tcMar>
              <w:top w:w="57" w:type="dxa"/>
              <w:bottom w:w="57" w:type="dxa"/>
            </w:tcMar>
          </w:tcPr>
          <w:p w:rsidR="00C73ADC" w:rsidRPr="001421B7" w:rsidRDefault="00C73ADC" w:rsidP="00C73ADC">
            <w:pPr>
              <w:keepLines/>
              <w:spacing w:before="40" w:after="40" w:line="200" w:lineRule="atLeast"/>
              <w:rPr>
                <w:rFonts w:asciiTheme="minorHAnsi" w:eastAsia="Times New Roman" w:hAnsiTheme="minorHAnsi"/>
                <w:iCs/>
                <w:color w:val="auto"/>
                <w:szCs w:val="17"/>
                <w:lang w:eastAsia="en-US"/>
              </w:rPr>
            </w:pPr>
            <w:r w:rsidRPr="003C2033">
              <w:rPr>
                <w:rFonts w:asciiTheme="minorHAnsi" w:eastAsia="Times New Roman" w:hAnsiTheme="minorHAnsi"/>
                <w:iCs/>
                <w:color w:val="auto"/>
                <w:szCs w:val="17"/>
                <w:lang w:eastAsia="en-US"/>
              </w:rPr>
              <w:lastRenderedPageBreak/>
              <w:t>Progress health and education outcomes</w:t>
            </w:r>
          </w:p>
        </w:tc>
        <w:tc>
          <w:tcPr>
            <w:tcW w:w="1594" w:type="pct"/>
          </w:tcPr>
          <w:p w:rsidR="00C73ADC" w:rsidRPr="001421B7" w:rsidRDefault="00C73ADC" w:rsidP="00C73ADC">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Provide targeted scholarships with priority on education and health: Reintegration packages in place for returning targeted education and health graduates.</w:t>
            </w:r>
          </w:p>
        </w:tc>
        <w:tc>
          <w:tcPr>
            <w:tcW w:w="404" w:type="pct"/>
            <w:shd w:val="clear" w:color="auto" w:fill="F7AA32"/>
          </w:tcPr>
          <w:p w:rsidR="00C73ADC" w:rsidRPr="00880004" w:rsidRDefault="00C73ADC" w:rsidP="00C73ADC">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2222" w:type="pct"/>
          </w:tcPr>
          <w:p w:rsidR="00C73ADC" w:rsidRPr="001421B7" w:rsidRDefault="00C73ADC" w:rsidP="00C73ADC">
            <w:pPr>
              <w:pStyle w:val="TableTextEntries"/>
              <w:keepNext/>
              <w:rPr>
                <w:rFonts w:asciiTheme="minorHAnsi" w:hAnsiTheme="minorHAnsi" w:cstheme="minorBidi"/>
                <w:lang w:val="en-GB" w:eastAsia="en-US"/>
              </w:rPr>
            </w:pPr>
            <w:r>
              <w:rPr>
                <w:rFonts w:asciiTheme="minorHAnsi" w:hAnsiTheme="minorHAnsi" w:cstheme="minorBidi"/>
                <w:lang w:val="en-GB" w:eastAsia="en-US"/>
              </w:rPr>
              <w:t>Scholarships provided included education and health but the Public Service Commission insists on a spread of sectors to be covered. No reintegration packages in place.</w:t>
            </w:r>
            <w:r w:rsidR="000A6175">
              <w:rPr>
                <w:rFonts w:asciiTheme="minorHAnsi" w:hAnsiTheme="minorHAnsi" w:cstheme="minorBidi"/>
                <w:lang w:val="en-GB" w:eastAsia="en-US"/>
              </w:rPr>
              <w:t xml:space="preserve"> A review of the scholarship program and the Tripartite Agreement between the government of Samoa and New Zealand is proposed to inform the performance of the program going forward.  </w:t>
            </w:r>
          </w:p>
        </w:tc>
      </w:tr>
      <w:tr w:rsidR="00C73ADC" w:rsidRPr="00C61187" w:rsidTr="009D54C6">
        <w:tc>
          <w:tcPr>
            <w:tcW w:w="780" w:type="pct"/>
            <w:tcMar>
              <w:top w:w="57" w:type="dxa"/>
              <w:bottom w:w="57" w:type="dxa"/>
            </w:tcMar>
          </w:tcPr>
          <w:p w:rsidR="00C73ADC" w:rsidRPr="001421B7" w:rsidRDefault="00C73ADC" w:rsidP="00C73ADC">
            <w:pPr>
              <w:keepLines/>
              <w:spacing w:before="40" w:after="40" w:line="200" w:lineRule="atLeast"/>
              <w:rPr>
                <w:rFonts w:asciiTheme="minorHAnsi" w:eastAsia="Times New Roman" w:hAnsiTheme="minorHAnsi"/>
                <w:iCs/>
                <w:color w:val="auto"/>
                <w:szCs w:val="17"/>
                <w:lang w:eastAsia="en-US"/>
              </w:rPr>
            </w:pPr>
            <w:r w:rsidRPr="003C2033">
              <w:rPr>
                <w:rFonts w:asciiTheme="minorHAnsi" w:eastAsia="Times New Roman" w:hAnsiTheme="minorHAnsi"/>
                <w:iCs/>
                <w:color w:val="auto"/>
                <w:szCs w:val="17"/>
                <w:lang w:eastAsia="en-US"/>
              </w:rPr>
              <w:t>Progress health and education outcomes</w:t>
            </w:r>
          </w:p>
        </w:tc>
        <w:tc>
          <w:tcPr>
            <w:tcW w:w="1594" w:type="pct"/>
          </w:tcPr>
          <w:p w:rsidR="00C73ADC" w:rsidRPr="001421B7" w:rsidRDefault="00C73ADC" w:rsidP="00C73ADC">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Improved quality of the health system: a) Improved NCD services at district health centres.</w:t>
            </w:r>
          </w:p>
        </w:tc>
        <w:tc>
          <w:tcPr>
            <w:tcW w:w="404" w:type="pct"/>
            <w:shd w:val="clear" w:color="auto" w:fill="FF0000"/>
          </w:tcPr>
          <w:p w:rsidR="00C73ADC" w:rsidRPr="00880004" w:rsidRDefault="00C73ADC" w:rsidP="00C73ADC">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 xml:space="preserve">Not Achieved </w:t>
            </w:r>
          </w:p>
        </w:tc>
        <w:tc>
          <w:tcPr>
            <w:tcW w:w="2222" w:type="pct"/>
          </w:tcPr>
          <w:p w:rsidR="00C73ADC" w:rsidRPr="001421B7" w:rsidRDefault="00C73ADC" w:rsidP="00F9352E">
            <w:pPr>
              <w:pStyle w:val="TableTextEntries"/>
              <w:keepNext/>
              <w:rPr>
                <w:rFonts w:asciiTheme="minorHAnsi" w:hAnsiTheme="minorHAnsi" w:cstheme="minorBidi"/>
                <w:lang w:val="en-GB" w:eastAsia="en-US"/>
              </w:rPr>
            </w:pPr>
            <w:r>
              <w:rPr>
                <w:rFonts w:asciiTheme="minorHAnsi" w:hAnsiTheme="minorHAnsi" w:cstheme="minorBidi"/>
                <w:lang w:val="en-GB" w:eastAsia="en-US"/>
              </w:rPr>
              <w:t>Progress to improve primary health care was delayed due to the</w:t>
            </w:r>
            <w:r w:rsidR="00714FD2">
              <w:rPr>
                <w:rFonts w:asciiTheme="minorHAnsi" w:hAnsiTheme="minorHAnsi" w:cstheme="minorBidi"/>
                <w:lang w:val="en-GB" w:eastAsia="en-US"/>
              </w:rPr>
              <w:t xml:space="preserve"> merger of the </w:t>
            </w:r>
            <w:r>
              <w:rPr>
                <w:rFonts w:asciiTheme="minorHAnsi" w:hAnsiTheme="minorHAnsi" w:cstheme="minorBidi"/>
                <w:lang w:val="en-GB" w:eastAsia="en-US"/>
              </w:rPr>
              <w:t xml:space="preserve">Ministry of Health and National Health </w:t>
            </w:r>
            <w:r w:rsidR="00714FD2">
              <w:rPr>
                <w:rFonts w:asciiTheme="minorHAnsi" w:hAnsiTheme="minorHAnsi" w:cstheme="minorBidi"/>
                <w:lang w:val="en-GB" w:eastAsia="en-US"/>
              </w:rPr>
              <w:t>S</w:t>
            </w:r>
            <w:r>
              <w:rPr>
                <w:rFonts w:asciiTheme="minorHAnsi" w:hAnsiTheme="minorHAnsi" w:cstheme="minorBidi"/>
                <w:lang w:val="en-GB" w:eastAsia="en-US"/>
              </w:rPr>
              <w:t>ervice, official from February 2019.</w:t>
            </w:r>
            <w:r w:rsidR="00257A14">
              <w:rPr>
                <w:rFonts w:asciiTheme="minorHAnsi" w:hAnsiTheme="minorHAnsi" w:cstheme="minorBidi"/>
                <w:lang w:val="en-GB" w:eastAsia="en-US"/>
              </w:rPr>
              <w:t xml:space="preserve"> World Bank design of </w:t>
            </w:r>
            <w:r w:rsidR="00C07B95">
              <w:rPr>
                <w:rFonts w:asciiTheme="minorHAnsi" w:hAnsiTheme="minorHAnsi" w:cstheme="minorBidi"/>
                <w:lang w:val="en-GB" w:eastAsia="en-US"/>
              </w:rPr>
              <w:t>the National</w:t>
            </w:r>
            <w:r w:rsidR="00257A14">
              <w:rPr>
                <w:rFonts w:asciiTheme="minorHAnsi" w:hAnsiTheme="minorHAnsi" w:cstheme="minorBidi"/>
                <w:lang w:val="en-GB" w:eastAsia="en-US"/>
              </w:rPr>
              <w:t xml:space="preserve"> NCD </w:t>
            </w:r>
            <w:r w:rsidR="00C07B95">
              <w:rPr>
                <w:rFonts w:asciiTheme="minorHAnsi" w:hAnsiTheme="minorHAnsi" w:cstheme="minorBidi"/>
                <w:lang w:val="en-GB" w:eastAsia="en-US"/>
              </w:rPr>
              <w:t>M</w:t>
            </w:r>
            <w:r w:rsidR="00C13C9A">
              <w:rPr>
                <w:rFonts w:asciiTheme="minorHAnsi" w:hAnsiTheme="minorHAnsi" w:cstheme="minorBidi"/>
                <w:lang w:val="en-GB" w:eastAsia="en-US"/>
              </w:rPr>
              <w:t xml:space="preserve">anagement </w:t>
            </w:r>
            <w:r w:rsidR="00C07B95">
              <w:rPr>
                <w:rFonts w:asciiTheme="minorHAnsi" w:hAnsiTheme="minorHAnsi" w:cstheme="minorBidi"/>
                <w:lang w:val="en-GB" w:eastAsia="en-US"/>
              </w:rPr>
              <w:t xml:space="preserve">Program </w:t>
            </w:r>
            <w:r w:rsidR="00257A14">
              <w:rPr>
                <w:rFonts w:asciiTheme="minorHAnsi" w:hAnsiTheme="minorHAnsi" w:cstheme="minorBidi"/>
                <w:lang w:val="en-GB" w:eastAsia="en-US"/>
              </w:rPr>
              <w:t>has not been finalised despite ongoing missions to Samoa.</w:t>
            </w:r>
            <w:r w:rsidR="000866AA">
              <w:rPr>
                <w:rFonts w:asciiTheme="minorHAnsi" w:hAnsiTheme="minorHAnsi" w:cstheme="minorBidi"/>
                <w:lang w:val="en-GB" w:eastAsia="en-US"/>
              </w:rPr>
              <w:t xml:space="preserve"> Activities focused </w:t>
            </w:r>
            <w:r w:rsidR="006676B6">
              <w:rPr>
                <w:rFonts w:asciiTheme="minorHAnsi" w:hAnsiTheme="minorHAnsi" w:cstheme="minorBidi"/>
                <w:lang w:val="en-GB" w:eastAsia="en-US"/>
              </w:rPr>
              <w:t xml:space="preserve">on preparing the sector for the time when MoH is ready to refocus on the provision of primary health care. These included advances in biomedical </w:t>
            </w:r>
            <w:r w:rsidR="00F9352E">
              <w:rPr>
                <w:rFonts w:asciiTheme="minorHAnsi" w:hAnsiTheme="minorHAnsi" w:cstheme="minorBidi"/>
                <w:lang w:val="en-GB" w:eastAsia="en-US"/>
              </w:rPr>
              <w:t>p</w:t>
            </w:r>
            <w:r w:rsidR="006676B6">
              <w:rPr>
                <w:rFonts w:asciiTheme="minorHAnsi" w:hAnsiTheme="minorHAnsi" w:cstheme="minorBidi"/>
                <w:lang w:val="en-GB" w:eastAsia="en-US"/>
              </w:rPr>
              <w:t>rocurement and epidemiology</w:t>
            </w:r>
            <w:r w:rsidR="00F9352E">
              <w:rPr>
                <w:rFonts w:asciiTheme="minorHAnsi" w:hAnsiTheme="minorHAnsi" w:cstheme="minorBidi"/>
                <w:lang w:val="en-GB" w:eastAsia="en-US"/>
              </w:rPr>
              <w:t>,</w:t>
            </w:r>
            <w:r w:rsidR="006676B6">
              <w:rPr>
                <w:rFonts w:asciiTheme="minorHAnsi" w:hAnsiTheme="minorHAnsi" w:cstheme="minorBidi"/>
                <w:lang w:val="en-GB" w:eastAsia="en-US"/>
              </w:rPr>
              <w:t xml:space="preserve"> as well as the development of relationships with providers of primary health in remote areas through the Strategic Partnership with Queensland Health.</w:t>
            </w:r>
          </w:p>
        </w:tc>
      </w:tr>
      <w:tr w:rsidR="00C73ADC" w:rsidRPr="00C61187" w:rsidTr="004C0419">
        <w:tc>
          <w:tcPr>
            <w:tcW w:w="780" w:type="pct"/>
            <w:tcMar>
              <w:top w:w="57" w:type="dxa"/>
              <w:bottom w:w="57" w:type="dxa"/>
            </w:tcMar>
          </w:tcPr>
          <w:p w:rsidR="00C73ADC" w:rsidRPr="001421B7" w:rsidRDefault="00C73ADC" w:rsidP="00C73ADC">
            <w:pPr>
              <w:keepLines/>
              <w:spacing w:before="40" w:after="40" w:line="200" w:lineRule="atLeast"/>
              <w:rPr>
                <w:rFonts w:asciiTheme="minorHAnsi" w:eastAsia="Times New Roman" w:hAnsiTheme="minorHAnsi"/>
                <w:iCs/>
                <w:color w:val="auto"/>
                <w:szCs w:val="17"/>
                <w:lang w:eastAsia="en-US"/>
              </w:rPr>
            </w:pPr>
            <w:r w:rsidRPr="003C2033">
              <w:rPr>
                <w:rFonts w:asciiTheme="minorHAnsi" w:eastAsia="Times New Roman" w:hAnsiTheme="minorHAnsi"/>
                <w:iCs/>
                <w:color w:val="auto"/>
                <w:szCs w:val="17"/>
                <w:lang w:eastAsia="en-US"/>
              </w:rPr>
              <w:t>Progress health and education outcomes</w:t>
            </w:r>
          </w:p>
        </w:tc>
        <w:tc>
          <w:tcPr>
            <w:tcW w:w="1594" w:type="pct"/>
          </w:tcPr>
          <w:p w:rsidR="00C73ADC" w:rsidRPr="001421B7" w:rsidRDefault="00C73ADC" w:rsidP="00C73ADC">
            <w:pPr>
              <w:keepLines/>
              <w:spacing w:before="40" w:after="40" w:line="200" w:lineRule="atLeast"/>
              <w:rPr>
                <w:rFonts w:asciiTheme="minorHAnsi" w:eastAsia="Times New Roman" w:hAnsiTheme="minorHAnsi"/>
                <w:iCs/>
                <w:color w:val="auto"/>
                <w:szCs w:val="17"/>
                <w:lang w:eastAsia="en-US"/>
              </w:rPr>
            </w:pPr>
            <w:r w:rsidRPr="009D54C6">
              <w:rPr>
                <w:rFonts w:asciiTheme="minorHAnsi" w:eastAsia="Times New Roman" w:hAnsiTheme="minorHAnsi"/>
                <w:iCs/>
                <w:color w:val="auto"/>
                <w:szCs w:val="17"/>
                <w:lang w:eastAsia="en-US"/>
              </w:rPr>
              <w:t>Improved quality of the health system:</w:t>
            </w:r>
            <w:r>
              <w:rPr>
                <w:rFonts w:asciiTheme="minorHAnsi" w:eastAsia="Times New Roman" w:hAnsiTheme="minorHAnsi"/>
                <w:iCs/>
                <w:color w:val="auto"/>
                <w:szCs w:val="17"/>
                <w:lang w:eastAsia="en-US"/>
              </w:rPr>
              <w:t xml:space="preserve"> b) 600 mobility devices provided to people with disabilities.</w:t>
            </w:r>
          </w:p>
        </w:tc>
        <w:tc>
          <w:tcPr>
            <w:tcW w:w="404" w:type="pct"/>
            <w:shd w:val="clear" w:color="auto" w:fill="92D050"/>
          </w:tcPr>
          <w:p w:rsidR="00C73ADC" w:rsidRPr="00880004" w:rsidRDefault="00C73ADC" w:rsidP="00C73ADC">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222" w:type="pct"/>
          </w:tcPr>
          <w:p w:rsidR="00C73ADC" w:rsidRPr="001421B7" w:rsidRDefault="005E2075" w:rsidP="00C73ADC">
            <w:pPr>
              <w:pStyle w:val="TableTextEntries"/>
              <w:keepNext/>
              <w:rPr>
                <w:rFonts w:asciiTheme="minorHAnsi" w:hAnsiTheme="minorHAnsi" w:cstheme="minorBidi"/>
                <w:lang w:val="en-GB" w:eastAsia="en-US"/>
              </w:rPr>
            </w:pPr>
            <w:r>
              <w:rPr>
                <w:rFonts w:asciiTheme="minorHAnsi" w:hAnsiTheme="minorHAnsi" w:cstheme="minorBidi"/>
                <w:lang w:val="en-GB" w:eastAsia="en-US"/>
              </w:rPr>
              <w:t>Over the 4 years a total of 1,367 clients received 1,889 mobility devices.</w:t>
            </w:r>
          </w:p>
        </w:tc>
      </w:tr>
      <w:tr w:rsidR="00AD46C2" w:rsidRPr="00C61187" w:rsidTr="004C0419">
        <w:tc>
          <w:tcPr>
            <w:tcW w:w="780" w:type="pct"/>
            <w:tcMar>
              <w:top w:w="57" w:type="dxa"/>
              <w:bottom w:w="57" w:type="dxa"/>
            </w:tcMar>
          </w:tcPr>
          <w:p w:rsidR="00AD46C2" w:rsidRPr="001421B7" w:rsidRDefault="004C2930" w:rsidP="00AD46C2">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Progress health and education outcomes</w:t>
            </w:r>
          </w:p>
        </w:tc>
        <w:tc>
          <w:tcPr>
            <w:tcW w:w="1594" w:type="pct"/>
          </w:tcPr>
          <w:p w:rsidR="00AD46C2" w:rsidRPr="001421B7" w:rsidRDefault="004C2930" w:rsidP="00AD46C2">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Reduce violence against women and girls</w:t>
            </w:r>
            <w:r w:rsidR="00AD46C2">
              <w:rPr>
                <w:rFonts w:asciiTheme="minorHAnsi" w:eastAsia="Times New Roman" w:hAnsiTheme="minorHAnsi"/>
                <w:iCs/>
                <w:color w:val="auto"/>
                <w:szCs w:val="17"/>
                <w:lang w:eastAsia="en-US"/>
              </w:rPr>
              <w:t>: Best practice initiatives to prevent violence implemented. Improved coordinated multi-sectoral approach to address all forms of VAW.</w:t>
            </w:r>
          </w:p>
        </w:tc>
        <w:tc>
          <w:tcPr>
            <w:tcW w:w="404" w:type="pct"/>
            <w:shd w:val="clear" w:color="auto" w:fill="F7AA32"/>
          </w:tcPr>
          <w:p w:rsidR="00AD46C2" w:rsidRPr="00880004" w:rsidRDefault="00AD46C2" w:rsidP="00AD46C2">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2222" w:type="pct"/>
          </w:tcPr>
          <w:p w:rsidR="007A37A7" w:rsidRDefault="00317AFB" w:rsidP="00AD46C2">
            <w:pPr>
              <w:pStyle w:val="TableTextEntries"/>
              <w:keepNext/>
              <w:rPr>
                <w:rFonts w:asciiTheme="minorHAnsi" w:hAnsiTheme="minorHAnsi" w:cstheme="minorBidi"/>
                <w:lang w:val="en-GB" w:eastAsia="en-US"/>
              </w:rPr>
            </w:pPr>
            <w:r w:rsidRPr="00317AFB">
              <w:rPr>
                <w:rFonts w:asciiTheme="minorHAnsi" w:hAnsiTheme="minorHAnsi" w:cstheme="minorBidi"/>
                <w:lang w:val="en-GB" w:eastAsia="en-US"/>
              </w:rPr>
              <w:t xml:space="preserve">Activities to end gender based violence were supported under the bilateral and regional development programs and through the Australian Federal Police </w:t>
            </w:r>
            <w:r>
              <w:rPr>
                <w:rFonts w:asciiTheme="minorHAnsi" w:hAnsiTheme="minorHAnsi" w:cstheme="minorBidi"/>
                <w:lang w:val="en-GB" w:eastAsia="en-US"/>
              </w:rPr>
              <w:t xml:space="preserve">(AFP) </w:t>
            </w:r>
            <w:r w:rsidRPr="00317AFB">
              <w:rPr>
                <w:rFonts w:asciiTheme="minorHAnsi" w:hAnsiTheme="minorHAnsi" w:cstheme="minorBidi"/>
                <w:lang w:val="en-GB" w:eastAsia="en-US"/>
              </w:rPr>
              <w:t>partnership with the Samoa Police Service. An Ending Violence Against Women (EVAW) campaign was rolled-out on national television, promoting “Safe Families, Safe Samoa”. Through UN</w:t>
            </w:r>
            <w:r w:rsidR="000866AA">
              <w:rPr>
                <w:rFonts w:asciiTheme="minorHAnsi" w:hAnsiTheme="minorHAnsi" w:cstheme="minorBidi"/>
                <w:lang w:val="en-GB" w:eastAsia="en-US"/>
              </w:rPr>
              <w:t xml:space="preserve"> </w:t>
            </w:r>
            <w:r w:rsidRPr="00317AFB">
              <w:rPr>
                <w:rFonts w:asciiTheme="minorHAnsi" w:hAnsiTheme="minorHAnsi" w:cstheme="minorBidi"/>
                <w:lang w:val="en-GB" w:eastAsia="en-US"/>
              </w:rPr>
              <w:t xml:space="preserve">Women, the regional Pacific Partnerships for EVAW began developing an Interagency Essential Services Guide for Samoa, compiling services available, and relevant providers and partners in EVAW.   </w:t>
            </w:r>
            <w:r w:rsidR="007A37A7">
              <w:rPr>
                <w:rFonts w:asciiTheme="minorHAnsi" w:hAnsiTheme="minorHAnsi" w:cstheme="minorBidi"/>
                <w:lang w:val="en-GB" w:eastAsia="en-US"/>
              </w:rPr>
              <w:t>Bilaterally</w:t>
            </w:r>
            <w:r>
              <w:rPr>
                <w:rFonts w:asciiTheme="minorHAnsi" w:hAnsiTheme="minorHAnsi" w:cstheme="minorBidi"/>
                <w:lang w:val="en-GB" w:eastAsia="en-US"/>
              </w:rPr>
              <w:t>,</w:t>
            </w:r>
            <w:r w:rsidR="007A37A7">
              <w:rPr>
                <w:rFonts w:asciiTheme="minorHAnsi" w:hAnsiTheme="minorHAnsi" w:cstheme="minorBidi"/>
                <w:lang w:val="en-GB" w:eastAsia="en-US"/>
              </w:rPr>
              <w:t xml:space="preserve"> </w:t>
            </w:r>
            <w:r w:rsidR="007A37A7" w:rsidRPr="007A37A7">
              <w:rPr>
                <w:rFonts w:asciiTheme="minorHAnsi" w:hAnsiTheme="minorHAnsi" w:cstheme="minorBidi"/>
                <w:lang w:val="en-GB" w:eastAsia="en-US"/>
              </w:rPr>
              <w:t>EVAWG program implementation</w:t>
            </w:r>
            <w:r>
              <w:rPr>
                <w:rFonts w:asciiTheme="minorHAnsi" w:hAnsiTheme="minorHAnsi" w:cstheme="minorBidi"/>
                <w:lang w:val="en-GB" w:eastAsia="en-US"/>
              </w:rPr>
              <w:t xml:space="preserve"> was</w:t>
            </w:r>
            <w:r w:rsidR="007A37A7" w:rsidRPr="007A37A7">
              <w:rPr>
                <w:rFonts w:asciiTheme="minorHAnsi" w:hAnsiTheme="minorHAnsi" w:cstheme="minorBidi"/>
                <w:lang w:val="en-GB" w:eastAsia="en-US"/>
              </w:rPr>
              <w:t xml:space="preserve"> affected by cancellation of </w:t>
            </w:r>
            <w:r>
              <w:rPr>
                <w:rFonts w:asciiTheme="minorHAnsi" w:hAnsiTheme="minorHAnsi" w:cstheme="minorBidi"/>
                <w:lang w:val="en-GB" w:eastAsia="en-US"/>
              </w:rPr>
              <w:t xml:space="preserve">the </w:t>
            </w:r>
            <w:r w:rsidR="007A37A7" w:rsidRPr="007A37A7">
              <w:rPr>
                <w:rFonts w:asciiTheme="minorHAnsi" w:hAnsiTheme="minorHAnsi" w:cstheme="minorBidi"/>
                <w:lang w:val="en-GB" w:eastAsia="en-US"/>
              </w:rPr>
              <w:t>S</w:t>
            </w:r>
            <w:r w:rsidR="007A37A7">
              <w:rPr>
                <w:rFonts w:asciiTheme="minorHAnsi" w:hAnsiTheme="minorHAnsi" w:cstheme="minorBidi"/>
                <w:lang w:val="en-GB" w:eastAsia="en-US"/>
              </w:rPr>
              <w:t xml:space="preserve">amoan </w:t>
            </w:r>
            <w:r w:rsidR="007A37A7" w:rsidRPr="007A37A7">
              <w:rPr>
                <w:rFonts w:asciiTheme="minorHAnsi" w:hAnsiTheme="minorHAnsi" w:cstheme="minorBidi"/>
                <w:lang w:val="en-GB" w:eastAsia="en-US"/>
              </w:rPr>
              <w:t>W</w:t>
            </w:r>
            <w:r w:rsidR="007A37A7">
              <w:rPr>
                <w:rFonts w:asciiTheme="minorHAnsi" w:hAnsiTheme="minorHAnsi" w:cstheme="minorBidi"/>
                <w:lang w:val="en-GB" w:eastAsia="en-US"/>
              </w:rPr>
              <w:t xml:space="preserve">omen </w:t>
            </w:r>
            <w:r w:rsidR="007A37A7" w:rsidRPr="007A37A7">
              <w:rPr>
                <w:rFonts w:asciiTheme="minorHAnsi" w:hAnsiTheme="minorHAnsi" w:cstheme="minorBidi"/>
                <w:lang w:val="en-GB" w:eastAsia="en-US"/>
              </w:rPr>
              <w:t>S</w:t>
            </w:r>
            <w:r w:rsidR="007A37A7">
              <w:rPr>
                <w:rFonts w:asciiTheme="minorHAnsi" w:hAnsiTheme="minorHAnsi" w:cstheme="minorBidi"/>
                <w:lang w:val="en-GB" w:eastAsia="en-US"/>
              </w:rPr>
              <w:t xml:space="preserve">haping </w:t>
            </w:r>
            <w:r w:rsidR="007A37A7" w:rsidRPr="007A37A7">
              <w:rPr>
                <w:rFonts w:asciiTheme="minorHAnsi" w:hAnsiTheme="minorHAnsi" w:cstheme="minorBidi"/>
                <w:lang w:val="en-GB" w:eastAsia="en-US"/>
              </w:rPr>
              <w:t>D</w:t>
            </w:r>
            <w:r w:rsidR="007A37A7">
              <w:rPr>
                <w:rFonts w:asciiTheme="minorHAnsi" w:hAnsiTheme="minorHAnsi" w:cstheme="minorBidi"/>
                <w:lang w:val="en-GB" w:eastAsia="en-US"/>
              </w:rPr>
              <w:t xml:space="preserve">evelopment </w:t>
            </w:r>
            <w:r w:rsidR="007A37A7" w:rsidRPr="007A37A7">
              <w:rPr>
                <w:rFonts w:asciiTheme="minorHAnsi" w:hAnsiTheme="minorHAnsi" w:cstheme="minorBidi"/>
                <w:lang w:val="en-GB" w:eastAsia="en-US"/>
              </w:rPr>
              <w:t>P</w:t>
            </w:r>
            <w:r w:rsidR="007A37A7">
              <w:rPr>
                <w:rFonts w:asciiTheme="minorHAnsi" w:hAnsiTheme="minorHAnsi" w:cstheme="minorBidi"/>
                <w:lang w:val="en-GB" w:eastAsia="en-US"/>
              </w:rPr>
              <w:t>rogram</w:t>
            </w:r>
            <w:r w:rsidR="007A37A7" w:rsidRPr="007A37A7">
              <w:rPr>
                <w:rFonts w:asciiTheme="minorHAnsi" w:hAnsiTheme="minorHAnsi" w:cstheme="minorBidi"/>
                <w:lang w:val="en-GB" w:eastAsia="en-US"/>
              </w:rPr>
              <w:t>. A case officer was placed in the Ministry of Justice Alcohol and Drugs Court funded under SWSDP</w:t>
            </w:r>
            <w:r w:rsidR="007A37A7">
              <w:rPr>
                <w:rFonts w:asciiTheme="minorHAnsi" w:hAnsiTheme="minorHAnsi" w:cstheme="minorBidi"/>
                <w:lang w:val="en-GB" w:eastAsia="en-US"/>
              </w:rPr>
              <w:t xml:space="preserve"> but resigned in February 2019</w:t>
            </w:r>
            <w:r w:rsidR="007A37A7" w:rsidRPr="007A37A7">
              <w:rPr>
                <w:rFonts w:asciiTheme="minorHAnsi" w:hAnsiTheme="minorHAnsi" w:cstheme="minorBidi"/>
                <w:lang w:val="en-GB" w:eastAsia="en-US"/>
              </w:rPr>
              <w:t xml:space="preserve">. </w:t>
            </w:r>
          </w:p>
          <w:p w:rsidR="00AD46C2" w:rsidRPr="001421B7" w:rsidRDefault="007A37A7" w:rsidP="00317AFB">
            <w:pPr>
              <w:pStyle w:val="TableTextEntries"/>
              <w:keepNext/>
              <w:rPr>
                <w:rFonts w:asciiTheme="minorHAnsi" w:hAnsiTheme="minorHAnsi" w:cstheme="minorBidi"/>
                <w:lang w:val="en-GB" w:eastAsia="en-US"/>
              </w:rPr>
            </w:pPr>
            <w:r w:rsidRPr="007A37A7">
              <w:rPr>
                <w:rFonts w:asciiTheme="minorHAnsi" w:hAnsiTheme="minorHAnsi" w:cstheme="minorBidi"/>
                <w:lang w:val="en-GB" w:eastAsia="en-US"/>
              </w:rPr>
              <w:t xml:space="preserve">CSSP </w:t>
            </w:r>
            <w:r>
              <w:rPr>
                <w:rFonts w:asciiTheme="minorHAnsi" w:hAnsiTheme="minorHAnsi" w:cstheme="minorBidi"/>
                <w:lang w:val="en-GB" w:eastAsia="en-US"/>
              </w:rPr>
              <w:t xml:space="preserve">currently </w:t>
            </w:r>
            <w:r w:rsidRPr="007A37A7">
              <w:rPr>
                <w:rFonts w:asciiTheme="minorHAnsi" w:hAnsiTheme="minorHAnsi" w:cstheme="minorBidi"/>
                <w:lang w:val="en-GB" w:eastAsia="en-US"/>
              </w:rPr>
              <w:t xml:space="preserve">supports </w:t>
            </w:r>
            <w:r>
              <w:rPr>
                <w:rFonts w:asciiTheme="minorHAnsi" w:hAnsiTheme="minorHAnsi" w:cstheme="minorBidi"/>
                <w:lang w:val="en-GB" w:eastAsia="en-US"/>
              </w:rPr>
              <w:t xml:space="preserve">two </w:t>
            </w:r>
            <w:r w:rsidRPr="007A37A7">
              <w:rPr>
                <w:rFonts w:asciiTheme="minorHAnsi" w:hAnsiTheme="minorHAnsi" w:cstheme="minorBidi"/>
                <w:lang w:val="en-GB" w:eastAsia="en-US"/>
              </w:rPr>
              <w:t>NGOs working within EVAWG/GBV space</w:t>
            </w:r>
            <w:r w:rsidR="00F14763">
              <w:rPr>
                <w:rFonts w:asciiTheme="minorHAnsi" w:hAnsiTheme="minorHAnsi" w:cstheme="minorBidi"/>
                <w:lang w:val="en-GB" w:eastAsia="en-US"/>
              </w:rPr>
              <w:t>.</w:t>
            </w:r>
            <w:r w:rsidR="00CB4D49">
              <w:rPr>
                <w:rFonts w:asciiTheme="minorHAnsi" w:hAnsiTheme="minorHAnsi" w:cstheme="minorBidi"/>
                <w:lang w:val="en-GB" w:eastAsia="en-US"/>
              </w:rPr>
              <w:t xml:space="preserve"> </w:t>
            </w:r>
            <w:r w:rsidR="00317AFB">
              <w:t xml:space="preserve"> </w:t>
            </w:r>
            <w:r w:rsidR="00317AFB">
              <w:rPr>
                <w:rFonts w:asciiTheme="minorHAnsi" w:hAnsiTheme="minorHAnsi" w:cstheme="minorBidi"/>
                <w:lang w:val="en-GB" w:eastAsia="en-US"/>
              </w:rPr>
              <w:t>U</w:t>
            </w:r>
            <w:r w:rsidR="00317AFB" w:rsidRPr="00317AFB">
              <w:rPr>
                <w:rFonts w:asciiTheme="minorHAnsi" w:hAnsiTheme="minorHAnsi" w:cstheme="minorBidi"/>
                <w:lang w:val="en-GB" w:eastAsia="en-US"/>
              </w:rPr>
              <w:t>nder the Samoa Australia Police Partnership (SAPP),</w:t>
            </w:r>
            <w:r w:rsidR="00317AFB">
              <w:rPr>
                <w:rFonts w:asciiTheme="minorHAnsi" w:hAnsiTheme="minorHAnsi" w:cstheme="minorBidi"/>
                <w:lang w:val="en-GB" w:eastAsia="en-US"/>
              </w:rPr>
              <w:t xml:space="preserve"> AFP</w:t>
            </w:r>
            <w:r w:rsidR="00317AFB" w:rsidRPr="00317AFB">
              <w:rPr>
                <w:rFonts w:asciiTheme="minorHAnsi" w:hAnsiTheme="minorHAnsi" w:cstheme="minorBidi"/>
                <w:lang w:val="en-GB" w:eastAsia="en-US"/>
              </w:rPr>
              <w:t xml:space="preserve"> provided continued mentoring and guidance on the establishment of the Samoa Sex Offenders Register and funded the purchase of equipment in order for the </w:t>
            </w:r>
            <w:r w:rsidR="00317AFB">
              <w:rPr>
                <w:rFonts w:asciiTheme="minorHAnsi" w:hAnsiTheme="minorHAnsi" w:cstheme="minorBidi"/>
                <w:lang w:val="en-GB" w:eastAsia="en-US"/>
              </w:rPr>
              <w:t>Samoa Police Service</w:t>
            </w:r>
            <w:r w:rsidR="00317AFB" w:rsidRPr="00317AFB">
              <w:rPr>
                <w:rFonts w:asciiTheme="minorHAnsi" w:hAnsiTheme="minorHAnsi" w:cstheme="minorBidi"/>
                <w:lang w:val="en-GB" w:eastAsia="en-US"/>
              </w:rPr>
              <w:t xml:space="preserve"> to comply with the Sex Offender’s Registration Act 2017.</w:t>
            </w:r>
          </w:p>
        </w:tc>
      </w:tr>
      <w:tr w:rsidR="00AD46C2" w:rsidRPr="00C61187" w:rsidTr="00F90FE4">
        <w:tc>
          <w:tcPr>
            <w:tcW w:w="780" w:type="pct"/>
            <w:tcMar>
              <w:top w:w="57" w:type="dxa"/>
              <w:bottom w:w="57" w:type="dxa"/>
            </w:tcMar>
          </w:tcPr>
          <w:p w:rsidR="00AD46C2" w:rsidRPr="001421B7" w:rsidRDefault="00AD46C2" w:rsidP="00AD46C2">
            <w:pPr>
              <w:keepLines/>
              <w:spacing w:before="40" w:after="40" w:line="200" w:lineRule="atLeast"/>
              <w:rPr>
                <w:rFonts w:asciiTheme="minorHAnsi" w:eastAsia="Times New Roman" w:hAnsiTheme="minorHAnsi"/>
                <w:iCs/>
                <w:color w:val="auto"/>
                <w:szCs w:val="17"/>
                <w:lang w:eastAsia="en-US"/>
              </w:rPr>
            </w:pPr>
            <w:r w:rsidRPr="00802384">
              <w:rPr>
                <w:rFonts w:asciiTheme="minorHAnsi" w:eastAsia="Times New Roman" w:hAnsiTheme="minorHAnsi"/>
                <w:iCs/>
                <w:color w:val="auto"/>
                <w:szCs w:val="17"/>
                <w:lang w:eastAsia="en-US"/>
              </w:rPr>
              <w:t>Strengthen governance</w:t>
            </w:r>
          </w:p>
        </w:tc>
        <w:tc>
          <w:tcPr>
            <w:tcW w:w="1594" w:type="pct"/>
          </w:tcPr>
          <w:p w:rsidR="00AD46C2" w:rsidRPr="001421B7" w:rsidRDefault="00AD46C2" w:rsidP="00AD46C2">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Strengthened public sector, including Samoa’s Police Service, civil society and private sector: Assessment of National Systems recommendations implemented.</w:t>
            </w:r>
          </w:p>
        </w:tc>
        <w:tc>
          <w:tcPr>
            <w:tcW w:w="404" w:type="pct"/>
            <w:shd w:val="clear" w:color="auto" w:fill="7FB64D" w:themeFill="accent3" w:themeFillShade="BF"/>
          </w:tcPr>
          <w:p w:rsidR="00AD46C2" w:rsidRPr="00880004" w:rsidRDefault="00886459" w:rsidP="00AD46C2">
            <w:pPr>
              <w:keepLines/>
              <w:spacing w:before="40" w:after="40" w:line="200" w:lineRule="atLeast"/>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w:t>
            </w:r>
            <w:r w:rsidR="00AD46C2" w:rsidRPr="00880004">
              <w:rPr>
                <w:rFonts w:asciiTheme="minorHAnsi" w:eastAsia="Times New Roman" w:hAnsiTheme="minorHAnsi"/>
                <w:iCs/>
                <w:color w:val="FFFFFF" w:themeColor="background1"/>
                <w:szCs w:val="17"/>
                <w:lang w:eastAsia="en-US"/>
              </w:rPr>
              <w:t>chieved</w:t>
            </w:r>
          </w:p>
        </w:tc>
        <w:tc>
          <w:tcPr>
            <w:tcW w:w="2222" w:type="pct"/>
          </w:tcPr>
          <w:p w:rsidR="00AD46C2" w:rsidRPr="001421B7" w:rsidRDefault="00886459" w:rsidP="00576294">
            <w:pPr>
              <w:pStyle w:val="TableTextEntries"/>
              <w:keepNext/>
              <w:rPr>
                <w:rFonts w:asciiTheme="minorHAnsi" w:hAnsiTheme="minorHAnsi" w:cstheme="minorBidi"/>
                <w:lang w:val="en-GB" w:eastAsia="en-US"/>
              </w:rPr>
            </w:pPr>
            <w:r>
              <w:rPr>
                <w:rFonts w:asciiTheme="minorHAnsi" w:hAnsiTheme="minorHAnsi" w:cstheme="minorBidi"/>
                <w:lang w:val="en-GB" w:eastAsia="en-US"/>
              </w:rPr>
              <w:t>The A</w:t>
            </w:r>
            <w:r w:rsidR="00AD46C2">
              <w:rPr>
                <w:rFonts w:asciiTheme="minorHAnsi" w:hAnsiTheme="minorHAnsi" w:cstheme="minorBidi"/>
                <w:lang w:val="en-GB" w:eastAsia="en-US"/>
              </w:rPr>
              <w:t>ssessment of National Systems</w:t>
            </w:r>
            <w:r>
              <w:rPr>
                <w:rFonts w:asciiTheme="minorHAnsi" w:hAnsiTheme="minorHAnsi" w:cstheme="minorBidi"/>
                <w:lang w:val="en-GB" w:eastAsia="en-US"/>
              </w:rPr>
              <w:t xml:space="preserve"> was</w:t>
            </w:r>
            <w:r w:rsidR="00AD46C2">
              <w:rPr>
                <w:rFonts w:asciiTheme="minorHAnsi" w:hAnsiTheme="minorHAnsi" w:cstheme="minorBidi"/>
                <w:lang w:val="en-GB" w:eastAsia="en-US"/>
              </w:rPr>
              <w:t xml:space="preserve"> compl</w:t>
            </w:r>
            <w:r w:rsidR="0069547F">
              <w:rPr>
                <w:rFonts w:asciiTheme="minorHAnsi" w:hAnsiTheme="minorHAnsi" w:cstheme="minorBidi"/>
                <w:lang w:val="en-GB" w:eastAsia="en-US"/>
              </w:rPr>
              <w:t>ete</w:t>
            </w:r>
            <w:r>
              <w:rPr>
                <w:rFonts w:asciiTheme="minorHAnsi" w:hAnsiTheme="minorHAnsi" w:cstheme="minorBidi"/>
                <w:lang w:val="en-GB" w:eastAsia="en-US"/>
              </w:rPr>
              <w:t>d in May 2019</w:t>
            </w:r>
            <w:r w:rsidR="00F90FE4">
              <w:rPr>
                <w:rFonts w:asciiTheme="minorHAnsi" w:hAnsiTheme="minorHAnsi" w:cstheme="minorBidi"/>
                <w:lang w:val="en-GB" w:eastAsia="en-US"/>
              </w:rPr>
              <w:t xml:space="preserve"> </w:t>
            </w:r>
            <w:r w:rsidR="00576294">
              <w:rPr>
                <w:rFonts w:asciiTheme="minorHAnsi" w:hAnsiTheme="minorHAnsi" w:cstheme="minorBidi"/>
                <w:lang w:val="en-GB" w:eastAsia="en-US"/>
              </w:rPr>
              <w:t>(final sign off was delayed by staffing shortages in Canberra)</w:t>
            </w:r>
            <w:r w:rsidR="00F90FE4">
              <w:rPr>
                <w:rFonts w:asciiTheme="minorHAnsi" w:hAnsiTheme="minorHAnsi" w:cstheme="minorBidi"/>
                <w:lang w:val="en-GB" w:eastAsia="en-US"/>
              </w:rPr>
              <w:t xml:space="preserve">. </w:t>
            </w:r>
            <w:r w:rsidR="00576294">
              <w:rPr>
                <w:rFonts w:asciiTheme="minorHAnsi" w:hAnsiTheme="minorHAnsi" w:cstheme="minorBidi"/>
                <w:lang w:val="en-GB" w:eastAsia="en-US"/>
              </w:rPr>
              <w:t xml:space="preserve">DFAT is working with the </w:t>
            </w:r>
            <w:r>
              <w:rPr>
                <w:rFonts w:asciiTheme="minorHAnsi" w:hAnsiTheme="minorHAnsi" w:cstheme="minorBidi"/>
                <w:lang w:val="en-GB" w:eastAsia="en-US"/>
              </w:rPr>
              <w:t xml:space="preserve">Ministry of Finance </w:t>
            </w:r>
            <w:r w:rsidR="00576294">
              <w:rPr>
                <w:rFonts w:asciiTheme="minorHAnsi" w:hAnsiTheme="minorHAnsi" w:cstheme="minorBidi"/>
                <w:lang w:val="en-GB" w:eastAsia="en-US"/>
              </w:rPr>
              <w:t>to implement</w:t>
            </w:r>
            <w:r>
              <w:rPr>
                <w:rFonts w:asciiTheme="minorHAnsi" w:hAnsiTheme="minorHAnsi" w:cstheme="minorBidi"/>
                <w:lang w:val="en-GB" w:eastAsia="en-US"/>
              </w:rPr>
              <w:t xml:space="preserve"> th</w:t>
            </w:r>
            <w:r w:rsidR="00576294">
              <w:rPr>
                <w:rFonts w:asciiTheme="minorHAnsi" w:hAnsiTheme="minorHAnsi" w:cstheme="minorBidi"/>
                <w:lang w:val="en-GB" w:eastAsia="en-US"/>
              </w:rPr>
              <w:t xml:space="preserve">e recommendations. </w:t>
            </w:r>
            <w:r>
              <w:rPr>
                <w:rFonts w:asciiTheme="minorHAnsi" w:hAnsiTheme="minorHAnsi" w:cstheme="minorBidi"/>
                <w:lang w:val="en-GB" w:eastAsia="en-US"/>
              </w:rPr>
              <w:t xml:space="preserve"> </w:t>
            </w:r>
          </w:p>
        </w:tc>
      </w:tr>
      <w:tr w:rsidR="00AD46C2" w:rsidRPr="00C61187" w:rsidTr="00F90FE4">
        <w:tc>
          <w:tcPr>
            <w:tcW w:w="780" w:type="pct"/>
            <w:tcMar>
              <w:top w:w="57" w:type="dxa"/>
              <w:bottom w:w="57" w:type="dxa"/>
            </w:tcMar>
          </w:tcPr>
          <w:p w:rsidR="00AD46C2" w:rsidRPr="001421B7" w:rsidRDefault="00AD46C2" w:rsidP="00AD46C2">
            <w:pPr>
              <w:keepLines/>
              <w:spacing w:before="40" w:after="40" w:line="200" w:lineRule="atLeast"/>
              <w:rPr>
                <w:rFonts w:asciiTheme="minorHAnsi" w:eastAsia="Times New Roman" w:hAnsiTheme="minorHAnsi"/>
                <w:iCs/>
                <w:color w:val="auto"/>
                <w:szCs w:val="17"/>
                <w:lang w:eastAsia="en-US"/>
              </w:rPr>
            </w:pPr>
            <w:r w:rsidRPr="00802384">
              <w:rPr>
                <w:rFonts w:asciiTheme="minorHAnsi" w:eastAsia="Times New Roman" w:hAnsiTheme="minorHAnsi"/>
                <w:iCs/>
                <w:color w:val="auto"/>
                <w:szCs w:val="17"/>
                <w:lang w:eastAsia="en-US"/>
              </w:rPr>
              <w:lastRenderedPageBreak/>
              <w:t>Strengthen governance</w:t>
            </w:r>
          </w:p>
        </w:tc>
        <w:tc>
          <w:tcPr>
            <w:tcW w:w="1594" w:type="pct"/>
          </w:tcPr>
          <w:p w:rsidR="00AD46C2" w:rsidRPr="001421B7" w:rsidRDefault="00AD46C2" w:rsidP="00AD46C2">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Built a quality and accessible parliament house: New parliament house completed, incorporating accessible design standards and climate resilient features.</w:t>
            </w:r>
          </w:p>
        </w:tc>
        <w:tc>
          <w:tcPr>
            <w:tcW w:w="404" w:type="pct"/>
            <w:shd w:val="clear" w:color="auto" w:fill="7FB64D" w:themeFill="accent3" w:themeFillShade="BF"/>
          </w:tcPr>
          <w:p w:rsidR="00AD46C2" w:rsidRPr="00880004" w:rsidRDefault="00AD46C2" w:rsidP="00AD46C2">
            <w:pPr>
              <w:keepLines/>
              <w:spacing w:before="40" w:after="40" w:line="200" w:lineRule="atLeast"/>
              <w:rPr>
                <w:rFonts w:eastAsia="Times New Roman"/>
                <w:iCs/>
                <w:color w:val="FFFFFF" w:themeColor="background1"/>
                <w:szCs w:val="17"/>
              </w:rPr>
            </w:pPr>
            <w:r w:rsidRPr="00880004">
              <w:rPr>
                <w:rFonts w:asciiTheme="minorHAnsi" w:eastAsia="Times New Roman" w:hAnsiTheme="minorHAnsi"/>
                <w:iCs/>
                <w:color w:val="FFFFFF" w:themeColor="background1"/>
                <w:szCs w:val="17"/>
                <w:lang w:eastAsia="en-US"/>
              </w:rPr>
              <w:t>Achieved</w:t>
            </w:r>
          </w:p>
        </w:tc>
        <w:tc>
          <w:tcPr>
            <w:tcW w:w="2222" w:type="pct"/>
          </w:tcPr>
          <w:p w:rsidR="00AD46C2" w:rsidRPr="001421B7" w:rsidRDefault="00AD46C2" w:rsidP="00AD46C2">
            <w:pPr>
              <w:pStyle w:val="TableTextEntries"/>
              <w:keepNext/>
              <w:rPr>
                <w:rFonts w:asciiTheme="minorHAnsi" w:hAnsiTheme="minorHAnsi" w:cstheme="minorBidi"/>
                <w:lang w:val="en-GB" w:eastAsia="en-US"/>
              </w:rPr>
            </w:pPr>
            <w:r>
              <w:rPr>
                <w:rFonts w:asciiTheme="minorHAnsi" w:hAnsiTheme="minorHAnsi" w:cstheme="minorBidi"/>
                <w:lang w:val="en-GB" w:eastAsia="en-US"/>
              </w:rPr>
              <w:t>Complete</w:t>
            </w:r>
          </w:p>
        </w:tc>
      </w:tr>
      <w:tr w:rsidR="00F14763" w:rsidRPr="00C61187" w:rsidTr="00711C36">
        <w:tc>
          <w:tcPr>
            <w:tcW w:w="780" w:type="pct"/>
            <w:tcMar>
              <w:top w:w="57" w:type="dxa"/>
              <w:bottom w:w="57" w:type="dxa"/>
            </w:tcMar>
          </w:tcPr>
          <w:p w:rsidR="00F14763" w:rsidRPr="00085E5F" w:rsidRDefault="00F14763" w:rsidP="00F14763">
            <w:pPr>
              <w:keepLines/>
              <w:spacing w:before="40" w:after="40" w:line="200" w:lineRule="atLeast"/>
              <w:rPr>
                <w:rFonts w:eastAsia="Times New Roman"/>
                <w:iCs/>
                <w:color w:val="FF0000"/>
                <w:szCs w:val="17"/>
              </w:rPr>
            </w:pPr>
            <w:r w:rsidRPr="00802384">
              <w:rPr>
                <w:rFonts w:asciiTheme="minorHAnsi" w:eastAsia="Times New Roman" w:hAnsiTheme="minorHAnsi"/>
                <w:iCs/>
                <w:color w:val="auto"/>
                <w:szCs w:val="17"/>
                <w:lang w:eastAsia="en-US"/>
              </w:rPr>
              <w:t>Strengthen governance</w:t>
            </w:r>
          </w:p>
        </w:tc>
        <w:tc>
          <w:tcPr>
            <w:tcW w:w="1594" w:type="pct"/>
          </w:tcPr>
          <w:p w:rsidR="00F14763" w:rsidRPr="00085E5F" w:rsidRDefault="00F14763" w:rsidP="00F14763">
            <w:pPr>
              <w:keepLines/>
              <w:spacing w:before="40" w:after="40" w:line="200" w:lineRule="atLeast"/>
              <w:rPr>
                <w:rFonts w:eastAsia="Times New Roman"/>
                <w:iCs/>
                <w:color w:val="FF0000"/>
                <w:szCs w:val="17"/>
              </w:rPr>
            </w:pPr>
            <w:r w:rsidRPr="00472137">
              <w:rPr>
                <w:rFonts w:asciiTheme="minorHAnsi" w:eastAsia="Times New Roman" w:hAnsiTheme="minorHAnsi"/>
                <w:iCs/>
                <w:color w:val="auto"/>
                <w:szCs w:val="17"/>
                <w:lang w:eastAsia="en-US"/>
              </w:rPr>
              <w:t>Increased leadership opportunities for women: Increased number of women in leadership positions.</w:t>
            </w:r>
          </w:p>
        </w:tc>
        <w:tc>
          <w:tcPr>
            <w:tcW w:w="404" w:type="pct"/>
            <w:shd w:val="clear" w:color="auto" w:fill="FFC000"/>
          </w:tcPr>
          <w:p w:rsidR="00F14763" w:rsidRPr="00693FF5" w:rsidRDefault="000956A9" w:rsidP="00FD164D">
            <w:pPr>
              <w:keepLines/>
              <w:spacing w:before="40" w:after="40" w:line="200" w:lineRule="atLeast"/>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 ach</w:t>
            </w:r>
            <w:r w:rsidR="00FD164D">
              <w:rPr>
                <w:rFonts w:asciiTheme="minorHAnsi" w:eastAsia="Times New Roman" w:hAnsiTheme="minorHAnsi"/>
                <w:iCs/>
                <w:color w:val="FFFFFF" w:themeColor="background1"/>
                <w:szCs w:val="17"/>
                <w:lang w:eastAsia="en-US"/>
              </w:rPr>
              <w:t>i</w:t>
            </w:r>
            <w:r>
              <w:rPr>
                <w:rFonts w:asciiTheme="minorHAnsi" w:eastAsia="Times New Roman" w:hAnsiTheme="minorHAnsi"/>
                <w:iCs/>
                <w:color w:val="FFFFFF" w:themeColor="background1"/>
                <w:szCs w:val="17"/>
                <w:lang w:eastAsia="en-US"/>
              </w:rPr>
              <w:t>ev</w:t>
            </w:r>
            <w:r w:rsidR="00FD164D">
              <w:rPr>
                <w:rFonts w:asciiTheme="minorHAnsi" w:eastAsia="Times New Roman" w:hAnsiTheme="minorHAnsi"/>
                <w:iCs/>
                <w:color w:val="FFFFFF" w:themeColor="background1"/>
                <w:szCs w:val="17"/>
                <w:lang w:eastAsia="en-US"/>
              </w:rPr>
              <w:t>e</w:t>
            </w:r>
            <w:r>
              <w:rPr>
                <w:rFonts w:asciiTheme="minorHAnsi" w:eastAsia="Times New Roman" w:hAnsiTheme="minorHAnsi"/>
                <w:iCs/>
                <w:color w:val="FFFFFF" w:themeColor="background1"/>
                <w:szCs w:val="17"/>
                <w:lang w:eastAsia="en-US"/>
              </w:rPr>
              <w:t xml:space="preserve">d </w:t>
            </w:r>
            <w:r w:rsidR="00F14763" w:rsidRPr="00880004">
              <w:rPr>
                <w:rFonts w:asciiTheme="minorHAnsi" w:eastAsia="Times New Roman" w:hAnsiTheme="minorHAnsi"/>
                <w:iCs/>
                <w:color w:val="FFFFFF" w:themeColor="background1"/>
                <w:szCs w:val="17"/>
                <w:lang w:eastAsia="en-US"/>
              </w:rPr>
              <w:t xml:space="preserve"> </w:t>
            </w:r>
          </w:p>
        </w:tc>
        <w:tc>
          <w:tcPr>
            <w:tcW w:w="2222" w:type="pct"/>
          </w:tcPr>
          <w:p w:rsidR="00F14763" w:rsidRPr="00085E5F" w:rsidRDefault="00F14763" w:rsidP="00257A14">
            <w:pPr>
              <w:pStyle w:val="TableTextEntries"/>
              <w:keepNext/>
              <w:rPr>
                <w:rFonts w:asciiTheme="minorHAnsi" w:hAnsiTheme="minorHAnsi" w:cstheme="minorBidi"/>
                <w:color w:val="FF0000"/>
                <w:lang w:val="en-GB"/>
              </w:rPr>
            </w:pPr>
            <w:r w:rsidRPr="007A37A7">
              <w:rPr>
                <w:rFonts w:asciiTheme="minorHAnsi" w:hAnsiTheme="minorHAnsi" w:cstheme="minorBidi"/>
                <w:lang w:val="en-GB"/>
              </w:rPr>
              <w:t xml:space="preserve">WILs program implementation was delayed due to staff turnover and delayed receipt of funds from UN Regional to UN Samoa Office. </w:t>
            </w:r>
            <w:r w:rsidR="00257A14">
              <w:rPr>
                <w:rFonts w:asciiTheme="minorHAnsi" w:hAnsiTheme="minorHAnsi" w:cstheme="minorBidi"/>
                <w:lang w:val="en-GB"/>
              </w:rPr>
              <w:t xml:space="preserve"> While there is no </w:t>
            </w:r>
            <w:r w:rsidRPr="007A37A7">
              <w:rPr>
                <w:rFonts w:asciiTheme="minorHAnsi" w:hAnsiTheme="minorHAnsi" w:cstheme="minorBidi"/>
                <w:lang w:val="en-GB"/>
              </w:rPr>
              <w:t xml:space="preserve"> measurable data at this point to determine increase of women in leadership positions</w:t>
            </w:r>
            <w:r w:rsidR="00257A14">
              <w:rPr>
                <w:rFonts w:asciiTheme="minorHAnsi" w:hAnsiTheme="minorHAnsi" w:cstheme="minorBidi"/>
                <w:lang w:val="en-GB"/>
              </w:rPr>
              <w:t xml:space="preserve"> there have been </w:t>
            </w:r>
            <w:r w:rsidR="002F7633">
              <w:rPr>
                <w:rFonts w:asciiTheme="minorHAnsi" w:hAnsiTheme="minorHAnsi" w:cstheme="minorBidi"/>
                <w:lang w:val="en-GB"/>
              </w:rPr>
              <w:t>several quality</w:t>
            </w:r>
            <w:r w:rsidR="00257A14">
              <w:rPr>
                <w:rFonts w:asciiTheme="minorHAnsi" w:hAnsiTheme="minorHAnsi" w:cstheme="minorBidi"/>
                <w:lang w:val="en-GB"/>
              </w:rPr>
              <w:t xml:space="preserve"> training and workshop </w:t>
            </w:r>
            <w:r w:rsidR="003B69CA">
              <w:rPr>
                <w:rFonts w:asciiTheme="minorHAnsi" w:hAnsiTheme="minorHAnsi" w:cstheme="minorBidi"/>
                <w:lang w:val="en-GB"/>
              </w:rPr>
              <w:t xml:space="preserve">activities </w:t>
            </w:r>
            <w:r w:rsidR="00257A14">
              <w:rPr>
                <w:rFonts w:asciiTheme="minorHAnsi" w:hAnsiTheme="minorHAnsi" w:cstheme="minorBidi"/>
                <w:lang w:val="en-GB"/>
              </w:rPr>
              <w:t xml:space="preserve"> preparing women at all levels to </w:t>
            </w:r>
            <w:r w:rsidR="003B69CA">
              <w:rPr>
                <w:rFonts w:asciiTheme="minorHAnsi" w:hAnsiTheme="minorHAnsi" w:cstheme="minorBidi"/>
                <w:lang w:val="en-GB"/>
              </w:rPr>
              <w:t xml:space="preserve">take advantage of </w:t>
            </w:r>
            <w:r w:rsidR="002F7633">
              <w:rPr>
                <w:rFonts w:asciiTheme="minorHAnsi" w:hAnsiTheme="minorHAnsi" w:cstheme="minorBidi"/>
                <w:lang w:val="en-GB"/>
              </w:rPr>
              <w:t>opportunities to participate</w:t>
            </w:r>
            <w:r w:rsidR="00257A14">
              <w:rPr>
                <w:rFonts w:asciiTheme="minorHAnsi" w:hAnsiTheme="minorHAnsi" w:cstheme="minorBidi"/>
                <w:lang w:val="en-GB"/>
              </w:rPr>
              <w:t xml:space="preserve"> in decision making processes</w:t>
            </w:r>
            <w:r w:rsidR="00317AFB">
              <w:rPr>
                <w:rFonts w:asciiTheme="minorHAnsi" w:hAnsiTheme="minorHAnsi" w:cstheme="minorBidi"/>
                <w:lang w:val="en-GB" w:eastAsia="en-US"/>
              </w:rPr>
              <w:t xml:space="preserve"> AFP supports women’s leadership in the Samoa Police service through mentoring and scholarships.</w:t>
            </w:r>
          </w:p>
        </w:tc>
      </w:tr>
    </w:tbl>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BE1BEB" w:rsidRDefault="00BE1BEB" w:rsidP="00184F1E">
      <w:pPr>
        <w:rPr>
          <w:rFonts w:ascii="Franklin Gothic Book" w:eastAsia="Times New Roman" w:hAnsi="Franklin Gothic Book"/>
          <w:b/>
          <w:sz w:val="24"/>
          <w:szCs w:val="24"/>
        </w:rPr>
      </w:pPr>
    </w:p>
    <w:p w:rsidR="003445FE" w:rsidRDefault="003445FE">
      <w:pPr>
        <w:suppressAutoHyphens w:val="0"/>
        <w:spacing w:before="0" w:after="120" w:line="440" w:lineRule="atLeast"/>
        <w:rPr>
          <w:rFonts w:eastAsia="Times New Roman" w:cstheme="minorHAnsi"/>
          <w:sz w:val="32"/>
          <w:szCs w:val="32"/>
        </w:rPr>
      </w:pPr>
      <w:r>
        <w:rPr>
          <w:rFonts w:eastAsia="Times New Roman" w:cstheme="minorHAnsi"/>
          <w:sz w:val="32"/>
          <w:szCs w:val="32"/>
        </w:rPr>
        <w:br w:type="page"/>
      </w:r>
    </w:p>
    <w:p w:rsidR="00184F1E" w:rsidRDefault="00F8189A" w:rsidP="00184F1E">
      <w:pPr>
        <w:rPr>
          <w:rFonts w:eastAsia="Times New Roman" w:cstheme="minorHAnsi"/>
          <w:sz w:val="32"/>
          <w:szCs w:val="32"/>
        </w:rPr>
      </w:pPr>
      <w:r w:rsidRPr="005E2075">
        <w:rPr>
          <w:rFonts w:eastAsia="Times New Roman" w:cstheme="minorHAnsi"/>
          <w:sz w:val="32"/>
          <w:szCs w:val="32"/>
        </w:rPr>
        <w:lastRenderedPageBreak/>
        <w:t>2</w:t>
      </w:r>
      <w:r w:rsidR="00283FDD">
        <w:rPr>
          <w:rFonts w:eastAsia="Times New Roman" w:cstheme="minorHAnsi"/>
          <w:sz w:val="32"/>
          <w:szCs w:val="32"/>
        </w:rPr>
        <w:t>.</w:t>
      </w:r>
      <w:r w:rsidRPr="00F8189A">
        <w:rPr>
          <w:rFonts w:eastAsia="Times New Roman" w:cstheme="minorHAnsi"/>
          <w:sz w:val="32"/>
          <w:szCs w:val="32"/>
        </w:rPr>
        <w:t xml:space="preserve"> </w:t>
      </w:r>
      <w:r w:rsidR="00184F1E" w:rsidRPr="00F8189A">
        <w:rPr>
          <w:rFonts w:eastAsia="Times New Roman" w:cstheme="minorHAnsi"/>
          <w:sz w:val="32"/>
          <w:szCs w:val="32"/>
        </w:rPr>
        <w:t xml:space="preserve">Performance Benchmarks for </w:t>
      </w:r>
      <w:r>
        <w:rPr>
          <w:rFonts w:eastAsia="Times New Roman" w:cstheme="minorHAnsi"/>
          <w:sz w:val="32"/>
          <w:szCs w:val="32"/>
        </w:rPr>
        <w:t>2019-20</w:t>
      </w:r>
    </w:p>
    <w:p w:rsidR="00FD164D" w:rsidRPr="00F8189A" w:rsidRDefault="00FD164D" w:rsidP="00184F1E">
      <w:pPr>
        <w:rPr>
          <w:rFonts w:eastAsia="Times New Roman" w:cstheme="minorHAnsi"/>
          <w:sz w:val="32"/>
          <w:szCs w:val="32"/>
        </w:rPr>
      </w:pP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4350"/>
        <w:gridCol w:w="2307"/>
        <w:gridCol w:w="5486"/>
      </w:tblGrid>
      <w:tr w:rsidR="005B027B" w:rsidTr="00FD164D">
        <w:trPr>
          <w:trHeight w:val="245"/>
          <w:tblHeader/>
        </w:trPr>
        <w:tc>
          <w:tcPr>
            <w:tcW w:w="799" w:type="pct"/>
          </w:tcPr>
          <w:p w:rsidR="005B027B" w:rsidRPr="00BE6C6D" w:rsidRDefault="005B027B" w:rsidP="00A5433C">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5" w:type="pct"/>
          </w:tcPr>
          <w:p w:rsidR="005B027B" w:rsidRPr="00BE6C6D" w:rsidRDefault="005B027B" w:rsidP="00A5433C">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798" w:type="pct"/>
            <w:hideMark/>
          </w:tcPr>
          <w:p w:rsidR="005B027B" w:rsidRPr="00BE6C6D" w:rsidRDefault="005B027B" w:rsidP="00A5433C">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898" w:type="pct"/>
            <w:hideMark/>
          </w:tcPr>
          <w:p w:rsidR="005B027B" w:rsidRPr="00BE6C6D" w:rsidRDefault="005B027B" w:rsidP="00A5433C">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BC234E" w:rsidTr="00E01E95">
        <w:trPr>
          <w:trHeight w:val="455"/>
        </w:trPr>
        <w:tc>
          <w:tcPr>
            <w:tcW w:w="799" w:type="pct"/>
          </w:tcPr>
          <w:p w:rsidR="00BC234E" w:rsidRPr="00CA5C87" w:rsidRDefault="001907E2" w:rsidP="00A5433C">
            <w:pPr>
              <w:pStyle w:val="NormalIndented"/>
              <w:rPr>
                <w:rFonts w:eastAsia="Times New Roman"/>
                <w:iCs/>
                <w:color w:val="auto"/>
                <w:szCs w:val="17"/>
              </w:rPr>
            </w:pPr>
            <w:r>
              <w:rPr>
                <w:rFonts w:eastAsia="Times New Roman"/>
                <w:iCs/>
                <w:color w:val="auto"/>
                <w:szCs w:val="17"/>
              </w:rPr>
              <w:t>Enable economic growth</w:t>
            </w:r>
          </w:p>
        </w:tc>
        <w:tc>
          <w:tcPr>
            <w:tcW w:w="1505" w:type="pct"/>
          </w:tcPr>
          <w:p w:rsidR="00BC234E" w:rsidRPr="00CA5C87" w:rsidRDefault="001907E2" w:rsidP="00A5433C">
            <w:pPr>
              <w:pStyle w:val="NormalIndented"/>
              <w:rPr>
                <w:rFonts w:eastAsia="Times New Roman"/>
                <w:iCs/>
                <w:color w:val="auto"/>
                <w:szCs w:val="17"/>
              </w:rPr>
            </w:pPr>
            <w:r>
              <w:rPr>
                <w:rFonts w:eastAsia="Times New Roman"/>
                <w:iCs/>
                <w:color w:val="auto"/>
                <w:szCs w:val="17"/>
              </w:rPr>
              <w:t>Improved economic infrastructure</w:t>
            </w:r>
          </w:p>
        </w:tc>
        <w:tc>
          <w:tcPr>
            <w:tcW w:w="798" w:type="pct"/>
          </w:tcPr>
          <w:p w:rsidR="00BC234E" w:rsidRPr="00CA5C87" w:rsidRDefault="001907E2" w:rsidP="00A5433C">
            <w:pPr>
              <w:pStyle w:val="NormalIndented"/>
              <w:ind w:left="33"/>
              <w:jc w:val="center"/>
              <w:rPr>
                <w:i/>
                <w:color w:val="auto"/>
                <w:szCs w:val="20"/>
              </w:rPr>
            </w:pPr>
            <w:r w:rsidRPr="001907E2">
              <w:rPr>
                <w:i/>
                <w:color w:val="auto"/>
                <w:szCs w:val="20"/>
              </w:rPr>
              <w:t>Maliolio Bridge constructed in accordance with climate resilient design</w:t>
            </w:r>
          </w:p>
        </w:tc>
        <w:tc>
          <w:tcPr>
            <w:tcW w:w="1898" w:type="pct"/>
          </w:tcPr>
          <w:p w:rsidR="00BC234E" w:rsidRPr="00CA5C87" w:rsidRDefault="001907E2" w:rsidP="00F90FE4">
            <w:pPr>
              <w:pStyle w:val="NormalIndented"/>
              <w:ind w:left="33"/>
              <w:jc w:val="center"/>
              <w:rPr>
                <w:i/>
                <w:color w:val="auto"/>
                <w:szCs w:val="20"/>
              </w:rPr>
            </w:pPr>
            <w:r w:rsidRPr="001907E2">
              <w:rPr>
                <w:i/>
                <w:color w:val="auto"/>
                <w:szCs w:val="20"/>
              </w:rPr>
              <w:t>Maliolio Bridge constructed in accordance with climate resilient design</w:t>
            </w:r>
            <w:r>
              <w:rPr>
                <w:i/>
                <w:color w:val="auto"/>
                <w:szCs w:val="20"/>
              </w:rPr>
              <w:t xml:space="preserve"> </w:t>
            </w:r>
            <w:r w:rsidR="008A34CA">
              <w:rPr>
                <w:i/>
                <w:color w:val="auto"/>
                <w:szCs w:val="20"/>
              </w:rPr>
              <w:t xml:space="preserve">(expected </w:t>
            </w:r>
            <w:r>
              <w:rPr>
                <w:i/>
                <w:color w:val="auto"/>
                <w:szCs w:val="20"/>
              </w:rPr>
              <w:t>December 2019</w:t>
            </w:r>
            <w:r w:rsidR="008A34CA">
              <w:rPr>
                <w:i/>
                <w:color w:val="auto"/>
                <w:szCs w:val="20"/>
              </w:rPr>
              <w:t>)</w:t>
            </w:r>
            <w:r w:rsidRPr="001907E2">
              <w:rPr>
                <w:i/>
                <w:color w:val="auto"/>
                <w:szCs w:val="20"/>
              </w:rPr>
              <w:t>, plus modular bridge</w:t>
            </w:r>
            <w:r w:rsidR="005E2075">
              <w:rPr>
                <w:i/>
                <w:color w:val="auto"/>
                <w:szCs w:val="20"/>
              </w:rPr>
              <w:t>(s)</w:t>
            </w:r>
            <w:r w:rsidRPr="001907E2">
              <w:rPr>
                <w:i/>
                <w:color w:val="auto"/>
                <w:szCs w:val="20"/>
              </w:rPr>
              <w:t xml:space="preserve"> installed </w:t>
            </w:r>
            <w:r w:rsidR="004C2930">
              <w:rPr>
                <w:i/>
                <w:color w:val="auto"/>
                <w:szCs w:val="20"/>
              </w:rPr>
              <w:t xml:space="preserve">at the request of the </w:t>
            </w:r>
            <w:r w:rsidR="00B35DE8">
              <w:rPr>
                <w:i/>
                <w:color w:val="auto"/>
                <w:szCs w:val="20"/>
              </w:rPr>
              <w:t>Samoan Government</w:t>
            </w:r>
            <w:r w:rsidR="004C2930">
              <w:rPr>
                <w:i/>
                <w:color w:val="auto"/>
                <w:szCs w:val="20"/>
              </w:rPr>
              <w:t xml:space="preserve"> </w:t>
            </w:r>
            <w:r w:rsidRPr="001907E2">
              <w:rPr>
                <w:i/>
                <w:color w:val="auto"/>
                <w:szCs w:val="20"/>
              </w:rPr>
              <w:t>at sites vulnerable to flooding.</w:t>
            </w:r>
          </w:p>
        </w:tc>
      </w:tr>
      <w:tr w:rsidR="001907E2" w:rsidTr="00E01E95">
        <w:trPr>
          <w:trHeight w:val="455"/>
        </w:trPr>
        <w:tc>
          <w:tcPr>
            <w:tcW w:w="799" w:type="pct"/>
          </w:tcPr>
          <w:p w:rsidR="001907E2" w:rsidRPr="001907E2" w:rsidRDefault="001907E2" w:rsidP="001907E2">
            <w:pPr>
              <w:pStyle w:val="NormalIndented"/>
              <w:rPr>
                <w:rFonts w:eastAsia="Times New Roman"/>
                <w:iCs/>
                <w:color w:val="auto"/>
                <w:szCs w:val="17"/>
              </w:rPr>
            </w:pPr>
            <w:r>
              <w:rPr>
                <w:rFonts w:eastAsia="Times New Roman"/>
                <w:iCs/>
                <w:color w:val="auto"/>
                <w:szCs w:val="17"/>
              </w:rPr>
              <w:t>Enable economic growth</w:t>
            </w:r>
          </w:p>
        </w:tc>
        <w:tc>
          <w:tcPr>
            <w:tcW w:w="1505" w:type="pct"/>
          </w:tcPr>
          <w:p w:rsidR="001907E2" w:rsidRPr="001907E2" w:rsidRDefault="003B69CA" w:rsidP="00F90FE4">
            <w:pPr>
              <w:pStyle w:val="NormalIndented"/>
              <w:ind w:left="0"/>
              <w:rPr>
                <w:rFonts w:eastAsia="Times New Roman"/>
                <w:iCs/>
                <w:color w:val="auto"/>
                <w:szCs w:val="17"/>
              </w:rPr>
            </w:pPr>
            <w:r>
              <w:rPr>
                <w:rFonts w:eastAsia="Times New Roman"/>
                <w:iCs/>
                <w:color w:val="auto"/>
                <w:szCs w:val="17"/>
              </w:rPr>
              <w:t xml:space="preserve">     Economic reform priorities progressed to strengthen environment for economic growth</w:t>
            </w:r>
          </w:p>
        </w:tc>
        <w:tc>
          <w:tcPr>
            <w:tcW w:w="798" w:type="pct"/>
          </w:tcPr>
          <w:p w:rsidR="001907E2" w:rsidRPr="001907E2" w:rsidRDefault="001907E2" w:rsidP="001907E2">
            <w:pPr>
              <w:pStyle w:val="NormalIndented"/>
              <w:ind w:left="33"/>
              <w:jc w:val="center"/>
              <w:rPr>
                <w:i/>
                <w:color w:val="auto"/>
                <w:szCs w:val="20"/>
              </w:rPr>
            </w:pPr>
            <w:r>
              <w:rPr>
                <w:i/>
                <w:color w:val="auto"/>
                <w:szCs w:val="20"/>
              </w:rPr>
              <w:t>-</w:t>
            </w:r>
          </w:p>
        </w:tc>
        <w:tc>
          <w:tcPr>
            <w:tcW w:w="1898" w:type="pct"/>
          </w:tcPr>
          <w:p w:rsidR="001907E2" w:rsidRDefault="001907E2" w:rsidP="005335F1">
            <w:pPr>
              <w:pStyle w:val="NormalIndented"/>
              <w:ind w:left="33"/>
              <w:jc w:val="center"/>
              <w:rPr>
                <w:i/>
                <w:color w:val="auto"/>
                <w:szCs w:val="20"/>
              </w:rPr>
            </w:pPr>
            <w:r w:rsidRPr="001907E2">
              <w:rPr>
                <w:i/>
                <w:color w:val="auto"/>
                <w:szCs w:val="20"/>
              </w:rPr>
              <w:t xml:space="preserve">Establish a Computer Emergency Response Team (CERT) and a long term capacity development partnership between </w:t>
            </w:r>
            <w:r w:rsidR="005335F1">
              <w:rPr>
                <w:i/>
                <w:color w:val="auto"/>
                <w:szCs w:val="20"/>
              </w:rPr>
              <w:t>Samoan Government</w:t>
            </w:r>
            <w:r w:rsidRPr="001907E2">
              <w:rPr>
                <w:i/>
                <w:color w:val="auto"/>
                <w:szCs w:val="20"/>
              </w:rPr>
              <w:t xml:space="preserve"> and CERT Australia</w:t>
            </w:r>
            <w:r w:rsidR="0092721C">
              <w:rPr>
                <w:i/>
                <w:color w:val="auto"/>
                <w:szCs w:val="20"/>
              </w:rPr>
              <w:t>.</w:t>
            </w:r>
          </w:p>
          <w:p w:rsidR="00192AF7" w:rsidRPr="001907E2" w:rsidRDefault="0092721C" w:rsidP="00F90FE4">
            <w:pPr>
              <w:pStyle w:val="NormalIndented"/>
              <w:ind w:left="33"/>
              <w:jc w:val="center"/>
              <w:rPr>
                <w:i/>
                <w:color w:val="auto"/>
                <w:szCs w:val="20"/>
              </w:rPr>
            </w:pPr>
            <w:r>
              <w:rPr>
                <w:i/>
                <w:color w:val="auto"/>
                <w:szCs w:val="20"/>
              </w:rPr>
              <w:t>Cabinet approval of Disaster Risk Financing strategy.</w:t>
            </w:r>
          </w:p>
        </w:tc>
      </w:tr>
      <w:tr w:rsidR="00C13542" w:rsidTr="00E01E95">
        <w:trPr>
          <w:trHeight w:val="455"/>
        </w:trPr>
        <w:tc>
          <w:tcPr>
            <w:tcW w:w="799" w:type="pct"/>
          </w:tcPr>
          <w:p w:rsidR="00C13542" w:rsidRPr="001907E2" w:rsidRDefault="00FD164D" w:rsidP="00C13542">
            <w:pPr>
              <w:pStyle w:val="NormalIndented"/>
              <w:rPr>
                <w:rFonts w:eastAsia="Times New Roman"/>
                <w:iCs/>
                <w:color w:val="auto"/>
                <w:szCs w:val="17"/>
              </w:rPr>
            </w:pPr>
            <w:r w:rsidRPr="00FD164D">
              <w:rPr>
                <w:rFonts w:eastAsia="Times New Roman"/>
                <w:iCs/>
                <w:color w:val="auto"/>
                <w:szCs w:val="17"/>
              </w:rPr>
              <w:t>Enable economic growth</w:t>
            </w:r>
          </w:p>
        </w:tc>
        <w:tc>
          <w:tcPr>
            <w:tcW w:w="1505" w:type="pct"/>
          </w:tcPr>
          <w:p w:rsidR="00C13542" w:rsidRPr="001907E2" w:rsidRDefault="00C13542" w:rsidP="00C13542">
            <w:pPr>
              <w:pStyle w:val="NormalIndented"/>
              <w:rPr>
                <w:rFonts w:eastAsia="Times New Roman"/>
                <w:iCs/>
                <w:color w:val="auto"/>
                <w:szCs w:val="17"/>
              </w:rPr>
            </w:pPr>
            <w:r w:rsidRPr="002D75CF">
              <w:rPr>
                <w:rFonts w:eastAsia="Times New Roman"/>
                <w:iCs/>
                <w:color w:val="auto"/>
                <w:szCs w:val="17"/>
              </w:rPr>
              <w:t>Increased economic opportunitie</w:t>
            </w:r>
            <w:r w:rsidRPr="00F90FE4">
              <w:rPr>
                <w:rFonts w:eastAsia="Times New Roman"/>
                <w:iCs/>
                <w:color w:val="auto"/>
                <w:szCs w:val="17"/>
              </w:rPr>
              <w:t>s for women</w:t>
            </w:r>
            <w:r w:rsidRPr="002D75CF">
              <w:rPr>
                <w:rFonts w:eastAsia="Times New Roman"/>
                <w:iCs/>
                <w:color w:val="auto"/>
                <w:szCs w:val="17"/>
              </w:rPr>
              <w:t xml:space="preserve"> and people with disabilities </w:t>
            </w:r>
          </w:p>
        </w:tc>
        <w:tc>
          <w:tcPr>
            <w:tcW w:w="798" w:type="pct"/>
          </w:tcPr>
          <w:p w:rsidR="00C13542" w:rsidRPr="00C13542" w:rsidRDefault="00C13542" w:rsidP="00C13542">
            <w:pPr>
              <w:pStyle w:val="NormalIndented"/>
              <w:ind w:left="33"/>
              <w:jc w:val="center"/>
              <w:rPr>
                <w:i/>
                <w:color w:val="auto"/>
                <w:szCs w:val="20"/>
              </w:rPr>
            </w:pPr>
            <w:r w:rsidRPr="002D75CF">
              <w:rPr>
                <w:i/>
                <w:color w:val="auto"/>
                <w:szCs w:val="20"/>
              </w:rPr>
              <w:t xml:space="preserve">Minimum </w:t>
            </w:r>
            <w:r w:rsidRPr="00F90FE4">
              <w:rPr>
                <w:i/>
                <w:color w:val="auto"/>
                <w:szCs w:val="20"/>
              </w:rPr>
              <w:t>200 women</w:t>
            </w:r>
            <w:r w:rsidRPr="002D75CF">
              <w:rPr>
                <w:i/>
                <w:color w:val="auto"/>
                <w:szCs w:val="20"/>
              </w:rPr>
              <w:t xml:space="preserve"> and people with disability supported to establish businesses.</w:t>
            </w:r>
          </w:p>
        </w:tc>
        <w:tc>
          <w:tcPr>
            <w:tcW w:w="1898" w:type="pct"/>
          </w:tcPr>
          <w:p w:rsidR="006676B6" w:rsidRDefault="00B77B92" w:rsidP="00B77B92">
            <w:pPr>
              <w:pStyle w:val="NormalIndented"/>
              <w:ind w:left="33"/>
              <w:jc w:val="center"/>
              <w:rPr>
                <w:i/>
                <w:color w:val="auto"/>
                <w:szCs w:val="20"/>
              </w:rPr>
            </w:pPr>
            <w:r w:rsidRPr="002D75CF">
              <w:rPr>
                <w:i/>
                <w:color w:val="auto"/>
                <w:szCs w:val="20"/>
              </w:rPr>
              <w:t xml:space="preserve">Minimum </w:t>
            </w:r>
            <w:r>
              <w:rPr>
                <w:i/>
                <w:color w:val="auto"/>
                <w:szCs w:val="20"/>
              </w:rPr>
              <w:t>50</w:t>
            </w:r>
            <w:r w:rsidRPr="002D75CF">
              <w:rPr>
                <w:i/>
                <w:color w:val="auto"/>
                <w:szCs w:val="20"/>
              </w:rPr>
              <w:t xml:space="preserve"> people with disability supported to establish businesses.</w:t>
            </w:r>
          </w:p>
          <w:p w:rsidR="006676B6" w:rsidRDefault="006676B6" w:rsidP="00B77B92">
            <w:pPr>
              <w:pStyle w:val="NormalIndented"/>
              <w:ind w:left="33"/>
              <w:jc w:val="center"/>
              <w:rPr>
                <w:i/>
                <w:color w:val="auto"/>
                <w:szCs w:val="20"/>
              </w:rPr>
            </w:pPr>
            <w:r>
              <w:rPr>
                <w:i/>
                <w:color w:val="auto"/>
                <w:szCs w:val="20"/>
              </w:rPr>
              <w:t>Minimum 20 women trained or mentored to fulfil management roles in public and private enterprises.</w:t>
            </w:r>
          </w:p>
          <w:p w:rsidR="00C13542" w:rsidRPr="00C13542" w:rsidRDefault="00B77B92" w:rsidP="00B77B92">
            <w:pPr>
              <w:pStyle w:val="NormalIndented"/>
              <w:ind w:left="33"/>
              <w:jc w:val="center"/>
              <w:rPr>
                <w:i/>
                <w:color w:val="auto"/>
                <w:szCs w:val="20"/>
              </w:rPr>
            </w:pPr>
            <w:r>
              <w:rPr>
                <w:i/>
                <w:color w:val="auto"/>
                <w:szCs w:val="20"/>
              </w:rPr>
              <w:t xml:space="preserve"> </w:t>
            </w:r>
          </w:p>
        </w:tc>
      </w:tr>
      <w:tr w:rsidR="00C13542" w:rsidTr="00E01E95">
        <w:trPr>
          <w:trHeight w:val="455"/>
        </w:trPr>
        <w:tc>
          <w:tcPr>
            <w:tcW w:w="799" w:type="pct"/>
          </w:tcPr>
          <w:p w:rsidR="00C13542" w:rsidRPr="00CA5C87" w:rsidRDefault="00C13542" w:rsidP="00C13542">
            <w:pPr>
              <w:pStyle w:val="NormalIndented"/>
              <w:rPr>
                <w:rFonts w:eastAsia="Times New Roman"/>
                <w:iCs/>
                <w:color w:val="auto"/>
                <w:szCs w:val="17"/>
              </w:rPr>
            </w:pPr>
            <w:r w:rsidRPr="001907E2">
              <w:rPr>
                <w:rFonts w:eastAsia="Times New Roman"/>
                <w:iCs/>
                <w:color w:val="auto"/>
                <w:szCs w:val="17"/>
              </w:rPr>
              <w:t>Progress health and education outcomes</w:t>
            </w:r>
          </w:p>
        </w:tc>
        <w:tc>
          <w:tcPr>
            <w:tcW w:w="1505" w:type="pct"/>
          </w:tcPr>
          <w:p w:rsidR="00C13542" w:rsidRPr="00CA5C87" w:rsidRDefault="00C13542" w:rsidP="00C13542">
            <w:pPr>
              <w:pStyle w:val="NormalIndented"/>
              <w:rPr>
                <w:rFonts w:eastAsia="Times New Roman"/>
                <w:iCs/>
                <w:color w:val="auto"/>
                <w:szCs w:val="17"/>
              </w:rPr>
            </w:pPr>
            <w:r w:rsidRPr="001907E2">
              <w:rPr>
                <w:rFonts w:eastAsia="Times New Roman"/>
                <w:iCs/>
                <w:color w:val="auto"/>
                <w:szCs w:val="17"/>
              </w:rPr>
              <w:t>Improved quality of the health system</w:t>
            </w:r>
          </w:p>
        </w:tc>
        <w:tc>
          <w:tcPr>
            <w:tcW w:w="798" w:type="pct"/>
          </w:tcPr>
          <w:p w:rsidR="00C13542" w:rsidRPr="00CA5C87" w:rsidRDefault="00C13542" w:rsidP="00DC2E9A">
            <w:pPr>
              <w:pStyle w:val="NormalIndented"/>
              <w:ind w:left="33"/>
              <w:jc w:val="center"/>
              <w:rPr>
                <w:i/>
                <w:color w:val="auto"/>
                <w:szCs w:val="20"/>
              </w:rPr>
            </w:pPr>
            <w:r w:rsidRPr="001907E2">
              <w:rPr>
                <w:i/>
                <w:color w:val="auto"/>
                <w:szCs w:val="20"/>
              </w:rPr>
              <w:t>Improved</w:t>
            </w:r>
            <w:r w:rsidR="00F4765D">
              <w:rPr>
                <w:i/>
                <w:color w:val="auto"/>
                <w:szCs w:val="20"/>
              </w:rPr>
              <w:t xml:space="preserve"> </w:t>
            </w:r>
            <w:r w:rsidRPr="001907E2">
              <w:rPr>
                <w:i/>
                <w:color w:val="auto"/>
                <w:szCs w:val="20"/>
              </w:rPr>
              <w:t>services at district health centres.</w:t>
            </w:r>
          </w:p>
        </w:tc>
        <w:tc>
          <w:tcPr>
            <w:tcW w:w="1898" w:type="pct"/>
          </w:tcPr>
          <w:p w:rsidR="00DC2E9A" w:rsidRDefault="00DC2E9A" w:rsidP="00A22908">
            <w:pPr>
              <w:pStyle w:val="NormalIndented"/>
              <w:ind w:left="33"/>
              <w:jc w:val="center"/>
              <w:rPr>
                <w:i/>
                <w:color w:val="auto"/>
                <w:szCs w:val="20"/>
              </w:rPr>
            </w:pPr>
            <w:r>
              <w:rPr>
                <w:i/>
                <w:color w:val="auto"/>
                <w:szCs w:val="20"/>
              </w:rPr>
              <w:t xml:space="preserve">5% </w:t>
            </w:r>
            <w:r w:rsidR="00192AF7">
              <w:rPr>
                <w:i/>
                <w:color w:val="auto"/>
                <w:szCs w:val="20"/>
              </w:rPr>
              <w:t xml:space="preserve">increase in </w:t>
            </w:r>
            <w:r>
              <w:rPr>
                <w:i/>
                <w:color w:val="auto"/>
                <w:szCs w:val="20"/>
              </w:rPr>
              <w:t>the number of Sexual and Reproductive Health Services provided through quality assured Samoa Family Health Association static clinics</w:t>
            </w:r>
          </w:p>
          <w:p w:rsidR="00DC2E9A" w:rsidRDefault="00DC2E9A" w:rsidP="00A22908">
            <w:pPr>
              <w:pStyle w:val="NormalIndented"/>
              <w:ind w:left="33"/>
              <w:jc w:val="center"/>
              <w:rPr>
                <w:i/>
                <w:color w:val="auto"/>
                <w:szCs w:val="20"/>
              </w:rPr>
            </w:pPr>
          </w:p>
          <w:p w:rsidR="00DC2E9A" w:rsidRPr="00CA5C87" w:rsidRDefault="00DC2E9A" w:rsidP="00A22908">
            <w:pPr>
              <w:pStyle w:val="NormalIndented"/>
              <w:ind w:left="33"/>
              <w:jc w:val="center"/>
              <w:rPr>
                <w:i/>
                <w:color w:val="auto"/>
                <w:szCs w:val="20"/>
              </w:rPr>
            </w:pPr>
            <w:r>
              <w:rPr>
                <w:i/>
                <w:color w:val="auto"/>
                <w:szCs w:val="20"/>
              </w:rPr>
              <w:t>2%</w:t>
            </w:r>
            <w:r w:rsidR="00524971">
              <w:rPr>
                <w:i/>
                <w:color w:val="auto"/>
                <w:szCs w:val="20"/>
              </w:rPr>
              <w:t xml:space="preserve"> increase in</w:t>
            </w:r>
            <w:r>
              <w:rPr>
                <w:i/>
                <w:color w:val="auto"/>
                <w:szCs w:val="20"/>
              </w:rPr>
              <w:t xml:space="preserve"> the number of Sexual and Reproductive Health Services provided through Samoa Family Health Association quality assured outreach </w:t>
            </w:r>
          </w:p>
        </w:tc>
      </w:tr>
      <w:tr w:rsidR="00C13542" w:rsidTr="00E01E95">
        <w:trPr>
          <w:trHeight w:val="455"/>
        </w:trPr>
        <w:tc>
          <w:tcPr>
            <w:tcW w:w="799" w:type="pct"/>
          </w:tcPr>
          <w:p w:rsidR="00C13542" w:rsidRPr="00CA5C87" w:rsidRDefault="00C13542" w:rsidP="00C13542">
            <w:pPr>
              <w:pStyle w:val="NormalIndented"/>
              <w:rPr>
                <w:rFonts w:eastAsia="Times New Roman"/>
                <w:iCs/>
                <w:color w:val="auto"/>
                <w:szCs w:val="17"/>
              </w:rPr>
            </w:pPr>
            <w:r w:rsidRPr="001907E2">
              <w:rPr>
                <w:rFonts w:eastAsia="Times New Roman"/>
                <w:iCs/>
                <w:color w:val="auto"/>
                <w:szCs w:val="17"/>
              </w:rPr>
              <w:t>Progress health and education outcomes</w:t>
            </w:r>
          </w:p>
        </w:tc>
        <w:tc>
          <w:tcPr>
            <w:tcW w:w="1505" w:type="pct"/>
          </w:tcPr>
          <w:p w:rsidR="00C13542" w:rsidRPr="00CA5C87" w:rsidRDefault="00C13542" w:rsidP="00C13542">
            <w:pPr>
              <w:pStyle w:val="NormalIndented"/>
              <w:rPr>
                <w:rFonts w:eastAsia="Times New Roman"/>
                <w:iCs/>
                <w:color w:val="auto"/>
                <w:szCs w:val="17"/>
              </w:rPr>
            </w:pPr>
            <w:r w:rsidRPr="001907E2">
              <w:rPr>
                <w:rFonts w:eastAsia="Times New Roman"/>
                <w:iCs/>
                <w:color w:val="auto"/>
                <w:szCs w:val="17"/>
              </w:rPr>
              <w:t>Improved quality of the health system</w:t>
            </w:r>
          </w:p>
        </w:tc>
        <w:tc>
          <w:tcPr>
            <w:tcW w:w="798" w:type="pct"/>
          </w:tcPr>
          <w:p w:rsidR="00C13542" w:rsidRPr="00CA5C87" w:rsidRDefault="00C13542" w:rsidP="00C13542">
            <w:pPr>
              <w:pStyle w:val="NormalIndented"/>
              <w:ind w:left="33"/>
              <w:jc w:val="center"/>
              <w:rPr>
                <w:i/>
                <w:color w:val="auto"/>
                <w:szCs w:val="20"/>
              </w:rPr>
            </w:pPr>
            <w:r>
              <w:rPr>
                <w:i/>
                <w:color w:val="auto"/>
                <w:szCs w:val="20"/>
              </w:rPr>
              <w:t>-</w:t>
            </w:r>
          </w:p>
        </w:tc>
        <w:tc>
          <w:tcPr>
            <w:tcW w:w="1898" w:type="pct"/>
          </w:tcPr>
          <w:p w:rsidR="00C13542" w:rsidRPr="00CA5C87" w:rsidRDefault="00C13542" w:rsidP="00C13542">
            <w:pPr>
              <w:pStyle w:val="NormalIndented"/>
              <w:ind w:left="33"/>
              <w:jc w:val="center"/>
              <w:rPr>
                <w:i/>
                <w:color w:val="auto"/>
                <w:szCs w:val="20"/>
              </w:rPr>
            </w:pPr>
            <w:r w:rsidRPr="001907E2">
              <w:rPr>
                <w:i/>
                <w:color w:val="auto"/>
                <w:szCs w:val="20"/>
              </w:rPr>
              <w:t>Procure an Inventory Logistics Management System for the Pharmacy Warehouse assisted by Procurement Adviser</w:t>
            </w:r>
            <w:r w:rsidR="00381182">
              <w:rPr>
                <w:i/>
                <w:color w:val="auto"/>
                <w:szCs w:val="20"/>
              </w:rPr>
              <w:t xml:space="preserve"> to improve efficiencies for procuring and managing essential medicine stocks</w:t>
            </w:r>
            <w:r w:rsidRPr="001907E2">
              <w:rPr>
                <w:i/>
                <w:color w:val="auto"/>
                <w:szCs w:val="20"/>
              </w:rPr>
              <w:t>.</w:t>
            </w:r>
          </w:p>
        </w:tc>
      </w:tr>
      <w:tr w:rsidR="00C13542" w:rsidTr="00E01E95">
        <w:trPr>
          <w:trHeight w:val="455"/>
        </w:trPr>
        <w:tc>
          <w:tcPr>
            <w:tcW w:w="799" w:type="pct"/>
          </w:tcPr>
          <w:p w:rsidR="00C13542" w:rsidRDefault="00C13542" w:rsidP="00C13542">
            <w:pPr>
              <w:pStyle w:val="NormalIndented"/>
              <w:rPr>
                <w:rFonts w:eastAsia="Times New Roman"/>
                <w:iCs/>
                <w:color w:val="auto"/>
                <w:szCs w:val="17"/>
              </w:rPr>
            </w:pPr>
            <w:r w:rsidRPr="008A34CA">
              <w:rPr>
                <w:rFonts w:eastAsia="Times New Roman"/>
                <w:iCs/>
                <w:color w:val="auto"/>
                <w:szCs w:val="17"/>
              </w:rPr>
              <w:t>Progress health and education outcomes</w:t>
            </w:r>
          </w:p>
        </w:tc>
        <w:tc>
          <w:tcPr>
            <w:tcW w:w="1505" w:type="pct"/>
          </w:tcPr>
          <w:p w:rsidR="00C13542" w:rsidRPr="008A34CA" w:rsidRDefault="00C13542" w:rsidP="00B577A5">
            <w:pPr>
              <w:pStyle w:val="NormalIndented"/>
              <w:rPr>
                <w:rFonts w:eastAsia="Times New Roman"/>
                <w:iCs/>
                <w:color w:val="auto"/>
                <w:szCs w:val="17"/>
              </w:rPr>
            </w:pPr>
            <w:r w:rsidRPr="00283FDD">
              <w:rPr>
                <w:rFonts w:eastAsia="Times New Roman"/>
                <w:iCs/>
                <w:color w:val="auto"/>
                <w:szCs w:val="17"/>
              </w:rPr>
              <w:t xml:space="preserve">Improved </w:t>
            </w:r>
            <w:r>
              <w:rPr>
                <w:rFonts w:eastAsia="Times New Roman"/>
                <w:iCs/>
                <w:color w:val="auto"/>
                <w:szCs w:val="17"/>
              </w:rPr>
              <w:t>quality of the education sys</w:t>
            </w:r>
            <w:r w:rsidR="00FA381E">
              <w:rPr>
                <w:rFonts w:eastAsia="Times New Roman"/>
                <w:iCs/>
                <w:color w:val="auto"/>
                <w:szCs w:val="17"/>
              </w:rPr>
              <w:t xml:space="preserve">tem through the Education Sector Support Program </w:t>
            </w:r>
          </w:p>
        </w:tc>
        <w:tc>
          <w:tcPr>
            <w:tcW w:w="798" w:type="pct"/>
          </w:tcPr>
          <w:p w:rsidR="00C13542" w:rsidRPr="008A34CA" w:rsidRDefault="00C13542" w:rsidP="00C13542">
            <w:pPr>
              <w:pStyle w:val="NormalIndented"/>
              <w:ind w:left="33"/>
              <w:jc w:val="center"/>
              <w:rPr>
                <w:i/>
                <w:color w:val="auto"/>
                <w:szCs w:val="20"/>
              </w:rPr>
            </w:pPr>
            <w:r>
              <w:rPr>
                <w:i/>
                <w:color w:val="auto"/>
                <w:szCs w:val="20"/>
              </w:rPr>
              <w:t>-</w:t>
            </w:r>
          </w:p>
        </w:tc>
        <w:tc>
          <w:tcPr>
            <w:tcW w:w="1898" w:type="pct"/>
          </w:tcPr>
          <w:p w:rsidR="00B577A5" w:rsidRDefault="00B41682" w:rsidP="00B577A5">
            <w:pPr>
              <w:pStyle w:val="NormalIndented"/>
              <w:ind w:left="33"/>
              <w:jc w:val="center"/>
              <w:rPr>
                <w:i/>
                <w:color w:val="auto"/>
                <w:szCs w:val="20"/>
              </w:rPr>
            </w:pPr>
            <w:r>
              <w:rPr>
                <w:i/>
                <w:color w:val="auto"/>
                <w:szCs w:val="20"/>
              </w:rPr>
              <w:t>C</w:t>
            </w:r>
            <w:r w:rsidR="00B577A5">
              <w:rPr>
                <w:i/>
                <w:color w:val="auto"/>
                <w:szCs w:val="20"/>
              </w:rPr>
              <w:t>omplete the design of the new Education Sector Support Program (jointly with NZ)</w:t>
            </w:r>
          </w:p>
          <w:p w:rsidR="00C13542" w:rsidRPr="008A34CA" w:rsidRDefault="00F90FE4" w:rsidP="00B577A5">
            <w:pPr>
              <w:pStyle w:val="NormalIndented"/>
              <w:ind w:left="33"/>
              <w:jc w:val="center"/>
              <w:rPr>
                <w:i/>
                <w:color w:val="auto"/>
                <w:szCs w:val="20"/>
              </w:rPr>
            </w:pPr>
            <w:r>
              <w:rPr>
                <w:i/>
                <w:color w:val="auto"/>
                <w:szCs w:val="20"/>
              </w:rPr>
              <w:lastRenderedPageBreak/>
              <w:t>P</w:t>
            </w:r>
            <w:r w:rsidR="0092721C">
              <w:rPr>
                <w:i/>
                <w:color w:val="auto"/>
                <w:szCs w:val="20"/>
              </w:rPr>
              <w:t>ilot vo</w:t>
            </w:r>
            <w:r>
              <w:rPr>
                <w:i/>
                <w:color w:val="auto"/>
                <w:szCs w:val="20"/>
              </w:rPr>
              <w:t>cational secondary school model commenced.</w:t>
            </w:r>
          </w:p>
        </w:tc>
      </w:tr>
      <w:tr w:rsidR="00C13542" w:rsidTr="00E01E95">
        <w:trPr>
          <w:trHeight w:val="455"/>
        </w:trPr>
        <w:tc>
          <w:tcPr>
            <w:tcW w:w="799" w:type="pct"/>
          </w:tcPr>
          <w:p w:rsidR="00C13542" w:rsidRPr="00CA5C87" w:rsidRDefault="003B69CA" w:rsidP="00C13542">
            <w:pPr>
              <w:pStyle w:val="NormalIndented"/>
              <w:rPr>
                <w:rFonts w:eastAsia="Times New Roman"/>
                <w:iCs/>
                <w:color w:val="auto"/>
                <w:szCs w:val="17"/>
              </w:rPr>
            </w:pPr>
            <w:r>
              <w:rPr>
                <w:rFonts w:eastAsia="Times New Roman"/>
                <w:iCs/>
                <w:color w:val="auto"/>
                <w:szCs w:val="17"/>
              </w:rPr>
              <w:lastRenderedPageBreak/>
              <w:t xml:space="preserve">Progress health and education outcomes </w:t>
            </w:r>
          </w:p>
        </w:tc>
        <w:tc>
          <w:tcPr>
            <w:tcW w:w="1505" w:type="pct"/>
          </w:tcPr>
          <w:p w:rsidR="00C13542" w:rsidRPr="00CA5C87" w:rsidRDefault="003B69CA" w:rsidP="00C13542">
            <w:pPr>
              <w:pStyle w:val="NormalIndented"/>
              <w:rPr>
                <w:rFonts w:eastAsia="Times New Roman"/>
                <w:iCs/>
                <w:color w:val="auto"/>
                <w:szCs w:val="17"/>
              </w:rPr>
            </w:pPr>
            <w:r>
              <w:rPr>
                <w:rFonts w:eastAsia="Times New Roman"/>
                <w:iCs/>
                <w:color w:val="auto"/>
                <w:szCs w:val="17"/>
              </w:rPr>
              <w:t>Reduce violence against women and girls</w:t>
            </w:r>
          </w:p>
        </w:tc>
        <w:tc>
          <w:tcPr>
            <w:tcW w:w="798" w:type="pct"/>
          </w:tcPr>
          <w:p w:rsidR="00C13542" w:rsidRPr="00CA5C87" w:rsidRDefault="00C13542" w:rsidP="00C13542">
            <w:pPr>
              <w:pStyle w:val="NormalIndented"/>
              <w:ind w:left="33"/>
              <w:jc w:val="center"/>
              <w:rPr>
                <w:i/>
                <w:color w:val="auto"/>
                <w:szCs w:val="20"/>
              </w:rPr>
            </w:pPr>
            <w:r w:rsidRPr="008A34CA">
              <w:rPr>
                <w:i/>
                <w:color w:val="auto"/>
                <w:szCs w:val="20"/>
              </w:rPr>
              <w:t>Best practice initiatives to prevent violence implemented. Improved coordinated multi-sectoral approach to address all forms of VAW.</w:t>
            </w:r>
          </w:p>
        </w:tc>
        <w:tc>
          <w:tcPr>
            <w:tcW w:w="1898" w:type="pct"/>
          </w:tcPr>
          <w:p w:rsidR="00B41682" w:rsidRDefault="0069547F" w:rsidP="00C13542">
            <w:pPr>
              <w:pStyle w:val="NormalIndented"/>
              <w:ind w:left="33"/>
              <w:jc w:val="center"/>
              <w:rPr>
                <w:i/>
                <w:color w:val="auto"/>
                <w:szCs w:val="20"/>
              </w:rPr>
            </w:pPr>
            <w:r>
              <w:rPr>
                <w:i/>
                <w:color w:val="auto"/>
                <w:szCs w:val="20"/>
              </w:rPr>
              <w:t>Gender design including initiatives focused on ending violence against women finalised in consultation with the relevant agencies led by MWCSD.</w:t>
            </w:r>
          </w:p>
          <w:p w:rsidR="00C13542" w:rsidRPr="00CA5C87" w:rsidRDefault="00C13542" w:rsidP="00C13542">
            <w:pPr>
              <w:pStyle w:val="NormalIndented"/>
              <w:ind w:left="33"/>
              <w:jc w:val="center"/>
              <w:rPr>
                <w:i/>
                <w:color w:val="auto"/>
                <w:szCs w:val="20"/>
              </w:rPr>
            </w:pPr>
          </w:p>
        </w:tc>
      </w:tr>
      <w:tr w:rsidR="00C13542" w:rsidTr="00E01E95">
        <w:trPr>
          <w:trHeight w:val="455"/>
        </w:trPr>
        <w:tc>
          <w:tcPr>
            <w:tcW w:w="799" w:type="pct"/>
          </w:tcPr>
          <w:p w:rsidR="00C13542" w:rsidRPr="00CA5C87" w:rsidRDefault="00C13542" w:rsidP="00C13542">
            <w:pPr>
              <w:pStyle w:val="NormalIndented"/>
              <w:rPr>
                <w:rFonts w:eastAsia="Times New Roman"/>
                <w:iCs/>
                <w:color w:val="auto"/>
                <w:szCs w:val="17"/>
              </w:rPr>
            </w:pPr>
            <w:r w:rsidRPr="008A34CA">
              <w:rPr>
                <w:rFonts w:eastAsia="Times New Roman"/>
                <w:iCs/>
                <w:color w:val="auto"/>
                <w:szCs w:val="17"/>
              </w:rPr>
              <w:t>Strengthen governance</w:t>
            </w:r>
          </w:p>
        </w:tc>
        <w:tc>
          <w:tcPr>
            <w:tcW w:w="1505" w:type="pct"/>
          </w:tcPr>
          <w:p w:rsidR="00C13542" w:rsidRDefault="003B69CA" w:rsidP="00C13542">
            <w:pPr>
              <w:pStyle w:val="NormalIndented"/>
              <w:rPr>
                <w:rFonts w:eastAsia="Times New Roman"/>
                <w:iCs/>
                <w:color w:val="auto"/>
                <w:szCs w:val="17"/>
              </w:rPr>
            </w:pPr>
            <w:r>
              <w:rPr>
                <w:rFonts w:eastAsia="Times New Roman"/>
                <w:iCs/>
                <w:color w:val="auto"/>
                <w:szCs w:val="17"/>
              </w:rPr>
              <w:t>Strengthened public sector, including Samoa’s Police Service, civil society and private sector.</w:t>
            </w:r>
          </w:p>
        </w:tc>
        <w:tc>
          <w:tcPr>
            <w:tcW w:w="798" w:type="pct"/>
          </w:tcPr>
          <w:p w:rsidR="00C13542" w:rsidRDefault="00C13542" w:rsidP="00C13542">
            <w:pPr>
              <w:pStyle w:val="NormalIndented"/>
              <w:ind w:left="33"/>
              <w:jc w:val="center"/>
              <w:rPr>
                <w:i/>
                <w:color w:val="auto"/>
                <w:szCs w:val="20"/>
              </w:rPr>
            </w:pPr>
            <w:r w:rsidRPr="008A34CA">
              <w:rPr>
                <w:i/>
                <w:color w:val="auto"/>
                <w:szCs w:val="20"/>
              </w:rPr>
              <w:t>Assessment of National Systems recommendations implemented.</w:t>
            </w:r>
          </w:p>
        </w:tc>
        <w:tc>
          <w:tcPr>
            <w:tcW w:w="1898" w:type="pct"/>
          </w:tcPr>
          <w:p w:rsidR="00C13542" w:rsidRDefault="00F90FE4" w:rsidP="00F90FE4">
            <w:pPr>
              <w:pStyle w:val="NormalIndented"/>
              <w:ind w:left="33"/>
              <w:jc w:val="center"/>
              <w:rPr>
                <w:i/>
                <w:color w:val="auto"/>
                <w:szCs w:val="20"/>
              </w:rPr>
            </w:pPr>
            <w:r>
              <w:rPr>
                <w:i/>
                <w:color w:val="auto"/>
                <w:szCs w:val="20"/>
              </w:rPr>
              <w:t xml:space="preserve">Training provided on </w:t>
            </w:r>
            <w:r w:rsidR="001E0ABF">
              <w:rPr>
                <w:i/>
                <w:color w:val="auto"/>
                <w:szCs w:val="20"/>
              </w:rPr>
              <w:t>the new Procurement man</w:t>
            </w:r>
            <w:r w:rsidR="00FA381E">
              <w:rPr>
                <w:i/>
                <w:color w:val="auto"/>
                <w:szCs w:val="20"/>
              </w:rPr>
              <w:t xml:space="preserve">ual to </w:t>
            </w:r>
            <w:r>
              <w:rPr>
                <w:i/>
                <w:color w:val="auto"/>
                <w:szCs w:val="20"/>
              </w:rPr>
              <w:t>staff from</w:t>
            </w:r>
            <w:r w:rsidR="0069547F">
              <w:rPr>
                <w:i/>
                <w:color w:val="auto"/>
                <w:szCs w:val="20"/>
              </w:rPr>
              <w:t xml:space="preserve"> all Ministries and relevant private sector representatives.</w:t>
            </w:r>
            <w:r w:rsidR="00FA381E">
              <w:rPr>
                <w:i/>
                <w:color w:val="auto"/>
                <w:szCs w:val="20"/>
              </w:rPr>
              <w:t xml:space="preserve"> </w:t>
            </w:r>
          </w:p>
          <w:p w:rsidR="006676B6" w:rsidRPr="00CA5C87" w:rsidRDefault="006676B6" w:rsidP="00F90FE4">
            <w:pPr>
              <w:pStyle w:val="NormalIndented"/>
              <w:ind w:left="33"/>
              <w:jc w:val="center"/>
              <w:rPr>
                <w:i/>
                <w:color w:val="auto"/>
                <w:szCs w:val="20"/>
              </w:rPr>
            </w:pPr>
            <w:r>
              <w:rPr>
                <w:i/>
                <w:color w:val="auto"/>
                <w:szCs w:val="20"/>
              </w:rPr>
              <w:t>Mutually agreed JPAM triggers achieved for 2019 -20.</w:t>
            </w:r>
          </w:p>
        </w:tc>
      </w:tr>
      <w:tr w:rsidR="00C13542" w:rsidTr="00E01E95">
        <w:trPr>
          <w:trHeight w:val="455"/>
        </w:trPr>
        <w:tc>
          <w:tcPr>
            <w:tcW w:w="799" w:type="pct"/>
          </w:tcPr>
          <w:p w:rsidR="00C13542" w:rsidRPr="005E2075" w:rsidRDefault="00C13542" w:rsidP="00C13542">
            <w:pPr>
              <w:pStyle w:val="NormalIndented"/>
              <w:rPr>
                <w:rFonts w:eastAsia="Times New Roman"/>
                <w:iCs/>
                <w:color w:val="auto"/>
                <w:szCs w:val="17"/>
              </w:rPr>
            </w:pPr>
            <w:r w:rsidRPr="005E2075">
              <w:rPr>
                <w:color w:val="auto"/>
              </w:rPr>
              <w:t>Strengthen governance</w:t>
            </w:r>
          </w:p>
        </w:tc>
        <w:tc>
          <w:tcPr>
            <w:tcW w:w="1505" w:type="pct"/>
          </w:tcPr>
          <w:p w:rsidR="00C13542" w:rsidRPr="005E2075" w:rsidRDefault="00C13542" w:rsidP="00C13542">
            <w:pPr>
              <w:pStyle w:val="NormalIndented"/>
              <w:rPr>
                <w:rFonts w:eastAsia="Times New Roman"/>
                <w:iCs/>
                <w:color w:val="auto"/>
                <w:szCs w:val="17"/>
              </w:rPr>
            </w:pPr>
            <w:r w:rsidRPr="005E2075">
              <w:rPr>
                <w:color w:val="auto"/>
              </w:rPr>
              <w:t>Increas</w:t>
            </w:r>
            <w:r w:rsidR="003B69CA">
              <w:rPr>
                <w:color w:val="auto"/>
              </w:rPr>
              <w:t>ing</w:t>
            </w:r>
            <w:r w:rsidRPr="005E2075">
              <w:rPr>
                <w:color w:val="auto"/>
              </w:rPr>
              <w:t xml:space="preserve"> leadership opportunities for women</w:t>
            </w:r>
          </w:p>
        </w:tc>
        <w:tc>
          <w:tcPr>
            <w:tcW w:w="798" w:type="pct"/>
          </w:tcPr>
          <w:p w:rsidR="00C13542" w:rsidRPr="005E2075" w:rsidRDefault="00C13542" w:rsidP="00C13542">
            <w:pPr>
              <w:pStyle w:val="NormalIndented"/>
              <w:ind w:left="33"/>
              <w:jc w:val="center"/>
              <w:rPr>
                <w:i/>
                <w:color w:val="auto"/>
                <w:szCs w:val="20"/>
              </w:rPr>
            </w:pPr>
            <w:r w:rsidRPr="005E2075">
              <w:rPr>
                <w:i/>
                <w:color w:val="auto"/>
                <w:szCs w:val="20"/>
              </w:rPr>
              <w:t>Increased number of women in leadership positions</w:t>
            </w:r>
          </w:p>
        </w:tc>
        <w:tc>
          <w:tcPr>
            <w:tcW w:w="1898" w:type="pct"/>
          </w:tcPr>
          <w:p w:rsidR="00C13542" w:rsidRPr="005E2075" w:rsidRDefault="00B77B92" w:rsidP="00F90FE4">
            <w:pPr>
              <w:pStyle w:val="NormalIndented"/>
              <w:ind w:left="33"/>
              <w:jc w:val="center"/>
              <w:rPr>
                <w:i/>
                <w:color w:val="auto"/>
                <w:szCs w:val="20"/>
              </w:rPr>
            </w:pPr>
            <w:r w:rsidRPr="00B77B92">
              <w:rPr>
                <w:rFonts w:asciiTheme="minorHAnsi" w:hAnsiTheme="minorHAnsi"/>
                <w:sz w:val="22"/>
                <w:lang w:eastAsia="en-US"/>
              </w:rPr>
              <w:t xml:space="preserve"> </w:t>
            </w:r>
            <w:r>
              <w:rPr>
                <w:i/>
                <w:color w:val="auto"/>
                <w:szCs w:val="20"/>
              </w:rPr>
              <w:t xml:space="preserve"> </w:t>
            </w:r>
            <w:r w:rsidR="00F90327">
              <w:rPr>
                <w:i/>
                <w:color w:val="auto"/>
                <w:szCs w:val="20"/>
              </w:rPr>
              <w:t>Leadership training</w:t>
            </w:r>
            <w:r w:rsidR="00F90FE4">
              <w:rPr>
                <w:i/>
                <w:color w:val="auto"/>
                <w:szCs w:val="20"/>
              </w:rPr>
              <w:t xml:space="preserve"> provided to</w:t>
            </w:r>
            <w:r w:rsidR="00F90327">
              <w:rPr>
                <w:i/>
                <w:color w:val="auto"/>
                <w:szCs w:val="20"/>
              </w:rPr>
              <w:t xml:space="preserve"> women in village councils and private sector.</w:t>
            </w:r>
          </w:p>
        </w:tc>
      </w:tr>
    </w:tbl>
    <w:p w:rsidR="00AF1B85" w:rsidRPr="00EF26B5" w:rsidRDefault="00184F1E" w:rsidP="00BB648A">
      <w:pPr>
        <w:pStyle w:val="Subtitle"/>
        <w:spacing w:before="36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1 </w:t>
      </w:r>
      <w:r w:rsidR="00AF1B85" w:rsidRPr="00EF26B5">
        <w:rPr>
          <w:rFonts w:eastAsiaTheme="majorEastAsia" w:cstheme="minorHAnsi"/>
          <w:caps/>
          <w:sz w:val="36"/>
          <w:szCs w:val="36"/>
        </w:rPr>
        <w:t xml:space="preserve">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rsidTr="00E01E95">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rsidTr="00E01E95">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rsidR="00AF1B85" w:rsidRPr="00E2649B" w:rsidRDefault="001D7C6F" w:rsidP="001D7C6F">
            <w:pPr>
              <w:keepLines/>
              <w:spacing w:before="40" w:after="40" w:line="200" w:lineRule="atLeast"/>
              <w:rPr>
                <w:rFonts w:asciiTheme="minorHAnsi" w:eastAsia="Times New Roman" w:hAnsiTheme="minorHAnsi"/>
                <w:b w:val="0"/>
                <w:iCs/>
                <w:color w:val="auto"/>
                <w:szCs w:val="17"/>
                <w:lang w:eastAsia="en-US"/>
              </w:rPr>
            </w:pPr>
            <w:r w:rsidRPr="00E2649B">
              <w:rPr>
                <w:rFonts w:asciiTheme="minorHAnsi" w:eastAsia="Times New Roman" w:hAnsiTheme="minorHAnsi"/>
                <w:b w:val="0"/>
                <w:iCs/>
                <w:color w:val="auto"/>
                <w:szCs w:val="17"/>
                <w:lang w:eastAsia="en-US"/>
              </w:rPr>
              <w:t>INK306 Samoa Education Sector Support Program</w:t>
            </w:r>
          </w:p>
          <w:p w:rsidR="00756704" w:rsidRDefault="00756704" w:rsidP="001D7C6F">
            <w:pPr>
              <w:keepLines/>
              <w:spacing w:before="40" w:after="40" w:line="200" w:lineRule="atLeast"/>
              <w:rPr>
                <w:rFonts w:asciiTheme="minorHAnsi" w:eastAsia="Times New Roman" w:hAnsiTheme="minorHAnsi"/>
                <w:b w:val="0"/>
                <w:iCs/>
                <w:color w:val="auto"/>
                <w:szCs w:val="17"/>
                <w:lang w:eastAsia="en-US"/>
              </w:rPr>
            </w:pPr>
          </w:p>
          <w:p w:rsidR="00E2649B" w:rsidRDefault="00E2649B" w:rsidP="001D7C6F">
            <w:pPr>
              <w:keepLines/>
              <w:spacing w:before="40" w:after="40" w:line="200" w:lineRule="atLeast"/>
              <w:rPr>
                <w:rFonts w:asciiTheme="minorHAnsi" w:eastAsia="Times New Roman" w:hAnsiTheme="minorHAnsi"/>
                <w:b w:val="0"/>
                <w:iCs/>
                <w:color w:val="auto"/>
                <w:szCs w:val="17"/>
                <w:lang w:eastAsia="en-US"/>
              </w:rPr>
            </w:pPr>
            <w:r w:rsidRPr="00E2649B">
              <w:rPr>
                <w:rFonts w:asciiTheme="minorHAnsi" w:eastAsia="Times New Roman" w:hAnsiTheme="minorHAnsi"/>
                <w:b w:val="0"/>
                <w:iCs/>
                <w:color w:val="auto"/>
                <w:szCs w:val="17"/>
                <w:lang w:eastAsia="en-US"/>
              </w:rPr>
              <w:t xml:space="preserve">INK887 Samoa Cyclone Evan Response and Recovery Program </w:t>
            </w:r>
          </w:p>
          <w:p w:rsidR="00D56831" w:rsidRDefault="00D56831" w:rsidP="001D7C6F">
            <w:pPr>
              <w:keepLines/>
              <w:spacing w:before="40" w:after="40" w:line="200" w:lineRule="atLeast"/>
              <w:rPr>
                <w:rFonts w:asciiTheme="minorHAnsi" w:eastAsia="Times New Roman" w:hAnsiTheme="minorHAnsi"/>
                <w:b w:val="0"/>
                <w:iCs/>
                <w:color w:val="auto"/>
                <w:szCs w:val="17"/>
                <w:lang w:eastAsia="en-US"/>
              </w:rPr>
            </w:pPr>
          </w:p>
          <w:p w:rsidR="00D56831" w:rsidRDefault="00D56831" w:rsidP="001D7C6F">
            <w:pPr>
              <w:keepLines/>
              <w:spacing w:before="40" w:after="40" w:line="200" w:lineRule="atLeast"/>
              <w:rPr>
                <w:rFonts w:asciiTheme="minorHAnsi" w:eastAsia="Times New Roman" w:hAnsiTheme="minorHAnsi"/>
                <w:b w:val="0"/>
                <w:iCs/>
                <w:color w:val="auto"/>
                <w:szCs w:val="17"/>
                <w:lang w:eastAsia="en-US"/>
              </w:rPr>
            </w:pPr>
          </w:p>
          <w:p w:rsidR="00D56831" w:rsidRDefault="00D56831" w:rsidP="001D7C6F">
            <w:pPr>
              <w:keepLines/>
              <w:spacing w:before="40" w:after="40" w:line="200" w:lineRule="atLeast"/>
              <w:rPr>
                <w:rFonts w:asciiTheme="minorHAnsi" w:eastAsia="Times New Roman" w:hAnsiTheme="minorHAnsi"/>
                <w:b w:val="0"/>
                <w:iCs/>
                <w:color w:val="auto"/>
                <w:szCs w:val="17"/>
                <w:lang w:eastAsia="en-US"/>
              </w:rPr>
            </w:pPr>
          </w:p>
          <w:p w:rsidR="00D56831" w:rsidRPr="00E2649B" w:rsidRDefault="00583765" w:rsidP="001D7C6F">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 xml:space="preserve">65556/1 </w:t>
            </w:r>
            <w:r w:rsidR="00D56831">
              <w:rPr>
                <w:rFonts w:asciiTheme="minorHAnsi" w:eastAsia="Times New Roman" w:hAnsiTheme="minorHAnsi"/>
                <w:b w:val="0"/>
                <w:iCs/>
                <w:color w:val="auto"/>
                <w:szCs w:val="17"/>
                <w:lang w:eastAsia="en-US"/>
              </w:rPr>
              <w:t xml:space="preserve">Management and Administration Support of the Strategic Partnership Program (SPP) </w:t>
            </w:r>
          </w:p>
        </w:tc>
        <w:tc>
          <w:tcPr>
            <w:tcW w:w="3665" w:type="dxa"/>
            <w:tcBorders>
              <w:bottom w:val="none" w:sz="0" w:space="0" w:color="auto"/>
            </w:tcBorders>
          </w:tcPr>
          <w:p w:rsidR="00AF1B85" w:rsidRPr="00E2649B" w:rsidRDefault="001D7C6F" w:rsidP="003E06F1">
            <w:pPr>
              <w:keepLines/>
              <w:spacing w:before="40" w:after="40" w:line="200" w:lineRule="atLeast"/>
              <w:rPr>
                <w:rFonts w:asciiTheme="minorHAnsi" w:eastAsia="Times New Roman" w:hAnsiTheme="minorHAnsi"/>
                <w:b w:val="0"/>
                <w:iCs/>
                <w:color w:val="auto"/>
                <w:szCs w:val="17"/>
                <w:lang w:eastAsia="en-US"/>
              </w:rPr>
            </w:pPr>
            <w:r w:rsidRPr="00E2649B">
              <w:rPr>
                <w:rFonts w:asciiTheme="minorHAnsi" w:eastAsia="Times New Roman" w:hAnsiTheme="minorHAnsi"/>
                <w:b w:val="0"/>
                <w:iCs/>
                <w:color w:val="auto"/>
                <w:szCs w:val="17"/>
                <w:lang w:eastAsia="en-US"/>
              </w:rPr>
              <w:t xml:space="preserve">Independent Verification </w:t>
            </w:r>
            <w:r w:rsidR="003E06F1" w:rsidRPr="00E2649B">
              <w:rPr>
                <w:rFonts w:asciiTheme="minorHAnsi" w:eastAsia="Times New Roman" w:hAnsiTheme="minorHAnsi"/>
                <w:b w:val="0"/>
                <w:iCs/>
                <w:color w:val="auto"/>
                <w:szCs w:val="17"/>
                <w:lang w:eastAsia="en-US"/>
              </w:rPr>
              <w:t xml:space="preserve">Report </w:t>
            </w:r>
            <w:r w:rsidR="002F07B5">
              <w:rPr>
                <w:rFonts w:asciiTheme="minorHAnsi" w:eastAsia="Times New Roman" w:hAnsiTheme="minorHAnsi"/>
                <w:b w:val="0"/>
                <w:iCs/>
                <w:color w:val="auto"/>
                <w:szCs w:val="17"/>
                <w:lang w:eastAsia="en-US"/>
              </w:rPr>
              <w:t>2018</w:t>
            </w:r>
          </w:p>
          <w:p w:rsidR="00E2649B" w:rsidRPr="00E2649B" w:rsidRDefault="00E2649B" w:rsidP="003E06F1">
            <w:pPr>
              <w:keepLines/>
              <w:spacing w:before="40" w:after="40" w:line="200" w:lineRule="atLeast"/>
              <w:rPr>
                <w:rFonts w:asciiTheme="minorHAnsi" w:eastAsia="Times New Roman" w:hAnsiTheme="minorHAnsi"/>
                <w:b w:val="0"/>
                <w:iCs/>
                <w:color w:val="auto"/>
                <w:szCs w:val="17"/>
                <w:lang w:eastAsia="en-US"/>
              </w:rPr>
            </w:pPr>
          </w:p>
          <w:p w:rsidR="00756704" w:rsidRDefault="00756704" w:rsidP="00E97EA5">
            <w:pPr>
              <w:keepLines/>
              <w:spacing w:before="40" w:after="40" w:line="200" w:lineRule="atLeast"/>
              <w:rPr>
                <w:rFonts w:asciiTheme="minorHAnsi" w:eastAsia="Times New Roman" w:hAnsiTheme="minorHAnsi"/>
                <w:b w:val="0"/>
                <w:iCs/>
                <w:color w:val="auto"/>
                <w:szCs w:val="17"/>
                <w:lang w:eastAsia="en-US"/>
              </w:rPr>
            </w:pPr>
          </w:p>
          <w:p w:rsidR="00E2649B" w:rsidRDefault="00E2649B" w:rsidP="00E97EA5">
            <w:pPr>
              <w:keepLines/>
              <w:spacing w:before="40" w:after="40" w:line="200" w:lineRule="atLeast"/>
              <w:rPr>
                <w:rFonts w:asciiTheme="minorHAnsi" w:eastAsia="Times New Roman" w:hAnsiTheme="minorHAnsi"/>
                <w:b w:val="0"/>
                <w:iCs/>
                <w:color w:val="auto"/>
                <w:szCs w:val="17"/>
                <w:lang w:eastAsia="en-US"/>
              </w:rPr>
            </w:pPr>
            <w:r w:rsidRPr="00E97EA5">
              <w:rPr>
                <w:rFonts w:asciiTheme="minorHAnsi" w:eastAsia="Times New Roman" w:hAnsiTheme="minorHAnsi"/>
                <w:b w:val="0"/>
                <w:iCs/>
                <w:color w:val="auto"/>
                <w:szCs w:val="17"/>
                <w:lang w:eastAsia="en-US"/>
              </w:rPr>
              <w:t>Tropical Cyclone Evan Recovery and Rehabilitation Programme (TCRRP)</w:t>
            </w:r>
            <w:r w:rsidR="00E97EA5">
              <w:rPr>
                <w:rFonts w:asciiTheme="minorHAnsi" w:eastAsia="Times New Roman" w:hAnsiTheme="minorHAnsi"/>
                <w:b w:val="0"/>
                <w:iCs/>
                <w:color w:val="auto"/>
                <w:szCs w:val="17"/>
                <w:lang w:eastAsia="en-US"/>
              </w:rPr>
              <w:t xml:space="preserve"> and </w:t>
            </w:r>
            <w:r w:rsidRPr="00E97EA5">
              <w:rPr>
                <w:rFonts w:asciiTheme="minorHAnsi" w:eastAsia="Times New Roman" w:hAnsiTheme="minorHAnsi"/>
                <w:b w:val="0"/>
                <w:iCs/>
                <w:color w:val="auto"/>
                <w:szCs w:val="17"/>
                <w:lang w:eastAsia="en-US"/>
              </w:rPr>
              <w:t>Tourism Cyclone Recovery Programme (TCRP)</w:t>
            </w:r>
            <w:r w:rsidR="00E97EA5">
              <w:rPr>
                <w:rFonts w:asciiTheme="minorHAnsi" w:eastAsia="Times New Roman" w:hAnsiTheme="minorHAnsi"/>
                <w:b w:val="0"/>
                <w:iCs/>
                <w:color w:val="auto"/>
                <w:szCs w:val="17"/>
                <w:lang w:eastAsia="en-US"/>
              </w:rPr>
              <w:t xml:space="preserve"> Evaluation Report</w:t>
            </w:r>
          </w:p>
          <w:p w:rsidR="00D56831" w:rsidRDefault="00D56831" w:rsidP="00E97EA5">
            <w:pPr>
              <w:keepLines/>
              <w:spacing w:before="40" w:after="40" w:line="200" w:lineRule="atLeast"/>
              <w:rPr>
                <w:rFonts w:asciiTheme="minorHAnsi" w:eastAsia="Times New Roman" w:hAnsiTheme="minorHAnsi"/>
                <w:b w:val="0"/>
                <w:iCs/>
                <w:color w:val="auto"/>
                <w:szCs w:val="17"/>
                <w:lang w:eastAsia="en-US"/>
              </w:rPr>
            </w:pPr>
          </w:p>
          <w:p w:rsidR="00D56831" w:rsidRPr="00085E5F" w:rsidRDefault="00D56831" w:rsidP="00E97EA5">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color w:val="auto"/>
                <w:szCs w:val="17"/>
                <w:lang w:eastAsia="en-US"/>
              </w:rPr>
              <w:t>End of Program Evaluation</w:t>
            </w:r>
          </w:p>
        </w:tc>
        <w:tc>
          <w:tcPr>
            <w:tcW w:w="1397" w:type="dxa"/>
            <w:tcBorders>
              <w:bottom w:val="none" w:sz="0" w:space="0" w:color="auto"/>
            </w:tcBorders>
          </w:tcPr>
          <w:p w:rsidR="00AF1B85" w:rsidRDefault="003E06F1" w:rsidP="00D15A00">
            <w:pPr>
              <w:keepLines/>
              <w:spacing w:before="40" w:after="40" w:line="200" w:lineRule="atLeast"/>
              <w:rPr>
                <w:rFonts w:asciiTheme="minorHAnsi" w:eastAsia="Times New Roman" w:hAnsiTheme="minorHAnsi"/>
                <w:b w:val="0"/>
                <w:iCs/>
                <w:color w:val="auto"/>
                <w:szCs w:val="17"/>
                <w:lang w:eastAsia="en-US"/>
              </w:rPr>
            </w:pPr>
            <w:r w:rsidRPr="00E2649B">
              <w:rPr>
                <w:rFonts w:asciiTheme="minorHAnsi" w:eastAsia="Times New Roman" w:hAnsiTheme="minorHAnsi"/>
                <w:b w:val="0"/>
                <w:iCs/>
                <w:color w:val="auto"/>
                <w:szCs w:val="17"/>
                <w:lang w:eastAsia="en-US"/>
              </w:rPr>
              <w:t>3</w:t>
            </w:r>
            <w:r w:rsidR="001D7C6F" w:rsidRPr="00E2649B">
              <w:rPr>
                <w:rFonts w:asciiTheme="minorHAnsi" w:eastAsia="Times New Roman" w:hAnsiTheme="minorHAnsi"/>
                <w:b w:val="0"/>
                <w:iCs/>
                <w:color w:val="auto"/>
                <w:szCs w:val="17"/>
                <w:lang w:eastAsia="en-US"/>
              </w:rPr>
              <w:t>/4/2018</w:t>
            </w:r>
          </w:p>
          <w:p w:rsidR="00E97EA5" w:rsidRDefault="00E97EA5" w:rsidP="00D15A00">
            <w:pPr>
              <w:keepLines/>
              <w:spacing w:before="40" w:after="40" w:line="200" w:lineRule="atLeast"/>
              <w:rPr>
                <w:rFonts w:asciiTheme="minorHAnsi" w:eastAsia="Times New Roman" w:hAnsiTheme="minorHAnsi"/>
                <w:b w:val="0"/>
                <w:iCs/>
                <w:color w:val="auto"/>
                <w:szCs w:val="17"/>
                <w:lang w:eastAsia="en-US"/>
              </w:rPr>
            </w:pPr>
          </w:p>
          <w:p w:rsidR="00756704" w:rsidRDefault="00756704" w:rsidP="00D15A00">
            <w:pPr>
              <w:keepLines/>
              <w:spacing w:before="40" w:after="40" w:line="200" w:lineRule="atLeast"/>
              <w:rPr>
                <w:rFonts w:asciiTheme="minorHAnsi" w:eastAsia="Times New Roman" w:hAnsiTheme="minorHAnsi"/>
                <w:b w:val="0"/>
                <w:iCs/>
                <w:color w:val="auto"/>
                <w:szCs w:val="17"/>
                <w:lang w:eastAsia="en-US"/>
              </w:rPr>
            </w:pPr>
          </w:p>
          <w:p w:rsidR="00E97EA5" w:rsidRDefault="00E97EA5"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1/10/2018</w:t>
            </w:r>
          </w:p>
          <w:p w:rsidR="00D56831" w:rsidRDefault="00D56831" w:rsidP="00D15A00">
            <w:pPr>
              <w:keepLines/>
              <w:spacing w:before="40" w:after="40" w:line="200" w:lineRule="atLeast"/>
              <w:rPr>
                <w:rFonts w:asciiTheme="minorHAnsi" w:eastAsia="Times New Roman" w:hAnsiTheme="minorHAnsi"/>
                <w:b w:val="0"/>
                <w:iCs/>
                <w:color w:val="auto"/>
                <w:szCs w:val="17"/>
                <w:lang w:eastAsia="en-US"/>
              </w:rPr>
            </w:pPr>
          </w:p>
          <w:p w:rsidR="00D56831" w:rsidRDefault="00D56831" w:rsidP="00D15A00">
            <w:pPr>
              <w:keepLines/>
              <w:spacing w:before="40" w:after="40" w:line="200" w:lineRule="atLeast"/>
              <w:rPr>
                <w:rFonts w:asciiTheme="minorHAnsi" w:eastAsia="Times New Roman" w:hAnsiTheme="minorHAnsi"/>
                <w:b w:val="0"/>
                <w:iCs/>
                <w:color w:val="auto"/>
                <w:szCs w:val="17"/>
                <w:lang w:eastAsia="en-US"/>
              </w:rPr>
            </w:pPr>
          </w:p>
          <w:p w:rsidR="00D56831" w:rsidRDefault="00D56831" w:rsidP="00D15A00">
            <w:pPr>
              <w:keepLines/>
              <w:spacing w:before="40" w:after="40" w:line="200" w:lineRule="atLeast"/>
              <w:rPr>
                <w:rFonts w:asciiTheme="minorHAnsi" w:eastAsia="Times New Roman" w:hAnsiTheme="minorHAnsi"/>
                <w:b w:val="0"/>
                <w:iCs/>
                <w:color w:val="auto"/>
                <w:szCs w:val="17"/>
                <w:lang w:eastAsia="en-US"/>
              </w:rPr>
            </w:pPr>
          </w:p>
          <w:p w:rsidR="00D56831" w:rsidRPr="00E2649B" w:rsidRDefault="00D56831" w:rsidP="00D15A00">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6/12/2018</w:t>
            </w:r>
          </w:p>
        </w:tc>
        <w:tc>
          <w:tcPr>
            <w:tcW w:w="1953" w:type="dxa"/>
            <w:tcBorders>
              <w:bottom w:val="none" w:sz="0" w:space="0" w:color="auto"/>
            </w:tcBorders>
          </w:tcPr>
          <w:p w:rsidR="001D7C6F" w:rsidRPr="00E2649B" w:rsidRDefault="003E06F1" w:rsidP="00D15A00">
            <w:pPr>
              <w:keepLines/>
              <w:spacing w:before="40" w:after="40" w:line="200" w:lineRule="atLeast"/>
              <w:rPr>
                <w:rFonts w:asciiTheme="minorHAnsi" w:eastAsia="Times New Roman" w:hAnsiTheme="minorHAnsi"/>
                <w:b w:val="0"/>
                <w:iCs/>
                <w:color w:val="auto"/>
                <w:szCs w:val="17"/>
                <w:lang w:eastAsia="en-US"/>
              </w:rPr>
            </w:pPr>
            <w:r w:rsidRPr="00E2649B">
              <w:rPr>
                <w:rFonts w:asciiTheme="minorHAnsi" w:eastAsia="Times New Roman" w:hAnsiTheme="minorHAnsi"/>
                <w:b w:val="0"/>
                <w:iCs/>
                <w:color w:val="auto"/>
                <w:szCs w:val="17"/>
                <w:lang w:eastAsia="en-US"/>
              </w:rPr>
              <w:t>11/4/2018</w:t>
            </w:r>
          </w:p>
          <w:p w:rsidR="00E97EA5" w:rsidRDefault="00E97EA5" w:rsidP="00D15A00">
            <w:pPr>
              <w:keepLines/>
              <w:spacing w:before="40" w:after="40" w:line="200" w:lineRule="atLeast"/>
              <w:rPr>
                <w:rFonts w:asciiTheme="minorHAnsi" w:eastAsia="Times New Roman" w:hAnsiTheme="minorHAnsi"/>
                <w:b w:val="0"/>
                <w:iCs/>
                <w:color w:val="FF0000"/>
                <w:szCs w:val="17"/>
                <w:lang w:eastAsia="en-US"/>
              </w:rPr>
            </w:pPr>
          </w:p>
          <w:p w:rsidR="00756704" w:rsidRDefault="00756704" w:rsidP="00D15A00">
            <w:pPr>
              <w:keepLines/>
              <w:spacing w:before="40" w:after="40" w:line="200" w:lineRule="atLeast"/>
              <w:rPr>
                <w:rFonts w:asciiTheme="minorHAnsi" w:eastAsia="Times New Roman" w:hAnsiTheme="minorHAnsi"/>
                <w:b w:val="0"/>
                <w:iCs/>
                <w:color w:val="auto"/>
                <w:szCs w:val="17"/>
                <w:lang w:eastAsia="en-US"/>
              </w:rPr>
            </w:pPr>
          </w:p>
          <w:p w:rsidR="00E97EA5" w:rsidRPr="00E97EA5" w:rsidRDefault="00E97EA5" w:rsidP="00D15A00">
            <w:pPr>
              <w:keepLines/>
              <w:spacing w:before="40" w:after="40" w:line="200" w:lineRule="atLeast"/>
              <w:rPr>
                <w:rFonts w:asciiTheme="minorHAnsi" w:eastAsia="Times New Roman" w:hAnsiTheme="minorHAnsi"/>
                <w:b w:val="0"/>
                <w:iCs/>
                <w:color w:val="auto"/>
                <w:szCs w:val="17"/>
                <w:lang w:eastAsia="en-US"/>
              </w:rPr>
            </w:pPr>
            <w:r w:rsidRPr="00E97EA5">
              <w:rPr>
                <w:rFonts w:asciiTheme="minorHAnsi" w:eastAsia="Times New Roman" w:hAnsiTheme="minorHAnsi"/>
                <w:b w:val="0"/>
                <w:iCs/>
                <w:color w:val="auto"/>
                <w:szCs w:val="17"/>
                <w:lang w:eastAsia="en-US"/>
              </w:rPr>
              <w:t>27/3/2019</w:t>
            </w:r>
          </w:p>
          <w:p w:rsidR="00AF1B85" w:rsidRDefault="00AF1B85" w:rsidP="00D15A00">
            <w:pPr>
              <w:keepLines/>
              <w:spacing w:before="40" w:after="40" w:line="200" w:lineRule="atLeast"/>
              <w:rPr>
                <w:rFonts w:asciiTheme="minorHAnsi" w:eastAsia="Times New Roman" w:hAnsiTheme="minorHAnsi"/>
                <w:b w:val="0"/>
                <w:iCs/>
                <w:color w:val="FF0000"/>
                <w:szCs w:val="17"/>
                <w:lang w:eastAsia="en-US"/>
              </w:rPr>
            </w:pPr>
            <w:r w:rsidRPr="00085E5F">
              <w:rPr>
                <w:rFonts w:asciiTheme="minorHAnsi" w:eastAsia="Times New Roman" w:hAnsiTheme="minorHAnsi"/>
                <w:b w:val="0"/>
                <w:iCs/>
                <w:color w:val="FF0000"/>
                <w:szCs w:val="17"/>
                <w:lang w:eastAsia="en-US"/>
              </w:rPr>
              <w:t xml:space="preserve"> </w:t>
            </w:r>
          </w:p>
          <w:p w:rsidR="00583765" w:rsidRDefault="00583765" w:rsidP="00D15A00">
            <w:pPr>
              <w:keepLines/>
              <w:spacing w:before="40" w:after="40" w:line="200" w:lineRule="atLeast"/>
              <w:rPr>
                <w:rFonts w:asciiTheme="minorHAnsi" w:eastAsia="Times New Roman" w:hAnsiTheme="minorHAnsi"/>
                <w:b w:val="0"/>
                <w:iCs/>
                <w:color w:val="FF0000"/>
                <w:szCs w:val="17"/>
                <w:lang w:eastAsia="en-US"/>
              </w:rPr>
            </w:pPr>
          </w:p>
          <w:p w:rsidR="00583765" w:rsidRDefault="00583765" w:rsidP="00D15A00">
            <w:pPr>
              <w:keepLines/>
              <w:spacing w:before="40" w:after="40" w:line="200" w:lineRule="atLeast"/>
              <w:rPr>
                <w:rFonts w:asciiTheme="minorHAnsi" w:eastAsia="Times New Roman" w:hAnsiTheme="minorHAnsi"/>
                <w:b w:val="0"/>
                <w:iCs/>
                <w:color w:val="FF0000"/>
                <w:szCs w:val="17"/>
                <w:lang w:eastAsia="en-US"/>
              </w:rPr>
            </w:pPr>
          </w:p>
          <w:p w:rsidR="00583765" w:rsidRPr="00085E5F" w:rsidRDefault="00583765" w:rsidP="00D15A00">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color w:val="FF0000"/>
                <w:szCs w:val="17"/>
                <w:lang w:eastAsia="en-US"/>
              </w:rPr>
              <w:t>20/3/2019</w:t>
            </w:r>
          </w:p>
        </w:tc>
        <w:tc>
          <w:tcPr>
            <w:tcW w:w="1671" w:type="dxa"/>
            <w:tcBorders>
              <w:bottom w:val="none" w:sz="0" w:space="0" w:color="auto"/>
            </w:tcBorders>
          </w:tcPr>
          <w:p w:rsidR="001D7C6F" w:rsidRPr="00B7617C" w:rsidRDefault="00C47207" w:rsidP="00D15A00">
            <w:pPr>
              <w:keepLines/>
              <w:spacing w:before="40" w:after="40" w:line="200" w:lineRule="atLeast"/>
              <w:rPr>
                <w:rFonts w:asciiTheme="minorHAnsi" w:eastAsia="Times New Roman" w:hAnsiTheme="minorHAnsi"/>
                <w:b w:val="0"/>
                <w:iCs/>
                <w:color w:val="auto"/>
                <w:szCs w:val="17"/>
                <w:lang w:eastAsia="en-US"/>
              </w:rPr>
            </w:pPr>
            <w:r w:rsidRPr="00B7617C">
              <w:rPr>
                <w:rFonts w:asciiTheme="minorHAnsi" w:eastAsia="Times New Roman" w:hAnsiTheme="minorHAnsi"/>
                <w:b w:val="0"/>
                <w:iCs/>
                <w:color w:val="auto"/>
                <w:szCs w:val="17"/>
                <w:lang w:eastAsia="en-US"/>
              </w:rPr>
              <w:t>9 May 2019</w:t>
            </w:r>
          </w:p>
          <w:p w:rsidR="00E97EA5" w:rsidRDefault="00E97EA5" w:rsidP="00D15A00">
            <w:pPr>
              <w:keepLines/>
              <w:spacing w:before="40" w:after="40" w:line="200" w:lineRule="atLeast"/>
              <w:rPr>
                <w:rFonts w:asciiTheme="minorHAnsi" w:eastAsia="Times New Roman" w:hAnsiTheme="minorHAnsi"/>
                <w:b w:val="0"/>
                <w:iCs/>
                <w:color w:val="FF0000"/>
                <w:szCs w:val="17"/>
                <w:lang w:eastAsia="en-US"/>
              </w:rPr>
            </w:pPr>
          </w:p>
          <w:p w:rsidR="00756704" w:rsidRDefault="00756704" w:rsidP="00D15A00">
            <w:pPr>
              <w:keepLines/>
              <w:spacing w:before="40" w:after="40" w:line="200" w:lineRule="atLeast"/>
              <w:rPr>
                <w:rFonts w:asciiTheme="minorHAnsi" w:eastAsia="Times New Roman" w:hAnsiTheme="minorHAnsi"/>
                <w:b w:val="0"/>
                <w:iCs/>
                <w:color w:val="FF0000"/>
                <w:szCs w:val="17"/>
                <w:lang w:eastAsia="en-US"/>
              </w:rPr>
            </w:pPr>
          </w:p>
          <w:p w:rsidR="00E97EA5" w:rsidRPr="00B7617C" w:rsidRDefault="00E97EA5" w:rsidP="00D15A00">
            <w:pPr>
              <w:keepLines/>
              <w:spacing w:before="40" w:after="40" w:line="200" w:lineRule="atLeast"/>
              <w:rPr>
                <w:rFonts w:asciiTheme="minorHAnsi" w:eastAsia="Times New Roman" w:hAnsiTheme="minorHAnsi"/>
                <w:b w:val="0"/>
                <w:iCs/>
                <w:color w:val="auto"/>
                <w:szCs w:val="17"/>
                <w:lang w:eastAsia="en-US"/>
              </w:rPr>
            </w:pPr>
            <w:r w:rsidRPr="00B7617C">
              <w:rPr>
                <w:rFonts w:asciiTheme="minorHAnsi" w:eastAsia="Times New Roman" w:hAnsiTheme="minorHAnsi"/>
                <w:b w:val="0"/>
                <w:iCs/>
                <w:color w:val="auto"/>
                <w:szCs w:val="17"/>
                <w:lang w:eastAsia="en-US"/>
              </w:rPr>
              <w:t>-</w:t>
            </w:r>
          </w:p>
          <w:p w:rsidR="00AF1B85" w:rsidRDefault="00AF1B85" w:rsidP="00D15A00">
            <w:pPr>
              <w:keepLines/>
              <w:spacing w:before="40" w:after="40" w:line="200" w:lineRule="atLeast"/>
              <w:rPr>
                <w:rFonts w:asciiTheme="minorHAnsi" w:eastAsia="Times New Roman" w:hAnsiTheme="minorHAnsi"/>
                <w:b w:val="0"/>
                <w:iCs/>
                <w:color w:val="FF0000"/>
                <w:szCs w:val="17"/>
                <w:lang w:eastAsia="en-US"/>
              </w:rPr>
            </w:pPr>
          </w:p>
          <w:p w:rsidR="00583765" w:rsidRDefault="00583765" w:rsidP="00D15A00">
            <w:pPr>
              <w:keepLines/>
              <w:spacing w:before="40" w:after="40" w:line="200" w:lineRule="atLeast"/>
              <w:rPr>
                <w:rFonts w:asciiTheme="minorHAnsi" w:eastAsia="Times New Roman" w:hAnsiTheme="minorHAnsi"/>
                <w:b w:val="0"/>
                <w:iCs/>
                <w:color w:val="FF0000"/>
                <w:szCs w:val="17"/>
                <w:lang w:eastAsia="en-US"/>
              </w:rPr>
            </w:pPr>
          </w:p>
          <w:p w:rsidR="00583765" w:rsidRDefault="00583765" w:rsidP="00D15A00">
            <w:pPr>
              <w:keepLines/>
              <w:spacing w:before="40" w:after="40" w:line="200" w:lineRule="atLeast"/>
              <w:rPr>
                <w:rFonts w:asciiTheme="minorHAnsi" w:eastAsia="Times New Roman" w:hAnsiTheme="minorHAnsi"/>
                <w:b w:val="0"/>
                <w:iCs/>
                <w:color w:val="FF0000"/>
                <w:szCs w:val="17"/>
                <w:lang w:eastAsia="en-US"/>
              </w:rPr>
            </w:pPr>
          </w:p>
          <w:p w:rsidR="00583765" w:rsidRPr="00085E5F" w:rsidRDefault="00583765" w:rsidP="00D15A00">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color w:val="FF0000"/>
                <w:szCs w:val="17"/>
                <w:lang w:eastAsia="en-US"/>
              </w:rPr>
              <w:t>-</w:t>
            </w:r>
          </w:p>
        </w:tc>
        <w:tc>
          <w:tcPr>
            <w:tcW w:w="2365" w:type="dxa"/>
            <w:tcBorders>
              <w:bottom w:val="none" w:sz="0" w:space="0" w:color="auto"/>
            </w:tcBorders>
          </w:tcPr>
          <w:p w:rsidR="001D7C6F" w:rsidRPr="00B7617C" w:rsidRDefault="003E06F1" w:rsidP="003E305C">
            <w:pPr>
              <w:keepLines/>
              <w:spacing w:before="40" w:after="40" w:line="200" w:lineRule="atLeast"/>
              <w:rPr>
                <w:rFonts w:asciiTheme="minorHAnsi" w:eastAsia="Times New Roman" w:hAnsiTheme="minorHAnsi"/>
                <w:b w:val="0"/>
                <w:iCs/>
                <w:color w:val="auto"/>
                <w:szCs w:val="17"/>
                <w:lang w:eastAsia="en-US"/>
              </w:rPr>
            </w:pPr>
            <w:r w:rsidRPr="00B7617C">
              <w:rPr>
                <w:rFonts w:asciiTheme="minorHAnsi" w:eastAsia="Times New Roman" w:hAnsiTheme="minorHAnsi"/>
                <w:b w:val="0"/>
                <w:iCs/>
                <w:color w:val="auto"/>
                <w:szCs w:val="17"/>
                <w:lang w:eastAsia="en-US"/>
              </w:rPr>
              <w:t>-</w:t>
            </w:r>
          </w:p>
          <w:p w:rsidR="00E97EA5" w:rsidRDefault="00E97EA5" w:rsidP="003E305C">
            <w:pPr>
              <w:keepLines/>
              <w:spacing w:before="40" w:after="40" w:line="200" w:lineRule="atLeast"/>
              <w:rPr>
                <w:rFonts w:asciiTheme="minorHAnsi" w:eastAsia="Times New Roman" w:hAnsiTheme="minorHAnsi"/>
                <w:b w:val="0"/>
                <w:iCs/>
                <w:color w:val="FF0000"/>
                <w:szCs w:val="17"/>
                <w:lang w:eastAsia="en-US"/>
              </w:rPr>
            </w:pPr>
          </w:p>
          <w:p w:rsidR="00756704" w:rsidRDefault="00756704" w:rsidP="003E305C">
            <w:pPr>
              <w:keepLines/>
              <w:spacing w:before="40" w:after="40" w:line="200" w:lineRule="atLeast"/>
              <w:rPr>
                <w:rFonts w:asciiTheme="minorHAnsi" w:eastAsia="Times New Roman" w:hAnsiTheme="minorHAnsi"/>
                <w:b w:val="0"/>
                <w:iCs/>
                <w:color w:val="auto"/>
                <w:szCs w:val="17"/>
                <w:lang w:eastAsia="en-US"/>
              </w:rPr>
            </w:pPr>
          </w:p>
          <w:p w:rsidR="00E97EA5" w:rsidRDefault="00565A08" w:rsidP="003E305C">
            <w:pPr>
              <w:keepLines/>
              <w:spacing w:before="40" w:after="40" w:line="200" w:lineRule="atLeast"/>
              <w:rPr>
                <w:rFonts w:asciiTheme="minorHAnsi" w:eastAsia="Times New Roman" w:hAnsiTheme="minorHAnsi"/>
                <w:b w:val="0"/>
                <w:iCs/>
                <w:color w:val="auto"/>
                <w:szCs w:val="17"/>
                <w:lang w:eastAsia="en-US"/>
              </w:rPr>
            </w:pPr>
            <w:r w:rsidRPr="00565A08">
              <w:rPr>
                <w:rFonts w:asciiTheme="minorHAnsi" w:eastAsia="Times New Roman" w:hAnsiTheme="minorHAnsi"/>
                <w:b w:val="0"/>
                <w:iCs/>
                <w:color w:val="auto"/>
                <w:szCs w:val="17"/>
                <w:lang w:eastAsia="en-US"/>
              </w:rPr>
              <w:t>26/10/18 NZ MFAT</w:t>
            </w:r>
          </w:p>
          <w:p w:rsidR="00583765" w:rsidRDefault="00583765" w:rsidP="003E305C">
            <w:pPr>
              <w:keepLines/>
              <w:spacing w:before="40" w:after="40" w:line="200" w:lineRule="atLeast"/>
              <w:rPr>
                <w:rFonts w:asciiTheme="minorHAnsi" w:eastAsia="Times New Roman" w:hAnsiTheme="minorHAnsi"/>
                <w:b w:val="0"/>
                <w:iCs/>
                <w:color w:val="auto"/>
                <w:szCs w:val="17"/>
                <w:lang w:eastAsia="en-US"/>
              </w:rPr>
            </w:pPr>
          </w:p>
          <w:p w:rsidR="00583765" w:rsidRDefault="00583765" w:rsidP="003E305C">
            <w:pPr>
              <w:keepLines/>
              <w:spacing w:before="40" w:after="40" w:line="200" w:lineRule="atLeast"/>
              <w:rPr>
                <w:rFonts w:asciiTheme="minorHAnsi" w:eastAsia="Times New Roman" w:hAnsiTheme="minorHAnsi"/>
                <w:b w:val="0"/>
                <w:iCs/>
                <w:color w:val="auto"/>
                <w:szCs w:val="17"/>
                <w:lang w:eastAsia="en-US"/>
              </w:rPr>
            </w:pPr>
          </w:p>
          <w:p w:rsidR="00583765" w:rsidRDefault="00583765" w:rsidP="003E305C">
            <w:pPr>
              <w:keepLines/>
              <w:spacing w:before="40" w:after="40" w:line="200" w:lineRule="atLeast"/>
              <w:rPr>
                <w:rFonts w:asciiTheme="minorHAnsi" w:eastAsia="Times New Roman" w:hAnsiTheme="minorHAnsi"/>
                <w:b w:val="0"/>
                <w:iCs/>
                <w:color w:val="auto"/>
                <w:szCs w:val="17"/>
                <w:lang w:eastAsia="en-US"/>
              </w:rPr>
            </w:pPr>
          </w:p>
          <w:p w:rsidR="00583765" w:rsidRPr="00565A08" w:rsidRDefault="00583765" w:rsidP="003E305C">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w:t>
            </w:r>
          </w:p>
          <w:p w:rsidR="00AF1B85" w:rsidRPr="00085E5F" w:rsidRDefault="00AF1B85" w:rsidP="003E305C">
            <w:pPr>
              <w:keepLines/>
              <w:spacing w:before="40" w:after="40" w:line="200" w:lineRule="atLeast"/>
              <w:rPr>
                <w:rFonts w:asciiTheme="minorHAnsi" w:eastAsia="Times New Roman" w:hAnsiTheme="minorHAnsi"/>
                <w:b w:val="0"/>
                <w:iCs/>
                <w:color w:val="FF0000"/>
                <w:szCs w:val="17"/>
                <w:lang w:eastAsia="en-US"/>
              </w:rPr>
            </w:pPr>
          </w:p>
        </w:tc>
      </w:tr>
    </w:tbl>
    <w:p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2 </w:t>
      </w:r>
      <w:r w:rsidR="00AF1B85" w:rsidRPr="00EF26B5">
        <w:rPr>
          <w:rFonts w:eastAsiaTheme="majorEastAsia" w:cstheme="minorHAnsi"/>
          <w:caps/>
          <w:sz w:val="36"/>
          <w:szCs w:val="36"/>
        </w:rPr>
        <w:t xml:space="preserve">List of program prioritised evaluations planned for the next 12 months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6"/>
        <w:gridCol w:w="2384"/>
        <w:gridCol w:w="2070"/>
        <w:gridCol w:w="2236"/>
        <w:gridCol w:w="2353"/>
        <w:gridCol w:w="2782"/>
      </w:tblGrid>
      <w:tr w:rsidR="00AF1B85" w:rsidRPr="00C61187" w:rsidTr="00E01E95">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rsidTr="00E01E95">
        <w:tc>
          <w:tcPr>
            <w:tcW w:w="2444" w:type="dxa"/>
          </w:tcPr>
          <w:p w:rsidR="00565A08" w:rsidRDefault="00565A08" w:rsidP="00D15A00">
            <w:pPr>
              <w:keepLines/>
              <w:spacing w:before="40" w:after="40" w:line="200" w:lineRule="atLeast"/>
              <w:rPr>
                <w:rFonts w:asciiTheme="minorHAnsi" w:eastAsia="Times New Roman" w:hAnsiTheme="minorHAnsi"/>
                <w:iCs/>
                <w:color w:val="auto"/>
                <w:szCs w:val="17"/>
                <w:lang w:eastAsia="en-US"/>
              </w:rPr>
            </w:pPr>
            <w:r w:rsidRPr="00565A08">
              <w:rPr>
                <w:rFonts w:asciiTheme="minorHAnsi" w:eastAsia="Times New Roman" w:hAnsiTheme="minorHAnsi"/>
                <w:iCs/>
                <w:color w:val="auto"/>
                <w:szCs w:val="17"/>
                <w:lang w:eastAsia="en-US"/>
              </w:rPr>
              <w:t>Final Program Review</w:t>
            </w:r>
          </w:p>
          <w:p w:rsidR="002F07B5" w:rsidRDefault="002F07B5" w:rsidP="00D15A00">
            <w:pPr>
              <w:keepLines/>
              <w:spacing w:before="40" w:after="40" w:line="200" w:lineRule="atLeast"/>
              <w:rPr>
                <w:rFonts w:asciiTheme="minorHAnsi" w:eastAsia="Times New Roman" w:hAnsiTheme="minorHAnsi"/>
                <w:iCs/>
                <w:color w:val="auto"/>
                <w:szCs w:val="17"/>
                <w:lang w:eastAsia="en-US"/>
              </w:rPr>
            </w:pPr>
          </w:p>
          <w:p w:rsidR="002F07B5" w:rsidRDefault="002F07B5" w:rsidP="00D15A00">
            <w:pPr>
              <w:keepLines/>
              <w:spacing w:before="40" w:after="40" w:line="200" w:lineRule="atLeast"/>
              <w:rPr>
                <w:rFonts w:asciiTheme="minorHAnsi" w:eastAsia="Times New Roman" w:hAnsiTheme="minorHAnsi"/>
                <w:iCs/>
                <w:color w:val="auto"/>
                <w:szCs w:val="17"/>
                <w:lang w:eastAsia="en-US"/>
              </w:rPr>
            </w:pPr>
          </w:p>
          <w:p w:rsidR="00C71E9B" w:rsidRPr="00C71E9B" w:rsidRDefault="00C71E9B" w:rsidP="00D15A00">
            <w:pPr>
              <w:keepLines/>
              <w:spacing w:before="40" w:after="40" w:line="200" w:lineRule="atLeast"/>
              <w:rPr>
                <w:rFonts w:asciiTheme="minorHAnsi" w:eastAsia="Times New Roman" w:hAnsiTheme="minorHAnsi"/>
                <w:iCs/>
                <w:color w:val="auto"/>
                <w:szCs w:val="17"/>
                <w:lang w:eastAsia="en-US"/>
              </w:rPr>
            </w:pPr>
            <w:r w:rsidRPr="00C71E9B">
              <w:rPr>
                <w:rFonts w:asciiTheme="minorHAnsi" w:eastAsia="Times New Roman" w:hAnsiTheme="minorHAnsi"/>
                <w:iCs/>
                <w:color w:val="auto"/>
                <w:szCs w:val="17"/>
                <w:lang w:eastAsia="en-US"/>
              </w:rPr>
              <w:t>Final Program Review</w:t>
            </w: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756704" w:rsidRDefault="00756704" w:rsidP="00D15A00">
            <w:pPr>
              <w:keepLines/>
              <w:spacing w:before="40" w:after="40" w:line="200" w:lineRule="atLeast"/>
              <w:rPr>
                <w:rFonts w:asciiTheme="minorHAnsi" w:eastAsia="Times New Roman" w:hAnsiTheme="minorHAnsi"/>
                <w:iCs/>
                <w:color w:val="FF0000"/>
                <w:szCs w:val="17"/>
                <w:lang w:eastAsia="en-US"/>
              </w:rPr>
            </w:pPr>
          </w:p>
          <w:p w:rsidR="00C71E9B" w:rsidRPr="00756704" w:rsidRDefault="00756704" w:rsidP="00D15A00">
            <w:pPr>
              <w:keepLines/>
              <w:spacing w:before="40" w:after="40" w:line="200" w:lineRule="atLeast"/>
              <w:rPr>
                <w:rFonts w:asciiTheme="minorHAnsi" w:eastAsia="Times New Roman" w:hAnsiTheme="minorHAnsi"/>
                <w:iCs/>
                <w:color w:val="auto"/>
                <w:szCs w:val="17"/>
                <w:lang w:eastAsia="en-US"/>
              </w:rPr>
            </w:pPr>
            <w:r w:rsidRPr="00756704">
              <w:rPr>
                <w:rFonts w:asciiTheme="minorHAnsi" w:eastAsia="Times New Roman" w:hAnsiTheme="minorHAnsi"/>
                <w:iCs/>
                <w:color w:val="auto"/>
                <w:szCs w:val="17"/>
                <w:lang w:eastAsia="en-US"/>
              </w:rPr>
              <w:t>Mid-term Review</w:t>
            </w:r>
          </w:p>
          <w:p w:rsidR="00AF1B85" w:rsidRPr="00085E5F" w:rsidRDefault="00AF1B85" w:rsidP="00D15A00">
            <w:pPr>
              <w:keepLines/>
              <w:spacing w:before="40" w:after="40" w:line="200" w:lineRule="atLeast"/>
              <w:rPr>
                <w:rFonts w:asciiTheme="minorHAnsi" w:eastAsia="Times New Roman" w:hAnsiTheme="minorHAnsi"/>
                <w:iCs/>
                <w:color w:val="FF0000"/>
                <w:szCs w:val="17"/>
                <w:lang w:eastAsia="en-US"/>
              </w:rPr>
            </w:pPr>
            <w:r w:rsidRPr="00085E5F">
              <w:rPr>
                <w:rFonts w:asciiTheme="minorHAnsi" w:eastAsia="Times New Roman" w:hAnsiTheme="minorHAnsi"/>
                <w:iCs/>
                <w:color w:val="FF0000"/>
                <w:szCs w:val="17"/>
                <w:lang w:eastAsia="en-US"/>
              </w:rPr>
              <w:t xml:space="preserve"> </w:t>
            </w:r>
          </w:p>
        </w:tc>
        <w:tc>
          <w:tcPr>
            <w:tcW w:w="2356" w:type="dxa"/>
          </w:tcPr>
          <w:p w:rsidR="00565A08" w:rsidRPr="00565A08" w:rsidRDefault="00565A08" w:rsidP="00D15A00">
            <w:pPr>
              <w:keepLines/>
              <w:spacing w:before="40" w:after="40" w:line="200" w:lineRule="atLeast"/>
              <w:rPr>
                <w:rFonts w:asciiTheme="minorHAnsi" w:eastAsia="Times New Roman" w:hAnsiTheme="minorHAnsi"/>
                <w:iCs/>
                <w:color w:val="auto"/>
                <w:szCs w:val="17"/>
                <w:lang w:eastAsia="en-US"/>
              </w:rPr>
            </w:pPr>
            <w:r w:rsidRPr="00565A08">
              <w:rPr>
                <w:rFonts w:asciiTheme="minorHAnsi" w:eastAsia="Times New Roman" w:hAnsiTheme="minorHAnsi"/>
                <w:iCs/>
                <w:color w:val="auto"/>
                <w:szCs w:val="17"/>
                <w:lang w:eastAsia="en-US"/>
              </w:rPr>
              <w:t>INH315 Samoa Power sector Expansion Program</w:t>
            </w:r>
          </w:p>
          <w:p w:rsidR="002F07B5" w:rsidRDefault="002F07B5" w:rsidP="00D15A00">
            <w:pPr>
              <w:keepLines/>
              <w:spacing w:before="40" w:after="40" w:line="200" w:lineRule="atLeast"/>
              <w:rPr>
                <w:rFonts w:asciiTheme="minorHAnsi" w:eastAsia="Times New Roman" w:hAnsiTheme="minorHAnsi"/>
                <w:iCs/>
                <w:color w:val="auto"/>
                <w:szCs w:val="17"/>
                <w:lang w:eastAsia="en-US"/>
              </w:rPr>
            </w:pPr>
          </w:p>
          <w:p w:rsidR="00C71E9B" w:rsidRPr="00C71E9B" w:rsidRDefault="00C71E9B" w:rsidP="00D15A00">
            <w:pPr>
              <w:keepLines/>
              <w:spacing w:before="40" w:after="40" w:line="200" w:lineRule="atLeast"/>
              <w:rPr>
                <w:rFonts w:asciiTheme="minorHAnsi" w:eastAsia="Times New Roman" w:hAnsiTheme="minorHAnsi"/>
                <w:iCs/>
                <w:color w:val="auto"/>
                <w:szCs w:val="17"/>
                <w:lang w:eastAsia="en-US"/>
              </w:rPr>
            </w:pPr>
            <w:r w:rsidRPr="00C71E9B">
              <w:rPr>
                <w:rFonts w:asciiTheme="minorHAnsi" w:eastAsia="Times New Roman" w:hAnsiTheme="minorHAnsi"/>
                <w:iCs/>
                <w:color w:val="auto"/>
                <w:szCs w:val="17"/>
                <w:lang w:eastAsia="en-US"/>
              </w:rPr>
              <w:t>INK604 Samoa Parliament Complex Redevelopment</w:t>
            </w: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AF1B85" w:rsidRPr="00085E5F" w:rsidRDefault="00756704" w:rsidP="00FD164D">
            <w:pPr>
              <w:keepLines/>
              <w:spacing w:before="40" w:after="40" w:line="200" w:lineRule="atLeast"/>
              <w:rPr>
                <w:rFonts w:asciiTheme="minorHAnsi" w:eastAsia="Times New Roman" w:hAnsiTheme="minorHAnsi"/>
                <w:iCs/>
                <w:color w:val="FF0000"/>
                <w:szCs w:val="17"/>
                <w:lang w:eastAsia="en-US"/>
              </w:rPr>
            </w:pPr>
            <w:r w:rsidRPr="00756704">
              <w:rPr>
                <w:rFonts w:asciiTheme="minorHAnsi" w:eastAsia="Times New Roman" w:hAnsiTheme="minorHAnsi"/>
                <w:iCs/>
                <w:color w:val="auto"/>
                <w:szCs w:val="17"/>
                <w:lang w:eastAsia="en-US"/>
              </w:rPr>
              <w:t>14A377 KRA2: Health System Strengthening</w:t>
            </w:r>
            <w:r>
              <w:rPr>
                <w:rFonts w:asciiTheme="minorHAnsi" w:eastAsia="Times New Roman" w:hAnsiTheme="minorHAnsi"/>
                <w:iCs/>
                <w:color w:val="auto"/>
                <w:szCs w:val="17"/>
                <w:lang w:eastAsia="en-US"/>
              </w:rPr>
              <w:t xml:space="preserve"> (in INL257 Samoa Health Program)</w:t>
            </w:r>
          </w:p>
        </w:tc>
        <w:tc>
          <w:tcPr>
            <w:tcW w:w="2042" w:type="dxa"/>
          </w:tcPr>
          <w:p w:rsidR="00565A08" w:rsidRPr="00565A08" w:rsidRDefault="00565A08" w:rsidP="00D15A00">
            <w:pPr>
              <w:keepLines/>
              <w:spacing w:before="40" w:after="40" w:line="200" w:lineRule="atLeast"/>
              <w:rPr>
                <w:rFonts w:asciiTheme="minorHAnsi" w:eastAsia="Times New Roman" w:hAnsiTheme="minorHAnsi"/>
                <w:iCs/>
                <w:color w:val="auto"/>
                <w:szCs w:val="17"/>
                <w:lang w:eastAsia="en-US"/>
              </w:rPr>
            </w:pPr>
            <w:r w:rsidRPr="00565A08">
              <w:rPr>
                <w:rFonts w:asciiTheme="minorHAnsi" w:eastAsia="Times New Roman" w:hAnsiTheme="minorHAnsi"/>
                <w:iCs/>
                <w:color w:val="auto"/>
                <w:szCs w:val="17"/>
                <w:lang w:eastAsia="en-US"/>
              </w:rPr>
              <w:t>April 2019</w:t>
            </w:r>
          </w:p>
          <w:p w:rsidR="002F07B5" w:rsidRDefault="002F07B5" w:rsidP="00D15A00">
            <w:pPr>
              <w:keepLines/>
              <w:spacing w:before="40" w:after="40" w:line="200" w:lineRule="atLeast"/>
              <w:rPr>
                <w:rFonts w:asciiTheme="minorHAnsi" w:eastAsia="Times New Roman" w:hAnsiTheme="minorHAnsi"/>
                <w:iCs/>
                <w:color w:val="FF0000"/>
                <w:szCs w:val="17"/>
                <w:lang w:eastAsia="en-US"/>
              </w:rPr>
            </w:pPr>
          </w:p>
          <w:p w:rsidR="002F07B5" w:rsidRDefault="002F07B5" w:rsidP="00D15A00">
            <w:pPr>
              <w:keepLines/>
              <w:spacing w:before="40" w:after="40" w:line="200" w:lineRule="atLeast"/>
              <w:rPr>
                <w:rFonts w:asciiTheme="minorHAnsi" w:eastAsia="Times New Roman" w:hAnsiTheme="minorHAnsi"/>
                <w:iCs/>
                <w:color w:val="FF0000"/>
                <w:szCs w:val="17"/>
                <w:lang w:eastAsia="en-US"/>
              </w:rPr>
            </w:pPr>
          </w:p>
          <w:p w:rsidR="00C71E9B" w:rsidRPr="00C71E9B" w:rsidRDefault="001F4A49" w:rsidP="00D15A0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August </w:t>
            </w:r>
            <w:r w:rsidR="00C71E9B" w:rsidRPr="00C71E9B">
              <w:rPr>
                <w:rFonts w:asciiTheme="minorHAnsi" w:eastAsia="Times New Roman" w:hAnsiTheme="minorHAnsi"/>
                <w:iCs/>
                <w:color w:val="auto"/>
                <w:szCs w:val="17"/>
                <w:lang w:eastAsia="en-US"/>
              </w:rPr>
              <w:t>2019</w:t>
            </w: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756704" w:rsidRPr="00756704" w:rsidRDefault="00756704" w:rsidP="00D15A00">
            <w:pPr>
              <w:keepLines/>
              <w:spacing w:before="40" w:after="40" w:line="200" w:lineRule="atLeast"/>
              <w:rPr>
                <w:rFonts w:asciiTheme="minorHAnsi" w:eastAsia="Times New Roman" w:hAnsiTheme="minorHAnsi"/>
                <w:iCs/>
                <w:color w:val="auto"/>
                <w:szCs w:val="17"/>
                <w:lang w:eastAsia="en-US"/>
              </w:rPr>
            </w:pPr>
            <w:r w:rsidRPr="00756704">
              <w:rPr>
                <w:rFonts w:asciiTheme="minorHAnsi" w:eastAsia="Times New Roman" w:hAnsiTheme="minorHAnsi"/>
                <w:iCs/>
                <w:color w:val="auto"/>
                <w:szCs w:val="17"/>
                <w:lang w:eastAsia="en-US"/>
              </w:rPr>
              <w:t>August 2019</w:t>
            </w:r>
          </w:p>
          <w:p w:rsidR="00AF1B85" w:rsidRPr="00085E5F" w:rsidRDefault="00AF1B85" w:rsidP="00D15A00">
            <w:pPr>
              <w:keepLines/>
              <w:spacing w:before="40" w:after="40" w:line="200" w:lineRule="atLeast"/>
              <w:rPr>
                <w:rFonts w:asciiTheme="minorHAnsi" w:eastAsia="Times New Roman" w:hAnsiTheme="minorHAnsi"/>
                <w:iCs/>
                <w:color w:val="FF0000"/>
                <w:szCs w:val="17"/>
                <w:lang w:eastAsia="en-US"/>
              </w:rPr>
            </w:pPr>
          </w:p>
        </w:tc>
        <w:tc>
          <w:tcPr>
            <w:tcW w:w="2208" w:type="dxa"/>
          </w:tcPr>
          <w:p w:rsidR="00865957" w:rsidRPr="00865957" w:rsidRDefault="008937D1" w:rsidP="00D15A0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September</w:t>
            </w:r>
            <w:r w:rsidR="00865957" w:rsidRPr="00865957">
              <w:rPr>
                <w:rFonts w:asciiTheme="minorHAnsi" w:eastAsia="Times New Roman" w:hAnsiTheme="minorHAnsi"/>
                <w:iCs/>
                <w:color w:val="auto"/>
                <w:szCs w:val="17"/>
                <w:lang w:eastAsia="en-US"/>
              </w:rPr>
              <w:t xml:space="preserve"> 2019 (delayed from June 2019)</w:t>
            </w:r>
          </w:p>
          <w:p w:rsidR="002F07B5" w:rsidRDefault="002F07B5" w:rsidP="00D15A00">
            <w:pPr>
              <w:keepLines/>
              <w:spacing w:before="40" w:after="40" w:line="200" w:lineRule="atLeast"/>
              <w:rPr>
                <w:rFonts w:asciiTheme="minorHAnsi" w:eastAsia="Times New Roman" w:hAnsiTheme="minorHAnsi"/>
                <w:iCs/>
                <w:color w:val="FF0000"/>
                <w:szCs w:val="17"/>
                <w:lang w:eastAsia="en-US"/>
              </w:rPr>
            </w:pPr>
          </w:p>
          <w:p w:rsidR="00C71E9B" w:rsidRPr="00C71E9B" w:rsidRDefault="00C71E9B" w:rsidP="00D15A00">
            <w:pPr>
              <w:keepLines/>
              <w:spacing w:before="40" w:after="40" w:line="200" w:lineRule="atLeast"/>
              <w:rPr>
                <w:rFonts w:asciiTheme="minorHAnsi" w:eastAsia="Times New Roman" w:hAnsiTheme="minorHAnsi"/>
                <w:iCs/>
                <w:color w:val="auto"/>
                <w:szCs w:val="17"/>
                <w:lang w:eastAsia="en-US"/>
              </w:rPr>
            </w:pPr>
            <w:r w:rsidRPr="00C71E9B">
              <w:rPr>
                <w:rFonts w:asciiTheme="minorHAnsi" w:eastAsia="Times New Roman" w:hAnsiTheme="minorHAnsi"/>
                <w:iCs/>
                <w:color w:val="auto"/>
                <w:szCs w:val="17"/>
                <w:lang w:eastAsia="en-US"/>
              </w:rPr>
              <w:t>October 2019</w:t>
            </w: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756704" w:rsidRPr="00756704" w:rsidRDefault="00EC54FA" w:rsidP="00D15A0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November</w:t>
            </w:r>
            <w:r w:rsidR="00756704" w:rsidRPr="00756704">
              <w:rPr>
                <w:rFonts w:asciiTheme="minorHAnsi" w:eastAsia="Times New Roman" w:hAnsiTheme="minorHAnsi"/>
                <w:iCs/>
                <w:color w:val="auto"/>
                <w:szCs w:val="17"/>
                <w:lang w:eastAsia="en-US"/>
              </w:rPr>
              <w:t xml:space="preserve"> 2019</w:t>
            </w:r>
          </w:p>
          <w:p w:rsidR="00AF1B85" w:rsidRPr="00085E5F" w:rsidRDefault="00AF1B85" w:rsidP="00D15A00">
            <w:pPr>
              <w:keepLines/>
              <w:spacing w:before="40" w:after="40" w:line="200" w:lineRule="atLeast"/>
              <w:rPr>
                <w:rFonts w:asciiTheme="minorHAnsi" w:eastAsia="Times New Roman" w:hAnsiTheme="minorHAnsi"/>
                <w:iCs/>
                <w:color w:val="FF0000"/>
                <w:szCs w:val="17"/>
                <w:lang w:eastAsia="en-US"/>
              </w:rPr>
            </w:pPr>
            <w:r w:rsidRPr="00085E5F">
              <w:rPr>
                <w:rFonts w:asciiTheme="minorHAnsi" w:eastAsia="Times New Roman" w:hAnsiTheme="minorHAnsi"/>
                <w:iCs/>
                <w:color w:val="FF0000"/>
                <w:szCs w:val="17"/>
                <w:lang w:eastAsia="en-US"/>
              </w:rPr>
              <w:t xml:space="preserve"> </w:t>
            </w:r>
          </w:p>
        </w:tc>
        <w:tc>
          <w:tcPr>
            <w:tcW w:w="2325" w:type="dxa"/>
          </w:tcPr>
          <w:p w:rsidR="00865957" w:rsidRPr="00865957" w:rsidRDefault="00865957" w:rsidP="00D15A00">
            <w:pPr>
              <w:keepLines/>
              <w:spacing w:before="40" w:after="40" w:line="200" w:lineRule="atLeast"/>
              <w:rPr>
                <w:rFonts w:asciiTheme="minorHAnsi" w:eastAsia="Times New Roman" w:hAnsiTheme="minorHAnsi"/>
                <w:iCs/>
                <w:color w:val="auto"/>
                <w:szCs w:val="17"/>
                <w:lang w:eastAsia="en-US"/>
              </w:rPr>
            </w:pPr>
            <w:r w:rsidRPr="00865957">
              <w:rPr>
                <w:rFonts w:asciiTheme="minorHAnsi" w:eastAsia="Times New Roman" w:hAnsiTheme="minorHAnsi"/>
                <w:iCs/>
                <w:color w:val="auto"/>
                <w:szCs w:val="17"/>
                <w:lang w:eastAsia="en-US"/>
              </w:rPr>
              <w:t>To inform possible future investments in the power sector.</w:t>
            </w:r>
          </w:p>
          <w:p w:rsidR="00C71E9B" w:rsidRPr="00C71E9B" w:rsidRDefault="00C71E9B" w:rsidP="00D15A00">
            <w:pPr>
              <w:keepLines/>
              <w:spacing w:before="40" w:after="40" w:line="200" w:lineRule="atLeast"/>
              <w:rPr>
                <w:rFonts w:asciiTheme="minorHAnsi" w:eastAsia="Times New Roman" w:hAnsiTheme="minorHAnsi"/>
                <w:iCs/>
                <w:color w:val="auto"/>
                <w:szCs w:val="17"/>
                <w:lang w:eastAsia="en-US"/>
              </w:rPr>
            </w:pPr>
            <w:r w:rsidRPr="00C71E9B">
              <w:rPr>
                <w:rFonts w:asciiTheme="minorHAnsi" w:eastAsia="Times New Roman" w:hAnsiTheme="minorHAnsi"/>
                <w:iCs/>
                <w:color w:val="auto"/>
                <w:szCs w:val="17"/>
                <w:lang w:eastAsia="en-US"/>
              </w:rPr>
              <w:t>To inform Phase 2</w:t>
            </w: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756704" w:rsidRDefault="00756704" w:rsidP="00D15A00">
            <w:pPr>
              <w:keepLines/>
              <w:spacing w:before="40" w:after="40" w:line="200" w:lineRule="atLeast"/>
              <w:rPr>
                <w:rFonts w:asciiTheme="minorHAnsi" w:eastAsia="Times New Roman" w:hAnsiTheme="minorHAnsi"/>
                <w:iCs/>
                <w:color w:val="FF0000"/>
                <w:szCs w:val="17"/>
                <w:lang w:eastAsia="en-US"/>
              </w:rPr>
            </w:pPr>
          </w:p>
          <w:p w:rsidR="00AF1B85" w:rsidRPr="00085E5F" w:rsidRDefault="00B41682" w:rsidP="00B41682">
            <w:pPr>
              <w:keepLines/>
              <w:spacing w:before="40" w:after="40" w:line="200" w:lineRule="atLeast"/>
              <w:rPr>
                <w:rFonts w:asciiTheme="minorHAnsi" w:eastAsia="Times New Roman" w:hAnsiTheme="minorHAnsi"/>
                <w:iCs/>
                <w:color w:val="FF0000"/>
                <w:szCs w:val="17"/>
                <w:lang w:eastAsia="en-US"/>
              </w:rPr>
            </w:pPr>
            <w:r>
              <w:rPr>
                <w:rFonts w:asciiTheme="minorHAnsi" w:eastAsia="Times New Roman" w:hAnsiTheme="minorHAnsi"/>
                <w:iCs/>
                <w:color w:val="auto"/>
                <w:szCs w:val="17"/>
                <w:lang w:eastAsia="en-US"/>
              </w:rPr>
              <w:t>Mid-term review of program that</w:t>
            </w:r>
            <w:r w:rsidR="00756704" w:rsidRPr="00756704">
              <w:rPr>
                <w:rFonts w:asciiTheme="minorHAnsi" w:eastAsia="Times New Roman" w:hAnsiTheme="minorHAnsi"/>
                <w:iCs/>
                <w:color w:val="auto"/>
                <w:szCs w:val="17"/>
                <w:lang w:eastAsia="en-US"/>
              </w:rPr>
              <w:t xml:space="preserve"> support</w:t>
            </w:r>
            <w:r>
              <w:rPr>
                <w:rFonts w:asciiTheme="minorHAnsi" w:eastAsia="Times New Roman" w:hAnsiTheme="minorHAnsi"/>
                <w:iCs/>
                <w:color w:val="auto"/>
                <w:szCs w:val="17"/>
                <w:lang w:eastAsia="en-US"/>
              </w:rPr>
              <w:t>s</w:t>
            </w:r>
            <w:r w:rsidR="00756704" w:rsidRPr="00756704">
              <w:rPr>
                <w:rFonts w:asciiTheme="minorHAnsi" w:eastAsia="Times New Roman" w:hAnsiTheme="minorHAnsi"/>
                <w:iCs/>
                <w:color w:val="auto"/>
                <w:szCs w:val="17"/>
                <w:lang w:eastAsia="en-US"/>
              </w:rPr>
              <w:t xml:space="preserve">  sexual and reproductive health</w:t>
            </w:r>
            <w:r>
              <w:rPr>
                <w:rFonts w:asciiTheme="minorHAnsi" w:eastAsia="Times New Roman" w:hAnsiTheme="minorHAnsi"/>
                <w:iCs/>
                <w:color w:val="auto"/>
                <w:szCs w:val="17"/>
                <w:lang w:eastAsia="en-US"/>
              </w:rPr>
              <w:t>,</w:t>
            </w:r>
            <w:r w:rsidR="00AF1B85" w:rsidRPr="00085E5F">
              <w:rPr>
                <w:rFonts w:asciiTheme="minorHAnsi" w:eastAsia="Times New Roman" w:hAnsiTheme="minorHAnsi"/>
                <w:iCs/>
                <w:color w:val="FF0000"/>
                <w:szCs w:val="17"/>
                <w:lang w:eastAsia="en-US"/>
              </w:rPr>
              <w:t xml:space="preserve"> </w:t>
            </w:r>
          </w:p>
        </w:tc>
        <w:tc>
          <w:tcPr>
            <w:tcW w:w="2740" w:type="dxa"/>
          </w:tcPr>
          <w:p w:rsidR="00865957" w:rsidRPr="00865957" w:rsidRDefault="00865957" w:rsidP="00D15A00">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Partner led (</w:t>
            </w:r>
            <w:r w:rsidRPr="00865957">
              <w:rPr>
                <w:rFonts w:asciiTheme="minorHAnsi" w:eastAsia="Times New Roman" w:hAnsiTheme="minorHAnsi"/>
                <w:iCs/>
                <w:color w:val="auto"/>
                <w:szCs w:val="17"/>
                <w:lang w:eastAsia="en-US"/>
              </w:rPr>
              <w:t>ADB</w:t>
            </w:r>
            <w:r>
              <w:rPr>
                <w:rFonts w:asciiTheme="minorHAnsi" w:eastAsia="Times New Roman" w:hAnsiTheme="minorHAnsi"/>
                <w:iCs/>
                <w:color w:val="auto"/>
                <w:szCs w:val="17"/>
                <w:lang w:eastAsia="en-US"/>
              </w:rPr>
              <w:t>)</w:t>
            </w:r>
          </w:p>
          <w:p w:rsidR="002F07B5" w:rsidRDefault="002F07B5" w:rsidP="00D15A00">
            <w:pPr>
              <w:keepLines/>
              <w:spacing w:before="40" w:after="40" w:line="200" w:lineRule="atLeast"/>
              <w:rPr>
                <w:rFonts w:asciiTheme="minorHAnsi" w:eastAsia="Times New Roman" w:hAnsiTheme="minorHAnsi"/>
                <w:iCs/>
                <w:color w:val="FF0000"/>
                <w:szCs w:val="17"/>
                <w:lang w:eastAsia="en-US"/>
              </w:rPr>
            </w:pPr>
          </w:p>
          <w:p w:rsidR="002F07B5" w:rsidRDefault="002F07B5" w:rsidP="00D15A00">
            <w:pPr>
              <w:keepLines/>
              <w:spacing w:before="40" w:after="40" w:line="200" w:lineRule="atLeast"/>
              <w:rPr>
                <w:rFonts w:asciiTheme="minorHAnsi" w:eastAsia="Times New Roman" w:hAnsiTheme="minorHAnsi"/>
                <w:iCs/>
                <w:color w:val="FF0000"/>
                <w:szCs w:val="17"/>
                <w:lang w:eastAsia="en-US"/>
              </w:rPr>
            </w:pPr>
          </w:p>
          <w:p w:rsidR="00C71E9B" w:rsidRPr="00C71E9B" w:rsidRDefault="00C71E9B" w:rsidP="00D15A00">
            <w:pPr>
              <w:keepLines/>
              <w:spacing w:before="40" w:after="40" w:line="200" w:lineRule="atLeast"/>
              <w:rPr>
                <w:rFonts w:asciiTheme="minorHAnsi" w:eastAsia="Times New Roman" w:hAnsiTheme="minorHAnsi"/>
                <w:iCs/>
                <w:color w:val="auto"/>
                <w:szCs w:val="17"/>
                <w:lang w:eastAsia="en-US"/>
              </w:rPr>
            </w:pPr>
            <w:r w:rsidRPr="00C71E9B">
              <w:rPr>
                <w:rFonts w:asciiTheme="minorHAnsi" w:eastAsia="Times New Roman" w:hAnsiTheme="minorHAnsi"/>
                <w:iCs/>
                <w:color w:val="auto"/>
                <w:szCs w:val="17"/>
                <w:lang w:eastAsia="en-US"/>
              </w:rPr>
              <w:t>DFAT led</w:t>
            </w:r>
          </w:p>
          <w:p w:rsidR="00C71E9B" w:rsidRDefault="00C71E9B" w:rsidP="00D15A00">
            <w:pPr>
              <w:keepLines/>
              <w:spacing w:before="40" w:after="40" w:line="200" w:lineRule="atLeast"/>
              <w:rPr>
                <w:rFonts w:asciiTheme="minorHAnsi" w:eastAsia="Times New Roman" w:hAnsiTheme="minorHAnsi"/>
                <w:iCs/>
                <w:color w:val="FF0000"/>
                <w:szCs w:val="17"/>
                <w:lang w:eastAsia="en-US"/>
              </w:rPr>
            </w:pPr>
          </w:p>
          <w:p w:rsidR="00756704" w:rsidRDefault="00756704" w:rsidP="00D15A00">
            <w:pPr>
              <w:keepLines/>
              <w:spacing w:before="40" w:after="40" w:line="200" w:lineRule="atLeast"/>
              <w:rPr>
                <w:rFonts w:asciiTheme="minorHAnsi" w:eastAsia="Times New Roman" w:hAnsiTheme="minorHAnsi"/>
                <w:iCs/>
                <w:color w:val="FF0000"/>
                <w:szCs w:val="17"/>
                <w:lang w:eastAsia="en-US"/>
              </w:rPr>
            </w:pPr>
          </w:p>
          <w:p w:rsidR="00756704" w:rsidRPr="00756704" w:rsidRDefault="00756704" w:rsidP="00D15A00">
            <w:pPr>
              <w:keepLines/>
              <w:spacing w:before="40" w:after="40" w:line="200" w:lineRule="atLeast"/>
              <w:rPr>
                <w:rFonts w:asciiTheme="minorHAnsi" w:eastAsia="Times New Roman" w:hAnsiTheme="minorHAnsi"/>
                <w:iCs/>
                <w:color w:val="auto"/>
                <w:szCs w:val="17"/>
                <w:lang w:eastAsia="en-US"/>
              </w:rPr>
            </w:pPr>
            <w:r w:rsidRPr="00756704">
              <w:rPr>
                <w:rFonts w:asciiTheme="minorHAnsi" w:eastAsia="Times New Roman" w:hAnsiTheme="minorHAnsi"/>
                <w:iCs/>
                <w:color w:val="auto"/>
                <w:szCs w:val="17"/>
                <w:lang w:eastAsia="en-US"/>
              </w:rPr>
              <w:t>DFAT led</w:t>
            </w:r>
          </w:p>
          <w:p w:rsidR="00AF1B85" w:rsidRPr="00085E5F" w:rsidRDefault="00AF1B85" w:rsidP="00D15A00">
            <w:pPr>
              <w:keepLines/>
              <w:spacing w:before="40" w:after="40" w:line="200" w:lineRule="atLeast"/>
              <w:rPr>
                <w:rFonts w:asciiTheme="minorHAnsi" w:eastAsia="Times New Roman" w:hAnsiTheme="minorHAnsi"/>
                <w:iCs/>
                <w:color w:val="FF0000"/>
                <w:szCs w:val="17"/>
                <w:lang w:eastAsia="en-US"/>
              </w:rPr>
            </w:pPr>
            <w:r w:rsidRPr="00085E5F">
              <w:rPr>
                <w:rFonts w:asciiTheme="minorHAnsi" w:eastAsia="Times New Roman" w:hAnsiTheme="minorHAnsi"/>
                <w:iCs/>
                <w:color w:val="FF0000"/>
                <w:szCs w:val="17"/>
                <w:lang w:eastAsia="en-US"/>
              </w:rPr>
              <w:t xml:space="preserve"> </w:t>
            </w:r>
          </w:p>
        </w:tc>
      </w:tr>
    </w:tbl>
    <w:p w:rsidR="00F90FE4" w:rsidRDefault="00F90FE4">
      <w:pPr>
        <w:suppressAutoHyphens w:val="0"/>
        <w:spacing w:before="0" w:after="120" w:line="440" w:lineRule="atLeast"/>
        <w:rPr>
          <w:rFonts w:asciiTheme="majorHAnsi" w:eastAsiaTheme="majorEastAsia" w:hAnsiTheme="majorHAnsi" w:cstheme="majorHAnsi"/>
          <w:bCs/>
          <w:iCs/>
          <w:caps/>
          <w:spacing w:val="-10"/>
          <w:kern w:val="28"/>
          <w:sz w:val="38"/>
          <w:szCs w:val="24"/>
        </w:rPr>
      </w:pPr>
    </w:p>
    <w:p w:rsidR="00F90FE4" w:rsidRDefault="00F90FE4" w:rsidP="00BB648A">
      <w:pPr>
        <w:pStyle w:val="Subtitle"/>
        <w:spacing w:before="360" w:after="120" w:line="300" w:lineRule="exact"/>
        <w:rPr>
          <w:rFonts w:asciiTheme="majorHAnsi" w:hAnsiTheme="majorHAnsi" w:cstheme="majorHAnsi"/>
        </w:rPr>
      </w:pPr>
    </w:p>
    <w:p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rsidR="005E606B" w:rsidRPr="00EF26B5" w:rsidRDefault="00212FB7" w:rsidP="00A8197B">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 xml:space="preserve">1 </w:t>
      </w:r>
      <w:r w:rsidR="005E606B" w:rsidRPr="00EF26B5">
        <w:rPr>
          <w:rFonts w:asciiTheme="minorHAnsi" w:eastAsiaTheme="majorEastAsia" w:hAnsiTheme="minorHAnsi" w:cstheme="minorHAnsi"/>
          <w:caps/>
          <w:color w:val="495965" w:themeColor="text2"/>
          <w:sz w:val="36"/>
          <w:szCs w:val="36"/>
          <w:lang w:val="en-GB" w:eastAsia="en-US"/>
        </w:rPr>
        <w:t>AQC ratings</w:t>
      </w:r>
    </w:p>
    <w:tbl>
      <w:tblPr>
        <w:tblStyle w:val="AP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4"/>
        <w:gridCol w:w="1452"/>
        <w:gridCol w:w="1199"/>
        <w:gridCol w:w="924"/>
        <w:gridCol w:w="924"/>
        <w:gridCol w:w="957"/>
        <w:gridCol w:w="1039"/>
        <w:gridCol w:w="925"/>
        <w:gridCol w:w="999"/>
        <w:gridCol w:w="939"/>
      </w:tblGrid>
      <w:tr w:rsidR="00D061BB" w:rsidRPr="00C61187" w:rsidTr="00F105F3">
        <w:trPr>
          <w:cnfStyle w:val="000000010000" w:firstRow="0" w:lastRow="0" w:firstColumn="0" w:lastColumn="0" w:oddVBand="0" w:evenVBand="0" w:oddHBand="0" w:evenHBand="1" w:firstRowFirstColumn="0" w:firstRowLastColumn="0" w:lastRowFirstColumn="0" w:lastRowLastColumn="0"/>
          <w:trHeight w:val="1413"/>
        </w:trPr>
        <w:tc>
          <w:tcPr>
            <w:tcW w:w="1639" w:type="pct"/>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7CA69BA8" wp14:editId="1EAE6B27">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0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5"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5"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7"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56"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5"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4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15"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D061BB" w:rsidRPr="00C61187" w:rsidTr="00F105F3">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5E606B" w:rsidRPr="00812509" w:rsidRDefault="00CB79C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Education Sector Support Program</w:t>
            </w:r>
          </w:p>
        </w:tc>
        <w:tc>
          <w:tcPr>
            <w:tcW w:w="501" w:type="pct"/>
            <w:vMerge w:val="restart"/>
            <w:tcBorders>
              <w:top w:val="single" w:sz="4" w:space="0" w:color="auto"/>
            </w:tcBorders>
          </w:tcPr>
          <w:p w:rsidR="005E606B" w:rsidRPr="00812509" w:rsidRDefault="005E606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B1323F">
              <w:rPr>
                <w:rFonts w:asciiTheme="minorHAnsi" w:hAnsiTheme="minorHAnsi" w:cs="Franklin Gothic Book"/>
                <w:color w:val="000000"/>
                <w:szCs w:val="17"/>
              </w:rPr>
              <w:t>17.2</w:t>
            </w:r>
            <w:r w:rsidRPr="00812509">
              <w:rPr>
                <w:rFonts w:asciiTheme="minorHAnsi" w:hAnsiTheme="minorHAnsi" w:cs="Franklin Gothic Book"/>
                <w:color w:val="000000"/>
                <w:szCs w:val="17"/>
              </w:rPr>
              <w:t xml:space="preserve">m </w:t>
            </w:r>
          </w:p>
          <w:p w:rsidR="005E606B" w:rsidRPr="00812509" w:rsidRDefault="00CB79C1" w:rsidP="00B1323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w:t>
            </w:r>
            <w:r w:rsidR="00B1323F">
              <w:rPr>
                <w:rFonts w:asciiTheme="minorHAnsi" w:eastAsia="Times New Roman" w:hAnsiTheme="minorHAnsi"/>
                <w:iCs/>
                <w:szCs w:val="17"/>
                <w:lang w:eastAsia="en-US"/>
              </w:rPr>
              <w:t>20</w:t>
            </w:r>
            <w:r w:rsidR="005E606B"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5E606B" w:rsidRPr="00812509" w:rsidRDefault="00CB79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FFFF0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7" w:type="pct"/>
            <w:tcBorders>
              <w:top w:val="single" w:sz="4" w:space="0" w:color="auto"/>
            </w:tcBorders>
            <w:shd w:val="clear" w:color="auto" w:fill="FFFF0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tcBorders>
              <w:top w:val="single" w:sz="4" w:space="0" w:color="auto"/>
            </w:tcBorders>
            <w:shd w:val="clear" w:color="auto" w:fill="auto"/>
            <w:noWrap/>
          </w:tcPr>
          <w:p w:rsidR="005E606B" w:rsidRPr="00812509" w:rsidRDefault="001D7C6F" w:rsidP="001D7C6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5E606B" w:rsidRPr="00812509" w:rsidRDefault="001D7C6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FFC000"/>
            <w:noWrap/>
          </w:tcPr>
          <w:p w:rsidR="005E606B" w:rsidRPr="00812509" w:rsidRDefault="003E06F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tcBorders>
              <w:top w:val="single" w:sz="4" w:space="0" w:color="auto"/>
            </w:tcBorders>
            <w:shd w:val="clear" w:color="auto" w:fill="auto"/>
          </w:tcPr>
          <w:p w:rsidR="005E606B" w:rsidRPr="00812509" w:rsidRDefault="001D7C6F"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D061BB" w:rsidRPr="00C61187" w:rsidTr="00F105F3">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1"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rsidR="005E606B" w:rsidRPr="00812509" w:rsidRDefault="003E06F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FFFF00"/>
            <w:noWrap/>
          </w:tcPr>
          <w:p w:rsidR="005E606B" w:rsidRPr="00812509" w:rsidRDefault="003E06F1" w:rsidP="00D15A00">
            <w:pPr>
              <w:keepLines/>
              <w:spacing w:before="40" w:after="40" w:line="200" w:lineRule="atLeast"/>
              <w:jc w:val="center"/>
              <w:rPr>
                <w:rFonts w:asciiTheme="minorHAnsi" w:eastAsia="Times New Roman" w:hAnsiTheme="minorHAnsi"/>
                <w:iCs/>
                <w:szCs w:val="17"/>
                <w:lang w:eastAsia="en-US"/>
              </w:rPr>
            </w:pPr>
            <w:r w:rsidRPr="003E06F1">
              <w:rPr>
                <w:rFonts w:asciiTheme="minorHAnsi" w:eastAsia="Times New Roman" w:hAnsiTheme="minorHAnsi"/>
                <w:iCs/>
                <w:szCs w:val="17"/>
                <w:highlight w:val="yellow"/>
                <w:lang w:eastAsia="en-US"/>
              </w:rPr>
              <w:t>4</w:t>
            </w:r>
          </w:p>
        </w:tc>
        <w:tc>
          <w:tcPr>
            <w:tcW w:w="327" w:type="pct"/>
            <w:shd w:val="clear" w:color="auto" w:fill="92D050"/>
            <w:noWrap/>
          </w:tcPr>
          <w:p w:rsidR="005E606B" w:rsidRPr="00812509" w:rsidRDefault="00CB79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shd w:val="clear" w:color="auto" w:fill="FFFF00"/>
            <w:noWrap/>
          </w:tcPr>
          <w:p w:rsidR="005E606B" w:rsidRPr="00812509" w:rsidRDefault="00CB79C1" w:rsidP="00D15A00">
            <w:pPr>
              <w:keepLines/>
              <w:spacing w:before="40" w:after="40" w:line="200" w:lineRule="atLeast"/>
              <w:jc w:val="center"/>
              <w:rPr>
                <w:rFonts w:asciiTheme="minorHAnsi" w:eastAsia="Times New Roman" w:hAnsiTheme="minorHAnsi"/>
                <w:iCs/>
                <w:szCs w:val="17"/>
                <w:lang w:eastAsia="en-US"/>
              </w:rPr>
            </w:pPr>
            <w:r w:rsidRPr="00CB79C1">
              <w:rPr>
                <w:rFonts w:asciiTheme="minorHAnsi" w:eastAsia="Times New Roman" w:hAnsiTheme="minorHAnsi"/>
                <w:iCs/>
                <w:szCs w:val="17"/>
                <w:highlight w:val="yellow"/>
                <w:lang w:eastAsia="en-US"/>
              </w:rPr>
              <w:t>4</w:t>
            </w:r>
          </w:p>
        </w:tc>
        <w:tc>
          <w:tcPr>
            <w:tcW w:w="315" w:type="pct"/>
            <w:shd w:val="clear" w:color="auto" w:fill="92D050"/>
            <w:noWrap/>
          </w:tcPr>
          <w:p w:rsidR="005E606B" w:rsidRPr="00812509" w:rsidRDefault="003E06F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41" w:type="pct"/>
            <w:shd w:val="clear" w:color="auto" w:fill="FFFF00"/>
            <w:noWrap/>
          </w:tcPr>
          <w:p w:rsidR="005E606B" w:rsidRPr="00812509" w:rsidRDefault="003E06F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rsidR="005E606B" w:rsidRPr="00812509" w:rsidRDefault="00CB79C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D061BB" w:rsidRPr="00C61187" w:rsidTr="00F105F3">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5E606B" w:rsidRPr="00812509" w:rsidRDefault="00133B20"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Parliament Complex Redevelopment</w:t>
            </w:r>
          </w:p>
        </w:tc>
        <w:tc>
          <w:tcPr>
            <w:tcW w:w="501" w:type="pct"/>
            <w:vMerge w:val="restart"/>
            <w:tcBorders>
              <w:top w:val="single" w:sz="4" w:space="0" w:color="auto"/>
            </w:tcBorders>
          </w:tcPr>
          <w:p w:rsidR="005E606B" w:rsidRPr="00812509" w:rsidRDefault="005E606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$1</w:t>
            </w:r>
            <w:r w:rsidR="00133B20">
              <w:rPr>
                <w:rFonts w:asciiTheme="minorHAnsi" w:hAnsiTheme="minorHAnsi" w:cs="Franklin Gothic Book"/>
                <w:color w:val="000000"/>
                <w:szCs w:val="17"/>
              </w:rPr>
              <w:t>3</w:t>
            </w:r>
            <w:r w:rsidR="00B1323F">
              <w:rPr>
                <w:rFonts w:asciiTheme="minorHAnsi" w:hAnsiTheme="minorHAnsi" w:cs="Franklin Gothic Book"/>
                <w:color w:val="000000"/>
                <w:szCs w:val="17"/>
              </w:rPr>
              <w:t>.3</w:t>
            </w:r>
            <w:r w:rsidRPr="00812509">
              <w:rPr>
                <w:rFonts w:asciiTheme="minorHAnsi" w:hAnsiTheme="minorHAnsi" w:cs="Franklin Gothic Book"/>
                <w:color w:val="000000"/>
                <w:szCs w:val="17"/>
              </w:rPr>
              <w:t xml:space="preserve">m </w:t>
            </w:r>
          </w:p>
          <w:p w:rsidR="005E606B" w:rsidRPr="00812509" w:rsidRDefault="005E606B" w:rsidP="00133B2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sidR="00133B20">
              <w:rPr>
                <w:rFonts w:asciiTheme="minorHAnsi" w:eastAsia="Times New Roman" w:hAnsiTheme="minorHAnsi"/>
                <w:iCs/>
                <w:szCs w:val="17"/>
                <w:lang w:eastAsia="en-US"/>
              </w:rPr>
              <w:t>12-20</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92D05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7" w:type="pct"/>
            <w:tcBorders>
              <w:top w:val="single" w:sz="4" w:space="0" w:color="auto"/>
            </w:tcBorders>
            <w:shd w:val="clear" w:color="auto" w:fill="FFFF00"/>
            <w:noWrap/>
          </w:tcPr>
          <w:p w:rsidR="005E606B" w:rsidRPr="00812509" w:rsidRDefault="005E606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tcBorders>
              <w:top w:val="single" w:sz="4" w:space="0" w:color="auto"/>
            </w:tcBorders>
            <w:shd w:val="clear" w:color="auto" w:fill="auto"/>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FFFF00"/>
            <w:noWrap/>
          </w:tcPr>
          <w:p w:rsidR="005E606B" w:rsidRPr="00812509" w:rsidRDefault="00B1323F" w:rsidP="00B1323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top w:val="single" w:sz="4" w:space="0" w:color="auto"/>
            </w:tcBorders>
            <w:shd w:val="clear" w:color="auto" w:fill="auto"/>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D061BB" w:rsidRPr="00C61187" w:rsidTr="00F105F3">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501" w:type="pct"/>
            <w:vMerge/>
          </w:tcPr>
          <w:p w:rsidR="005E606B" w:rsidRPr="00812509" w:rsidRDefault="005E606B" w:rsidP="00D15A00">
            <w:pPr>
              <w:keepLines/>
              <w:spacing w:before="40" w:after="40" w:line="200" w:lineRule="atLeast"/>
              <w:rPr>
                <w:rFonts w:asciiTheme="minorHAnsi" w:eastAsia="Times New Roman" w:hAnsiTheme="minorHAnsi"/>
                <w:iCs/>
                <w:szCs w:val="17"/>
                <w:lang w:eastAsia="en-US"/>
              </w:rPr>
            </w:pPr>
          </w:p>
        </w:tc>
        <w:tc>
          <w:tcPr>
            <w:tcW w:w="412" w:type="pct"/>
          </w:tcPr>
          <w:p w:rsidR="005E606B" w:rsidRPr="00812509" w:rsidRDefault="005E606B" w:rsidP="0042041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42041F">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FFFF00"/>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FFFF00"/>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shd w:val="clear" w:color="auto" w:fill="FFFF00"/>
            <w:noWrap/>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rsidR="005E606B" w:rsidRPr="00812509" w:rsidRDefault="00133B20"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F105F3" w:rsidRPr="00812509" w:rsidTr="00F105F3">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F105F3" w:rsidRPr="00812509" w:rsidRDefault="00F105F3" w:rsidP="00F105F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Economic Infrastructure Program</w:t>
            </w:r>
          </w:p>
        </w:tc>
        <w:tc>
          <w:tcPr>
            <w:tcW w:w="501" w:type="pct"/>
            <w:vMerge w:val="restart"/>
            <w:tcBorders>
              <w:top w:val="single" w:sz="4" w:space="0" w:color="auto"/>
            </w:tcBorders>
          </w:tcPr>
          <w:p w:rsidR="00F105F3" w:rsidRPr="00812509" w:rsidRDefault="00F105F3" w:rsidP="00F105F3">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18.8</w:t>
            </w:r>
            <w:r w:rsidRPr="00812509">
              <w:rPr>
                <w:rFonts w:asciiTheme="minorHAnsi" w:hAnsiTheme="minorHAnsi" w:cs="Franklin Gothic Book"/>
                <w:color w:val="000000"/>
                <w:szCs w:val="17"/>
              </w:rPr>
              <w:t xml:space="preserve">m </w:t>
            </w:r>
          </w:p>
          <w:p w:rsidR="00F105F3" w:rsidRPr="00812509" w:rsidRDefault="00F105F3" w:rsidP="00F105F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2-19</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F105F3" w:rsidRPr="00812509" w:rsidRDefault="00F105F3" w:rsidP="00F105F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F105F3" w:rsidRPr="00812509" w:rsidRDefault="00F105F3" w:rsidP="00F105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FFFF00"/>
            <w:noWrap/>
          </w:tcPr>
          <w:p w:rsidR="00F105F3" w:rsidRPr="00812509" w:rsidRDefault="00F105F3" w:rsidP="00F105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top w:val="single" w:sz="4" w:space="0" w:color="auto"/>
            </w:tcBorders>
            <w:shd w:val="clear" w:color="auto" w:fill="FFFF00"/>
            <w:noWrap/>
          </w:tcPr>
          <w:p w:rsidR="00F105F3" w:rsidRPr="00812509" w:rsidRDefault="00F105F3" w:rsidP="00F105F3">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tcBorders>
              <w:top w:val="single" w:sz="4" w:space="0" w:color="auto"/>
            </w:tcBorders>
            <w:shd w:val="clear" w:color="auto" w:fill="auto"/>
            <w:noWrap/>
          </w:tcPr>
          <w:p w:rsidR="00F105F3" w:rsidRPr="00812509" w:rsidRDefault="00F105F3" w:rsidP="00F105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F105F3" w:rsidRPr="00812509" w:rsidRDefault="00F105F3" w:rsidP="00F105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FFFF00"/>
            <w:noWrap/>
          </w:tcPr>
          <w:p w:rsidR="00F105F3" w:rsidRPr="00812509" w:rsidRDefault="00F105F3" w:rsidP="00F105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top w:val="single" w:sz="4" w:space="0" w:color="auto"/>
            </w:tcBorders>
            <w:shd w:val="clear" w:color="auto" w:fill="auto"/>
          </w:tcPr>
          <w:p w:rsidR="00F105F3" w:rsidRPr="00812509" w:rsidRDefault="00F105F3" w:rsidP="00F105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A5433C" w:rsidRPr="00812509" w:rsidTr="00F105F3">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501"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412" w:type="pct"/>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FFFF00"/>
            <w:noWrap/>
          </w:tcPr>
          <w:p w:rsidR="00A5433C" w:rsidRPr="00812509" w:rsidRDefault="00F105F3" w:rsidP="00F105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rsidR="00A5433C" w:rsidRPr="00812509" w:rsidRDefault="00F105F3"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FFFF00"/>
            <w:noWrap/>
          </w:tcPr>
          <w:p w:rsidR="00A5433C" w:rsidRPr="00812509" w:rsidRDefault="00F105F3"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rsidR="00A5433C" w:rsidRPr="00812509" w:rsidRDefault="00F105F3"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shd w:val="clear" w:color="auto" w:fill="FFFF00"/>
            <w:noWrap/>
          </w:tcPr>
          <w:p w:rsidR="00A5433C" w:rsidRPr="00812509" w:rsidRDefault="00F105F3"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rsidR="00A5433C" w:rsidRPr="00812509" w:rsidRDefault="00F105F3"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F432F6" w:rsidRPr="00812509" w:rsidTr="00F432F6">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F432F6" w:rsidRPr="00812509" w:rsidRDefault="00F432F6" w:rsidP="00F432F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Health Program</w:t>
            </w:r>
          </w:p>
        </w:tc>
        <w:tc>
          <w:tcPr>
            <w:tcW w:w="501" w:type="pct"/>
            <w:vMerge w:val="restart"/>
            <w:tcBorders>
              <w:top w:val="single" w:sz="4" w:space="0" w:color="auto"/>
            </w:tcBorders>
          </w:tcPr>
          <w:p w:rsidR="00F432F6" w:rsidRPr="00812509" w:rsidRDefault="00F432F6" w:rsidP="00F432F6">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9.3</w:t>
            </w:r>
            <w:r w:rsidRPr="00812509">
              <w:rPr>
                <w:rFonts w:asciiTheme="minorHAnsi" w:hAnsiTheme="minorHAnsi" w:cs="Franklin Gothic Book"/>
                <w:color w:val="000000"/>
                <w:szCs w:val="17"/>
              </w:rPr>
              <w:t xml:space="preserve">m </w:t>
            </w:r>
          </w:p>
          <w:p w:rsidR="00F432F6" w:rsidRPr="00812509" w:rsidRDefault="00F432F6" w:rsidP="00F432F6">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13-22</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F432F6" w:rsidRPr="00812509" w:rsidRDefault="00F432F6" w:rsidP="00F432F6">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FFC000"/>
            <w:noWrap/>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27" w:type="pct"/>
            <w:tcBorders>
              <w:top w:val="single" w:sz="4" w:space="0" w:color="auto"/>
            </w:tcBorders>
            <w:shd w:val="clear" w:color="auto" w:fill="FFFF00"/>
            <w:noWrap/>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tcBorders>
              <w:top w:val="single" w:sz="4" w:space="0" w:color="auto"/>
            </w:tcBorders>
            <w:shd w:val="clear" w:color="auto" w:fill="auto"/>
            <w:noWrap/>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92D050"/>
            <w:noWrap/>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tcBorders>
              <w:top w:val="single" w:sz="4" w:space="0" w:color="auto"/>
            </w:tcBorders>
            <w:shd w:val="clear" w:color="auto" w:fill="auto"/>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A5433C" w:rsidRPr="00812509" w:rsidTr="00F432F6">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501"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412" w:type="pct"/>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rsidR="00A5433C" w:rsidRPr="00812509" w:rsidRDefault="00F432F6"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shd w:val="clear" w:color="auto" w:fill="FFFF00"/>
            <w:noWrap/>
          </w:tcPr>
          <w:p w:rsidR="00A5433C" w:rsidRPr="00812509" w:rsidRDefault="00F432F6"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rsidR="00F432F6"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FFFF00"/>
            <w:noWrap/>
          </w:tcPr>
          <w:p w:rsidR="00A5433C" w:rsidRPr="00812509" w:rsidRDefault="00F432F6"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rsidR="00A5433C" w:rsidRPr="00812509" w:rsidRDefault="00F432F6" w:rsidP="00F432F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shd w:val="clear" w:color="auto" w:fill="FFFF00"/>
            <w:noWrap/>
          </w:tcPr>
          <w:p w:rsidR="00A5433C" w:rsidRPr="00812509" w:rsidRDefault="00F432F6"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rsidR="00A5433C" w:rsidRPr="00812509" w:rsidRDefault="00F432F6"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33489" w:rsidRPr="00812509" w:rsidTr="0099154B">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E33489" w:rsidRPr="00812509" w:rsidRDefault="00E33489" w:rsidP="00E3348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Power Sector Expansion Program</w:t>
            </w:r>
          </w:p>
        </w:tc>
        <w:tc>
          <w:tcPr>
            <w:tcW w:w="501" w:type="pct"/>
            <w:vMerge w:val="restart"/>
            <w:tcBorders>
              <w:top w:val="single" w:sz="4" w:space="0" w:color="auto"/>
            </w:tcBorders>
          </w:tcPr>
          <w:p w:rsidR="00E33489" w:rsidRPr="00812509" w:rsidRDefault="00E33489" w:rsidP="00E33489">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15</w:t>
            </w:r>
            <w:r w:rsidRPr="00812509">
              <w:rPr>
                <w:rFonts w:asciiTheme="minorHAnsi" w:hAnsiTheme="minorHAnsi" w:cs="Franklin Gothic Book"/>
                <w:color w:val="000000"/>
                <w:szCs w:val="17"/>
              </w:rPr>
              <w:t xml:space="preserve">m </w:t>
            </w:r>
          </w:p>
          <w:p w:rsidR="00E33489" w:rsidRPr="00812509" w:rsidRDefault="00E33489" w:rsidP="00E3348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2007-18</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E33489" w:rsidRPr="00812509" w:rsidRDefault="00E33489" w:rsidP="00E33489">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E33489" w:rsidRPr="00812509" w:rsidRDefault="00E33489" w:rsidP="00E3348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92D050"/>
            <w:noWrap/>
          </w:tcPr>
          <w:p w:rsidR="00E33489" w:rsidRPr="00812509" w:rsidRDefault="0099154B" w:rsidP="00E3348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7" w:type="pct"/>
            <w:tcBorders>
              <w:top w:val="single" w:sz="4" w:space="0" w:color="auto"/>
            </w:tcBorders>
            <w:shd w:val="clear" w:color="auto" w:fill="92D050"/>
            <w:noWrap/>
          </w:tcPr>
          <w:p w:rsidR="00E33489" w:rsidRPr="00812509" w:rsidRDefault="0099154B" w:rsidP="00E3348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tcBorders>
              <w:top w:val="single" w:sz="4" w:space="0" w:color="auto"/>
            </w:tcBorders>
            <w:shd w:val="clear" w:color="auto" w:fill="auto"/>
            <w:noWrap/>
          </w:tcPr>
          <w:p w:rsidR="00E33489" w:rsidRPr="00812509" w:rsidRDefault="00E33489" w:rsidP="00E3348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E33489" w:rsidRPr="00812509" w:rsidRDefault="00E33489" w:rsidP="00E3348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FFFF00"/>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top w:val="single" w:sz="4" w:space="0" w:color="auto"/>
            </w:tcBorders>
            <w:shd w:val="clear" w:color="auto" w:fill="auto"/>
          </w:tcPr>
          <w:p w:rsidR="00E33489" w:rsidRPr="00812509" w:rsidRDefault="00E33489" w:rsidP="00E33489">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A5433C" w:rsidRPr="00812509" w:rsidTr="0099154B">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501"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412" w:type="pct"/>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shd w:val="clear" w:color="auto" w:fill="92D050"/>
            <w:noWrap/>
          </w:tcPr>
          <w:p w:rsidR="00A5433C" w:rsidRPr="00812509" w:rsidRDefault="00E33489"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7" w:type="pct"/>
            <w:shd w:val="clear" w:color="auto" w:fill="92D050"/>
            <w:noWrap/>
          </w:tcPr>
          <w:p w:rsidR="00A5433C" w:rsidRPr="00812509" w:rsidRDefault="00E33489"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shd w:val="clear" w:color="auto" w:fill="FFFF00"/>
            <w:noWrap/>
          </w:tcPr>
          <w:p w:rsidR="00A5433C" w:rsidRPr="00812509" w:rsidRDefault="00E33489"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FFFF00"/>
            <w:noWrap/>
          </w:tcPr>
          <w:p w:rsidR="00A5433C" w:rsidRPr="00812509" w:rsidRDefault="00E33489"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shd w:val="clear" w:color="auto" w:fill="FFFF00"/>
            <w:noWrap/>
          </w:tcPr>
          <w:p w:rsidR="00A5433C" w:rsidRPr="00812509" w:rsidRDefault="00E33489"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rsidR="00A5433C" w:rsidRPr="00812509" w:rsidRDefault="00E33489"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99154B" w:rsidRPr="00812509" w:rsidTr="0099154B">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99154B" w:rsidRPr="00812509" w:rsidRDefault="0099154B" w:rsidP="0099154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Governance Support Program</w:t>
            </w:r>
          </w:p>
        </w:tc>
        <w:tc>
          <w:tcPr>
            <w:tcW w:w="501" w:type="pct"/>
            <w:vMerge w:val="restart"/>
            <w:tcBorders>
              <w:top w:val="single" w:sz="4" w:space="0" w:color="auto"/>
            </w:tcBorders>
          </w:tcPr>
          <w:p w:rsidR="0099154B" w:rsidRPr="00812509" w:rsidRDefault="0099154B" w:rsidP="0099154B">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9</w:t>
            </w:r>
            <w:r w:rsidRPr="00812509">
              <w:rPr>
                <w:rFonts w:asciiTheme="minorHAnsi" w:hAnsiTheme="minorHAnsi" w:cs="Franklin Gothic Book"/>
                <w:color w:val="000000"/>
                <w:szCs w:val="17"/>
              </w:rPr>
              <w:t xml:space="preserve">m </w:t>
            </w:r>
          </w:p>
          <w:p w:rsidR="0099154B" w:rsidRPr="00812509" w:rsidRDefault="0099154B" w:rsidP="0099154B">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w:t>
            </w:r>
            <w:r>
              <w:rPr>
                <w:rFonts w:asciiTheme="minorHAnsi" w:eastAsia="Times New Roman" w:hAnsiTheme="minorHAnsi"/>
                <w:iCs/>
                <w:szCs w:val="17"/>
                <w:lang w:eastAsia="en-US"/>
              </w:rPr>
              <w:t>21</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99154B" w:rsidRPr="00812509" w:rsidRDefault="0099154B" w:rsidP="0099154B">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FFFF00"/>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top w:val="single" w:sz="4" w:space="0" w:color="auto"/>
            </w:tcBorders>
            <w:shd w:val="clear" w:color="auto" w:fill="92D050"/>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tcBorders>
              <w:top w:val="single" w:sz="4" w:space="0" w:color="auto"/>
            </w:tcBorders>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92D050"/>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tcBorders>
              <w:top w:val="single" w:sz="4" w:space="0" w:color="auto"/>
            </w:tcBorders>
            <w:shd w:val="clear" w:color="auto" w:fill="auto"/>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A5433C" w:rsidRPr="00812509" w:rsidTr="00F105F3">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501" w:type="pct"/>
            <w:vMerge/>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p>
        </w:tc>
        <w:tc>
          <w:tcPr>
            <w:tcW w:w="412" w:type="pct"/>
          </w:tcPr>
          <w:p w:rsidR="00A5433C" w:rsidRPr="00812509" w:rsidRDefault="00A5433C" w:rsidP="00A5433C">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auto"/>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7" w:type="pct"/>
            <w:shd w:val="clear" w:color="auto" w:fill="auto"/>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6" w:type="pct"/>
            <w:shd w:val="clear" w:color="auto" w:fill="auto"/>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41" w:type="pct"/>
            <w:shd w:val="clear" w:color="auto" w:fill="auto"/>
            <w:noWrap/>
          </w:tcPr>
          <w:p w:rsidR="00A5433C" w:rsidRPr="00812509" w:rsidRDefault="00A5433C" w:rsidP="00A5433C">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tcPr>
          <w:p w:rsidR="00A5433C" w:rsidRPr="00812509" w:rsidRDefault="00083DF7" w:rsidP="00A5433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99154B" w:rsidRPr="00812509" w:rsidTr="00083DF7">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99154B" w:rsidRPr="00812509" w:rsidRDefault="0099154B" w:rsidP="0099154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Women in Leadership in Samoa</w:t>
            </w:r>
          </w:p>
        </w:tc>
        <w:tc>
          <w:tcPr>
            <w:tcW w:w="501" w:type="pct"/>
            <w:vMerge w:val="restart"/>
            <w:tcBorders>
              <w:top w:val="single" w:sz="4" w:space="0" w:color="auto"/>
            </w:tcBorders>
          </w:tcPr>
          <w:p w:rsidR="0099154B" w:rsidRPr="00812509" w:rsidRDefault="0099154B" w:rsidP="0099154B">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3.5</w:t>
            </w:r>
            <w:r w:rsidRPr="00812509">
              <w:rPr>
                <w:rFonts w:asciiTheme="minorHAnsi" w:hAnsiTheme="minorHAnsi" w:cs="Franklin Gothic Book"/>
                <w:color w:val="000000"/>
                <w:szCs w:val="17"/>
              </w:rPr>
              <w:t xml:space="preserve">m </w:t>
            </w:r>
          </w:p>
          <w:p w:rsidR="0099154B" w:rsidRPr="00812509" w:rsidRDefault="0099154B" w:rsidP="0099154B">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8-22</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99154B" w:rsidRPr="00812509" w:rsidRDefault="0099154B" w:rsidP="0099154B">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FFFF00"/>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top w:val="single" w:sz="4" w:space="0" w:color="auto"/>
            </w:tcBorders>
            <w:shd w:val="clear" w:color="auto" w:fill="FFFF00"/>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tcBorders>
              <w:top w:val="single" w:sz="4" w:space="0" w:color="auto"/>
            </w:tcBorders>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92D050"/>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tcBorders>
              <w:top w:val="single" w:sz="4" w:space="0" w:color="auto"/>
            </w:tcBorders>
            <w:shd w:val="clear" w:color="auto" w:fill="auto"/>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99154B" w:rsidRPr="00812509" w:rsidTr="008937D1">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99154B" w:rsidRPr="00812509" w:rsidRDefault="0099154B" w:rsidP="0099154B">
            <w:pPr>
              <w:keepLines/>
              <w:spacing w:before="40" w:after="40" w:line="200" w:lineRule="atLeast"/>
              <w:rPr>
                <w:rFonts w:asciiTheme="minorHAnsi" w:eastAsia="Times New Roman" w:hAnsiTheme="minorHAnsi"/>
                <w:iCs/>
                <w:szCs w:val="17"/>
                <w:lang w:eastAsia="en-US"/>
              </w:rPr>
            </w:pPr>
          </w:p>
        </w:tc>
        <w:tc>
          <w:tcPr>
            <w:tcW w:w="501" w:type="pct"/>
            <w:vMerge/>
          </w:tcPr>
          <w:p w:rsidR="0099154B" w:rsidRPr="00812509" w:rsidRDefault="0099154B" w:rsidP="0099154B">
            <w:pPr>
              <w:keepLines/>
              <w:spacing w:before="40" w:after="40" w:line="200" w:lineRule="atLeast"/>
              <w:rPr>
                <w:rFonts w:asciiTheme="minorHAnsi" w:eastAsia="Times New Roman" w:hAnsiTheme="minorHAnsi"/>
                <w:iCs/>
                <w:szCs w:val="17"/>
                <w:lang w:eastAsia="en-US"/>
              </w:rPr>
            </w:pPr>
          </w:p>
        </w:tc>
        <w:tc>
          <w:tcPr>
            <w:tcW w:w="412" w:type="pct"/>
          </w:tcPr>
          <w:p w:rsidR="0099154B" w:rsidRPr="00812509" w:rsidRDefault="0099154B" w:rsidP="0099154B">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7" w:type="pct"/>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6" w:type="pct"/>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41" w:type="pct"/>
            <w:shd w:val="clear" w:color="auto" w:fill="auto"/>
            <w:noWrap/>
          </w:tcPr>
          <w:p w:rsidR="0099154B" w:rsidRPr="00812509" w:rsidRDefault="0099154B" w:rsidP="0099154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shd w:val="clear" w:color="auto" w:fill="auto"/>
          </w:tcPr>
          <w:p w:rsidR="0099154B" w:rsidRPr="00812509" w:rsidRDefault="00083DF7" w:rsidP="0099154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bl>
    <w:p w:rsidR="00F048A1" w:rsidRDefault="00F048A1">
      <w:pPr>
        <w:suppressAutoHyphens w:val="0"/>
        <w:spacing w:before="0" w:after="120" w:line="440" w:lineRule="atLeast"/>
        <w:rPr>
          <w:rFonts w:eastAsiaTheme="majorEastAsia" w:cstheme="minorHAnsi"/>
          <w:caps/>
          <w:sz w:val="36"/>
          <w:szCs w:val="36"/>
        </w:rPr>
      </w:pPr>
    </w:p>
    <w:p w:rsidR="00A8197B" w:rsidRPr="00A8197B" w:rsidRDefault="00F048A1"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inorHAnsi" w:eastAsiaTheme="majorEastAsia" w:hAnsiTheme="minorHAnsi" w:cstheme="minorHAnsi"/>
          <w:caps/>
          <w:color w:val="495965" w:themeColor="text2"/>
          <w:sz w:val="36"/>
          <w:szCs w:val="36"/>
          <w:lang w:val="en-GB" w:eastAsia="en-US"/>
        </w:rPr>
        <w:t>2</w:t>
      </w:r>
      <w:r w:rsidR="00212FB7" w:rsidRPr="00EF26B5">
        <w:rPr>
          <w:rFonts w:asciiTheme="minorHAnsi" w:eastAsiaTheme="majorEastAsia" w:hAnsiTheme="minorHAnsi" w:cstheme="minorHAnsi"/>
          <w:caps/>
          <w:color w:val="495965" w:themeColor="text2"/>
          <w:sz w:val="36"/>
          <w:szCs w:val="36"/>
          <w:lang w:val="en-GB" w:eastAsia="en-US"/>
        </w:rPr>
        <w:t xml:space="preserve"> </w:t>
      </w:r>
      <w:r w:rsidR="00A8197B" w:rsidRPr="00EF26B5">
        <w:rPr>
          <w:rFonts w:asciiTheme="minorHAnsi" w:eastAsiaTheme="majorEastAsia" w:hAnsiTheme="minorHAnsi" w:cstheme="minorHAnsi"/>
          <w:caps/>
          <w:color w:val="495965" w:themeColor="text2"/>
          <w:sz w:val="36"/>
          <w:szCs w:val="36"/>
          <w:lang w:val="en-GB" w:eastAsia="en-US"/>
        </w:rPr>
        <w:t>FAQC ratings</w:t>
      </w:r>
      <w:r w:rsidR="00A8197B"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1"/>
        <w:gridCol w:w="1654"/>
        <w:gridCol w:w="925"/>
        <w:gridCol w:w="952"/>
        <w:gridCol w:w="939"/>
        <w:gridCol w:w="982"/>
        <w:gridCol w:w="1075"/>
        <w:gridCol w:w="980"/>
        <w:gridCol w:w="1064"/>
        <w:gridCol w:w="1051"/>
      </w:tblGrid>
      <w:tr w:rsidR="00D061BB" w:rsidRPr="00812509" w:rsidTr="00083DF7">
        <w:trPr>
          <w:cnfStyle w:val="000000010000" w:firstRow="0" w:lastRow="0" w:firstColumn="0" w:lastColumn="0" w:oddVBand="0" w:evenVBand="0" w:oddHBand="0" w:evenHBand="1" w:firstRowFirstColumn="0" w:firstRowLastColumn="0" w:lastRowFirstColumn="0" w:lastRowLastColumn="0"/>
          <w:trHeight w:val="1505"/>
        </w:trPr>
        <w:tc>
          <w:tcPr>
            <w:tcW w:w="1507"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24517908" wp14:editId="649CF4C8">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78"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9"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29"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4"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9"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72"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8"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8"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9"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083DF7" w:rsidRPr="00812509" w:rsidTr="00FD64AD">
        <w:trPr>
          <w:cnfStyle w:val="000000010000" w:firstRow="0" w:lastRow="0" w:firstColumn="0" w:lastColumn="0" w:oddVBand="0" w:evenVBand="0" w:oddHBand="0" w:evenHBand="1" w:firstRowFirstColumn="0" w:firstRowLastColumn="0" w:lastRowFirstColumn="0" w:lastRowLastColumn="0"/>
          <w:trHeight w:val="284"/>
        </w:trPr>
        <w:tc>
          <w:tcPr>
            <w:tcW w:w="1507" w:type="pct"/>
          </w:tcPr>
          <w:p w:rsidR="00083DF7" w:rsidRPr="00812509" w:rsidRDefault="00FD64AD" w:rsidP="008937D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Governance Program</w:t>
            </w:r>
          </w:p>
        </w:tc>
        <w:tc>
          <w:tcPr>
            <w:tcW w:w="578" w:type="pct"/>
          </w:tcPr>
          <w:p w:rsidR="00083DF7" w:rsidRPr="00812509" w:rsidRDefault="00083DF7" w:rsidP="008937D1">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FD64AD">
              <w:rPr>
                <w:rFonts w:asciiTheme="minorHAnsi" w:hAnsiTheme="minorHAnsi" w:cs="Franklin Gothic Book"/>
                <w:color w:val="000000"/>
                <w:szCs w:val="17"/>
              </w:rPr>
              <w:t>7.4</w:t>
            </w:r>
            <w:r w:rsidRPr="00812509">
              <w:rPr>
                <w:rFonts w:asciiTheme="minorHAnsi" w:hAnsiTheme="minorHAnsi" w:cs="Franklin Gothic Book"/>
                <w:color w:val="000000"/>
                <w:szCs w:val="17"/>
              </w:rPr>
              <w:t xml:space="preserve">m </w:t>
            </w:r>
          </w:p>
          <w:p w:rsidR="00083DF7" w:rsidRPr="00812509" w:rsidRDefault="00083DF7" w:rsidP="00FD64A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FD64AD">
              <w:rPr>
                <w:rFonts w:asciiTheme="minorHAnsi" w:eastAsia="Times New Roman" w:hAnsiTheme="minorHAnsi"/>
                <w:iCs/>
                <w:szCs w:val="17"/>
                <w:lang w:eastAsia="en-US"/>
              </w:rPr>
              <w:t>5</w:t>
            </w:r>
            <w:r w:rsidRPr="00812509">
              <w:rPr>
                <w:rFonts w:asciiTheme="minorHAnsi" w:eastAsia="Times New Roman" w:hAnsiTheme="minorHAnsi"/>
                <w:iCs/>
                <w:szCs w:val="17"/>
                <w:lang w:eastAsia="en-US"/>
              </w:rPr>
              <w:t>-1</w:t>
            </w:r>
            <w:r w:rsidR="00FD64AD">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w:t>
            </w:r>
          </w:p>
        </w:tc>
        <w:tc>
          <w:tcPr>
            <w:tcW w:w="319" w:type="pct"/>
            <w:shd w:val="clear" w:color="auto" w:fill="FFC000"/>
            <w:noWrap/>
          </w:tcPr>
          <w:p w:rsidR="00083DF7" w:rsidRPr="00812509" w:rsidRDefault="00FD64AD" w:rsidP="008937D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29" w:type="pct"/>
            <w:shd w:val="clear" w:color="auto" w:fill="FFC000"/>
            <w:noWrap/>
          </w:tcPr>
          <w:p w:rsidR="00083DF7" w:rsidRPr="00812509" w:rsidRDefault="00FD64AD" w:rsidP="00FD64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24" w:type="pct"/>
            <w:shd w:val="clear" w:color="auto" w:fill="FFC000"/>
            <w:noWrap/>
          </w:tcPr>
          <w:p w:rsidR="00083DF7" w:rsidRPr="00812509" w:rsidRDefault="00FD64AD" w:rsidP="00FD64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39" w:type="pct"/>
            <w:shd w:val="clear" w:color="auto" w:fill="FFFF00"/>
            <w:noWrap/>
          </w:tcPr>
          <w:p w:rsidR="00083DF7" w:rsidRPr="00812509" w:rsidRDefault="00FD64AD" w:rsidP="00FD64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72" w:type="pct"/>
            <w:shd w:val="clear" w:color="auto" w:fill="FF0000"/>
            <w:noWrap/>
          </w:tcPr>
          <w:p w:rsidR="00083DF7" w:rsidRPr="00812509" w:rsidRDefault="00FD64AD" w:rsidP="00FD64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38" w:type="pct"/>
            <w:shd w:val="clear" w:color="auto" w:fill="FFFF00"/>
            <w:noWrap/>
          </w:tcPr>
          <w:p w:rsidR="00083DF7" w:rsidRPr="00812509" w:rsidRDefault="00FD64AD" w:rsidP="00FD64A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8" w:type="pct"/>
            <w:shd w:val="clear" w:color="auto" w:fill="FF0000"/>
          </w:tcPr>
          <w:p w:rsidR="00083DF7" w:rsidRPr="00812509" w:rsidRDefault="00FD64AD" w:rsidP="008937D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59" w:type="pct"/>
            <w:shd w:val="clear" w:color="auto" w:fill="92D050"/>
          </w:tcPr>
          <w:p w:rsidR="00083DF7" w:rsidRPr="00812509" w:rsidRDefault="00083DF7" w:rsidP="008937D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r>
      <w:tr w:rsidR="00D061BB" w:rsidRPr="00812509" w:rsidTr="00545C5A">
        <w:trPr>
          <w:cnfStyle w:val="000000010000" w:firstRow="0" w:lastRow="0" w:firstColumn="0" w:lastColumn="0" w:oddVBand="0" w:evenVBand="0" w:oddHBand="0" w:evenHBand="1" w:firstRowFirstColumn="0" w:firstRowLastColumn="0" w:lastRowFirstColumn="0" w:lastRowLastColumn="0"/>
          <w:trHeight w:val="284"/>
        </w:trPr>
        <w:tc>
          <w:tcPr>
            <w:tcW w:w="1507" w:type="pct"/>
          </w:tcPr>
          <w:p w:rsidR="00A8197B" w:rsidRPr="00812509" w:rsidRDefault="00FD64AD"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Disability Program</w:t>
            </w:r>
          </w:p>
        </w:tc>
        <w:tc>
          <w:tcPr>
            <w:tcW w:w="578" w:type="pct"/>
          </w:tcPr>
          <w:p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FD64AD">
              <w:rPr>
                <w:rFonts w:asciiTheme="minorHAnsi" w:hAnsiTheme="minorHAnsi" w:cs="Franklin Gothic Book"/>
                <w:color w:val="000000"/>
                <w:szCs w:val="17"/>
              </w:rPr>
              <w:t>5.2</w:t>
            </w:r>
            <w:r w:rsidRPr="00812509">
              <w:rPr>
                <w:rFonts w:asciiTheme="minorHAnsi" w:hAnsiTheme="minorHAnsi" w:cs="Franklin Gothic Book"/>
                <w:color w:val="000000"/>
                <w:szCs w:val="17"/>
              </w:rPr>
              <w:t xml:space="preserve">m </w:t>
            </w:r>
          </w:p>
          <w:p w:rsidR="00A8197B" w:rsidRPr="00812509" w:rsidRDefault="00A8197B" w:rsidP="00FD64A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FD64AD">
              <w:rPr>
                <w:rFonts w:asciiTheme="minorHAnsi" w:eastAsia="Times New Roman" w:hAnsiTheme="minorHAnsi"/>
                <w:iCs/>
                <w:szCs w:val="17"/>
                <w:lang w:eastAsia="en-US"/>
              </w:rPr>
              <w:t>2</w:t>
            </w:r>
            <w:r w:rsidRPr="00812509">
              <w:rPr>
                <w:rFonts w:asciiTheme="minorHAnsi" w:eastAsia="Times New Roman" w:hAnsiTheme="minorHAnsi"/>
                <w:iCs/>
                <w:szCs w:val="17"/>
                <w:lang w:eastAsia="en-US"/>
              </w:rPr>
              <w:t>-1</w:t>
            </w:r>
            <w:r w:rsidR="00FD64AD">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w:t>
            </w:r>
          </w:p>
        </w:tc>
        <w:tc>
          <w:tcPr>
            <w:tcW w:w="319" w:type="pct"/>
            <w:shd w:val="clear" w:color="auto" w:fill="92D050"/>
            <w:noWrap/>
          </w:tcPr>
          <w:p w:rsidR="00A8197B" w:rsidRPr="00812509" w:rsidRDefault="001905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shd w:val="clear" w:color="auto" w:fill="92D050"/>
            <w:noWrap/>
          </w:tcPr>
          <w:p w:rsidR="00A8197B" w:rsidRDefault="00545C5A"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p w:rsidR="00545C5A" w:rsidRPr="00812509" w:rsidRDefault="00545C5A" w:rsidP="00D15A00">
            <w:pPr>
              <w:keepLines/>
              <w:spacing w:before="40" w:after="40" w:line="200" w:lineRule="atLeast"/>
              <w:jc w:val="center"/>
              <w:rPr>
                <w:rFonts w:asciiTheme="minorHAnsi" w:eastAsia="Times New Roman" w:hAnsiTheme="minorHAnsi"/>
                <w:iCs/>
                <w:szCs w:val="17"/>
                <w:lang w:eastAsia="en-US"/>
              </w:rPr>
            </w:pPr>
          </w:p>
        </w:tc>
        <w:tc>
          <w:tcPr>
            <w:tcW w:w="324" w:type="pct"/>
            <w:shd w:val="clear" w:color="auto" w:fill="92D050"/>
            <w:noWrap/>
          </w:tcPr>
          <w:p w:rsidR="00A8197B" w:rsidRPr="00812509" w:rsidRDefault="001905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9" w:type="pct"/>
            <w:shd w:val="clear" w:color="auto" w:fill="FFFF00"/>
            <w:noWrap/>
          </w:tcPr>
          <w:p w:rsidR="00A8197B" w:rsidRPr="00812509" w:rsidRDefault="001905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72" w:type="pct"/>
            <w:shd w:val="clear" w:color="auto" w:fill="FFFF00"/>
            <w:noWrap/>
          </w:tcPr>
          <w:p w:rsidR="00A8197B" w:rsidRPr="00812509" w:rsidRDefault="001905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8" w:type="pct"/>
            <w:shd w:val="clear" w:color="auto" w:fill="FFFF00"/>
            <w:noWrap/>
          </w:tcPr>
          <w:p w:rsidR="00A8197B" w:rsidRPr="00812509" w:rsidRDefault="001905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8" w:type="pct"/>
            <w:shd w:val="clear" w:color="auto" w:fill="FFFF00"/>
          </w:tcPr>
          <w:p w:rsidR="00A8197B" w:rsidRPr="00812509" w:rsidRDefault="00545C5A"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9" w:type="pct"/>
            <w:shd w:val="clear" w:color="auto" w:fill="92D050"/>
          </w:tcPr>
          <w:p w:rsidR="00A8197B" w:rsidRPr="00812509" w:rsidRDefault="00190577"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083DF7" w:rsidRPr="00812509" w:rsidTr="00F048A1">
        <w:trPr>
          <w:cnfStyle w:val="000000010000" w:firstRow="0" w:lastRow="0" w:firstColumn="0" w:lastColumn="0" w:oddVBand="0" w:evenVBand="0" w:oddHBand="0" w:evenHBand="1" w:firstRowFirstColumn="0" w:firstRowLastColumn="0" w:lastRowFirstColumn="0" w:lastRowLastColumn="0"/>
          <w:trHeight w:val="284"/>
        </w:trPr>
        <w:tc>
          <w:tcPr>
            <w:tcW w:w="1507" w:type="pct"/>
          </w:tcPr>
          <w:p w:rsidR="00083DF7" w:rsidRPr="00812509" w:rsidRDefault="002C0837" w:rsidP="008937D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Samoa Cyclone Evan Response and Recovery Program</w:t>
            </w:r>
          </w:p>
        </w:tc>
        <w:tc>
          <w:tcPr>
            <w:tcW w:w="578" w:type="pct"/>
          </w:tcPr>
          <w:p w:rsidR="00083DF7" w:rsidRPr="00812509" w:rsidRDefault="00083DF7" w:rsidP="008937D1">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2C0837">
              <w:rPr>
                <w:rFonts w:asciiTheme="minorHAnsi" w:hAnsiTheme="minorHAnsi" w:cs="Franklin Gothic Book"/>
                <w:color w:val="000000"/>
                <w:szCs w:val="17"/>
              </w:rPr>
              <w:t>8.1</w:t>
            </w:r>
            <w:r w:rsidRPr="00812509">
              <w:rPr>
                <w:rFonts w:asciiTheme="minorHAnsi" w:hAnsiTheme="minorHAnsi" w:cs="Franklin Gothic Book"/>
                <w:color w:val="000000"/>
                <w:szCs w:val="17"/>
              </w:rPr>
              <w:t xml:space="preserve">m </w:t>
            </w:r>
          </w:p>
          <w:p w:rsidR="00083DF7" w:rsidRPr="00812509" w:rsidRDefault="00083DF7" w:rsidP="002C083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2C0837">
              <w:rPr>
                <w:rFonts w:asciiTheme="minorHAnsi" w:eastAsia="Times New Roman" w:hAnsiTheme="minorHAnsi"/>
                <w:iCs/>
                <w:szCs w:val="17"/>
                <w:lang w:eastAsia="en-US"/>
              </w:rPr>
              <w:t>2</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tc>
        <w:tc>
          <w:tcPr>
            <w:tcW w:w="319" w:type="pct"/>
            <w:shd w:val="clear" w:color="auto" w:fill="92D050"/>
            <w:noWrap/>
          </w:tcPr>
          <w:p w:rsidR="00083DF7" w:rsidRPr="00812509" w:rsidRDefault="002C0837" w:rsidP="002C0837">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shd w:val="clear" w:color="auto" w:fill="92D050"/>
            <w:noWrap/>
          </w:tcPr>
          <w:p w:rsidR="00083DF7" w:rsidRPr="00812509" w:rsidRDefault="00F048A1" w:rsidP="00F048A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4" w:type="pct"/>
            <w:shd w:val="clear" w:color="auto" w:fill="92D050"/>
            <w:noWrap/>
          </w:tcPr>
          <w:p w:rsidR="00083DF7" w:rsidRPr="00812509" w:rsidRDefault="00F048A1" w:rsidP="008937D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9" w:type="pct"/>
            <w:shd w:val="clear" w:color="auto" w:fill="FFFF00"/>
            <w:noWrap/>
          </w:tcPr>
          <w:p w:rsidR="00083DF7" w:rsidRPr="00812509" w:rsidRDefault="00F048A1" w:rsidP="008937D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72" w:type="pct"/>
            <w:shd w:val="clear" w:color="auto" w:fill="FFFF00"/>
            <w:noWrap/>
          </w:tcPr>
          <w:p w:rsidR="00083DF7" w:rsidRPr="00812509" w:rsidRDefault="00F048A1" w:rsidP="008937D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8" w:type="pct"/>
            <w:shd w:val="clear" w:color="auto" w:fill="FFFF00"/>
            <w:noWrap/>
          </w:tcPr>
          <w:p w:rsidR="00083DF7" w:rsidRPr="00812509" w:rsidRDefault="00F048A1" w:rsidP="008937D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8" w:type="pct"/>
            <w:shd w:val="clear" w:color="auto" w:fill="FFFF00"/>
          </w:tcPr>
          <w:p w:rsidR="00083DF7" w:rsidRPr="00812509" w:rsidRDefault="00083DF7" w:rsidP="008937D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9" w:type="pct"/>
            <w:shd w:val="clear" w:color="auto" w:fill="92D050"/>
          </w:tcPr>
          <w:p w:rsidR="00083DF7" w:rsidRPr="00812509" w:rsidRDefault="00F048A1" w:rsidP="008937D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A8197B" w:rsidRDefault="00A8197B" w:rsidP="00A8197B">
      <w:pPr>
        <w:pStyle w:val="ListBullet"/>
        <w:tabs>
          <w:tab w:val="clear" w:pos="284"/>
        </w:tabs>
      </w:pPr>
    </w:p>
    <w:p w:rsidR="00A8197B" w:rsidRPr="00A8197B" w:rsidRDefault="00A8197B" w:rsidP="00A8197B"/>
    <w:sectPr w:rsidR="00A8197B" w:rsidRPr="00A8197B" w:rsidSect="00CF3C09">
      <w:headerReference w:type="default" r:id="rId29"/>
      <w:pgSz w:w="16838" w:h="11906" w:orient="landscape" w:code="9"/>
      <w:pgMar w:top="1134" w:right="1525" w:bottom="1134" w:left="851" w:header="1418" w:footer="1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7A" w:rsidRDefault="0056267A" w:rsidP="00EF4574">
      <w:pPr>
        <w:spacing w:before="0" w:after="0" w:line="240" w:lineRule="auto"/>
      </w:pPr>
      <w:r>
        <w:separator/>
      </w:r>
    </w:p>
  </w:endnote>
  <w:endnote w:type="continuationSeparator" w:id="0">
    <w:p w:rsidR="0056267A" w:rsidRDefault="0056267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44" w:rsidRDefault="00A5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Default="004E64CC" w:rsidP="004839E3">
    <w:pPr>
      <w:pStyle w:val="Footer"/>
      <w:rPr>
        <w:lang w:val="en-AU"/>
      </w:rPr>
    </w:pPr>
  </w:p>
  <w:p w:rsidR="004E64CC" w:rsidRDefault="004E64CC" w:rsidP="004839E3">
    <w:pPr>
      <w:pStyle w:val="Footer"/>
    </w:pPr>
  </w:p>
  <w:p w:rsidR="004E64CC" w:rsidRPr="00CD0E4B" w:rsidRDefault="004E64CC" w:rsidP="004839E3">
    <w:pPr>
      <w:pStyle w:val="Footer"/>
    </w:pPr>
    <w:r w:rsidRPr="00CD0E4B">
      <w:rPr>
        <w:noProof/>
        <w:lang w:val="en-AU" w:eastAsia="en-AU"/>
      </w:rPr>
      <w:drawing>
        <wp:inline distT="0" distB="0" distL="0" distR="0" wp14:anchorId="0D69C782" wp14:editId="2E177DC0">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4E64CC" w:rsidRPr="00CD0E4B" w:rsidRDefault="004E64CC" w:rsidP="004839E3">
    <w:pPr>
      <w:pStyle w:val="Footer"/>
      <w:rPr>
        <w:color w:val="ACD08C" w:themeColor="accent3"/>
      </w:rPr>
    </w:pPr>
    <w:r w:rsidRPr="00CD0E4B">
      <w:rPr>
        <w:color w:val="ACD08C" w:themeColor="accent3"/>
      </w:rPr>
      <w:t>DFAT.GOV.AU</w:t>
    </w:r>
  </w:p>
  <w:p w:rsidR="004E64CC" w:rsidRPr="004839E3" w:rsidRDefault="004E64CC"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Pr="004839E3" w:rsidRDefault="004E64CC"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52C2712" wp14:editId="09E384BB">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4E64CC" w:rsidRDefault="004E64CC"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Default="004E64CC" w:rsidP="004839E3">
    <w:pPr>
      <w:pStyle w:val="Footer"/>
      <w:rPr>
        <w:lang w:val="en-AU"/>
      </w:rPr>
    </w:pPr>
  </w:p>
  <w:p w:rsidR="004E64CC" w:rsidRDefault="004E64CC" w:rsidP="004839E3">
    <w:pPr>
      <w:pStyle w:val="Footer"/>
    </w:pPr>
  </w:p>
  <w:p w:rsidR="004E64CC" w:rsidRPr="00CD0E4B" w:rsidRDefault="004E64CC" w:rsidP="004839E3">
    <w:pPr>
      <w:pStyle w:val="Footer"/>
    </w:pPr>
    <w:r w:rsidRPr="00CD0E4B">
      <w:rPr>
        <w:noProof/>
        <w:lang w:val="en-AU" w:eastAsia="en-AU"/>
      </w:rPr>
      <w:drawing>
        <wp:inline distT="0" distB="0" distL="0" distR="0" wp14:anchorId="6A52CF7F" wp14:editId="05EF3653">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4E64CC" w:rsidRPr="00CD0E4B" w:rsidRDefault="004E64CC" w:rsidP="004839E3">
    <w:pPr>
      <w:pStyle w:val="Footer"/>
      <w:rPr>
        <w:color w:val="ACD08C" w:themeColor="accent3"/>
      </w:rPr>
    </w:pPr>
    <w:r w:rsidRPr="00CD0E4B">
      <w:rPr>
        <w:color w:val="ACD08C" w:themeColor="accent3"/>
      </w:rPr>
      <w:t>DFAT.GOV.AU</w:t>
    </w:r>
  </w:p>
  <w:p w:rsidR="004E64CC" w:rsidRPr="004839E3" w:rsidRDefault="004E64CC"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7A" w:rsidRPr="008C5A0E" w:rsidRDefault="0056267A" w:rsidP="001D663E">
      <w:pPr>
        <w:pStyle w:val="Footer"/>
        <w:pBdr>
          <w:top w:val="single" w:sz="4" w:space="1" w:color="495965" w:themeColor="text2"/>
        </w:pBdr>
      </w:pPr>
    </w:p>
  </w:footnote>
  <w:footnote w:type="continuationSeparator" w:id="0">
    <w:p w:rsidR="0056267A" w:rsidRDefault="0056267A"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44" w:rsidRDefault="00A54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Pr="00333501" w:rsidRDefault="004E64CC" w:rsidP="008F56A8">
    <w:pPr>
      <w:pStyle w:val="Header"/>
      <w:jc w:val="left"/>
    </w:pPr>
    <w:r>
      <w:rPr>
        <w:noProof/>
        <w:lang w:val="en-AU" w:eastAsia="en-AU"/>
      </w:rPr>
      <w:drawing>
        <wp:anchor distT="0" distB="0" distL="114300" distR="114300" simplePos="0" relativeHeight="251671552" behindDoc="1" locked="1" layoutInCell="1" allowOverlap="1" wp14:anchorId="43D2122A" wp14:editId="6D0FACEC">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Pr="003D352D" w:rsidRDefault="004E64CC" w:rsidP="003D352D">
    <w:pPr>
      <w:pStyle w:val="Header"/>
      <w:jc w:val="left"/>
    </w:pPr>
    <w:r>
      <w:rPr>
        <w:noProof/>
        <w:lang w:val="en-AU" w:eastAsia="en-AU"/>
      </w:rPr>
      <w:drawing>
        <wp:anchor distT="0" distB="0" distL="114300" distR="114300" simplePos="0" relativeHeight="251669504" behindDoc="1" locked="1" layoutInCell="1" allowOverlap="1" wp14:anchorId="563FF914" wp14:editId="6F43554C">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Pr="00333501" w:rsidRDefault="004E64CC" w:rsidP="008F56A8">
    <w:pPr>
      <w:pStyle w:val="Header"/>
      <w:jc w:val="left"/>
    </w:pPr>
    <w:r>
      <w:rPr>
        <w:noProof/>
        <w:lang w:val="en-AU" w:eastAsia="en-AU"/>
      </w:rPr>
      <w:drawing>
        <wp:anchor distT="0" distB="0" distL="114300" distR="114300" simplePos="0" relativeHeight="251685888" behindDoc="1" locked="1" layoutInCell="1" allowOverlap="1" wp14:anchorId="7867AD55" wp14:editId="3C7186F2">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Pr="003D352D" w:rsidRDefault="004E64CC" w:rsidP="003D352D">
    <w:pPr>
      <w:pStyle w:val="Header"/>
      <w:jc w:val="left"/>
    </w:pPr>
    <w:r>
      <w:rPr>
        <w:noProof/>
        <w:lang w:val="en-AU" w:eastAsia="en-AU"/>
      </w:rPr>
      <w:drawing>
        <wp:anchor distT="0" distB="0" distL="114300" distR="114300" simplePos="0" relativeHeight="251673600" behindDoc="1" locked="1" layoutInCell="1" allowOverlap="1" wp14:anchorId="4503B2F1" wp14:editId="39F4A88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CC" w:rsidRPr="00333501" w:rsidRDefault="004E64CC" w:rsidP="008F56A8">
    <w:pPr>
      <w:pStyle w:val="Header"/>
      <w:jc w:val="left"/>
    </w:pPr>
    <w:r>
      <w:rPr>
        <w:noProof/>
        <w:lang w:val="en-AU" w:eastAsia="en-AU"/>
      </w:rPr>
      <w:drawing>
        <wp:anchor distT="0" distB="0" distL="114300" distR="114300" simplePos="0" relativeHeight="251683840" behindDoc="1" locked="1" layoutInCell="1" allowOverlap="1" wp14:anchorId="79F15EB6" wp14:editId="3BCB6401">
          <wp:simplePos x="0" y="0"/>
          <wp:positionH relativeFrom="page">
            <wp:posOffset>46990</wp:posOffset>
          </wp:positionH>
          <wp:positionV relativeFrom="page">
            <wp:posOffset>95250</wp:posOffset>
          </wp:positionV>
          <wp:extent cx="7561580" cy="10757535"/>
          <wp:effectExtent l="0" t="0" r="1270" b="5715"/>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095731"/>
    <w:multiLevelType w:val="hybridMultilevel"/>
    <w:tmpl w:val="7556E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706479"/>
    <w:multiLevelType w:val="hybridMultilevel"/>
    <w:tmpl w:val="9970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13403"/>
    <w:multiLevelType w:val="hybridMultilevel"/>
    <w:tmpl w:val="4590F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673745"/>
    <w:multiLevelType w:val="hybridMultilevel"/>
    <w:tmpl w:val="0414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2C521D"/>
    <w:multiLevelType w:val="hybridMultilevel"/>
    <w:tmpl w:val="B57E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AB470B"/>
    <w:multiLevelType w:val="hybridMultilevel"/>
    <w:tmpl w:val="B266A784"/>
    <w:lvl w:ilvl="0" w:tplc="FA32F2C2">
      <w:start w:val="1"/>
      <w:numFmt w:val="decimal"/>
      <w:lvlText w:val="%1."/>
      <w:lvlJc w:val="left"/>
      <w:pPr>
        <w:ind w:left="360" w:hanging="360"/>
      </w:pPr>
      <w:rPr>
        <w:b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581504"/>
    <w:multiLevelType w:val="hybridMultilevel"/>
    <w:tmpl w:val="BB986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C7E31"/>
    <w:multiLevelType w:val="hybridMultilevel"/>
    <w:tmpl w:val="C5B0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E31375"/>
    <w:multiLevelType w:val="hybridMultilevel"/>
    <w:tmpl w:val="51E04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8921AB"/>
    <w:multiLevelType w:val="hybridMultilevel"/>
    <w:tmpl w:val="CF34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8C383B"/>
    <w:multiLevelType w:val="hybridMultilevel"/>
    <w:tmpl w:val="CA66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9BE2194"/>
    <w:multiLevelType w:val="multilevel"/>
    <w:tmpl w:val="747C4A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C1EA7"/>
    <w:multiLevelType w:val="multilevel"/>
    <w:tmpl w:val="43428892"/>
    <w:numStyleLink w:val="BulletsList"/>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E553B05"/>
    <w:multiLevelType w:val="hybridMultilevel"/>
    <w:tmpl w:val="DD56B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B93717"/>
    <w:multiLevelType w:val="hybridMultilevel"/>
    <w:tmpl w:val="7600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9158E3"/>
    <w:multiLevelType w:val="hybridMultilevel"/>
    <w:tmpl w:val="E02A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98671D"/>
    <w:multiLevelType w:val="hybridMultilevel"/>
    <w:tmpl w:val="3122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6542C7"/>
    <w:multiLevelType w:val="hybridMultilevel"/>
    <w:tmpl w:val="069C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38208D2"/>
    <w:multiLevelType w:val="hybridMultilevel"/>
    <w:tmpl w:val="9C40BC08"/>
    <w:lvl w:ilvl="0" w:tplc="3DBA96A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294C7F"/>
    <w:multiLevelType w:val="hybridMultilevel"/>
    <w:tmpl w:val="0CD45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3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num>
  <w:num w:numId="22">
    <w:abstractNumId w:val="17"/>
  </w:num>
  <w:num w:numId="23">
    <w:abstractNumId w:val="17"/>
  </w:num>
  <w:num w:numId="24">
    <w:abstractNumId w:val="31"/>
  </w:num>
  <w:num w:numId="25">
    <w:abstractNumId w:val="31"/>
  </w:num>
  <w:num w:numId="26">
    <w:abstractNumId w:val="31"/>
  </w:num>
  <w:num w:numId="27">
    <w:abstractNumId w:val="29"/>
  </w:num>
  <w:num w:numId="28">
    <w:abstractNumId w:val="10"/>
  </w:num>
  <w:num w:numId="29">
    <w:abstractNumId w:val="10"/>
  </w:num>
  <w:num w:numId="30">
    <w:abstractNumId w:val="10"/>
  </w:num>
  <w:num w:numId="31">
    <w:abstractNumId w:val="20"/>
  </w:num>
  <w:num w:numId="32">
    <w:abstractNumId w:val="26"/>
  </w:num>
  <w:num w:numId="33">
    <w:abstractNumId w:val="40"/>
  </w:num>
  <w:num w:numId="34">
    <w:abstractNumId w:val="23"/>
  </w:num>
  <w:num w:numId="35">
    <w:abstractNumId w:val="12"/>
  </w:num>
  <w:num w:numId="36">
    <w:abstractNumId w:val="21"/>
  </w:num>
  <w:num w:numId="37">
    <w:abstractNumId w:val="18"/>
  </w:num>
  <w:num w:numId="38">
    <w:abstractNumId w:val="24"/>
  </w:num>
  <w:num w:numId="39">
    <w:abstractNumId w:val="37"/>
  </w:num>
  <w:num w:numId="40">
    <w:abstractNumId w:val="13"/>
  </w:num>
  <w:num w:numId="41">
    <w:abstractNumId w:val="33"/>
  </w:num>
  <w:num w:numId="42">
    <w:abstractNumId w:val="27"/>
  </w:num>
  <w:num w:numId="43">
    <w:abstractNumId w:val="22"/>
  </w:num>
  <w:num w:numId="44">
    <w:abstractNumId w:val="14"/>
  </w:num>
  <w:num w:numId="45">
    <w:abstractNumId w:val="35"/>
  </w:num>
  <w:num w:numId="46">
    <w:abstractNumId w:val="36"/>
  </w:num>
  <w:num w:numId="47">
    <w:abstractNumId w:val="16"/>
  </w:num>
  <w:num w:numId="48">
    <w:abstractNumId w:val="19"/>
  </w:num>
  <w:num w:numId="49">
    <w:abstractNumId w:val="30"/>
  </w:num>
  <w:num w:numId="50">
    <w:abstractNumId w:val="39"/>
  </w:num>
  <w:num w:numId="51">
    <w:abstractNumId w:val="15"/>
  </w:num>
  <w:num w:numId="52">
    <w:abstractNumId w:val="25"/>
  </w:num>
  <w:num w:numId="53">
    <w:abstractNumId w:val="28"/>
  </w:num>
  <w:num w:numId="54">
    <w:abstractNumId w:val="41"/>
  </w:num>
  <w:num w:numId="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7DF"/>
    <w:rsid w:val="000042CC"/>
    <w:rsid w:val="00005BC6"/>
    <w:rsid w:val="00015316"/>
    <w:rsid w:val="00016F6D"/>
    <w:rsid w:val="0002080A"/>
    <w:rsid w:val="00023EB9"/>
    <w:rsid w:val="0002500B"/>
    <w:rsid w:val="0002615E"/>
    <w:rsid w:val="0002782F"/>
    <w:rsid w:val="000312FC"/>
    <w:rsid w:val="00031512"/>
    <w:rsid w:val="00046479"/>
    <w:rsid w:val="00046C23"/>
    <w:rsid w:val="00054E4D"/>
    <w:rsid w:val="00057C66"/>
    <w:rsid w:val="00060073"/>
    <w:rsid w:val="00060268"/>
    <w:rsid w:val="00076806"/>
    <w:rsid w:val="000818DB"/>
    <w:rsid w:val="00082D18"/>
    <w:rsid w:val="00083DF7"/>
    <w:rsid w:val="00084483"/>
    <w:rsid w:val="000847AD"/>
    <w:rsid w:val="000859FC"/>
    <w:rsid w:val="00085E5F"/>
    <w:rsid w:val="000866AA"/>
    <w:rsid w:val="0009201C"/>
    <w:rsid w:val="000956A9"/>
    <w:rsid w:val="000A022B"/>
    <w:rsid w:val="000A6175"/>
    <w:rsid w:val="000B683D"/>
    <w:rsid w:val="000B69DB"/>
    <w:rsid w:val="000C48B0"/>
    <w:rsid w:val="000D2E44"/>
    <w:rsid w:val="000D5D8A"/>
    <w:rsid w:val="000D66D6"/>
    <w:rsid w:val="000D6803"/>
    <w:rsid w:val="000E1E2C"/>
    <w:rsid w:val="000E314A"/>
    <w:rsid w:val="001028E9"/>
    <w:rsid w:val="00110781"/>
    <w:rsid w:val="00123DF7"/>
    <w:rsid w:val="00127913"/>
    <w:rsid w:val="001310F8"/>
    <w:rsid w:val="001320D6"/>
    <w:rsid w:val="00133B20"/>
    <w:rsid w:val="00141AA1"/>
    <w:rsid w:val="001421B7"/>
    <w:rsid w:val="001446E7"/>
    <w:rsid w:val="001541EA"/>
    <w:rsid w:val="00160FCC"/>
    <w:rsid w:val="00162DE2"/>
    <w:rsid w:val="00166DDA"/>
    <w:rsid w:val="0017458B"/>
    <w:rsid w:val="001827E8"/>
    <w:rsid w:val="00184F1E"/>
    <w:rsid w:val="00186E5E"/>
    <w:rsid w:val="00187FD9"/>
    <w:rsid w:val="00190577"/>
    <w:rsid w:val="001907E2"/>
    <w:rsid w:val="00192AF7"/>
    <w:rsid w:val="00195D49"/>
    <w:rsid w:val="001B445F"/>
    <w:rsid w:val="001C1E1B"/>
    <w:rsid w:val="001C3727"/>
    <w:rsid w:val="001C45FF"/>
    <w:rsid w:val="001D3F37"/>
    <w:rsid w:val="001D663E"/>
    <w:rsid w:val="001D7C6F"/>
    <w:rsid w:val="001E0ABF"/>
    <w:rsid w:val="001E1374"/>
    <w:rsid w:val="001E1DC0"/>
    <w:rsid w:val="001F4A49"/>
    <w:rsid w:val="001F5C34"/>
    <w:rsid w:val="00200697"/>
    <w:rsid w:val="00206281"/>
    <w:rsid w:val="00211F5A"/>
    <w:rsid w:val="00212123"/>
    <w:rsid w:val="0021252A"/>
    <w:rsid w:val="00212FB7"/>
    <w:rsid w:val="002132BF"/>
    <w:rsid w:val="00214948"/>
    <w:rsid w:val="00236A53"/>
    <w:rsid w:val="002428D7"/>
    <w:rsid w:val="00244B2B"/>
    <w:rsid w:val="0025035C"/>
    <w:rsid w:val="00257A14"/>
    <w:rsid w:val="00272B5F"/>
    <w:rsid w:val="00275DB7"/>
    <w:rsid w:val="00283FDD"/>
    <w:rsid w:val="00284957"/>
    <w:rsid w:val="00284C5F"/>
    <w:rsid w:val="0028602A"/>
    <w:rsid w:val="002905CB"/>
    <w:rsid w:val="00296820"/>
    <w:rsid w:val="00296AB2"/>
    <w:rsid w:val="002A4A0E"/>
    <w:rsid w:val="002A51CA"/>
    <w:rsid w:val="002A603D"/>
    <w:rsid w:val="002A62C8"/>
    <w:rsid w:val="002B2C53"/>
    <w:rsid w:val="002B3E95"/>
    <w:rsid w:val="002B5E10"/>
    <w:rsid w:val="002B70D1"/>
    <w:rsid w:val="002B7A1A"/>
    <w:rsid w:val="002C0837"/>
    <w:rsid w:val="002C1044"/>
    <w:rsid w:val="002D0765"/>
    <w:rsid w:val="002D75CF"/>
    <w:rsid w:val="002E3A2E"/>
    <w:rsid w:val="002E52A7"/>
    <w:rsid w:val="002F07B5"/>
    <w:rsid w:val="002F17B2"/>
    <w:rsid w:val="002F1DB8"/>
    <w:rsid w:val="002F1F85"/>
    <w:rsid w:val="002F7633"/>
    <w:rsid w:val="003002C0"/>
    <w:rsid w:val="00301144"/>
    <w:rsid w:val="0030282A"/>
    <w:rsid w:val="00312887"/>
    <w:rsid w:val="00312902"/>
    <w:rsid w:val="003148B7"/>
    <w:rsid w:val="003158C3"/>
    <w:rsid w:val="00317AFB"/>
    <w:rsid w:val="00323E53"/>
    <w:rsid w:val="003274CD"/>
    <w:rsid w:val="00331D01"/>
    <w:rsid w:val="00333501"/>
    <w:rsid w:val="00336923"/>
    <w:rsid w:val="003375F7"/>
    <w:rsid w:val="003445FE"/>
    <w:rsid w:val="003457C4"/>
    <w:rsid w:val="00347EC3"/>
    <w:rsid w:val="0035119D"/>
    <w:rsid w:val="00353365"/>
    <w:rsid w:val="00355299"/>
    <w:rsid w:val="00356E32"/>
    <w:rsid w:val="00375EB5"/>
    <w:rsid w:val="00377638"/>
    <w:rsid w:val="00380104"/>
    <w:rsid w:val="00381182"/>
    <w:rsid w:val="00384B2F"/>
    <w:rsid w:val="003879FF"/>
    <w:rsid w:val="00391EE2"/>
    <w:rsid w:val="00396BA0"/>
    <w:rsid w:val="003A20C0"/>
    <w:rsid w:val="003B4F12"/>
    <w:rsid w:val="003B64FA"/>
    <w:rsid w:val="003B69CA"/>
    <w:rsid w:val="003B72EE"/>
    <w:rsid w:val="003C14B0"/>
    <w:rsid w:val="003C1CFA"/>
    <w:rsid w:val="003C6A0E"/>
    <w:rsid w:val="003D352D"/>
    <w:rsid w:val="003D493B"/>
    <w:rsid w:val="003D6948"/>
    <w:rsid w:val="003E06F1"/>
    <w:rsid w:val="003E305C"/>
    <w:rsid w:val="00400B0F"/>
    <w:rsid w:val="004022E6"/>
    <w:rsid w:val="00402ACC"/>
    <w:rsid w:val="00405459"/>
    <w:rsid w:val="00410801"/>
    <w:rsid w:val="004120EC"/>
    <w:rsid w:val="0042041F"/>
    <w:rsid w:val="00423674"/>
    <w:rsid w:val="00423F31"/>
    <w:rsid w:val="00424931"/>
    <w:rsid w:val="00431899"/>
    <w:rsid w:val="00433A3D"/>
    <w:rsid w:val="0043612B"/>
    <w:rsid w:val="00436526"/>
    <w:rsid w:val="0043721B"/>
    <w:rsid w:val="004527D9"/>
    <w:rsid w:val="00456661"/>
    <w:rsid w:val="00466AA3"/>
    <w:rsid w:val="004717FF"/>
    <w:rsid w:val="00472137"/>
    <w:rsid w:val="00480422"/>
    <w:rsid w:val="00480CF2"/>
    <w:rsid w:val="004839E3"/>
    <w:rsid w:val="00486804"/>
    <w:rsid w:val="00490978"/>
    <w:rsid w:val="004977A1"/>
    <w:rsid w:val="004B1D98"/>
    <w:rsid w:val="004B2A83"/>
    <w:rsid w:val="004B3775"/>
    <w:rsid w:val="004C0419"/>
    <w:rsid w:val="004C074C"/>
    <w:rsid w:val="004C2930"/>
    <w:rsid w:val="004D0BA0"/>
    <w:rsid w:val="004D16B4"/>
    <w:rsid w:val="004D1B00"/>
    <w:rsid w:val="004D6A28"/>
    <w:rsid w:val="004E0264"/>
    <w:rsid w:val="004E058F"/>
    <w:rsid w:val="004E3B87"/>
    <w:rsid w:val="004E64CC"/>
    <w:rsid w:val="004F6B1D"/>
    <w:rsid w:val="00510921"/>
    <w:rsid w:val="00510AD3"/>
    <w:rsid w:val="00513348"/>
    <w:rsid w:val="00520D55"/>
    <w:rsid w:val="00524971"/>
    <w:rsid w:val="00524A2E"/>
    <w:rsid w:val="005319F3"/>
    <w:rsid w:val="005335F1"/>
    <w:rsid w:val="00533B5D"/>
    <w:rsid w:val="00545C5A"/>
    <w:rsid w:val="00550890"/>
    <w:rsid w:val="005511BF"/>
    <w:rsid w:val="00561DF0"/>
    <w:rsid w:val="0056267A"/>
    <w:rsid w:val="00565A08"/>
    <w:rsid w:val="00566490"/>
    <w:rsid w:val="00576294"/>
    <w:rsid w:val="00580A64"/>
    <w:rsid w:val="00583765"/>
    <w:rsid w:val="0059146A"/>
    <w:rsid w:val="005A06C8"/>
    <w:rsid w:val="005B027B"/>
    <w:rsid w:val="005B1F70"/>
    <w:rsid w:val="005B5769"/>
    <w:rsid w:val="005B6CF8"/>
    <w:rsid w:val="005B76AD"/>
    <w:rsid w:val="005C78DB"/>
    <w:rsid w:val="005D2EB4"/>
    <w:rsid w:val="005D3655"/>
    <w:rsid w:val="005D5723"/>
    <w:rsid w:val="005D6524"/>
    <w:rsid w:val="005D6903"/>
    <w:rsid w:val="005E2075"/>
    <w:rsid w:val="005E606B"/>
    <w:rsid w:val="005F064A"/>
    <w:rsid w:val="005F31B7"/>
    <w:rsid w:val="00603156"/>
    <w:rsid w:val="00623BA1"/>
    <w:rsid w:val="00623DFE"/>
    <w:rsid w:val="006249C5"/>
    <w:rsid w:val="006271A1"/>
    <w:rsid w:val="006346BC"/>
    <w:rsid w:val="00641EC8"/>
    <w:rsid w:val="00644427"/>
    <w:rsid w:val="006545B9"/>
    <w:rsid w:val="0066652A"/>
    <w:rsid w:val="006676B6"/>
    <w:rsid w:val="00671A3F"/>
    <w:rsid w:val="006769B1"/>
    <w:rsid w:val="0068000A"/>
    <w:rsid w:val="00680522"/>
    <w:rsid w:val="00681F08"/>
    <w:rsid w:val="00682167"/>
    <w:rsid w:val="00684DBD"/>
    <w:rsid w:val="00692BAF"/>
    <w:rsid w:val="00693F76"/>
    <w:rsid w:val="00693FF5"/>
    <w:rsid w:val="0069547F"/>
    <w:rsid w:val="00695730"/>
    <w:rsid w:val="006C42AF"/>
    <w:rsid w:val="006C6938"/>
    <w:rsid w:val="006C7DAC"/>
    <w:rsid w:val="006D00E5"/>
    <w:rsid w:val="006D21EA"/>
    <w:rsid w:val="006F27B1"/>
    <w:rsid w:val="006F4992"/>
    <w:rsid w:val="0070387B"/>
    <w:rsid w:val="00703CA0"/>
    <w:rsid w:val="00711A08"/>
    <w:rsid w:val="00711C36"/>
    <w:rsid w:val="00711D8E"/>
    <w:rsid w:val="00712672"/>
    <w:rsid w:val="00714FD2"/>
    <w:rsid w:val="00720CFC"/>
    <w:rsid w:val="007302C5"/>
    <w:rsid w:val="00734420"/>
    <w:rsid w:val="00734E3F"/>
    <w:rsid w:val="007367F9"/>
    <w:rsid w:val="00736985"/>
    <w:rsid w:val="00745DF5"/>
    <w:rsid w:val="007478DD"/>
    <w:rsid w:val="007540E5"/>
    <w:rsid w:val="00756704"/>
    <w:rsid w:val="00757F9A"/>
    <w:rsid w:val="007616F6"/>
    <w:rsid w:val="0076250F"/>
    <w:rsid w:val="00762D05"/>
    <w:rsid w:val="0076366E"/>
    <w:rsid w:val="00771B53"/>
    <w:rsid w:val="007768F9"/>
    <w:rsid w:val="00776DE0"/>
    <w:rsid w:val="00784031"/>
    <w:rsid w:val="00785479"/>
    <w:rsid w:val="007866A5"/>
    <w:rsid w:val="007A13AE"/>
    <w:rsid w:val="007A37A7"/>
    <w:rsid w:val="007A4CCF"/>
    <w:rsid w:val="007A6119"/>
    <w:rsid w:val="007A61AD"/>
    <w:rsid w:val="007B6200"/>
    <w:rsid w:val="007C256B"/>
    <w:rsid w:val="007C34E3"/>
    <w:rsid w:val="007C359C"/>
    <w:rsid w:val="007C460F"/>
    <w:rsid w:val="007D28C7"/>
    <w:rsid w:val="007E6475"/>
    <w:rsid w:val="007F029A"/>
    <w:rsid w:val="007F3395"/>
    <w:rsid w:val="00801B9F"/>
    <w:rsid w:val="008057FD"/>
    <w:rsid w:val="00807D86"/>
    <w:rsid w:val="00812509"/>
    <w:rsid w:val="00812920"/>
    <w:rsid w:val="00812DF0"/>
    <w:rsid w:val="0082464A"/>
    <w:rsid w:val="0082773C"/>
    <w:rsid w:val="008433E9"/>
    <w:rsid w:val="008475F0"/>
    <w:rsid w:val="008631A8"/>
    <w:rsid w:val="00864210"/>
    <w:rsid w:val="0086507D"/>
    <w:rsid w:val="00865560"/>
    <w:rsid w:val="00865957"/>
    <w:rsid w:val="00870891"/>
    <w:rsid w:val="008715B6"/>
    <w:rsid w:val="00877607"/>
    <w:rsid w:val="0088047A"/>
    <w:rsid w:val="00880F67"/>
    <w:rsid w:val="00886459"/>
    <w:rsid w:val="008906C7"/>
    <w:rsid w:val="0089291E"/>
    <w:rsid w:val="008937D1"/>
    <w:rsid w:val="00895590"/>
    <w:rsid w:val="00897AD4"/>
    <w:rsid w:val="008A34CA"/>
    <w:rsid w:val="008A5AFE"/>
    <w:rsid w:val="008B3F4B"/>
    <w:rsid w:val="008B68D7"/>
    <w:rsid w:val="008B7393"/>
    <w:rsid w:val="008C2F58"/>
    <w:rsid w:val="008C5A0E"/>
    <w:rsid w:val="008C79BA"/>
    <w:rsid w:val="008D0C8C"/>
    <w:rsid w:val="008D2A41"/>
    <w:rsid w:val="008D32B7"/>
    <w:rsid w:val="008D4779"/>
    <w:rsid w:val="008E339F"/>
    <w:rsid w:val="008F0965"/>
    <w:rsid w:val="008F56A8"/>
    <w:rsid w:val="00915E3B"/>
    <w:rsid w:val="00916FB1"/>
    <w:rsid w:val="00920F42"/>
    <w:rsid w:val="009249D4"/>
    <w:rsid w:val="00925D0E"/>
    <w:rsid w:val="0092721C"/>
    <w:rsid w:val="009278A5"/>
    <w:rsid w:val="0093110B"/>
    <w:rsid w:val="009376D7"/>
    <w:rsid w:val="00960D23"/>
    <w:rsid w:val="00964A08"/>
    <w:rsid w:val="00967899"/>
    <w:rsid w:val="009714E5"/>
    <w:rsid w:val="0097359B"/>
    <w:rsid w:val="00977B65"/>
    <w:rsid w:val="00982D58"/>
    <w:rsid w:val="00985472"/>
    <w:rsid w:val="009903F3"/>
    <w:rsid w:val="0099154B"/>
    <w:rsid w:val="00992C76"/>
    <w:rsid w:val="00994D76"/>
    <w:rsid w:val="00997EE2"/>
    <w:rsid w:val="009A3954"/>
    <w:rsid w:val="009B3DD7"/>
    <w:rsid w:val="009B4D3B"/>
    <w:rsid w:val="009C5574"/>
    <w:rsid w:val="009D0F84"/>
    <w:rsid w:val="009D54C6"/>
    <w:rsid w:val="009D6E84"/>
    <w:rsid w:val="009D7407"/>
    <w:rsid w:val="009E0866"/>
    <w:rsid w:val="009F0000"/>
    <w:rsid w:val="009F0814"/>
    <w:rsid w:val="009F1154"/>
    <w:rsid w:val="009F5488"/>
    <w:rsid w:val="009F6423"/>
    <w:rsid w:val="00A05996"/>
    <w:rsid w:val="00A106F3"/>
    <w:rsid w:val="00A10CE8"/>
    <w:rsid w:val="00A152B4"/>
    <w:rsid w:val="00A22908"/>
    <w:rsid w:val="00A24A62"/>
    <w:rsid w:val="00A301E1"/>
    <w:rsid w:val="00A31C9F"/>
    <w:rsid w:val="00A34655"/>
    <w:rsid w:val="00A35262"/>
    <w:rsid w:val="00A4144F"/>
    <w:rsid w:val="00A52DDD"/>
    <w:rsid w:val="00A54044"/>
    <w:rsid w:val="00A5433C"/>
    <w:rsid w:val="00A56F14"/>
    <w:rsid w:val="00A56FC0"/>
    <w:rsid w:val="00A63571"/>
    <w:rsid w:val="00A63FDF"/>
    <w:rsid w:val="00A70265"/>
    <w:rsid w:val="00A75B8E"/>
    <w:rsid w:val="00A76E71"/>
    <w:rsid w:val="00A80DF3"/>
    <w:rsid w:val="00A80F95"/>
    <w:rsid w:val="00A818C6"/>
    <w:rsid w:val="00A8197B"/>
    <w:rsid w:val="00A84162"/>
    <w:rsid w:val="00A8669E"/>
    <w:rsid w:val="00A919C8"/>
    <w:rsid w:val="00A92CF2"/>
    <w:rsid w:val="00A938DA"/>
    <w:rsid w:val="00A94E8A"/>
    <w:rsid w:val="00AA20E3"/>
    <w:rsid w:val="00AA5BDA"/>
    <w:rsid w:val="00AA7BE3"/>
    <w:rsid w:val="00AB5E7F"/>
    <w:rsid w:val="00AC164A"/>
    <w:rsid w:val="00AC6459"/>
    <w:rsid w:val="00AD27EB"/>
    <w:rsid w:val="00AD46C2"/>
    <w:rsid w:val="00AD4BBD"/>
    <w:rsid w:val="00AD643C"/>
    <w:rsid w:val="00AE1EBF"/>
    <w:rsid w:val="00AE2B01"/>
    <w:rsid w:val="00AE4D56"/>
    <w:rsid w:val="00AE4E1D"/>
    <w:rsid w:val="00AF0F3F"/>
    <w:rsid w:val="00AF1B85"/>
    <w:rsid w:val="00AF1D7C"/>
    <w:rsid w:val="00AF2050"/>
    <w:rsid w:val="00B0024E"/>
    <w:rsid w:val="00B03CA8"/>
    <w:rsid w:val="00B12980"/>
    <w:rsid w:val="00B1323F"/>
    <w:rsid w:val="00B2368E"/>
    <w:rsid w:val="00B331DC"/>
    <w:rsid w:val="00B35DE8"/>
    <w:rsid w:val="00B403D7"/>
    <w:rsid w:val="00B41682"/>
    <w:rsid w:val="00B438D3"/>
    <w:rsid w:val="00B55E19"/>
    <w:rsid w:val="00B577A5"/>
    <w:rsid w:val="00B57F19"/>
    <w:rsid w:val="00B717A8"/>
    <w:rsid w:val="00B754C8"/>
    <w:rsid w:val="00B7617C"/>
    <w:rsid w:val="00B77B92"/>
    <w:rsid w:val="00B82621"/>
    <w:rsid w:val="00B83C01"/>
    <w:rsid w:val="00B8475C"/>
    <w:rsid w:val="00B85D51"/>
    <w:rsid w:val="00B907C7"/>
    <w:rsid w:val="00B94428"/>
    <w:rsid w:val="00B97971"/>
    <w:rsid w:val="00BA1502"/>
    <w:rsid w:val="00BA3699"/>
    <w:rsid w:val="00BA4B6D"/>
    <w:rsid w:val="00BB26C5"/>
    <w:rsid w:val="00BB648A"/>
    <w:rsid w:val="00BC234E"/>
    <w:rsid w:val="00BC50CB"/>
    <w:rsid w:val="00BD29CD"/>
    <w:rsid w:val="00BD4E11"/>
    <w:rsid w:val="00BE0F63"/>
    <w:rsid w:val="00BE1BEB"/>
    <w:rsid w:val="00BE7E47"/>
    <w:rsid w:val="00BF3260"/>
    <w:rsid w:val="00BF391D"/>
    <w:rsid w:val="00BF4DE6"/>
    <w:rsid w:val="00BF69E4"/>
    <w:rsid w:val="00C07B95"/>
    <w:rsid w:val="00C13542"/>
    <w:rsid w:val="00C13C9A"/>
    <w:rsid w:val="00C143B2"/>
    <w:rsid w:val="00C16245"/>
    <w:rsid w:val="00C2640E"/>
    <w:rsid w:val="00C33BA3"/>
    <w:rsid w:val="00C34283"/>
    <w:rsid w:val="00C42CDE"/>
    <w:rsid w:val="00C47207"/>
    <w:rsid w:val="00C5182A"/>
    <w:rsid w:val="00C51F3D"/>
    <w:rsid w:val="00C523F9"/>
    <w:rsid w:val="00C52E9F"/>
    <w:rsid w:val="00C5671B"/>
    <w:rsid w:val="00C56C26"/>
    <w:rsid w:val="00C56C34"/>
    <w:rsid w:val="00C56C62"/>
    <w:rsid w:val="00C6297B"/>
    <w:rsid w:val="00C63EE9"/>
    <w:rsid w:val="00C6626C"/>
    <w:rsid w:val="00C7139B"/>
    <w:rsid w:val="00C71E9B"/>
    <w:rsid w:val="00C73ADC"/>
    <w:rsid w:val="00C73C66"/>
    <w:rsid w:val="00C7407A"/>
    <w:rsid w:val="00C802AF"/>
    <w:rsid w:val="00C821E2"/>
    <w:rsid w:val="00C82D20"/>
    <w:rsid w:val="00CA37B1"/>
    <w:rsid w:val="00CA5C87"/>
    <w:rsid w:val="00CA7371"/>
    <w:rsid w:val="00CB1959"/>
    <w:rsid w:val="00CB2CE3"/>
    <w:rsid w:val="00CB4D49"/>
    <w:rsid w:val="00CB79C1"/>
    <w:rsid w:val="00CC0306"/>
    <w:rsid w:val="00CC27AB"/>
    <w:rsid w:val="00CC3868"/>
    <w:rsid w:val="00CC4767"/>
    <w:rsid w:val="00CD0E4B"/>
    <w:rsid w:val="00CD1652"/>
    <w:rsid w:val="00CD24F8"/>
    <w:rsid w:val="00CE0155"/>
    <w:rsid w:val="00CE2B3E"/>
    <w:rsid w:val="00CE7943"/>
    <w:rsid w:val="00CF3C09"/>
    <w:rsid w:val="00CF670F"/>
    <w:rsid w:val="00CF6DA7"/>
    <w:rsid w:val="00CF6FF5"/>
    <w:rsid w:val="00D00802"/>
    <w:rsid w:val="00D0296C"/>
    <w:rsid w:val="00D0545A"/>
    <w:rsid w:val="00D061BB"/>
    <w:rsid w:val="00D146A2"/>
    <w:rsid w:val="00D15A00"/>
    <w:rsid w:val="00D20140"/>
    <w:rsid w:val="00D2653F"/>
    <w:rsid w:val="00D26C5B"/>
    <w:rsid w:val="00D5038D"/>
    <w:rsid w:val="00D53D6C"/>
    <w:rsid w:val="00D56831"/>
    <w:rsid w:val="00D64BD1"/>
    <w:rsid w:val="00D70C32"/>
    <w:rsid w:val="00D71CE7"/>
    <w:rsid w:val="00D72760"/>
    <w:rsid w:val="00D73316"/>
    <w:rsid w:val="00D7446B"/>
    <w:rsid w:val="00D82442"/>
    <w:rsid w:val="00DA27B9"/>
    <w:rsid w:val="00DA7DB5"/>
    <w:rsid w:val="00DC2E9A"/>
    <w:rsid w:val="00DD0F77"/>
    <w:rsid w:val="00DD1986"/>
    <w:rsid w:val="00DD3362"/>
    <w:rsid w:val="00DD3FAF"/>
    <w:rsid w:val="00DD6FF7"/>
    <w:rsid w:val="00DE084C"/>
    <w:rsid w:val="00DE7B54"/>
    <w:rsid w:val="00DF55AA"/>
    <w:rsid w:val="00E01C62"/>
    <w:rsid w:val="00E01E95"/>
    <w:rsid w:val="00E2434A"/>
    <w:rsid w:val="00E2649B"/>
    <w:rsid w:val="00E33489"/>
    <w:rsid w:val="00E338E5"/>
    <w:rsid w:val="00E3522B"/>
    <w:rsid w:val="00E357B7"/>
    <w:rsid w:val="00E439E6"/>
    <w:rsid w:val="00E5223A"/>
    <w:rsid w:val="00E53800"/>
    <w:rsid w:val="00E6081F"/>
    <w:rsid w:val="00E65105"/>
    <w:rsid w:val="00E74E9F"/>
    <w:rsid w:val="00E80094"/>
    <w:rsid w:val="00E9577E"/>
    <w:rsid w:val="00E97EA5"/>
    <w:rsid w:val="00E97F28"/>
    <w:rsid w:val="00EA01A6"/>
    <w:rsid w:val="00EA04B2"/>
    <w:rsid w:val="00EA20F3"/>
    <w:rsid w:val="00EA480A"/>
    <w:rsid w:val="00EA6DE8"/>
    <w:rsid w:val="00EA6E81"/>
    <w:rsid w:val="00EB2867"/>
    <w:rsid w:val="00EB2E6F"/>
    <w:rsid w:val="00EC54FA"/>
    <w:rsid w:val="00ED1CD6"/>
    <w:rsid w:val="00ED2831"/>
    <w:rsid w:val="00ED41AA"/>
    <w:rsid w:val="00ED43D1"/>
    <w:rsid w:val="00ED4F4B"/>
    <w:rsid w:val="00ED6E51"/>
    <w:rsid w:val="00EE00DA"/>
    <w:rsid w:val="00EE4EE1"/>
    <w:rsid w:val="00EE58D9"/>
    <w:rsid w:val="00EE5A44"/>
    <w:rsid w:val="00EF26B5"/>
    <w:rsid w:val="00EF4574"/>
    <w:rsid w:val="00EF4AD9"/>
    <w:rsid w:val="00F048A1"/>
    <w:rsid w:val="00F06182"/>
    <w:rsid w:val="00F07BB8"/>
    <w:rsid w:val="00F105F3"/>
    <w:rsid w:val="00F14763"/>
    <w:rsid w:val="00F15BF8"/>
    <w:rsid w:val="00F2684E"/>
    <w:rsid w:val="00F27D08"/>
    <w:rsid w:val="00F30714"/>
    <w:rsid w:val="00F40188"/>
    <w:rsid w:val="00F4140A"/>
    <w:rsid w:val="00F4318A"/>
    <w:rsid w:val="00F432F6"/>
    <w:rsid w:val="00F4765D"/>
    <w:rsid w:val="00F51130"/>
    <w:rsid w:val="00F53262"/>
    <w:rsid w:val="00F53573"/>
    <w:rsid w:val="00F5404C"/>
    <w:rsid w:val="00F57CD8"/>
    <w:rsid w:val="00F729EF"/>
    <w:rsid w:val="00F7583B"/>
    <w:rsid w:val="00F77CAE"/>
    <w:rsid w:val="00F80418"/>
    <w:rsid w:val="00F813BC"/>
    <w:rsid w:val="00F8189A"/>
    <w:rsid w:val="00F81B6E"/>
    <w:rsid w:val="00F82271"/>
    <w:rsid w:val="00F82C64"/>
    <w:rsid w:val="00F83428"/>
    <w:rsid w:val="00F84330"/>
    <w:rsid w:val="00F90327"/>
    <w:rsid w:val="00F90FE4"/>
    <w:rsid w:val="00F9352E"/>
    <w:rsid w:val="00F96BB9"/>
    <w:rsid w:val="00FA381E"/>
    <w:rsid w:val="00FB0516"/>
    <w:rsid w:val="00FB4F75"/>
    <w:rsid w:val="00FC527A"/>
    <w:rsid w:val="00FC5609"/>
    <w:rsid w:val="00FD026B"/>
    <w:rsid w:val="00FD164D"/>
    <w:rsid w:val="00FD64AD"/>
    <w:rsid w:val="00FE2DD3"/>
    <w:rsid w:val="00FE3C3F"/>
    <w:rsid w:val="00FE3EB3"/>
    <w:rsid w:val="00FE6D51"/>
    <w:rsid w:val="00FF09F3"/>
    <w:rsid w:val="00FF0C20"/>
    <w:rsid w:val="00FF2724"/>
    <w:rsid w:val="00FF3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5609"/>
    <w:rPr>
      <w:color w:val="800080" w:themeColor="followedHyperlink"/>
      <w:u w:val="single"/>
    </w:rPr>
  </w:style>
  <w:style w:type="paragraph" w:styleId="ListParagraph">
    <w:name w:val="List Paragraph"/>
    <w:basedOn w:val="Normal"/>
    <w:uiPriority w:val="34"/>
    <w:qFormat/>
    <w:rsid w:val="00CD24F8"/>
    <w:pPr>
      <w:ind w:left="720"/>
      <w:contextualSpacing/>
    </w:pPr>
  </w:style>
  <w:style w:type="character" w:styleId="CommentReference">
    <w:name w:val="annotation reference"/>
    <w:basedOn w:val="DefaultParagraphFont"/>
    <w:uiPriority w:val="99"/>
    <w:semiHidden/>
    <w:unhideWhenUsed/>
    <w:rsid w:val="00982D58"/>
    <w:rPr>
      <w:sz w:val="16"/>
      <w:szCs w:val="16"/>
    </w:rPr>
  </w:style>
  <w:style w:type="paragraph" w:styleId="CommentText">
    <w:name w:val="annotation text"/>
    <w:basedOn w:val="Normal"/>
    <w:link w:val="CommentTextChar"/>
    <w:uiPriority w:val="99"/>
    <w:semiHidden/>
    <w:unhideWhenUsed/>
    <w:rsid w:val="00982D58"/>
    <w:pPr>
      <w:spacing w:line="240" w:lineRule="auto"/>
    </w:pPr>
    <w:rPr>
      <w:sz w:val="20"/>
      <w:szCs w:val="20"/>
    </w:rPr>
  </w:style>
  <w:style w:type="character" w:customStyle="1" w:styleId="CommentTextChar">
    <w:name w:val="Comment Text Char"/>
    <w:basedOn w:val="DefaultParagraphFont"/>
    <w:link w:val="CommentText"/>
    <w:uiPriority w:val="99"/>
    <w:semiHidden/>
    <w:rsid w:val="00982D5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982D58"/>
    <w:rPr>
      <w:b/>
      <w:bCs/>
    </w:rPr>
  </w:style>
  <w:style w:type="character" w:customStyle="1" w:styleId="CommentSubjectChar">
    <w:name w:val="Comment Subject Char"/>
    <w:basedOn w:val="CommentTextChar"/>
    <w:link w:val="CommentSubject"/>
    <w:uiPriority w:val="99"/>
    <w:semiHidden/>
    <w:rsid w:val="00982D58"/>
    <w:rPr>
      <w:b/>
      <w:bCs/>
      <w:color w:val="495965" w:themeColor="text2"/>
      <w:sz w:val="20"/>
      <w:szCs w:val="20"/>
      <w:lang w:val="en-GB"/>
    </w:rPr>
  </w:style>
  <w:style w:type="paragraph" w:styleId="PlainText">
    <w:name w:val="Plain Text"/>
    <w:basedOn w:val="Normal"/>
    <w:link w:val="PlainTextChar"/>
    <w:uiPriority w:val="99"/>
    <w:semiHidden/>
    <w:unhideWhenUsed/>
    <w:rsid w:val="00684DBD"/>
    <w:pPr>
      <w:suppressAutoHyphens w:val="0"/>
      <w:spacing w:before="0"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semiHidden/>
    <w:rsid w:val="00684D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689067571">
      <w:bodyDiv w:val="1"/>
      <w:marLeft w:val="0"/>
      <w:marRight w:val="0"/>
      <w:marTop w:val="0"/>
      <w:marBottom w:val="0"/>
      <w:divBdr>
        <w:top w:val="none" w:sz="0" w:space="0" w:color="auto"/>
        <w:left w:val="none" w:sz="0" w:space="0" w:color="auto"/>
        <w:bottom w:val="none" w:sz="0" w:space="0" w:color="auto"/>
        <w:right w:val="none" w:sz="0" w:space="0" w:color="auto"/>
      </w:divBdr>
    </w:div>
    <w:div w:id="877474471">
      <w:bodyDiv w:val="1"/>
      <w:marLeft w:val="0"/>
      <w:marRight w:val="0"/>
      <w:marTop w:val="0"/>
      <w:marBottom w:val="0"/>
      <w:divBdr>
        <w:top w:val="none" w:sz="0" w:space="0" w:color="auto"/>
        <w:left w:val="none" w:sz="0" w:space="0" w:color="auto"/>
        <w:bottom w:val="none" w:sz="0" w:space="0" w:color="auto"/>
        <w:right w:val="none" w:sz="0" w:space="0" w:color="auto"/>
      </w:divBdr>
    </w:div>
    <w:div w:id="1083261661">
      <w:bodyDiv w:val="1"/>
      <w:marLeft w:val="0"/>
      <w:marRight w:val="0"/>
      <w:marTop w:val="0"/>
      <w:marBottom w:val="0"/>
      <w:divBdr>
        <w:top w:val="none" w:sz="0" w:space="0" w:color="auto"/>
        <w:left w:val="none" w:sz="0" w:space="0" w:color="auto"/>
        <w:bottom w:val="none" w:sz="0" w:space="0" w:color="auto"/>
        <w:right w:val="none" w:sz="0" w:space="0" w:color="auto"/>
      </w:divBdr>
    </w:div>
    <w:div w:id="1226453804">
      <w:bodyDiv w:val="1"/>
      <w:marLeft w:val="0"/>
      <w:marRight w:val="0"/>
      <w:marTop w:val="0"/>
      <w:marBottom w:val="0"/>
      <w:divBdr>
        <w:top w:val="none" w:sz="0" w:space="0" w:color="auto"/>
        <w:left w:val="none" w:sz="0" w:space="0" w:color="auto"/>
        <w:bottom w:val="none" w:sz="0" w:space="0" w:color="auto"/>
        <w:right w:val="none" w:sz="0" w:space="0" w:color="auto"/>
      </w:divBdr>
    </w:div>
    <w:div w:id="1648780609">
      <w:bodyDiv w:val="1"/>
      <w:marLeft w:val="0"/>
      <w:marRight w:val="0"/>
      <w:marTop w:val="0"/>
      <w:marBottom w:val="0"/>
      <w:divBdr>
        <w:top w:val="none" w:sz="0" w:space="0" w:color="auto"/>
        <w:left w:val="none" w:sz="0" w:space="0" w:color="auto"/>
        <w:bottom w:val="none" w:sz="0" w:space="0" w:color="auto"/>
        <w:right w:val="none" w:sz="0" w:space="0" w:color="auto"/>
      </w:divBdr>
    </w:div>
    <w:div w:id="1796093954">
      <w:bodyDiv w:val="1"/>
      <w:marLeft w:val="0"/>
      <w:marRight w:val="0"/>
      <w:marTop w:val="0"/>
      <w:marBottom w:val="0"/>
      <w:divBdr>
        <w:top w:val="none" w:sz="0" w:space="0" w:color="auto"/>
        <w:left w:val="none" w:sz="0" w:space="0" w:color="auto"/>
        <w:bottom w:val="none" w:sz="0" w:space="0" w:color="auto"/>
        <w:right w:val="none" w:sz="0" w:space="0" w:color="auto"/>
      </w:divBdr>
    </w:div>
    <w:div w:id="1975141479">
      <w:bodyDiv w:val="1"/>
      <w:marLeft w:val="0"/>
      <w:marRight w:val="0"/>
      <w:marTop w:val="0"/>
      <w:marBottom w:val="0"/>
      <w:divBdr>
        <w:top w:val="none" w:sz="0" w:space="0" w:color="auto"/>
        <w:left w:val="none" w:sz="0" w:space="0" w:color="auto"/>
        <w:bottom w:val="none" w:sz="0" w:space="0" w:color="auto"/>
        <w:right w:val="none" w:sz="0" w:space="0" w:color="auto"/>
      </w:divBdr>
    </w:div>
    <w:div w:id="2010330773">
      <w:bodyDiv w:val="1"/>
      <w:marLeft w:val="0"/>
      <w:marRight w:val="0"/>
      <w:marTop w:val="0"/>
      <w:marBottom w:val="0"/>
      <w:divBdr>
        <w:top w:val="none" w:sz="0" w:space="0" w:color="auto"/>
        <w:left w:val="none" w:sz="0" w:space="0" w:color="auto"/>
        <w:bottom w:val="none" w:sz="0" w:space="0" w:color="auto"/>
        <w:right w:val="none" w:sz="0" w:space="0" w:color="auto"/>
      </w:divBdr>
    </w:div>
    <w:div w:id="20245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2.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14.png"/><Relationship Id="rId30"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0D7A9B-7999-43C0-93A8-5FAC5D2DD7F7}"/>
</file>

<file path=customXml/itemProps2.xml><?xml version="1.0" encoding="utf-8"?>
<ds:datastoreItem xmlns:ds="http://schemas.openxmlformats.org/officeDocument/2006/customXml" ds:itemID="{25EE7E1D-665C-4D1E-AA09-1C5A1ECFAE18}"/>
</file>

<file path=customXml/itemProps3.xml><?xml version="1.0" encoding="utf-8"?>
<ds:datastoreItem xmlns:ds="http://schemas.openxmlformats.org/officeDocument/2006/customXml" ds:itemID="{07A5F621-4070-4315-AA3A-AAB2C24E7067}"/>
</file>

<file path=customXml/itemProps4.xml><?xml version="1.0" encoding="utf-8"?>
<ds:datastoreItem xmlns:ds="http://schemas.openxmlformats.org/officeDocument/2006/customXml" ds:itemID="{1863B9EC-AE03-4107-8032-1F17408EC011}"/>
</file>

<file path=docProps/app.xml><?xml version="1.0" encoding="utf-8"?>
<Properties xmlns="http://schemas.openxmlformats.org/officeDocument/2006/extended-properties" xmlns:vt="http://schemas.openxmlformats.org/officeDocument/2006/docPropsVTypes">
  <Template>Normal.dotm</Template>
  <TotalTime>0</TotalTime>
  <Pages>20</Pages>
  <Words>7621</Words>
  <Characters>43442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2019-09-23T00:11:00Z</dcterms:created>
  <dcterms:modified xsi:type="dcterms:W3CDTF">2019-09-23T00:11:00Z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1c7cc82d-f7a1-4378-96c9-776d6c231608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1265600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