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04C" w:rsidRPr="00E72C5C" w:rsidRDefault="00F87BE6" w:rsidP="00852237">
      <w:pPr>
        <w:spacing w:before="40" w:after="40" w:line="240" w:lineRule="auto"/>
        <w:jc w:val="center"/>
        <w:rPr>
          <w:rFonts w:ascii="Arial" w:hAnsi="Arial" w:cs="Arial"/>
          <w:b/>
          <w:sz w:val="24"/>
          <w:szCs w:val="24"/>
        </w:rPr>
      </w:pPr>
      <w:bookmarkStart w:id="0" w:name="_GoBack"/>
      <w:bookmarkEnd w:id="0"/>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ile:Coat of Arms Samoa.svg" href="http://upload.wikimedia.org/wikipedia/commons/f/f9/Coat_of_Arms_Samoa" style="position:absolute;left:0;text-align:left;margin-left:621pt;margin-top:-30.55pt;width:63pt;height:63pt;z-index:-251659264;visibility:visible" wrapcoords="10029 257 2829 4371 1800 5400 257 7971 -257 9771 0 12857 1029 15429 2314 16714 257 17486 1029 20829 7457 21343 14143 21343 20571 20829 21343 17486 19286 16714 20314 15429 21343 12857 21600 10286 21343 8229 19800 5400 18771 4371 11829 257 10029 257" o:button="t">
            <v:fill o:detectmouseclick="t"/>
            <v:imagedata r:id="rId9" o:title=""/>
            <w10:wrap type="through"/>
          </v:shape>
        </w:pict>
      </w:r>
      <w:r>
        <w:rPr>
          <w:noProof/>
          <w:lang w:val="en-AU" w:eastAsia="en-AU"/>
        </w:rPr>
        <w:pict>
          <v:shape id="Picture 2" o:spid="_x0000_s1028" type="#_x0000_t75" style="position:absolute;left:0;text-align:left;margin-left:36pt;margin-top:-30.55pt;width:81pt;height:59.2pt;z-index:251656192;visibility:visible" wrapcoords="-200 0 -200 21327 21600 21327 21600 0 -200 0">
            <v:imagedata r:id="rId10" o:title=""/>
            <w10:wrap type="through"/>
          </v:shape>
        </w:pict>
      </w:r>
      <w:r w:rsidR="00E1504C" w:rsidRPr="00E72C5C">
        <w:rPr>
          <w:rFonts w:ascii="Arial" w:hAnsi="Arial" w:cs="Arial"/>
          <w:b/>
          <w:sz w:val="24"/>
          <w:szCs w:val="24"/>
        </w:rPr>
        <w:t>Samoa – Australia Partnership for Development</w:t>
      </w:r>
    </w:p>
    <w:p w:rsidR="00E1504C" w:rsidRPr="00E72C5C" w:rsidRDefault="001E055B" w:rsidP="00852237">
      <w:pPr>
        <w:spacing w:before="40" w:after="40" w:line="240" w:lineRule="auto"/>
        <w:jc w:val="center"/>
        <w:rPr>
          <w:rFonts w:ascii="Arial" w:hAnsi="Arial" w:cs="Arial"/>
          <w:b/>
          <w:sz w:val="18"/>
          <w:szCs w:val="16"/>
        </w:rPr>
      </w:pPr>
      <w:r>
        <w:rPr>
          <w:rFonts w:ascii="Arial" w:hAnsi="Arial" w:cs="Arial"/>
          <w:b/>
          <w:sz w:val="24"/>
          <w:szCs w:val="16"/>
        </w:rPr>
        <w:t>201</w:t>
      </w:r>
      <w:r w:rsidR="007645B7">
        <w:rPr>
          <w:rFonts w:ascii="Arial" w:hAnsi="Arial" w:cs="Arial"/>
          <w:b/>
          <w:sz w:val="24"/>
          <w:szCs w:val="16"/>
        </w:rPr>
        <w:t>3</w:t>
      </w:r>
      <w:r>
        <w:rPr>
          <w:rFonts w:ascii="Arial" w:hAnsi="Arial" w:cs="Arial"/>
          <w:b/>
          <w:sz w:val="24"/>
          <w:szCs w:val="16"/>
        </w:rPr>
        <w:t>-1</w:t>
      </w:r>
      <w:r w:rsidR="007645B7">
        <w:rPr>
          <w:rFonts w:ascii="Arial" w:hAnsi="Arial" w:cs="Arial"/>
          <w:b/>
          <w:sz w:val="24"/>
          <w:szCs w:val="16"/>
        </w:rPr>
        <w:t>4</w:t>
      </w:r>
      <w:r w:rsidR="00E1504C" w:rsidRPr="00E72C5C">
        <w:rPr>
          <w:rFonts w:ascii="Arial" w:hAnsi="Arial" w:cs="Arial"/>
          <w:b/>
          <w:sz w:val="24"/>
          <w:szCs w:val="16"/>
        </w:rPr>
        <w:t xml:space="preserve"> Implementation Schedule</w:t>
      </w:r>
    </w:p>
    <w:p w:rsidR="00E1504C" w:rsidRPr="00E72C5C" w:rsidRDefault="00E1504C" w:rsidP="00852237">
      <w:pPr>
        <w:spacing w:before="40" w:after="40" w:line="240" w:lineRule="auto"/>
        <w:jc w:val="center"/>
        <w:rPr>
          <w:rFonts w:ascii="Arial" w:hAnsi="Arial" w:cs="Arial"/>
          <w:b/>
          <w:sz w:val="24"/>
          <w:szCs w:val="16"/>
        </w:rPr>
      </w:pPr>
      <w:r w:rsidRPr="00E72C5C">
        <w:rPr>
          <w:rFonts w:ascii="Arial" w:hAnsi="Arial" w:cs="Arial"/>
          <w:b/>
          <w:sz w:val="24"/>
          <w:szCs w:val="16"/>
        </w:rPr>
        <w:t>Priority Outcome</w:t>
      </w:r>
      <w:r w:rsidR="00196F81">
        <w:rPr>
          <w:rFonts w:ascii="Arial" w:hAnsi="Arial" w:cs="Arial"/>
          <w:b/>
          <w:sz w:val="24"/>
          <w:szCs w:val="16"/>
        </w:rPr>
        <w:t>:</w:t>
      </w:r>
      <w:r w:rsidRPr="00E72C5C">
        <w:rPr>
          <w:rFonts w:ascii="Arial" w:hAnsi="Arial" w:cs="Arial"/>
          <w:b/>
          <w:sz w:val="24"/>
          <w:szCs w:val="16"/>
        </w:rPr>
        <w:t xml:space="preserve"> </w:t>
      </w:r>
      <w:r w:rsidR="00196F81">
        <w:rPr>
          <w:rFonts w:ascii="Arial" w:hAnsi="Arial" w:cs="Arial"/>
          <w:b/>
          <w:sz w:val="24"/>
          <w:szCs w:val="16"/>
        </w:rPr>
        <w:t>Improved education</w:t>
      </w:r>
    </w:p>
    <w:p w:rsidR="00E1504C" w:rsidRPr="00E72C5C" w:rsidRDefault="00E1504C" w:rsidP="00852237">
      <w:pPr>
        <w:spacing w:before="40" w:after="40" w:line="240" w:lineRule="auto"/>
        <w:jc w:val="center"/>
        <w:rPr>
          <w:rFonts w:ascii="Arial" w:hAnsi="Arial" w:cs="Arial"/>
          <w:b/>
          <w:sz w:val="24"/>
          <w:szCs w:val="16"/>
        </w:rPr>
      </w:pPr>
    </w:p>
    <w:tbl>
      <w:tblPr>
        <w:tblW w:w="14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2"/>
        <w:gridCol w:w="7557"/>
        <w:gridCol w:w="1309"/>
        <w:gridCol w:w="3227"/>
        <w:gridCol w:w="1276"/>
      </w:tblGrid>
      <w:tr w:rsidR="00C5499B" w:rsidRPr="00E72C5C" w:rsidTr="002D6599">
        <w:trPr>
          <w:trHeight w:val="397"/>
        </w:trPr>
        <w:tc>
          <w:tcPr>
            <w:tcW w:w="1482" w:type="dxa"/>
            <w:shd w:val="clear" w:color="auto" w:fill="B8CCE4"/>
            <w:vAlign w:val="center"/>
          </w:tcPr>
          <w:p w:rsidR="00C5499B" w:rsidRPr="00D24D80" w:rsidRDefault="00C5499B" w:rsidP="00DF5793">
            <w:pPr>
              <w:spacing w:after="0" w:line="240" w:lineRule="auto"/>
              <w:rPr>
                <w:rFonts w:ascii="Arial" w:hAnsi="Arial" w:cs="Arial"/>
                <w:sz w:val="24"/>
                <w:szCs w:val="24"/>
              </w:rPr>
            </w:pPr>
            <w:r w:rsidRPr="00D24D80">
              <w:rPr>
                <w:rFonts w:ascii="Arial" w:hAnsi="Arial" w:cs="Arial"/>
                <w:sz w:val="24"/>
                <w:szCs w:val="24"/>
              </w:rPr>
              <w:t>Aim:</w:t>
            </w:r>
          </w:p>
        </w:tc>
        <w:tc>
          <w:tcPr>
            <w:tcW w:w="12093" w:type="dxa"/>
            <w:gridSpan w:val="3"/>
            <w:vAlign w:val="center"/>
          </w:tcPr>
          <w:p w:rsidR="00C5499B" w:rsidRPr="00D24D80" w:rsidRDefault="00196F81" w:rsidP="00D735E2">
            <w:pPr>
              <w:spacing w:after="0" w:line="240" w:lineRule="auto"/>
              <w:rPr>
                <w:rFonts w:ascii="Arial" w:hAnsi="Arial" w:cs="Arial"/>
              </w:rPr>
            </w:pPr>
            <w:r w:rsidRPr="00897C0C">
              <w:rPr>
                <w:rFonts w:ascii="Arial" w:hAnsi="Arial" w:cs="Arial"/>
              </w:rPr>
              <w:t>The Partnership will support Samoa’s ambition to achieve and move beyond MDG targets to address better quality and more equitable education for all.</w:t>
            </w:r>
          </w:p>
        </w:tc>
        <w:tc>
          <w:tcPr>
            <w:tcW w:w="1276" w:type="dxa"/>
            <w:shd w:val="clear" w:color="auto" w:fill="B8CCE4"/>
            <w:vAlign w:val="center"/>
          </w:tcPr>
          <w:p w:rsidR="00C5499B" w:rsidRPr="00D24D80" w:rsidRDefault="009650A4" w:rsidP="009650A4">
            <w:pPr>
              <w:spacing w:after="0" w:line="240" w:lineRule="auto"/>
              <w:jc w:val="center"/>
              <w:rPr>
                <w:rFonts w:ascii="Arial" w:hAnsi="Arial" w:cs="Arial"/>
              </w:rPr>
            </w:pPr>
            <w:r>
              <w:rPr>
                <w:rFonts w:ascii="Arial" w:hAnsi="Arial" w:cs="Arial"/>
              </w:rPr>
              <w:t>Progress</w:t>
            </w:r>
            <w:r w:rsidR="00D735E2">
              <w:rPr>
                <w:rStyle w:val="FootnoteReference"/>
                <w:rFonts w:ascii="Arial" w:hAnsi="Arial" w:cs="Arial"/>
              </w:rPr>
              <w:footnoteReference w:id="1"/>
            </w:r>
          </w:p>
        </w:tc>
      </w:tr>
      <w:tr w:rsidR="00196F81" w:rsidRPr="00E72C5C" w:rsidTr="00196F81">
        <w:trPr>
          <w:trHeight w:val="397"/>
        </w:trPr>
        <w:tc>
          <w:tcPr>
            <w:tcW w:w="1482" w:type="dxa"/>
            <w:vMerge w:val="restart"/>
            <w:tcBorders>
              <w:right w:val="single" w:sz="4" w:space="0" w:color="auto"/>
            </w:tcBorders>
            <w:shd w:val="clear" w:color="auto" w:fill="B8CCE4"/>
            <w:vAlign w:val="center"/>
          </w:tcPr>
          <w:p w:rsidR="00196F81" w:rsidRPr="00D24D80" w:rsidRDefault="00196F81" w:rsidP="00DF5793">
            <w:pPr>
              <w:spacing w:after="0" w:line="240" w:lineRule="auto"/>
              <w:rPr>
                <w:rFonts w:ascii="Arial" w:hAnsi="Arial" w:cs="Arial"/>
                <w:sz w:val="24"/>
                <w:szCs w:val="24"/>
              </w:rPr>
            </w:pPr>
            <w:r w:rsidRPr="00D24D80">
              <w:rPr>
                <w:rFonts w:ascii="Arial" w:hAnsi="Arial" w:cs="Arial"/>
                <w:sz w:val="24"/>
                <w:szCs w:val="24"/>
              </w:rPr>
              <w:t>Targets for 2015:</w:t>
            </w:r>
          </w:p>
        </w:tc>
        <w:tc>
          <w:tcPr>
            <w:tcW w:w="7557" w:type="dxa"/>
            <w:tcBorders>
              <w:top w:val="single" w:sz="4" w:space="0" w:color="auto"/>
              <w:left w:val="single" w:sz="4" w:space="0" w:color="auto"/>
              <w:bottom w:val="nil"/>
              <w:right w:val="single" w:sz="4" w:space="0" w:color="auto"/>
            </w:tcBorders>
            <w:vAlign w:val="center"/>
          </w:tcPr>
          <w:p w:rsidR="00196F81" w:rsidRPr="00897C0C" w:rsidRDefault="00196F81" w:rsidP="00196F81">
            <w:pPr>
              <w:spacing w:after="0" w:line="240" w:lineRule="auto"/>
              <w:rPr>
                <w:rFonts w:ascii="Arial" w:hAnsi="Arial" w:cs="Arial"/>
              </w:rPr>
            </w:pPr>
            <w:r w:rsidRPr="00897C0C">
              <w:rPr>
                <w:rFonts w:ascii="Arial" w:hAnsi="Arial" w:cs="Arial"/>
              </w:rPr>
              <w:t>1. Improved literacy through reducing number of at risk students at Year 4 and Year 6</w:t>
            </w:r>
          </w:p>
        </w:tc>
        <w:tc>
          <w:tcPr>
            <w:tcW w:w="1309" w:type="dxa"/>
            <w:vMerge w:val="restart"/>
            <w:tcBorders>
              <w:left w:val="single" w:sz="4" w:space="0" w:color="auto"/>
              <w:right w:val="single" w:sz="4" w:space="0" w:color="auto"/>
            </w:tcBorders>
            <w:shd w:val="clear" w:color="auto" w:fill="B8CCE4"/>
            <w:vAlign w:val="center"/>
          </w:tcPr>
          <w:p w:rsidR="00196F81" w:rsidRPr="00D24D80" w:rsidRDefault="00196F81" w:rsidP="00DF5793">
            <w:pPr>
              <w:spacing w:after="0" w:line="240" w:lineRule="auto"/>
              <w:rPr>
                <w:rFonts w:ascii="Arial" w:hAnsi="Arial" w:cs="Arial"/>
              </w:rPr>
            </w:pPr>
            <w:r w:rsidRPr="00D24D80">
              <w:rPr>
                <w:rFonts w:ascii="Arial" w:hAnsi="Arial" w:cs="Arial"/>
                <w:sz w:val="24"/>
              </w:rPr>
              <w:t>Baseline:</w:t>
            </w:r>
          </w:p>
        </w:tc>
        <w:tc>
          <w:tcPr>
            <w:tcW w:w="3227" w:type="dxa"/>
            <w:tcBorders>
              <w:top w:val="single" w:sz="4" w:space="0" w:color="auto"/>
              <w:left w:val="single" w:sz="4" w:space="0" w:color="auto"/>
              <w:bottom w:val="nil"/>
              <w:right w:val="single" w:sz="4" w:space="0" w:color="auto"/>
            </w:tcBorders>
          </w:tcPr>
          <w:p w:rsidR="00196F81" w:rsidRPr="00196F81" w:rsidRDefault="00196F81" w:rsidP="00196F81">
            <w:pPr>
              <w:numPr>
                <w:ilvl w:val="0"/>
                <w:numId w:val="3"/>
              </w:numPr>
              <w:spacing w:after="0" w:line="240" w:lineRule="auto"/>
              <w:ind w:left="357" w:hanging="357"/>
              <w:rPr>
                <w:rFonts w:ascii="Arial" w:hAnsi="Arial" w:cs="Arial"/>
                <w:sz w:val="16"/>
                <w:szCs w:val="16"/>
                <w:u w:val="single"/>
              </w:rPr>
            </w:pPr>
            <w:r w:rsidRPr="00196F81">
              <w:rPr>
                <w:rFonts w:ascii="Arial" w:hAnsi="Arial" w:cs="Arial"/>
                <w:u w:val="single"/>
              </w:rPr>
              <w:t>2008: Year 4</w:t>
            </w:r>
          </w:p>
          <w:p w:rsidR="00196F81" w:rsidRPr="00196F81" w:rsidRDefault="00196F81" w:rsidP="00196F81">
            <w:pPr>
              <w:spacing w:after="0" w:line="240" w:lineRule="auto"/>
              <w:rPr>
                <w:rFonts w:ascii="Arial" w:hAnsi="Arial" w:cs="Arial"/>
              </w:rPr>
            </w:pPr>
            <w:r w:rsidRPr="00196F81">
              <w:rPr>
                <w:rFonts w:ascii="Arial" w:hAnsi="Arial" w:cs="Arial"/>
              </w:rPr>
              <w:t xml:space="preserve">English </w:t>
            </w:r>
            <w:r>
              <w:rPr>
                <w:rFonts w:ascii="Arial" w:hAnsi="Arial" w:cs="Arial"/>
              </w:rPr>
              <w:t xml:space="preserve">   </w:t>
            </w:r>
            <w:r w:rsidRPr="00196F81">
              <w:rPr>
                <w:rFonts w:ascii="Arial" w:hAnsi="Arial" w:cs="Arial"/>
              </w:rPr>
              <w:t xml:space="preserve">20%   </w:t>
            </w:r>
            <w:r>
              <w:rPr>
                <w:rFonts w:ascii="Arial" w:hAnsi="Arial" w:cs="Arial"/>
              </w:rPr>
              <w:t>S</w:t>
            </w:r>
            <w:r w:rsidRPr="00196F81">
              <w:rPr>
                <w:rFonts w:ascii="Arial" w:hAnsi="Arial" w:cs="Arial"/>
              </w:rPr>
              <w:t xml:space="preserve">amoan  </w:t>
            </w:r>
            <w:r>
              <w:rPr>
                <w:rFonts w:ascii="Arial" w:hAnsi="Arial" w:cs="Arial"/>
              </w:rPr>
              <w:t>2</w:t>
            </w:r>
            <w:r w:rsidRPr="00196F81">
              <w:rPr>
                <w:rFonts w:ascii="Arial" w:hAnsi="Arial" w:cs="Arial"/>
              </w:rPr>
              <w:t xml:space="preserve">3%                Numeracy 27%           </w:t>
            </w:r>
          </w:p>
          <w:p w:rsidR="00196F81" w:rsidRPr="00196F81" w:rsidRDefault="00196F81" w:rsidP="00196F81">
            <w:pPr>
              <w:spacing w:after="0" w:line="240" w:lineRule="auto"/>
              <w:rPr>
                <w:rFonts w:ascii="Arial" w:hAnsi="Arial" w:cs="Arial"/>
                <w:u w:val="single"/>
              </w:rPr>
            </w:pPr>
            <w:r w:rsidRPr="00196F81">
              <w:rPr>
                <w:rFonts w:ascii="Arial" w:hAnsi="Arial" w:cs="Arial"/>
              </w:rPr>
              <w:t xml:space="preserve">      </w:t>
            </w:r>
            <w:r w:rsidRPr="00196F81">
              <w:rPr>
                <w:rFonts w:ascii="Arial" w:hAnsi="Arial" w:cs="Arial"/>
                <w:u w:val="single"/>
              </w:rPr>
              <w:t>2008:</w:t>
            </w:r>
            <w:r w:rsidRPr="00196F81">
              <w:rPr>
                <w:rFonts w:ascii="Arial" w:hAnsi="Arial" w:cs="Arial"/>
              </w:rPr>
              <w:t xml:space="preserve"> </w:t>
            </w:r>
            <w:r w:rsidRPr="00196F81">
              <w:rPr>
                <w:rFonts w:ascii="Arial" w:hAnsi="Arial" w:cs="Arial"/>
                <w:u w:val="single"/>
              </w:rPr>
              <w:t>Year 6</w:t>
            </w:r>
          </w:p>
          <w:p w:rsidR="00196F81" w:rsidRPr="00196F81" w:rsidRDefault="00196F81" w:rsidP="00196F81">
            <w:pPr>
              <w:spacing w:after="0" w:line="240" w:lineRule="auto"/>
              <w:rPr>
                <w:rFonts w:ascii="Arial" w:hAnsi="Arial" w:cs="Arial"/>
              </w:rPr>
            </w:pPr>
            <w:r w:rsidRPr="00196F81">
              <w:rPr>
                <w:rFonts w:ascii="Arial" w:hAnsi="Arial" w:cs="Arial"/>
              </w:rPr>
              <w:t xml:space="preserve">English  </w:t>
            </w:r>
            <w:r>
              <w:rPr>
                <w:rFonts w:ascii="Arial" w:hAnsi="Arial" w:cs="Arial"/>
              </w:rPr>
              <w:t xml:space="preserve">   </w:t>
            </w:r>
            <w:r w:rsidRPr="00196F81">
              <w:rPr>
                <w:rFonts w:ascii="Arial" w:hAnsi="Arial" w:cs="Arial"/>
              </w:rPr>
              <w:t xml:space="preserve">60% </w:t>
            </w:r>
            <w:r>
              <w:rPr>
                <w:rFonts w:ascii="Arial" w:hAnsi="Arial" w:cs="Arial"/>
              </w:rPr>
              <w:t xml:space="preserve"> S</w:t>
            </w:r>
            <w:r w:rsidRPr="00196F81">
              <w:rPr>
                <w:rFonts w:ascii="Arial" w:hAnsi="Arial" w:cs="Arial"/>
              </w:rPr>
              <w:t xml:space="preserve">amoan </w:t>
            </w:r>
            <w:r>
              <w:rPr>
                <w:rFonts w:ascii="Arial" w:hAnsi="Arial" w:cs="Arial"/>
              </w:rPr>
              <w:t xml:space="preserve"> </w:t>
            </w:r>
            <w:r w:rsidRPr="00196F81">
              <w:rPr>
                <w:rFonts w:ascii="Arial" w:hAnsi="Arial" w:cs="Arial"/>
              </w:rPr>
              <w:t xml:space="preserve">15%          Numeracy  60%          </w:t>
            </w:r>
          </w:p>
        </w:tc>
        <w:tc>
          <w:tcPr>
            <w:tcW w:w="1276" w:type="dxa"/>
            <w:tcBorders>
              <w:top w:val="single" w:sz="4" w:space="0" w:color="auto"/>
              <w:left w:val="single" w:sz="4" w:space="0" w:color="auto"/>
              <w:bottom w:val="nil"/>
              <w:right w:val="single" w:sz="4" w:space="0" w:color="auto"/>
            </w:tcBorders>
            <w:vAlign w:val="center"/>
          </w:tcPr>
          <w:p w:rsidR="00196F81" w:rsidRPr="00D24D80" w:rsidRDefault="004312F6" w:rsidP="004312F6">
            <w:pPr>
              <w:spacing w:after="0" w:line="240" w:lineRule="auto"/>
              <w:rPr>
                <w:rFonts w:ascii="Arial" w:hAnsi="Arial" w:cs="Arial"/>
              </w:rPr>
            </w:pPr>
            <w:r>
              <w:rPr>
                <w:rFonts w:ascii="Arial" w:hAnsi="Arial" w:cs="Arial"/>
              </w:rPr>
              <w:t xml:space="preserve">Partly on track </w:t>
            </w:r>
          </w:p>
        </w:tc>
      </w:tr>
      <w:tr w:rsidR="00196F81" w:rsidRPr="00E72C5C" w:rsidTr="00196F81">
        <w:trPr>
          <w:trHeight w:val="397"/>
        </w:trPr>
        <w:tc>
          <w:tcPr>
            <w:tcW w:w="1482" w:type="dxa"/>
            <w:vMerge/>
            <w:tcBorders>
              <w:right w:val="single" w:sz="4" w:space="0" w:color="auto"/>
            </w:tcBorders>
            <w:shd w:val="clear" w:color="auto" w:fill="B8CCE4"/>
          </w:tcPr>
          <w:p w:rsidR="00196F81" w:rsidRPr="00D24D80" w:rsidRDefault="00196F81" w:rsidP="00D24D80">
            <w:pPr>
              <w:spacing w:after="0" w:line="240" w:lineRule="auto"/>
              <w:rPr>
                <w:rFonts w:ascii="Arial" w:hAnsi="Arial" w:cs="Arial"/>
                <w:sz w:val="24"/>
                <w:szCs w:val="24"/>
              </w:rPr>
            </w:pPr>
          </w:p>
        </w:tc>
        <w:tc>
          <w:tcPr>
            <w:tcW w:w="7557" w:type="dxa"/>
            <w:tcBorders>
              <w:top w:val="nil"/>
              <w:left w:val="single" w:sz="4" w:space="0" w:color="auto"/>
              <w:bottom w:val="nil"/>
              <w:right w:val="single" w:sz="4" w:space="0" w:color="auto"/>
            </w:tcBorders>
            <w:shd w:val="clear" w:color="auto" w:fill="D9D9D9"/>
            <w:vAlign w:val="center"/>
          </w:tcPr>
          <w:p w:rsidR="00196F81" w:rsidRPr="00897C0C" w:rsidRDefault="00196F81" w:rsidP="00196F81">
            <w:pPr>
              <w:spacing w:after="0" w:line="240" w:lineRule="auto"/>
              <w:rPr>
                <w:rFonts w:ascii="Arial" w:hAnsi="Arial" w:cs="Arial"/>
              </w:rPr>
            </w:pPr>
            <w:r w:rsidRPr="00897C0C">
              <w:rPr>
                <w:rFonts w:ascii="Arial" w:hAnsi="Arial" w:cs="Arial"/>
              </w:rPr>
              <w:t>2. Increased primary net enrolment ratio over 2008–2012</w:t>
            </w:r>
          </w:p>
        </w:tc>
        <w:tc>
          <w:tcPr>
            <w:tcW w:w="1309" w:type="dxa"/>
            <w:vMerge/>
            <w:tcBorders>
              <w:left w:val="single" w:sz="4" w:space="0" w:color="auto"/>
              <w:right w:val="single" w:sz="4" w:space="0" w:color="auto"/>
            </w:tcBorders>
            <w:shd w:val="clear" w:color="auto" w:fill="B8CCE4"/>
          </w:tcPr>
          <w:p w:rsidR="00196F81" w:rsidRPr="00D24D80" w:rsidRDefault="00196F81" w:rsidP="00D24D80">
            <w:pPr>
              <w:spacing w:after="0" w:line="240" w:lineRule="auto"/>
              <w:rPr>
                <w:rFonts w:ascii="Arial" w:hAnsi="Arial" w:cs="Arial"/>
              </w:rPr>
            </w:pPr>
          </w:p>
        </w:tc>
        <w:tc>
          <w:tcPr>
            <w:tcW w:w="3227" w:type="dxa"/>
            <w:tcBorders>
              <w:top w:val="nil"/>
              <w:left w:val="single" w:sz="4" w:space="0" w:color="auto"/>
              <w:bottom w:val="nil"/>
              <w:right w:val="single" w:sz="4" w:space="0" w:color="auto"/>
            </w:tcBorders>
            <w:shd w:val="clear" w:color="auto" w:fill="D9D9D9"/>
          </w:tcPr>
          <w:p w:rsidR="00196F81" w:rsidRPr="00196F81" w:rsidRDefault="00196F81" w:rsidP="00196F81">
            <w:pPr>
              <w:spacing w:beforeLines="20" w:before="48" w:afterLines="20" w:after="48" w:line="240" w:lineRule="auto"/>
              <w:ind w:left="178" w:hanging="180"/>
              <w:rPr>
                <w:rFonts w:ascii="Arial" w:hAnsi="Arial" w:cs="Arial"/>
                <w:lang w:val="en-US"/>
              </w:rPr>
            </w:pPr>
            <w:r w:rsidRPr="00196F81">
              <w:rPr>
                <w:rFonts w:ascii="Arial" w:hAnsi="Arial" w:cs="Arial"/>
                <w:lang w:val="en-US"/>
              </w:rPr>
              <w:t xml:space="preserve">2.  83.6 % (2008)   </w:t>
            </w:r>
          </w:p>
        </w:tc>
        <w:tc>
          <w:tcPr>
            <w:tcW w:w="1276" w:type="dxa"/>
            <w:tcBorders>
              <w:top w:val="nil"/>
              <w:left w:val="single" w:sz="4" w:space="0" w:color="auto"/>
              <w:bottom w:val="nil"/>
              <w:right w:val="single" w:sz="4" w:space="0" w:color="auto"/>
            </w:tcBorders>
            <w:shd w:val="clear" w:color="auto" w:fill="D9D9D9"/>
            <w:vAlign w:val="center"/>
          </w:tcPr>
          <w:p w:rsidR="00196F81" w:rsidRDefault="00196F81" w:rsidP="00196F81">
            <w:pPr>
              <w:jc w:val="center"/>
            </w:pPr>
            <w:r w:rsidRPr="0030400D">
              <w:rPr>
                <w:rFonts w:ascii="Arial" w:hAnsi="Arial" w:cs="Arial"/>
              </w:rPr>
              <w:t>On track</w:t>
            </w:r>
          </w:p>
        </w:tc>
      </w:tr>
      <w:tr w:rsidR="00196F81" w:rsidRPr="00E72C5C" w:rsidTr="00196F81">
        <w:trPr>
          <w:trHeight w:val="397"/>
        </w:trPr>
        <w:tc>
          <w:tcPr>
            <w:tcW w:w="1482" w:type="dxa"/>
            <w:vMerge/>
            <w:tcBorders>
              <w:right w:val="single" w:sz="4" w:space="0" w:color="auto"/>
            </w:tcBorders>
            <w:shd w:val="clear" w:color="auto" w:fill="B8CCE4"/>
          </w:tcPr>
          <w:p w:rsidR="00196F81" w:rsidRPr="00D24D80" w:rsidRDefault="00196F81" w:rsidP="00D24D80">
            <w:pPr>
              <w:spacing w:after="0" w:line="240" w:lineRule="auto"/>
              <w:rPr>
                <w:rFonts w:ascii="Arial" w:hAnsi="Arial" w:cs="Arial"/>
                <w:sz w:val="24"/>
                <w:szCs w:val="24"/>
              </w:rPr>
            </w:pPr>
          </w:p>
        </w:tc>
        <w:tc>
          <w:tcPr>
            <w:tcW w:w="7557" w:type="dxa"/>
            <w:tcBorders>
              <w:top w:val="nil"/>
              <w:left w:val="single" w:sz="4" w:space="0" w:color="auto"/>
              <w:bottom w:val="nil"/>
              <w:right w:val="single" w:sz="4" w:space="0" w:color="auto"/>
            </w:tcBorders>
            <w:vAlign w:val="center"/>
          </w:tcPr>
          <w:p w:rsidR="00196F81" w:rsidRPr="00897C0C" w:rsidRDefault="00196F81" w:rsidP="00196F81">
            <w:pPr>
              <w:spacing w:after="0" w:line="240" w:lineRule="auto"/>
              <w:rPr>
                <w:rFonts w:ascii="Arial" w:hAnsi="Arial" w:cs="Arial"/>
              </w:rPr>
            </w:pPr>
            <w:r w:rsidRPr="00897C0C">
              <w:rPr>
                <w:rFonts w:ascii="Arial" w:hAnsi="Arial" w:cs="Arial"/>
              </w:rPr>
              <w:t>3. Increased proportion of boys and girls commencing Year 1 and reaching Year 8</w:t>
            </w:r>
          </w:p>
        </w:tc>
        <w:tc>
          <w:tcPr>
            <w:tcW w:w="1309" w:type="dxa"/>
            <w:vMerge/>
            <w:tcBorders>
              <w:left w:val="single" w:sz="4" w:space="0" w:color="auto"/>
              <w:right w:val="single" w:sz="4" w:space="0" w:color="auto"/>
            </w:tcBorders>
            <w:shd w:val="clear" w:color="auto" w:fill="B8CCE4"/>
          </w:tcPr>
          <w:p w:rsidR="00196F81" w:rsidRPr="00D24D80" w:rsidRDefault="00196F81" w:rsidP="00D24D80">
            <w:pPr>
              <w:spacing w:after="0" w:line="240" w:lineRule="auto"/>
              <w:rPr>
                <w:rFonts w:ascii="Arial" w:hAnsi="Arial" w:cs="Arial"/>
              </w:rPr>
            </w:pPr>
          </w:p>
        </w:tc>
        <w:tc>
          <w:tcPr>
            <w:tcW w:w="3227" w:type="dxa"/>
            <w:tcBorders>
              <w:top w:val="nil"/>
              <w:left w:val="single" w:sz="4" w:space="0" w:color="auto"/>
              <w:bottom w:val="nil"/>
              <w:right w:val="single" w:sz="4" w:space="0" w:color="auto"/>
            </w:tcBorders>
          </w:tcPr>
          <w:p w:rsidR="00196F81" w:rsidRPr="00196F81" w:rsidRDefault="00196F81" w:rsidP="00196F81">
            <w:pPr>
              <w:spacing w:beforeLines="20" w:before="48" w:afterLines="20" w:after="48" w:line="240" w:lineRule="auto"/>
              <w:rPr>
                <w:rFonts w:ascii="Arial" w:hAnsi="Arial" w:cs="Arial"/>
                <w:lang w:val="en-AU"/>
              </w:rPr>
            </w:pPr>
            <w:r w:rsidRPr="00196F81">
              <w:rPr>
                <w:rFonts w:ascii="Arial" w:hAnsi="Arial" w:cs="Arial"/>
                <w:lang w:val="en-AU"/>
              </w:rPr>
              <w:t>3.  81.1 % (2008)</w:t>
            </w:r>
          </w:p>
        </w:tc>
        <w:tc>
          <w:tcPr>
            <w:tcW w:w="1276" w:type="dxa"/>
            <w:tcBorders>
              <w:top w:val="nil"/>
              <w:left w:val="single" w:sz="4" w:space="0" w:color="auto"/>
              <w:bottom w:val="nil"/>
              <w:right w:val="single" w:sz="4" w:space="0" w:color="auto"/>
            </w:tcBorders>
            <w:vAlign w:val="center"/>
          </w:tcPr>
          <w:p w:rsidR="00196F81" w:rsidRDefault="00196F81" w:rsidP="00196F81">
            <w:pPr>
              <w:jc w:val="center"/>
            </w:pPr>
            <w:r w:rsidRPr="0030400D">
              <w:rPr>
                <w:rFonts w:ascii="Arial" w:hAnsi="Arial" w:cs="Arial"/>
              </w:rPr>
              <w:t>On track</w:t>
            </w:r>
          </w:p>
        </w:tc>
      </w:tr>
      <w:tr w:rsidR="00196F81" w:rsidRPr="00E72C5C" w:rsidTr="00196F81">
        <w:trPr>
          <w:trHeight w:val="397"/>
        </w:trPr>
        <w:tc>
          <w:tcPr>
            <w:tcW w:w="1482" w:type="dxa"/>
            <w:vMerge/>
            <w:tcBorders>
              <w:right w:val="single" w:sz="4" w:space="0" w:color="auto"/>
            </w:tcBorders>
            <w:shd w:val="clear" w:color="auto" w:fill="B8CCE4"/>
          </w:tcPr>
          <w:p w:rsidR="00196F81" w:rsidRPr="00D24D80" w:rsidRDefault="00196F81" w:rsidP="00D24D80">
            <w:pPr>
              <w:spacing w:after="0" w:line="240" w:lineRule="auto"/>
              <w:rPr>
                <w:rFonts w:ascii="Arial" w:hAnsi="Arial" w:cs="Arial"/>
                <w:sz w:val="24"/>
                <w:szCs w:val="24"/>
              </w:rPr>
            </w:pPr>
          </w:p>
        </w:tc>
        <w:tc>
          <w:tcPr>
            <w:tcW w:w="7557" w:type="dxa"/>
            <w:tcBorders>
              <w:top w:val="nil"/>
              <w:left w:val="single" w:sz="4" w:space="0" w:color="auto"/>
              <w:bottom w:val="nil"/>
              <w:right w:val="single" w:sz="4" w:space="0" w:color="auto"/>
            </w:tcBorders>
            <w:shd w:val="clear" w:color="auto" w:fill="D9D9D9"/>
            <w:vAlign w:val="center"/>
          </w:tcPr>
          <w:p w:rsidR="00196F81" w:rsidRPr="00897C0C" w:rsidRDefault="00196F81" w:rsidP="00196F81">
            <w:pPr>
              <w:spacing w:after="0" w:line="240" w:lineRule="auto"/>
              <w:rPr>
                <w:rFonts w:ascii="Arial" w:hAnsi="Arial" w:cs="Arial"/>
              </w:rPr>
            </w:pPr>
            <w:r w:rsidRPr="00897C0C">
              <w:rPr>
                <w:rFonts w:ascii="Arial" w:hAnsi="Arial" w:cs="Arial"/>
              </w:rPr>
              <w:t>4. Increased access of boys and girls with disability to quality education</w:t>
            </w:r>
          </w:p>
        </w:tc>
        <w:tc>
          <w:tcPr>
            <w:tcW w:w="1309" w:type="dxa"/>
            <w:vMerge/>
            <w:tcBorders>
              <w:left w:val="single" w:sz="4" w:space="0" w:color="auto"/>
              <w:right w:val="single" w:sz="4" w:space="0" w:color="auto"/>
            </w:tcBorders>
            <w:shd w:val="clear" w:color="auto" w:fill="B8CCE4"/>
          </w:tcPr>
          <w:p w:rsidR="00196F81" w:rsidRPr="00D24D80" w:rsidRDefault="00196F81" w:rsidP="00D24D80">
            <w:pPr>
              <w:spacing w:after="0" w:line="240" w:lineRule="auto"/>
              <w:rPr>
                <w:rFonts w:ascii="Arial" w:hAnsi="Arial" w:cs="Arial"/>
              </w:rPr>
            </w:pPr>
          </w:p>
        </w:tc>
        <w:tc>
          <w:tcPr>
            <w:tcW w:w="3227" w:type="dxa"/>
            <w:tcBorders>
              <w:top w:val="nil"/>
              <w:left w:val="single" w:sz="4" w:space="0" w:color="auto"/>
              <w:bottom w:val="nil"/>
              <w:right w:val="single" w:sz="4" w:space="0" w:color="auto"/>
            </w:tcBorders>
            <w:shd w:val="clear" w:color="auto" w:fill="D9D9D9"/>
          </w:tcPr>
          <w:p w:rsidR="00196F81" w:rsidRPr="00196F81" w:rsidRDefault="00196F81" w:rsidP="00196F81">
            <w:pPr>
              <w:tabs>
                <w:tab w:val="num" w:pos="360"/>
              </w:tabs>
              <w:spacing w:beforeLines="20" w:before="48" w:afterLines="20" w:after="48" w:line="240" w:lineRule="auto"/>
              <w:rPr>
                <w:rFonts w:ascii="Arial" w:hAnsi="Arial" w:cs="Arial"/>
                <w:lang w:val="en-AU"/>
              </w:rPr>
            </w:pPr>
            <w:r w:rsidRPr="00196F81">
              <w:rPr>
                <w:rFonts w:ascii="Arial" w:hAnsi="Arial" w:cs="Arial"/>
                <w:lang w:val="en-AU"/>
              </w:rPr>
              <w:t>4. Number of children with a disability in mainstream schooling: 7 (2008)</w:t>
            </w:r>
          </w:p>
        </w:tc>
        <w:tc>
          <w:tcPr>
            <w:tcW w:w="1276" w:type="dxa"/>
            <w:tcBorders>
              <w:top w:val="nil"/>
              <w:left w:val="single" w:sz="4" w:space="0" w:color="auto"/>
              <w:bottom w:val="nil"/>
              <w:right w:val="single" w:sz="4" w:space="0" w:color="auto"/>
            </w:tcBorders>
            <w:shd w:val="clear" w:color="auto" w:fill="D9D9D9"/>
            <w:vAlign w:val="center"/>
          </w:tcPr>
          <w:p w:rsidR="00196F81" w:rsidRDefault="00196F81" w:rsidP="00196F81">
            <w:pPr>
              <w:jc w:val="center"/>
            </w:pPr>
            <w:r w:rsidRPr="0030400D">
              <w:rPr>
                <w:rFonts w:ascii="Arial" w:hAnsi="Arial" w:cs="Arial"/>
              </w:rPr>
              <w:t>On track</w:t>
            </w:r>
          </w:p>
        </w:tc>
      </w:tr>
      <w:tr w:rsidR="00196F81" w:rsidRPr="00E72C5C" w:rsidTr="00196F81">
        <w:trPr>
          <w:trHeight w:val="397"/>
        </w:trPr>
        <w:tc>
          <w:tcPr>
            <w:tcW w:w="1482" w:type="dxa"/>
            <w:vMerge/>
            <w:tcBorders>
              <w:right w:val="single" w:sz="4" w:space="0" w:color="auto"/>
            </w:tcBorders>
            <w:shd w:val="clear" w:color="auto" w:fill="B8CCE4"/>
          </w:tcPr>
          <w:p w:rsidR="00196F81" w:rsidRPr="00D24D80" w:rsidRDefault="00196F81" w:rsidP="00D24D80">
            <w:pPr>
              <w:spacing w:after="0" w:line="240" w:lineRule="auto"/>
              <w:rPr>
                <w:rFonts w:ascii="Arial" w:hAnsi="Arial" w:cs="Arial"/>
                <w:sz w:val="24"/>
                <w:szCs w:val="24"/>
              </w:rPr>
            </w:pPr>
          </w:p>
        </w:tc>
        <w:tc>
          <w:tcPr>
            <w:tcW w:w="7557" w:type="dxa"/>
            <w:tcBorders>
              <w:top w:val="nil"/>
              <w:left w:val="single" w:sz="4" w:space="0" w:color="auto"/>
              <w:bottom w:val="single" w:sz="4" w:space="0" w:color="auto"/>
              <w:right w:val="single" w:sz="4" w:space="0" w:color="auto"/>
            </w:tcBorders>
            <w:vAlign w:val="center"/>
          </w:tcPr>
          <w:p w:rsidR="00196F81" w:rsidRPr="00897C0C" w:rsidRDefault="00196F81" w:rsidP="00196F81">
            <w:pPr>
              <w:spacing w:after="0" w:line="240" w:lineRule="auto"/>
              <w:rPr>
                <w:rFonts w:ascii="Arial" w:hAnsi="Arial" w:cs="Arial"/>
              </w:rPr>
            </w:pPr>
            <w:r w:rsidRPr="00897C0C">
              <w:rPr>
                <w:rFonts w:ascii="Arial" w:hAnsi="Arial" w:cs="Arial"/>
              </w:rPr>
              <w:t>5. Increased number of skilled Samoans available to fill priority workforce needs</w:t>
            </w:r>
          </w:p>
        </w:tc>
        <w:tc>
          <w:tcPr>
            <w:tcW w:w="1309" w:type="dxa"/>
            <w:vMerge/>
            <w:tcBorders>
              <w:left w:val="single" w:sz="4" w:space="0" w:color="auto"/>
              <w:right w:val="single" w:sz="4" w:space="0" w:color="auto"/>
            </w:tcBorders>
            <w:shd w:val="clear" w:color="auto" w:fill="B8CCE4"/>
          </w:tcPr>
          <w:p w:rsidR="00196F81" w:rsidRPr="00D24D80" w:rsidRDefault="00196F81" w:rsidP="00D24D80">
            <w:pPr>
              <w:spacing w:after="0" w:line="240" w:lineRule="auto"/>
              <w:rPr>
                <w:rFonts w:ascii="Arial" w:hAnsi="Arial" w:cs="Arial"/>
              </w:rPr>
            </w:pPr>
          </w:p>
        </w:tc>
        <w:tc>
          <w:tcPr>
            <w:tcW w:w="3227" w:type="dxa"/>
            <w:tcBorders>
              <w:top w:val="nil"/>
              <w:left w:val="single" w:sz="4" w:space="0" w:color="auto"/>
              <w:bottom w:val="single" w:sz="4" w:space="0" w:color="auto"/>
              <w:right w:val="single" w:sz="4" w:space="0" w:color="auto"/>
            </w:tcBorders>
          </w:tcPr>
          <w:p w:rsidR="00196F81" w:rsidRPr="00196F81" w:rsidRDefault="00196F81" w:rsidP="00196F81">
            <w:pPr>
              <w:tabs>
                <w:tab w:val="num" w:pos="360"/>
              </w:tabs>
              <w:spacing w:beforeLines="20" w:before="48" w:afterLines="20" w:after="48" w:line="240" w:lineRule="auto"/>
              <w:rPr>
                <w:rFonts w:ascii="Arial" w:hAnsi="Arial" w:cs="Arial"/>
                <w:lang w:val="en-AU"/>
              </w:rPr>
            </w:pPr>
            <w:r w:rsidRPr="00196F81">
              <w:rPr>
                <w:rFonts w:ascii="Arial" w:hAnsi="Arial" w:cs="Arial"/>
                <w:lang w:val="en-AU"/>
              </w:rPr>
              <w:t>5. Vacancy rate as % of  total employment: 4% (2007)</w:t>
            </w:r>
          </w:p>
          <w:p w:rsidR="00196F81" w:rsidRPr="00196F81" w:rsidRDefault="00196F81" w:rsidP="00196F81">
            <w:pPr>
              <w:spacing w:beforeLines="20" w:before="48" w:afterLines="20" w:after="48" w:line="240" w:lineRule="auto"/>
              <w:rPr>
                <w:rFonts w:ascii="Arial" w:hAnsi="Arial" w:cs="Arial"/>
                <w:lang w:val="en-AU"/>
              </w:rPr>
            </w:pPr>
            <w:r w:rsidRPr="00196F81">
              <w:rPr>
                <w:rFonts w:ascii="Arial" w:hAnsi="Arial" w:cs="Arial"/>
                <w:lang w:val="en-AU"/>
              </w:rPr>
              <w:t>% industry identifying skill shortages: 30% (2007)</w:t>
            </w:r>
            <w:r w:rsidR="00396261">
              <w:rPr>
                <w:rStyle w:val="FootnoteReference"/>
                <w:rFonts w:ascii="Arial" w:hAnsi="Arial" w:cs="Arial"/>
                <w:lang w:val="en-AU"/>
              </w:rPr>
              <w:footnoteReference w:id="2"/>
            </w:r>
          </w:p>
        </w:tc>
        <w:tc>
          <w:tcPr>
            <w:tcW w:w="1276" w:type="dxa"/>
            <w:tcBorders>
              <w:top w:val="nil"/>
              <w:left w:val="single" w:sz="4" w:space="0" w:color="auto"/>
              <w:bottom w:val="single" w:sz="4" w:space="0" w:color="auto"/>
              <w:right w:val="single" w:sz="4" w:space="0" w:color="auto"/>
            </w:tcBorders>
            <w:vAlign w:val="center"/>
          </w:tcPr>
          <w:p w:rsidR="00196F81" w:rsidRPr="00D24D80" w:rsidRDefault="00196F81" w:rsidP="009650A4">
            <w:pPr>
              <w:spacing w:after="0" w:line="240" w:lineRule="auto"/>
              <w:jc w:val="center"/>
              <w:rPr>
                <w:rFonts w:ascii="Arial" w:hAnsi="Arial" w:cs="Arial"/>
              </w:rPr>
            </w:pPr>
            <w:r>
              <w:rPr>
                <w:rFonts w:ascii="Arial" w:hAnsi="Arial" w:cs="Arial"/>
              </w:rPr>
              <w:t>Partly on track</w:t>
            </w:r>
          </w:p>
        </w:tc>
      </w:tr>
    </w:tbl>
    <w:p w:rsidR="00E1504C" w:rsidRPr="00E72C5C" w:rsidRDefault="00E1504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850"/>
        <w:gridCol w:w="3260"/>
        <w:gridCol w:w="851"/>
        <w:gridCol w:w="3827"/>
        <w:gridCol w:w="2552"/>
      </w:tblGrid>
      <w:tr w:rsidR="00E1504C" w:rsidRPr="00E72C5C" w:rsidTr="00C519A7">
        <w:trPr>
          <w:trHeight w:val="340"/>
        </w:trPr>
        <w:tc>
          <w:tcPr>
            <w:tcW w:w="3936" w:type="dxa"/>
            <w:tcBorders>
              <w:bottom w:val="single" w:sz="4" w:space="0" w:color="auto"/>
            </w:tcBorders>
            <w:shd w:val="clear" w:color="auto" w:fill="DBE5F1"/>
            <w:vAlign w:val="center"/>
          </w:tcPr>
          <w:p w:rsidR="00E1504C" w:rsidRPr="00D24D80" w:rsidRDefault="00E1504C" w:rsidP="009361F2">
            <w:pPr>
              <w:keepNext/>
              <w:spacing w:before="40" w:after="40" w:line="240" w:lineRule="auto"/>
              <w:rPr>
                <w:rFonts w:ascii="Arial" w:hAnsi="Arial" w:cs="Arial"/>
              </w:rPr>
            </w:pPr>
            <w:r w:rsidRPr="007645B7">
              <w:rPr>
                <w:rFonts w:ascii="Arial" w:hAnsi="Arial" w:cs="Arial"/>
                <w:b/>
                <w:sz w:val="18"/>
                <w:szCs w:val="18"/>
              </w:rPr>
              <w:t xml:space="preserve">Partnership </w:t>
            </w:r>
            <w:r w:rsidRPr="00D24D80">
              <w:rPr>
                <w:rFonts w:ascii="Arial" w:hAnsi="Arial" w:cs="Arial"/>
                <w:b/>
                <w:sz w:val="18"/>
                <w:szCs w:val="18"/>
              </w:rPr>
              <w:t>outputs</w:t>
            </w:r>
            <w:r w:rsidRPr="007645B7">
              <w:rPr>
                <w:rFonts w:ascii="Arial" w:hAnsi="Arial" w:cs="Arial"/>
                <w:b/>
                <w:sz w:val="18"/>
                <w:szCs w:val="18"/>
              </w:rPr>
              <w:t xml:space="preserve"> for </w:t>
            </w:r>
            <w:r w:rsidR="009361F2">
              <w:rPr>
                <w:rFonts w:ascii="Arial" w:hAnsi="Arial" w:cs="Arial"/>
                <w:b/>
                <w:sz w:val="18"/>
                <w:szCs w:val="18"/>
              </w:rPr>
              <w:t>2013-14</w:t>
            </w:r>
          </w:p>
        </w:tc>
        <w:tc>
          <w:tcPr>
            <w:tcW w:w="850" w:type="dxa"/>
            <w:vMerge w:val="restart"/>
            <w:tcBorders>
              <w:top w:val="nil"/>
            </w:tcBorders>
            <w:vAlign w:val="center"/>
          </w:tcPr>
          <w:p w:rsidR="00E1504C" w:rsidRPr="00D24D80" w:rsidRDefault="00F87BE6" w:rsidP="00C519A7">
            <w:pPr>
              <w:spacing w:after="0" w:line="240" w:lineRule="auto"/>
              <w:rPr>
                <w:rFonts w:ascii="Arial" w:hAnsi="Arial" w:cs="Arial"/>
              </w:rPr>
            </w:pPr>
            <w:r>
              <w:rPr>
                <w:noProof/>
                <w:lang w:val="en-AU" w:eastAsia="en-AU"/>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29" type="#_x0000_t11" style="position:absolute;margin-left:2.1pt;margin-top:42.55pt;width:27pt;height:27pt;z-index:-251658240;mso-position-horizontal-relative:text;mso-position-vertical-relative:text" wrapcoords="6000 -600 -600 6600 -600 15600 5400 18600 6600 22800 15600 22800 15600 18600 20400 18600 22200 15600 22200 7200 15000 -600 6000 -600" adj="7200" fillcolor="#95b3d7" strokecolor="#4f81bd" strokeweight="1pt">
                  <v:fill color2="#4f81bd" focus="50%" type="gradient"/>
                  <v:stroke endcap="round"/>
                  <v:shadow on="t" type="perspective" color="#243f60" offset="1pt" offset2="-3pt"/>
                  <w10:wrap type="tight"/>
                </v:shape>
              </w:pict>
            </w:r>
          </w:p>
        </w:tc>
        <w:tc>
          <w:tcPr>
            <w:tcW w:w="3260" w:type="dxa"/>
            <w:tcBorders>
              <w:bottom w:val="single" w:sz="4" w:space="0" w:color="auto"/>
            </w:tcBorders>
            <w:shd w:val="clear" w:color="auto" w:fill="DBE5F1"/>
            <w:vAlign w:val="center"/>
          </w:tcPr>
          <w:p w:rsidR="00E1504C" w:rsidRPr="00D24D80" w:rsidRDefault="00E1504C" w:rsidP="00C519A7">
            <w:pPr>
              <w:spacing w:after="0" w:line="240" w:lineRule="auto"/>
              <w:rPr>
                <w:rFonts w:ascii="Arial" w:hAnsi="Arial" w:cs="Arial"/>
              </w:rPr>
            </w:pPr>
            <w:r w:rsidRPr="00D24D80">
              <w:rPr>
                <w:rFonts w:ascii="Arial" w:hAnsi="Arial" w:cs="Arial"/>
                <w:b/>
                <w:sz w:val="18"/>
                <w:szCs w:val="18"/>
              </w:rPr>
              <w:t>Assumptions</w:t>
            </w:r>
          </w:p>
        </w:tc>
        <w:tc>
          <w:tcPr>
            <w:tcW w:w="851" w:type="dxa"/>
            <w:vMerge w:val="restart"/>
            <w:tcBorders>
              <w:top w:val="nil"/>
            </w:tcBorders>
            <w:vAlign w:val="center"/>
          </w:tcPr>
          <w:p w:rsidR="00E1504C" w:rsidRPr="00D24D80" w:rsidRDefault="00F87BE6" w:rsidP="00C519A7">
            <w:pPr>
              <w:spacing w:after="0" w:line="240" w:lineRule="auto"/>
              <w:rPr>
                <w:rFonts w:ascii="Arial" w:hAnsi="Arial" w:cs="Arial"/>
              </w:rPr>
            </w:pPr>
            <w:r>
              <w:rPr>
                <w:noProof/>
                <w:lang w:val="en-AU" w:eastAsia="en-A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margin-left:2.05pt;margin-top:45.65pt;width:27pt;height:23.9pt;z-index:-251657216;mso-position-horizontal-relative:text;mso-position-vertical-relative:text" wrapcoords="14400 0 -600 4050 -600 18225 15600 21600 15600 22275 18000 22275 19200 21600 22200 12150 22200 10800 17400 0 14400 0" fillcolor="#95b3d7" strokecolor="#4f81bd" strokeweight="1pt">
                  <v:fill color2="#4f81bd" focus="50%" type="gradient"/>
                  <v:stroke endcap="round"/>
                  <v:shadow on="t" type="perspective" color="#243f60" offset="1pt" offset2="-3pt"/>
                  <w10:wrap type="tight"/>
                </v:shape>
              </w:pict>
            </w:r>
          </w:p>
        </w:tc>
        <w:tc>
          <w:tcPr>
            <w:tcW w:w="3827" w:type="dxa"/>
            <w:tcBorders>
              <w:bottom w:val="single" w:sz="4" w:space="0" w:color="auto"/>
            </w:tcBorders>
            <w:shd w:val="clear" w:color="auto" w:fill="DBE5F1"/>
            <w:vAlign w:val="center"/>
          </w:tcPr>
          <w:p w:rsidR="00E1504C" w:rsidRPr="00D24D80" w:rsidRDefault="00E1504C" w:rsidP="00C519A7">
            <w:pPr>
              <w:keepNext/>
              <w:spacing w:before="40" w:after="40" w:line="240" w:lineRule="auto"/>
              <w:rPr>
                <w:rFonts w:ascii="Arial" w:hAnsi="Arial" w:cs="Arial"/>
                <w:sz w:val="18"/>
                <w:szCs w:val="18"/>
              </w:rPr>
            </w:pPr>
            <w:r w:rsidRPr="00D24D80">
              <w:rPr>
                <w:rFonts w:ascii="Arial" w:hAnsi="Arial" w:cs="Arial"/>
                <w:sz w:val="18"/>
                <w:szCs w:val="18"/>
              </w:rPr>
              <w:t xml:space="preserve">Planned </w:t>
            </w:r>
            <w:r w:rsidRPr="00D24D80">
              <w:rPr>
                <w:rFonts w:ascii="Arial" w:hAnsi="Arial" w:cs="Arial"/>
                <w:b/>
                <w:sz w:val="18"/>
                <w:szCs w:val="18"/>
              </w:rPr>
              <w:t xml:space="preserve">Outcomes </w:t>
            </w:r>
            <w:r w:rsidR="00334E08" w:rsidRPr="00334E08">
              <w:rPr>
                <w:rFonts w:ascii="Arial" w:hAnsi="Arial" w:cs="Arial"/>
                <w:b/>
                <w:sz w:val="18"/>
                <w:szCs w:val="18"/>
              </w:rPr>
              <w:t>for 2013-14</w:t>
            </w:r>
          </w:p>
        </w:tc>
        <w:tc>
          <w:tcPr>
            <w:tcW w:w="2552" w:type="dxa"/>
            <w:tcBorders>
              <w:bottom w:val="single" w:sz="4" w:space="0" w:color="auto"/>
            </w:tcBorders>
            <w:shd w:val="clear" w:color="auto" w:fill="DBE5F1"/>
            <w:vAlign w:val="center"/>
          </w:tcPr>
          <w:p w:rsidR="00E1504C" w:rsidRPr="00D24D80" w:rsidRDefault="00E1504C" w:rsidP="00C519A7">
            <w:pPr>
              <w:keepNext/>
              <w:spacing w:before="40" w:after="40" w:line="240" w:lineRule="auto"/>
              <w:rPr>
                <w:rFonts w:ascii="Arial" w:hAnsi="Arial" w:cs="Arial"/>
                <w:b/>
                <w:sz w:val="18"/>
                <w:szCs w:val="18"/>
              </w:rPr>
            </w:pPr>
            <w:r w:rsidRPr="00D24D80">
              <w:rPr>
                <w:rFonts w:ascii="Arial" w:hAnsi="Arial" w:cs="Arial"/>
                <w:sz w:val="18"/>
                <w:szCs w:val="18"/>
              </w:rPr>
              <w:t xml:space="preserve">Source of </w:t>
            </w:r>
            <w:r w:rsidRPr="00D24D80">
              <w:rPr>
                <w:rFonts w:ascii="Arial" w:hAnsi="Arial" w:cs="Arial"/>
                <w:b/>
                <w:sz w:val="18"/>
                <w:szCs w:val="18"/>
              </w:rPr>
              <w:t>Verification</w:t>
            </w:r>
          </w:p>
        </w:tc>
      </w:tr>
      <w:tr w:rsidR="00196F81" w:rsidRPr="00E72C5C" w:rsidTr="00196F81">
        <w:trPr>
          <w:cantSplit/>
          <w:trHeight w:val="340"/>
        </w:trPr>
        <w:tc>
          <w:tcPr>
            <w:tcW w:w="3936" w:type="dxa"/>
            <w:tcBorders>
              <w:top w:val="single" w:sz="4" w:space="0" w:color="auto"/>
              <w:left w:val="single" w:sz="4" w:space="0" w:color="auto"/>
              <w:bottom w:val="nil"/>
              <w:right w:val="single" w:sz="4" w:space="0" w:color="auto"/>
            </w:tcBorders>
            <w:vAlign w:val="center"/>
          </w:tcPr>
          <w:p w:rsidR="00196F81" w:rsidRPr="00D24D80" w:rsidRDefault="00196F81" w:rsidP="00C519A7">
            <w:pPr>
              <w:spacing w:after="0" w:line="240" w:lineRule="auto"/>
              <w:rPr>
                <w:rFonts w:ascii="Arial" w:hAnsi="Arial" w:cs="Arial"/>
              </w:rPr>
            </w:pPr>
            <w:r w:rsidRPr="00376706">
              <w:rPr>
                <w:rFonts w:ascii="Arial" w:hAnsi="Arial" w:cs="Arial"/>
                <w:sz w:val="18"/>
                <w:szCs w:val="18"/>
              </w:rPr>
              <w:t>The Samoa School Fees Grant Scheme funding paid to all 163 Government and mission primary schools.</w:t>
            </w:r>
          </w:p>
        </w:tc>
        <w:tc>
          <w:tcPr>
            <w:tcW w:w="850" w:type="dxa"/>
            <w:vMerge/>
            <w:tcBorders>
              <w:left w:val="single" w:sz="4" w:space="0" w:color="auto"/>
              <w:right w:val="single" w:sz="4" w:space="0" w:color="auto"/>
            </w:tcBorders>
            <w:vAlign w:val="center"/>
          </w:tcPr>
          <w:p w:rsidR="00196F81" w:rsidRPr="00D24D80" w:rsidRDefault="00196F81" w:rsidP="00C519A7">
            <w:pPr>
              <w:spacing w:after="0" w:line="240" w:lineRule="auto"/>
              <w:rPr>
                <w:rFonts w:ascii="Arial" w:hAnsi="Arial" w:cs="Arial"/>
              </w:rPr>
            </w:pPr>
          </w:p>
        </w:tc>
        <w:tc>
          <w:tcPr>
            <w:tcW w:w="3260" w:type="dxa"/>
            <w:tcBorders>
              <w:top w:val="single" w:sz="4" w:space="0" w:color="auto"/>
              <w:left w:val="single" w:sz="4" w:space="0" w:color="auto"/>
              <w:bottom w:val="nil"/>
              <w:right w:val="single" w:sz="4" w:space="0" w:color="auto"/>
            </w:tcBorders>
            <w:vAlign w:val="center"/>
          </w:tcPr>
          <w:p w:rsidR="00196F81" w:rsidRPr="00376706" w:rsidRDefault="00196F81" w:rsidP="00196F81">
            <w:pPr>
              <w:spacing w:after="0" w:line="240" w:lineRule="auto"/>
              <w:rPr>
                <w:rFonts w:ascii="Arial" w:hAnsi="Arial" w:cs="Arial"/>
                <w:sz w:val="18"/>
                <w:szCs w:val="18"/>
              </w:rPr>
            </w:pPr>
            <w:r w:rsidRPr="00376706">
              <w:rPr>
                <w:rFonts w:ascii="Arial" w:hAnsi="Arial" w:cs="Arial"/>
                <w:sz w:val="18"/>
                <w:szCs w:val="18"/>
              </w:rPr>
              <w:t>The Team of Consultants continue to monitor performance of schools.</w:t>
            </w:r>
          </w:p>
          <w:p w:rsidR="00196F81" w:rsidRPr="00376706" w:rsidRDefault="00196F81" w:rsidP="00196F81">
            <w:pPr>
              <w:spacing w:after="0" w:line="240" w:lineRule="auto"/>
              <w:rPr>
                <w:rFonts w:ascii="Arial" w:hAnsi="Arial" w:cs="Arial"/>
                <w:sz w:val="18"/>
                <w:szCs w:val="18"/>
              </w:rPr>
            </w:pPr>
          </w:p>
          <w:p w:rsidR="00196F81" w:rsidRPr="00D24D80" w:rsidRDefault="00196F81" w:rsidP="00C519A7">
            <w:pPr>
              <w:spacing w:after="0" w:line="240" w:lineRule="auto"/>
              <w:rPr>
                <w:rFonts w:ascii="Arial" w:hAnsi="Arial" w:cs="Arial"/>
              </w:rPr>
            </w:pPr>
            <w:r w:rsidRPr="00376706">
              <w:rPr>
                <w:rFonts w:ascii="Arial" w:hAnsi="Arial" w:cs="Arial"/>
                <w:sz w:val="18"/>
                <w:szCs w:val="18"/>
              </w:rPr>
              <w:t>GoS continues to support the implementation of the Compulsory Education Act</w:t>
            </w:r>
          </w:p>
        </w:tc>
        <w:tc>
          <w:tcPr>
            <w:tcW w:w="851" w:type="dxa"/>
            <w:vMerge/>
            <w:tcBorders>
              <w:left w:val="single" w:sz="4" w:space="0" w:color="auto"/>
              <w:right w:val="single" w:sz="4" w:space="0" w:color="auto"/>
            </w:tcBorders>
            <w:vAlign w:val="center"/>
          </w:tcPr>
          <w:p w:rsidR="00196F81" w:rsidRPr="00D24D80" w:rsidRDefault="00196F81" w:rsidP="00C519A7">
            <w:pPr>
              <w:spacing w:after="0" w:line="240" w:lineRule="auto"/>
              <w:rPr>
                <w:rFonts w:ascii="Arial" w:hAnsi="Arial" w:cs="Arial"/>
              </w:rPr>
            </w:pPr>
          </w:p>
        </w:tc>
        <w:tc>
          <w:tcPr>
            <w:tcW w:w="3827" w:type="dxa"/>
            <w:tcBorders>
              <w:top w:val="single" w:sz="4" w:space="0" w:color="auto"/>
              <w:left w:val="single" w:sz="4" w:space="0" w:color="auto"/>
              <w:bottom w:val="nil"/>
              <w:right w:val="single" w:sz="4" w:space="0" w:color="auto"/>
            </w:tcBorders>
            <w:vAlign w:val="center"/>
          </w:tcPr>
          <w:p w:rsidR="00196F81" w:rsidRPr="00376706" w:rsidRDefault="00196F81" w:rsidP="00196F81">
            <w:pPr>
              <w:spacing w:after="0" w:line="240" w:lineRule="auto"/>
              <w:rPr>
                <w:rFonts w:ascii="Arial" w:hAnsi="Arial" w:cs="Arial"/>
                <w:sz w:val="18"/>
                <w:szCs w:val="18"/>
              </w:rPr>
            </w:pPr>
            <w:r w:rsidRPr="00376706">
              <w:rPr>
                <w:rFonts w:ascii="Arial" w:hAnsi="Arial" w:cs="Arial"/>
                <w:sz w:val="18"/>
                <w:szCs w:val="18"/>
              </w:rPr>
              <w:t>Increased net enrolment and retention rates in primary schools.</w:t>
            </w:r>
          </w:p>
          <w:p w:rsidR="00196F81" w:rsidRPr="00376706" w:rsidRDefault="00196F81" w:rsidP="00196F81">
            <w:pPr>
              <w:spacing w:after="0" w:line="240" w:lineRule="auto"/>
              <w:rPr>
                <w:rFonts w:ascii="Arial" w:hAnsi="Arial" w:cs="Arial"/>
                <w:sz w:val="18"/>
                <w:szCs w:val="18"/>
              </w:rPr>
            </w:pPr>
          </w:p>
          <w:p w:rsidR="00196F81" w:rsidRPr="00D24D80" w:rsidRDefault="00196F81" w:rsidP="00C519A7">
            <w:pPr>
              <w:spacing w:after="0" w:line="240" w:lineRule="auto"/>
              <w:rPr>
                <w:rFonts w:ascii="Arial" w:hAnsi="Arial" w:cs="Arial"/>
              </w:rPr>
            </w:pPr>
            <w:r w:rsidRPr="00376706">
              <w:rPr>
                <w:rFonts w:ascii="Arial" w:hAnsi="Arial" w:cs="Arial"/>
                <w:sz w:val="18"/>
                <w:szCs w:val="18"/>
              </w:rPr>
              <w:t>Increased number of schools achieving more than 50% of minimum service standards.</w:t>
            </w:r>
          </w:p>
        </w:tc>
        <w:tc>
          <w:tcPr>
            <w:tcW w:w="2552" w:type="dxa"/>
            <w:tcBorders>
              <w:top w:val="single" w:sz="4" w:space="0" w:color="auto"/>
              <w:left w:val="single" w:sz="4" w:space="0" w:color="auto"/>
              <w:bottom w:val="nil"/>
              <w:right w:val="single" w:sz="4" w:space="0" w:color="auto"/>
            </w:tcBorders>
            <w:vAlign w:val="center"/>
          </w:tcPr>
          <w:p w:rsidR="00196F81" w:rsidRPr="00376706" w:rsidRDefault="00196F81" w:rsidP="00196F81">
            <w:pPr>
              <w:spacing w:after="0" w:line="240" w:lineRule="auto"/>
              <w:rPr>
                <w:rFonts w:ascii="Arial" w:hAnsi="Arial" w:cs="Arial"/>
                <w:sz w:val="18"/>
                <w:szCs w:val="18"/>
              </w:rPr>
            </w:pPr>
            <w:r w:rsidRPr="00376706">
              <w:rPr>
                <w:rFonts w:ascii="Arial" w:hAnsi="Arial" w:cs="Arial"/>
                <w:sz w:val="18"/>
                <w:szCs w:val="18"/>
              </w:rPr>
              <w:t>MESC Reports.</w:t>
            </w:r>
          </w:p>
          <w:p w:rsidR="00196F81" w:rsidRPr="00376706" w:rsidRDefault="00196F81" w:rsidP="00196F81">
            <w:pPr>
              <w:spacing w:after="0" w:line="240" w:lineRule="auto"/>
              <w:rPr>
                <w:rFonts w:ascii="Arial" w:hAnsi="Arial" w:cs="Arial"/>
                <w:sz w:val="18"/>
                <w:szCs w:val="18"/>
              </w:rPr>
            </w:pPr>
          </w:p>
          <w:p w:rsidR="00196F81" w:rsidRPr="00D24D80" w:rsidRDefault="00196F81" w:rsidP="00C519A7">
            <w:pPr>
              <w:spacing w:after="0" w:line="240" w:lineRule="auto"/>
              <w:rPr>
                <w:rFonts w:ascii="Arial" w:hAnsi="Arial" w:cs="Arial"/>
              </w:rPr>
            </w:pPr>
            <w:r w:rsidRPr="00376706">
              <w:rPr>
                <w:rFonts w:ascii="Arial" w:hAnsi="Arial" w:cs="Arial"/>
                <w:sz w:val="18"/>
                <w:szCs w:val="18"/>
              </w:rPr>
              <w:t>Independent Review of SSFGS.</w:t>
            </w:r>
          </w:p>
        </w:tc>
      </w:tr>
      <w:tr w:rsidR="00196F81" w:rsidRPr="00E72C5C" w:rsidTr="00396261">
        <w:trPr>
          <w:cantSplit/>
          <w:trHeight w:val="340"/>
        </w:trPr>
        <w:tc>
          <w:tcPr>
            <w:tcW w:w="3936" w:type="dxa"/>
            <w:tcBorders>
              <w:top w:val="nil"/>
              <w:left w:val="single" w:sz="4" w:space="0" w:color="auto"/>
              <w:bottom w:val="nil"/>
              <w:right w:val="single" w:sz="4" w:space="0" w:color="auto"/>
            </w:tcBorders>
            <w:shd w:val="clear" w:color="auto" w:fill="D9D9D9"/>
            <w:vAlign w:val="center"/>
          </w:tcPr>
          <w:p w:rsidR="00196F81" w:rsidRPr="00376706" w:rsidRDefault="00196F81" w:rsidP="00196F81">
            <w:pPr>
              <w:spacing w:after="0" w:line="240" w:lineRule="auto"/>
              <w:rPr>
                <w:rFonts w:ascii="Arial" w:hAnsi="Arial" w:cs="Arial"/>
                <w:sz w:val="18"/>
                <w:szCs w:val="18"/>
              </w:rPr>
            </w:pPr>
            <w:r w:rsidRPr="00376706">
              <w:rPr>
                <w:rFonts w:ascii="Arial" w:hAnsi="Arial" w:cs="Arial"/>
                <w:sz w:val="18"/>
                <w:szCs w:val="18"/>
              </w:rPr>
              <w:lastRenderedPageBreak/>
              <w:t>Full implementation of the new Primary Curriculum and teacher manuals for Government Primary Schools.</w:t>
            </w:r>
          </w:p>
          <w:p w:rsidR="00196F81" w:rsidRPr="00376706" w:rsidRDefault="00196F81" w:rsidP="00196F81">
            <w:pPr>
              <w:spacing w:after="0" w:line="240" w:lineRule="auto"/>
              <w:rPr>
                <w:rFonts w:ascii="Arial" w:hAnsi="Arial" w:cs="Arial"/>
                <w:sz w:val="18"/>
                <w:szCs w:val="18"/>
              </w:rPr>
            </w:pPr>
          </w:p>
          <w:p w:rsidR="00196F81" w:rsidRPr="00D24D80" w:rsidRDefault="00196F81" w:rsidP="00C519A7">
            <w:pPr>
              <w:spacing w:after="0" w:line="240" w:lineRule="auto"/>
              <w:rPr>
                <w:rFonts w:ascii="Arial" w:hAnsi="Arial" w:cs="Arial"/>
              </w:rPr>
            </w:pPr>
            <w:r w:rsidRPr="00376706">
              <w:rPr>
                <w:rFonts w:ascii="Arial" w:hAnsi="Arial" w:cs="Arial"/>
                <w:sz w:val="18"/>
                <w:szCs w:val="18"/>
              </w:rPr>
              <w:t>Review of assessment systems and Benchmarking tools developed (PABER)</w:t>
            </w:r>
          </w:p>
        </w:tc>
        <w:tc>
          <w:tcPr>
            <w:tcW w:w="850" w:type="dxa"/>
            <w:vMerge/>
            <w:tcBorders>
              <w:left w:val="single" w:sz="4" w:space="0" w:color="auto"/>
              <w:right w:val="single" w:sz="4" w:space="0" w:color="auto"/>
            </w:tcBorders>
            <w:vAlign w:val="center"/>
          </w:tcPr>
          <w:p w:rsidR="00196F81" w:rsidRPr="00D24D80" w:rsidRDefault="00196F81"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shd w:val="clear" w:color="auto" w:fill="D9D9D9"/>
            <w:vAlign w:val="center"/>
          </w:tcPr>
          <w:p w:rsidR="00196F81" w:rsidRPr="00376706" w:rsidRDefault="00196F81" w:rsidP="00196F81">
            <w:pPr>
              <w:spacing w:after="0" w:line="240" w:lineRule="auto"/>
              <w:rPr>
                <w:rFonts w:ascii="Arial" w:hAnsi="Arial" w:cs="Arial"/>
                <w:sz w:val="18"/>
                <w:szCs w:val="18"/>
              </w:rPr>
            </w:pPr>
            <w:r w:rsidRPr="00376706">
              <w:rPr>
                <w:rFonts w:ascii="Arial" w:hAnsi="Arial" w:cs="Arial"/>
                <w:sz w:val="18"/>
                <w:szCs w:val="18"/>
              </w:rPr>
              <w:t>Teachers properly trained and motivated.</w:t>
            </w:r>
          </w:p>
          <w:p w:rsidR="00196F81" w:rsidRPr="00376706" w:rsidRDefault="00196F81" w:rsidP="00196F81">
            <w:pPr>
              <w:spacing w:after="0" w:line="240" w:lineRule="auto"/>
              <w:rPr>
                <w:rFonts w:ascii="Arial" w:hAnsi="Arial" w:cs="Arial"/>
                <w:sz w:val="18"/>
                <w:szCs w:val="18"/>
              </w:rPr>
            </w:pPr>
          </w:p>
          <w:p w:rsidR="00196F81" w:rsidRPr="00D24D80" w:rsidRDefault="00196F81" w:rsidP="00C519A7">
            <w:pPr>
              <w:spacing w:after="0" w:line="240" w:lineRule="auto"/>
              <w:rPr>
                <w:rFonts w:ascii="Arial" w:hAnsi="Arial" w:cs="Arial"/>
              </w:rPr>
            </w:pPr>
            <w:r w:rsidRPr="00376706">
              <w:rPr>
                <w:rFonts w:ascii="Arial" w:hAnsi="Arial" w:cs="Arial"/>
                <w:sz w:val="18"/>
                <w:szCs w:val="18"/>
              </w:rPr>
              <w:t>MESC has sufficient capacity to implement PABER.</w:t>
            </w:r>
          </w:p>
        </w:tc>
        <w:tc>
          <w:tcPr>
            <w:tcW w:w="851" w:type="dxa"/>
            <w:vMerge/>
            <w:tcBorders>
              <w:left w:val="single" w:sz="4" w:space="0" w:color="auto"/>
              <w:right w:val="single" w:sz="4" w:space="0" w:color="auto"/>
            </w:tcBorders>
            <w:vAlign w:val="center"/>
          </w:tcPr>
          <w:p w:rsidR="00196F81" w:rsidRPr="00D24D80" w:rsidRDefault="00196F81"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shd w:val="clear" w:color="auto" w:fill="D9D9D9"/>
            <w:vAlign w:val="center"/>
          </w:tcPr>
          <w:p w:rsidR="00196F81" w:rsidRPr="000336E3" w:rsidRDefault="00196F81" w:rsidP="00196F81">
            <w:pPr>
              <w:spacing w:after="0" w:line="240" w:lineRule="auto"/>
              <w:rPr>
                <w:rFonts w:ascii="Arial" w:hAnsi="Arial" w:cs="Arial"/>
                <w:sz w:val="18"/>
                <w:szCs w:val="18"/>
              </w:rPr>
            </w:pPr>
            <w:r w:rsidRPr="000336E3">
              <w:rPr>
                <w:rFonts w:ascii="Arial" w:hAnsi="Arial" w:cs="Arial"/>
                <w:sz w:val="18"/>
                <w:szCs w:val="18"/>
              </w:rPr>
              <w:t>Increased numeracy and literacy in Samoan and English.</w:t>
            </w:r>
          </w:p>
          <w:p w:rsidR="00196F81" w:rsidRPr="000336E3" w:rsidRDefault="00196F81" w:rsidP="00196F81">
            <w:pPr>
              <w:spacing w:after="0" w:line="240" w:lineRule="auto"/>
              <w:rPr>
                <w:rFonts w:ascii="Arial" w:hAnsi="Arial" w:cs="Arial"/>
                <w:sz w:val="18"/>
                <w:szCs w:val="18"/>
              </w:rPr>
            </w:pPr>
          </w:p>
          <w:p w:rsidR="00196F81" w:rsidRPr="000336E3" w:rsidRDefault="005E0D58" w:rsidP="00C519A7">
            <w:pPr>
              <w:spacing w:after="0" w:line="240" w:lineRule="auto"/>
              <w:rPr>
                <w:rFonts w:ascii="Arial" w:hAnsi="Arial" w:cs="Arial"/>
              </w:rPr>
            </w:pPr>
            <w:r w:rsidRPr="000336E3">
              <w:rPr>
                <w:rFonts w:ascii="Arial" w:hAnsi="Arial" w:cs="Arial"/>
                <w:sz w:val="18"/>
                <w:szCs w:val="18"/>
              </w:rPr>
              <w:t>Improved assessment tools and data to inform development of more targeted strategies for addressing issues impacting on learning outcomes</w:t>
            </w:r>
          </w:p>
        </w:tc>
        <w:tc>
          <w:tcPr>
            <w:tcW w:w="2552" w:type="dxa"/>
            <w:tcBorders>
              <w:top w:val="nil"/>
              <w:left w:val="single" w:sz="4" w:space="0" w:color="auto"/>
              <w:bottom w:val="nil"/>
              <w:right w:val="single" w:sz="4" w:space="0" w:color="auto"/>
            </w:tcBorders>
            <w:shd w:val="clear" w:color="auto" w:fill="D9D9D9"/>
            <w:vAlign w:val="center"/>
          </w:tcPr>
          <w:p w:rsidR="00196F81" w:rsidRPr="000336E3" w:rsidRDefault="00196F81" w:rsidP="00196F81">
            <w:pPr>
              <w:spacing w:after="0" w:line="240" w:lineRule="auto"/>
              <w:rPr>
                <w:rFonts w:ascii="Arial" w:hAnsi="Arial" w:cs="Arial"/>
                <w:sz w:val="18"/>
                <w:szCs w:val="18"/>
              </w:rPr>
            </w:pPr>
            <w:r w:rsidRPr="000336E3">
              <w:rPr>
                <w:rFonts w:ascii="Arial" w:hAnsi="Arial" w:cs="Arial"/>
                <w:sz w:val="18"/>
                <w:szCs w:val="18"/>
              </w:rPr>
              <w:t>SPELL 1 &amp; 2 Test Results</w:t>
            </w:r>
          </w:p>
          <w:p w:rsidR="00196F81" w:rsidRPr="000336E3" w:rsidRDefault="00196F81" w:rsidP="00196F81">
            <w:pPr>
              <w:spacing w:after="0" w:line="240" w:lineRule="auto"/>
              <w:rPr>
                <w:rFonts w:ascii="Arial" w:hAnsi="Arial" w:cs="Arial"/>
                <w:sz w:val="18"/>
                <w:szCs w:val="18"/>
              </w:rPr>
            </w:pPr>
          </w:p>
          <w:p w:rsidR="00196F81" w:rsidRPr="000336E3" w:rsidRDefault="00196F81" w:rsidP="00C519A7">
            <w:pPr>
              <w:spacing w:after="0" w:line="240" w:lineRule="auto"/>
              <w:rPr>
                <w:rFonts w:ascii="Arial" w:hAnsi="Arial" w:cs="Arial"/>
              </w:rPr>
            </w:pPr>
            <w:r w:rsidRPr="000336E3">
              <w:rPr>
                <w:rFonts w:ascii="Arial" w:hAnsi="Arial" w:cs="Arial"/>
                <w:sz w:val="18"/>
                <w:szCs w:val="18"/>
              </w:rPr>
              <w:t xml:space="preserve">PABER </w:t>
            </w:r>
            <w:r w:rsidR="005E0D58" w:rsidRPr="000336E3">
              <w:rPr>
                <w:rFonts w:ascii="Arial" w:hAnsi="Arial" w:cs="Arial"/>
                <w:sz w:val="18"/>
                <w:szCs w:val="18"/>
              </w:rPr>
              <w:t xml:space="preserve">assessment tools and </w:t>
            </w:r>
            <w:r w:rsidRPr="000336E3">
              <w:rPr>
                <w:rFonts w:ascii="Arial" w:hAnsi="Arial" w:cs="Arial"/>
                <w:sz w:val="18"/>
                <w:szCs w:val="18"/>
              </w:rPr>
              <w:t>monitoring reports</w:t>
            </w:r>
          </w:p>
        </w:tc>
      </w:tr>
      <w:tr w:rsidR="00196F81" w:rsidRPr="00E72C5C" w:rsidTr="00C519A7">
        <w:trPr>
          <w:trHeight w:val="340"/>
        </w:trPr>
        <w:tc>
          <w:tcPr>
            <w:tcW w:w="3936" w:type="dxa"/>
            <w:tcBorders>
              <w:top w:val="nil"/>
              <w:left w:val="single" w:sz="4" w:space="0" w:color="auto"/>
              <w:bottom w:val="nil"/>
              <w:right w:val="single" w:sz="4" w:space="0" w:color="auto"/>
            </w:tcBorders>
            <w:vAlign w:val="center"/>
          </w:tcPr>
          <w:p w:rsidR="00196F81" w:rsidRPr="00376706" w:rsidRDefault="00196F81" w:rsidP="00196F81">
            <w:pPr>
              <w:spacing w:after="0" w:line="240" w:lineRule="auto"/>
              <w:rPr>
                <w:rFonts w:ascii="Arial" w:hAnsi="Arial" w:cs="Arial"/>
                <w:sz w:val="18"/>
                <w:szCs w:val="18"/>
              </w:rPr>
            </w:pPr>
            <w:r w:rsidRPr="00376706">
              <w:rPr>
                <w:rFonts w:ascii="Arial" w:hAnsi="Arial" w:cs="Arial"/>
                <w:sz w:val="18"/>
                <w:szCs w:val="18"/>
              </w:rPr>
              <w:t>Full integration of Samoa Inclusive Education Demonstration program into MESC management.</w:t>
            </w:r>
          </w:p>
          <w:p w:rsidR="00196F81" w:rsidRPr="00376706" w:rsidRDefault="00196F81" w:rsidP="00196F81">
            <w:pPr>
              <w:spacing w:after="0" w:line="240" w:lineRule="auto"/>
              <w:rPr>
                <w:rFonts w:ascii="Arial" w:hAnsi="Arial" w:cs="Arial"/>
                <w:sz w:val="18"/>
                <w:szCs w:val="18"/>
              </w:rPr>
            </w:pPr>
          </w:p>
          <w:p w:rsidR="00196F81" w:rsidRPr="00D24D80" w:rsidRDefault="00196F81" w:rsidP="00C519A7">
            <w:pPr>
              <w:spacing w:after="0" w:line="240" w:lineRule="auto"/>
              <w:rPr>
                <w:rFonts w:ascii="Arial" w:hAnsi="Arial" w:cs="Arial"/>
              </w:rPr>
            </w:pPr>
            <w:r w:rsidRPr="00376706">
              <w:rPr>
                <w:rFonts w:ascii="Arial" w:hAnsi="Arial" w:cs="Arial"/>
                <w:sz w:val="18"/>
                <w:szCs w:val="18"/>
              </w:rPr>
              <w:t>Inclusive Education service providers deliver support services.</w:t>
            </w:r>
            <w:r>
              <w:rPr>
                <w:rFonts w:ascii="Arial" w:hAnsi="Arial" w:cs="Arial"/>
                <w:sz w:val="18"/>
                <w:szCs w:val="18"/>
              </w:rPr>
              <w:t xml:space="preserve"> </w:t>
            </w:r>
            <w:r w:rsidRPr="00376706">
              <w:rPr>
                <w:rFonts w:ascii="Arial" w:hAnsi="Arial" w:cs="Arial"/>
                <w:sz w:val="18"/>
                <w:szCs w:val="18"/>
              </w:rPr>
              <w:t>Inclusive Education Situational Analysis completed and shared with stakeholders.</w:t>
            </w:r>
          </w:p>
        </w:tc>
        <w:tc>
          <w:tcPr>
            <w:tcW w:w="850" w:type="dxa"/>
            <w:vMerge/>
            <w:tcBorders>
              <w:left w:val="single" w:sz="4" w:space="0" w:color="auto"/>
              <w:right w:val="single" w:sz="4" w:space="0" w:color="auto"/>
            </w:tcBorders>
            <w:vAlign w:val="center"/>
          </w:tcPr>
          <w:p w:rsidR="00196F81" w:rsidRPr="00D24D80" w:rsidRDefault="00196F81"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vAlign w:val="center"/>
          </w:tcPr>
          <w:p w:rsidR="00196F81" w:rsidRPr="00376706" w:rsidRDefault="00196F81" w:rsidP="00196F81">
            <w:pPr>
              <w:spacing w:after="0" w:line="240" w:lineRule="auto"/>
              <w:rPr>
                <w:rFonts w:ascii="Arial" w:hAnsi="Arial" w:cs="Arial"/>
                <w:sz w:val="18"/>
                <w:szCs w:val="18"/>
              </w:rPr>
            </w:pPr>
            <w:r>
              <w:rPr>
                <w:rFonts w:ascii="Arial" w:hAnsi="Arial" w:cs="Arial"/>
                <w:sz w:val="18"/>
                <w:szCs w:val="18"/>
              </w:rPr>
              <w:t xml:space="preserve">Re- design of SIEDP is finalised and integrated. </w:t>
            </w:r>
            <w:r w:rsidRPr="00376706">
              <w:rPr>
                <w:rFonts w:ascii="Arial" w:hAnsi="Arial" w:cs="Arial"/>
                <w:sz w:val="18"/>
                <w:szCs w:val="18"/>
              </w:rPr>
              <w:t>MESC continues to support inclusive education developments.</w:t>
            </w:r>
          </w:p>
          <w:p w:rsidR="00196F81" w:rsidRPr="00D24D80" w:rsidRDefault="00196F81" w:rsidP="00C519A7">
            <w:pPr>
              <w:spacing w:after="0" w:line="240" w:lineRule="auto"/>
              <w:rPr>
                <w:rFonts w:ascii="Arial" w:hAnsi="Arial" w:cs="Arial"/>
              </w:rPr>
            </w:pPr>
            <w:r w:rsidRPr="00376706">
              <w:rPr>
                <w:rFonts w:ascii="Arial" w:hAnsi="Arial" w:cs="Arial"/>
                <w:sz w:val="18"/>
                <w:szCs w:val="18"/>
              </w:rPr>
              <w:br/>
              <w:t>MESC continues to work collaboratively with NGOs at all levels.</w:t>
            </w:r>
          </w:p>
        </w:tc>
        <w:tc>
          <w:tcPr>
            <w:tcW w:w="851" w:type="dxa"/>
            <w:vMerge/>
            <w:tcBorders>
              <w:left w:val="single" w:sz="4" w:space="0" w:color="auto"/>
              <w:right w:val="single" w:sz="4" w:space="0" w:color="auto"/>
            </w:tcBorders>
            <w:vAlign w:val="center"/>
          </w:tcPr>
          <w:p w:rsidR="00196F81" w:rsidRPr="00D24D80" w:rsidRDefault="00196F81"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vAlign w:val="center"/>
          </w:tcPr>
          <w:p w:rsidR="00196F81" w:rsidRPr="00376706" w:rsidRDefault="00196F81" w:rsidP="00196F81">
            <w:pPr>
              <w:spacing w:after="0" w:line="240" w:lineRule="auto"/>
              <w:rPr>
                <w:rFonts w:ascii="Arial" w:hAnsi="Arial" w:cs="Arial"/>
                <w:sz w:val="18"/>
                <w:szCs w:val="18"/>
              </w:rPr>
            </w:pPr>
            <w:r w:rsidRPr="00376706">
              <w:rPr>
                <w:rFonts w:ascii="Arial" w:hAnsi="Arial" w:cs="Arial"/>
                <w:sz w:val="18"/>
                <w:szCs w:val="18"/>
              </w:rPr>
              <w:t xml:space="preserve">Increased number of children with a disability </w:t>
            </w:r>
            <w:r>
              <w:rPr>
                <w:rFonts w:ascii="Arial" w:hAnsi="Arial" w:cs="Arial"/>
                <w:sz w:val="18"/>
                <w:szCs w:val="18"/>
              </w:rPr>
              <w:t xml:space="preserve">provided with access to </w:t>
            </w:r>
            <w:r w:rsidRPr="00376706">
              <w:rPr>
                <w:rFonts w:ascii="Arial" w:hAnsi="Arial" w:cs="Arial"/>
                <w:sz w:val="18"/>
                <w:szCs w:val="18"/>
              </w:rPr>
              <w:t>school</w:t>
            </w:r>
            <w:r>
              <w:rPr>
                <w:rFonts w:ascii="Arial" w:hAnsi="Arial" w:cs="Arial"/>
                <w:sz w:val="18"/>
                <w:szCs w:val="18"/>
              </w:rPr>
              <w:t>ing</w:t>
            </w:r>
            <w:r w:rsidRPr="00376706">
              <w:rPr>
                <w:rFonts w:ascii="Arial" w:hAnsi="Arial" w:cs="Arial"/>
                <w:sz w:val="18"/>
                <w:szCs w:val="18"/>
              </w:rPr>
              <w:t>.</w:t>
            </w:r>
          </w:p>
          <w:p w:rsidR="00196F81" w:rsidRPr="00376706" w:rsidRDefault="00196F81" w:rsidP="00196F81">
            <w:pPr>
              <w:spacing w:after="0" w:line="240" w:lineRule="auto"/>
              <w:rPr>
                <w:rFonts w:ascii="Arial" w:hAnsi="Arial" w:cs="Arial"/>
                <w:sz w:val="18"/>
                <w:szCs w:val="18"/>
              </w:rPr>
            </w:pPr>
          </w:p>
          <w:p w:rsidR="00196F81" w:rsidRPr="00D24D80" w:rsidRDefault="00196F81" w:rsidP="00C519A7">
            <w:pPr>
              <w:spacing w:after="0" w:line="240" w:lineRule="auto"/>
              <w:rPr>
                <w:rFonts w:ascii="Arial" w:hAnsi="Arial" w:cs="Arial"/>
              </w:rPr>
            </w:pPr>
            <w:r w:rsidRPr="00376706">
              <w:rPr>
                <w:rFonts w:ascii="Arial" w:hAnsi="Arial" w:cs="Arial"/>
                <w:sz w:val="18"/>
                <w:szCs w:val="18"/>
              </w:rPr>
              <w:t>Inclusive Education Policy developed and approved.</w:t>
            </w:r>
          </w:p>
        </w:tc>
        <w:tc>
          <w:tcPr>
            <w:tcW w:w="2552" w:type="dxa"/>
            <w:tcBorders>
              <w:top w:val="nil"/>
              <w:left w:val="single" w:sz="4" w:space="0" w:color="auto"/>
              <w:bottom w:val="nil"/>
              <w:right w:val="single" w:sz="4" w:space="0" w:color="auto"/>
            </w:tcBorders>
            <w:vAlign w:val="center"/>
          </w:tcPr>
          <w:p w:rsidR="00196F81" w:rsidRPr="00376706" w:rsidRDefault="00196F81" w:rsidP="00196F81">
            <w:pPr>
              <w:spacing w:after="0" w:line="240" w:lineRule="auto"/>
              <w:rPr>
                <w:rFonts w:ascii="Arial" w:hAnsi="Arial" w:cs="Arial"/>
                <w:sz w:val="18"/>
                <w:szCs w:val="18"/>
              </w:rPr>
            </w:pPr>
            <w:r w:rsidRPr="00376706">
              <w:rPr>
                <w:rFonts w:ascii="Arial" w:hAnsi="Arial" w:cs="Arial"/>
                <w:sz w:val="18"/>
                <w:szCs w:val="18"/>
              </w:rPr>
              <w:t>SIEDP  Reports</w:t>
            </w:r>
          </w:p>
          <w:p w:rsidR="00196F81" w:rsidRPr="00376706" w:rsidRDefault="00196F81" w:rsidP="00196F81">
            <w:pPr>
              <w:spacing w:after="0" w:line="240" w:lineRule="auto"/>
              <w:rPr>
                <w:rFonts w:ascii="Arial" w:hAnsi="Arial" w:cs="Arial"/>
                <w:sz w:val="18"/>
                <w:szCs w:val="18"/>
              </w:rPr>
            </w:pPr>
          </w:p>
          <w:p w:rsidR="00196F81" w:rsidRPr="00D24D80" w:rsidRDefault="00196F81" w:rsidP="00196F81">
            <w:pPr>
              <w:spacing w:after="0" w:line="240" w:lineRule="auto"/>
              <w:rPr>
                <w:rFonts w:ascii="Arial" w:hAnsi="Arial" w:cs="Arial"/>
              </w:rPr>
            </w:pPr>
            <w:r w:rsidRPr="00376706">
              <w:rPr>
                <w:rFonts w:ascii="Arial" w:hAnsi="Arial" w:cs="Arial"/>
                <w:sz w:val="18"/>
                <w:szCs w:val="18"/>
              </w:rPr>
              <w:t xml:space="preserve">MESC </w:t>
            </w:r>
            <w:r>
              <w:rPr>
                <w:rFonts w:ascii="Arial" w:hAnsi="Arial" w:cs="Arial"/>
                <w:sz w:val="18"/>
                <w:szCs w:val="18"/>
              </w:rPr>
              <w:t xml:space="preserve">IE and Child protection policies </w:t>
            </w:r>
          </w:p>
        </w:tc>
      </w:tr>
      <w:tr w:rsidR="00196F81" w:rsidRPr="00E72C5C" w:rsidTr="00C519A7">
        <w:trPr>
          <w:trHeight w:val="340"/>
        </w:trPr>
        <w:tc>
          <w:tcPr>
            <w:tcW w:w="3936" w:type="dxa"/>
            <w:tcBorders>
              <w:top w:val="nil"/>
              <w:left w:val="single" w:sz="4" w:space="0" w:color="auto"/>
              <w:bottom w:val="nil"/>
              <w:right w:val="single" w:sz="4" w:space="0" w:color="auto"/>
            </w:tcBorders>
            <w:shd w:val="clear" w:color="auto" w:fill="D9D9D9"/>
            <w:vAlign w:val="center"/>
          </w:tcPr>
          <w:p w:rsidR="00196F81" w:rsidRPr="00D24D80" w:rsidRDefault="00196F81" w:rsidP="00C519A7">
            <w:pPr>
              <w:spacing w:after="0" w:line="240" w:lineRule="auto"/>
              <w:rPr>
                <w:rFonts w:ascii="Arial" w:hAnsi="Arial" w:cs="Arial"/>
              </w:rPr>
            </w:pPr>
            <w:r w:rsidRPr="00376706">
              <w:rPr>
                <w:rFonts w:ascii="Arial" w:hAnsi="Arial" w:cs="Arial"/>
                <w:sz w:val="18"/>
                <w:szCs w:val="18"/>
              </w:rPr>
              <w:t>Implementation of the National Teacher Development Framework, based upon a costed implementation plan.</w:t>
            </w:r>
          </w:p>
        </w:tc>
        <w:tc>
          <w:tcPr>
            <w:tcW w:w="850" w:type="dxa"/>
            <w:vMerge/>
            <w:tcBorders>
              <w:left w:val="single" w:sz="4" w:space="0" w:color="auto"/>
              <w:right w:val="single" w:sz="4" w:space="0" w:color="auto"/>
            </w:tcBorders>
            <w:vAlign w:val="center"/>
          </w:tcPr>
          <w:p w:rsidR="00196F81" w:rsidRPr="00D24D80" w:rsidRDefault="00196F81"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shd w:val="clear" w:color="auto" w:fill="D9D9D9"/>
            <w:vAlign w:val="center"/>
          </w:tcPr>
          <w:p w:rsidR="00196F81" w:rsidRDefault="00196F81" w:rsidP="00196F81">
            <w:pPr>
              <w:spacing w:after="0" w:line="240" w:lineRule="auto"/>
              <w:rPr>
                <w:rFonts w:ascii="Arial" w:hAnsi="Arial" w:cs="Arial"/>
                <w:sz w:val="18"/>
                <w:szCs w:val="18"/>
              </w:rPr>
            </w:pPr>
            <w:r w:rsidRPr="00376706">
              <w:rPr>
                <w:rFonts w:ascii="Arial" w:hAnsi="Arial" w:cs="Arial"/>
                <w:sz w:val="18"/>
                <w:szCs w:val="18"/>
              </w:rPr>
              <w:t xml:space="preserve">Teachers’ terms and conditions made sufficiently attractive to </w:t>
            </w:r>
            <w:r>
              <w:rPr>
                <w:rFonts w:ascii="Arial" w:hAnsi="Arial" w:cs="Arial"/>
                <w:sz w:val="18"/>
                <w:szCs w:val="18"/>
              </w:rPr>
              <w:t xml:space="preserve">recruit </w:t>
            </w:r>
            <w:r w:rsidRPr="00376706">
              <w:rPr>
                <w:rFonts w:ascii="Arial" w:hAnsi="Arial" w:cs="Arial"/>
                <w:sz w:val="18"/>
                <w:szCs w:val="18"/>
              </w:rPr>
              <w:t>and retain qualified and motivated staff.</w:t>
            </w:r>
          </w:p>
          <w:p w:rsidR="00196F81" w:rsidRPr="00376706" w:rsidRDefault="00196F81" w:rsidP="00196F81">
            <w:pPr>
              <w:spacing w:after="0" w:line="240" w:lineRule="auto"/>
              <w:rPr>
                <w:rFonts w:ascii="Arial" w:hAnsi="Arial" w:cs="Arial"/>
                <w:sz w:val="18"/>
                <w:szCs w:val="18"/>
              </w:rPr>
            </w:pPr>
          </w:p>
          <w:p w:rsidR="00196F81" w:rsidRPr="00D24D80" w:rsidRDefault="00196F81" w:rsidP="00C519A7">
            <w:pPr>
              <w:spacing w:after="0" w:line="240" w:lineRule="auto"/>
              <w:rPr>
                <w:rFonts w:ascii="Arial" w:hAnsi="Arial" w:cs="Arial"/>
              </w:rPr>
            </w:pPr>
            <w:r w:rsidRPr="00376706">
              <w:rPr>
                <w:rFonts w:ascii="Arial" w:hAnsi="Arial" w:cs="Arial"/>
                <w:sz w:val="18"/>
                <w:szCs w:val="18"/>
              </w:rPr>
              <w:t>Reduced rate of teacher turnover.</w:t>
            </w:r>
          </w:p>
        </w:tc>
        <w:tc>
          <w:tcPr>
            <w:tcW w:w="851" w:type="dxa"/>
            <w:vMerge/>
            <w:tcBorders>
              <w:left w:val="single" w:sz="4" w:space="0" w:color="auto"/>
              <w:right w:val="single" w:sz="4" w:space="0" w:color="auto"/>
            </w:tcBorders>
            <w:vAlign w:val="center"/>
          </w:tcPr>
          <w:p w:rsidR="00196F81" w:rsidRPr="00D24D80" w:rsidRDefault="00196F81"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shd w:val="clear" w:color="auto" w:fill="D9D9D9"/>
            <w:vAlign w:val="center"/>
          </w:tcPr>
          <w:p w:rsidR="00196F81" w:rsidRPr="00376706" w:rsidRDefault="00196F81" w:rsidP="00196F81">
            <w:pPr>
              <w:spacing w:after="0" w:line="240" w:lineRule="auto"/>
              <w:rPr>
                <w:rFonts w:ascii="Arial" w:hAnsi="Arial" w:cs="Arial"/>
                <w:sz w:val="18"/>
                <w:szCs w:val="18"/>
              </w:rPr>
            </w:pPr>
            <w:r w:rsidRPr="00376706">
              <w:rPr>
                <w:rFonts w:ascii="Arial" w:hAnsi="Arial" w:cs="Arial"/>
                <w:sz w:val="18"/>
                <w:szCs w:val="18"/>
              </w:rPr>
              <w:t>Improved teacher performance.</w:t>
            </w:r>
          </w:p>
          <w:p w:rsidR="00196F81" w:rsidRPr="00376706" w:rsidRDefault="00196F81" w:rsidP="00196F81">
            <w:pPr>
              <w:spacing w:after="0" w:line="240" w:lineRule="auto"/>
              <w:rPr>
                <w:rFonts w:ascii="Arial" w:hAnsi="Arial" w:cs="Arial"/>
                <w:sz w:val="18"/>
                <w:szCs w:val="18"/>
              </w:rPr>
            </w:pPr>
          </w:p>
          <w:p w:rsidR="00196F81" w:rsidRPr="00376706" w:rsidRDefault="00196F81" w:rsidP="00196F81">
            <w:pPr>
              <w:spacing w:after="0" w:line="240" w:lineRule="auto"/>
              <w:rPr>
                <w:rFonts w:ascii="Arial" w:hAnsi="Arial" w:cs="Arial"/>
                <w:sz w:val="18"/>
                <w:szCs w:val="18"/>
              </w:rPr>
            </w:pPr>
            <w:r w:rsidRPr="00376706">
              <w:rPr>
                <w:rFonts w:ascii="Arial" w:hAnsi="Arial" w:cs="Arial"/>
                <w:sz w:val="18"/>
                <w:szCs w:val="18"/>
              </w:rPr>
              <w:t>Improved student performance.</w:t>
            </w:r>
          </w:p>
          <w:p w:rsidR="00196F81" w:rsidRPr="00376706" w:rsidRDefault="00196F81" w:rsidP="00196F81">
            <w:pPr>
              <w:spacing w:after="0" w:line="240" w:lineRule="auto"/>
              <w:rPr>
                <w:rFonts w:ascii="Arial" w:hAnsi="Arial" w:cs="Arial"/>
                <w:sz w:val="18"/>
                <w:szCs w:val="18"/>
              </w:rPr>
            </w:pPr>
          </w:p>
          <w:p w:rsidR="00196F81" w:rsidRPr="00D24D80" w:rsidRDefault="00196F81" w:rsidP="00C519A7">
            <w:pPr>
              <w:spacing w:after="0" w:line="240" w:lineRule="auto"/>
              <w:rPr>
                <w:rFonts w:ascii="Arial" w:hAnsi="Arial" w:cs="Arial"/>
              </w:rPr>
            </w:pPr>
            <w:r w:rsidRPr="00376706">
              <w:rPr>
                <w:rFonts w:ascii="Arial" w:hAnsi="Arial" w:cs="Arial"/>
                <w:sz w:val="18"/>
                <w:szCs w:val="18"/>
              </w:rPr>
              <w:t>Improved number of teachers meeting performance standards.</w:t>
            </w:r>
          </w:p>
        </w:tc>
        <w:tc>
          <w:tcPr>
            <w:tcW w:w="2552" w:type="dxa"/>
            <w:tcBorders>
              <w:top w:val="nil"/>
              <w:left w:val="single" w:sz="4" w:space="0" w:color="auto"/>
              <w:bottom w:val="nil"/>
              <w:right w:val="single" w:sz="4" w:space="0" w:color="auto"/>
            </w:tcBorders>
            <w:shd w:val="clear" w:color="auto" w:fill="D9D9D9"/>
            <w:vAlign w:val="center"/>
          </w:tcPr>
          <w:p w:rsidR="00196F81" w:rsidRPr="00376706" w:rsidRDefault="00196F81" w:rsidP="00196F81">
            <w:pPr>
              <w:spacing w:after="0" w:line="240" w:lineRule="auto"/>
              <w:rPr>
                <w:rFonts w:ascii="Arial" w:hAnsi="Arial" w:cs="Arial"/>
                <w:sz w:val="18"/>
                <w:szCs w:val="18"/>
              </w:rPr>
            </w:pPr>
            <w:r w:rsidRPr="00376706">
              <w:rPr>
                <w:rFonts w:ascii="Arial" w:hAnsi="Arial" w:cs="Arial"/>
                <w:sz w:val="18"/>
                <w:szCs w:val="18"/>
              </w:rPr>
              <w:t>Results of the revised performance appraisal system.</w:t>
            </w:r>
          </w:p>
          <w:p w:rsidR="00196F81" w:rsidRPr="00376706" w:rsidRDefault="00196F81" w:rsidP="00196F81">
            <w:pPr>
              <w:spacing w:after="0" w:line="240" w:lineRule="auto"/>
              <w:rPr>
                <w:rFonts w:ascii="Arial" w:hAnsi="Arial" w:cs="Arial"/>
                <w:sz w:val="18"/>
                <w:szCs w:val="18"/>
              </w:rPr>
            </w:pPr>
          </w:p>
          <w:p w:rsidR="00196F81" w:rsidRPr="00D24D80" w:rsidRDefault="00196F81" w:rsidP="00C519A7">
            <w:pPr>
              <w:spacing w:after="0" w:line="240" w:lineRule="auto"/>
              <w:rPr>
                <w:rFonts w:ascii="Arial" w:hAnsi="Arial" w:cs="Arial"/>
              </w:rPr>
            </w:pPr>
            <w:r w:rsidRPr="00376706">
              <w:rPr>
                <w:rFonts w:ascii="Arial" w:hAnsi="Arial" w:cs="Arial"/>
                <w:sz w:val="18"/>
                <w:szCs w:val="18"/>
              </w:rPr>
              <w:t>MESC Reports on Student Performance Reports across primary schools.</w:t>
            </w:r>
          </w:p>
        </w:tc>
      </w:tr>
      <w:tr w:rsidR="00196F81" w:rsidRPr="00E72C5C" w:rsidTr="00C519A7">
        <w:trPr>
          <w:trHeight w:val="340"/>
        </w:trPr>
        <w:tc>
          <w:tcPr>
            <w:tcW w:w="3936" w:type="dxa"/>
            <w:tcBorders>
              <w:top w:val="nil"/>
              <w:left w:val="single" w:sz="4" w:space="0" w:color="auto"/>
              <w:bottom w:val="nil"/>
              <w:right w:val="single" w:sz="4" w:space="0" w:color="auto"/>
            </w:tcBorders>
            <w:vAlign w:val="center"/>
          </w:tcPr>
          <w:p w:rsidR="00196F81" w:rsidRPr="00376706" w:rsidRDefault="00196F81" w:rsidP="00196F81">
            <w:pPr>
              <w:spacing w:after="0" w:line="240" w:lineRule="auto"/>
              <w:rPr>
                <w:rFonts w:ascii="Arial" w:hAnsi="Arial" w:cs="Arial"/>
                <w:sz w:val="18"/>
                <w:szCs w:val="18"/>
              </w:rPr>
            </w:pPr>
            <w:r w:rsidRPr="00376706">
              <w:rPr>
                <w:rFonts w:ascii="Arial" w:hAnsi="Arial" w:cs="Arial"/>
                <w:sz w:val="18"/>
                <w:szCs w:val="18"/>
              </w:rPr>
              <w:t>Enhanced TVET training capacity among government and mission TVET providers.</w:t>
            </w:r>
          </w:p>
          <w:p w:rsidR="00196F81" w:rsidRPr="00376706" w:rsidRDefault="00196F81" w:rsidP="00196F81">
            <w:pPr>
              <w:spacing w:after="0" w:line="240" w:lineRule="auto"/>
              <w:rPr>
                <w:rFonts w:ascii="Arial" w:hAnsi="Arial" w:cs="Arial"/>
                <w:sz w:val="18"/>
                <w:szCs w:val="18"/>
              </w:rPr>
            </w:pPr>
          </w:p>
          <w:p w:rsidR="00196F81" w:rsidRPr="00D24D80" w:rsidRDefault="00196F81" w:rsidP="00C519A7">
            <w:pPr>
              <w:spacing w:after="0" w:line="240" w:lineRule="auto"/>
              <w:rPr>
                <w:rFonts w:ascii="Arial" w:hAnsi="Arial" w:cs="Arial"/>
              </w:rPr>
            </w:pPr>
            <w:r w:rsidRPr="00376706">
              <w:rPr>
                <w:rFonts w:ascii="Arial" w:hAnsi="Arial" w:cs="Arial"/>
                <w:sz w:val="18"/>
                <w:szCs w:val="18"/>
              </w:rPr>
              <w:t>Program for providing access to TVET opportunities by those with disability implemented.</w:t>
            </w:r>
          </w:p>
        </w:tc>
        <w:tc>
          <w:tcPr>
            <w:tcW w:w="850" w:type="dxa"/>
            <w:vMerge/>
            <w:tcBorders>
              <w:left w:val="single" w:sz="4" w:space="0" w:color="auto"/>
              <w:right w:val="single" w:sz="4" w:space="0" w:color="auto"/>
            </w:tcBorders>
            <w:vAlign w:val="center"/>
          </w:tcPr>
          <w:p w:rsidR="00196F81" w:rsidRPr="00D24D80" w:rsidRDefault="00196F81"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vAlign w:val="center"/>
          </w:tcPr>
          <w:p w:rsidR="00196F81" w:rsidRPr="00376706" w:rsidRDefault="00196F81" w:rsidP="00196F81">
            <w:pPr>
              <w:spacing w:after="0" w:line="240" w:lineRule="auto"/>
              <w:rPr>
                <w:rFonts w:ascii="Arial" w:hAnsi="Arial" w:cs="Arial"/>
                <w:sz w:val="18"/>
                <w:szCs w:val="18"/>
              </w:rPr>
            </w:pPr>
            <w:r w:rsidRPr="00376706">
              <w:rPr>
                <w:rFonts w:ascii="Arial" w:hAnsi="Arial" w:cs="Arial"/>
                <w:sz w:val="18"/>
                <w:szCs w:val="18"/>
              </w:rPr>
              <w:t>Sufficient recurrent budgetary resources allocated.</w:t>
            </w:r>
          </w:p>
          <w:p w:rsidR="00196F81" w:rsidRPr="00376706" w:rsidRDefault="00196F81" w:rsidP="00196F81">
            <w:pPr>
              <w:spacing w:after="0" w:line="240" w:lineRule="auto"/>
              <w:rPr>
                <w:rFonts w:ascii="Arial" w:hAnsi="Arial" w:cs="Arial"/>
                <w:sz w:val="18"/>
                <w:szCs w:val="18"/>
              </w:rPr>
            </w:pPr>
          </w:p>
          <w:p w:rsidR="00196F81" w:rsidRPr="00D24D80" w:rsidRDefault="00196F81" w:rsidP="00196F81">
            <w:pPr>
              <w:spacing w:after="0" w:line="240" w:lineRule="auto"/>
              <w:rPr>
                <w:rFonts w:ascii="Arial" w:hAnsi="Arial" w:cs="Arial"/>
              </w:rPr>
            </w:pPr>
            <w:r w:rsidRPr="00376706">
              <w:rPr>
                <w:rFonts w:ascii="Arial" w:hAnsi="Arial" w:cs="Arial"/>
                <w:sz w:val="18"/>
                <w:szCs w:val="18"/>
              </w:rPr>
              <w:t xml:space="preserve">SQA &amp; MESC continue to support access for </w:t>
            </w:r>
            <w:r>
              <w:rPr>
                <w:rFonts w:ascii="Arial" w:hAnsi="Arial" w:cs="Arial"/>
                <w:sz w:val="18"/>
                <w:szCs w:val="18"/>
              </w:rPr>
              <w:t>people</w:t>
            </w:r>
            <w:r w:rsidRPr="00376706">
              <w:rPr>
                <w:rFonts w:ascii="Arial" w:hAnsi="Arial" w:cs="Arial"/>
                <w:sz w:val="18"/>
                <w:szCs w:val="18"/>
              </w:rPr>
              <w:t xml:space="preserve"> with disabilities in their activities.</w:t>
            </w:r>
          </w:p>
        </w:tc>
        <w:tc>
          <w:tcPr>
            <w:tcW w:w="851" w:type="dxa"/>
            <w:vMerge/>
            <w:tcBorders>
              <w:left w:val="single" w:sz="4" w:space="0" w:color="auto"/>
              <w:right w:val="single" w:sz="4" w:space="0" w:color="auto"/>
            </w:tcBorders>
            <w:vAlign w:val="center"/>
          </w:tcPr>
          <w:p w:rsidR="00196F81" w:rsidRPr="00D24D80" w:rsidRDefault="00196F81"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vAlign w:val="center"/>
          </w:tcPr>
          <w:p w:rsidR="00196F81" w:rsidRPr="00D24D80" w:rsidRDefault="00396261" w:rsidP="00396261">
            <w:pPr>
              <w:spacing w:after="0" w:line="240" w:lineRule="auto"/>
              <w:rPr>
                <w:rFonts w:ascii="Arial" w:hAnsi="Arial" w:cs="Arial"/>
              </w:rPr>
            </w:pPr>
            <w:r>
              <w:rPr>
                <w:rFonts w:ascii="Arial" w:hAnsi="Arial" w:cs="Arial"/>
                <w:sz w:val="18"/>
                <w:szCs w:val="18"/>
              </w:rPr>
              <w:t>Increased number o</w:t>
            </w:r>
            <w:r w:rsidR="00196F81" w:rsidRPr="00376706">
              <w:rPr>
                <w:rFonts w:ascii="Arial" w:hAnsi="Arial" w:cs="Arial"/>
                <w:sz w:val="18"/>
                <w:szCs w:val="18"/>
              </w:rPr>
              <w:t xml:space="preserve">f registered providers and accredited </w:t>
            </w:r>
            <w:r w:rsidR="00196F81">
              <w:rPr>
                <w:rFonts w:ascii="Arial" w:hAnsi="Arial" w:cs="Arial"/>
                <w:sz w:val="18"/>
                <w:szCs w:val="18"/>
              </w:rPr>
              <w:t xml:space="preserve">programs </w:t>
            </w:r>
          </w:p>
        </w:tc>
        <w:tc>
          <w:tcPr>
            <w:tcW w:w="2552" w:type="dxa"/>
            <w:tcBorders>
              <w:top w:val="nil"/>
              <w:left w:val="single" w:sz="4" w:space="0" w:color="auto"/>
              <w:bottom w:val="nil"/>
              <w:right w:val="single" w:sz="4" w:space="0" w:color="auto"/>
            </w:tcBorders>
            <w:vAlign w:val="center"/>
          </w:tcPr>
          <w:p w:rsidR="00196F81" w:rsidRPr="00376706" w:rsidRDefault="00196F81" w:rsidP="00196F81">
            <w:pPr>
              <w:spacing w:after="0" w:line="240" w:lineRule="auto"/>
              <w:rPr>
                <w:rFonts w:ascii="Arial" w:hAnsi="Arial" w:cs="Arial"/>
                <w:sz w:val="18"/>
                <w:szCs w:val="18"/>
              </w:rPr>
            </w:pPr>
            <w:r w:rsidRPr="00376706">
              <w:rPr>
                <w:rFonts w:ascii="Arial" w:hAnsi="Arial" w:cs="Arial"/>
                <w:sz w:val="18"/>
                <w:szCs w:val="18"/>
              </w:rPr>
              <w:t xml:space="preserve">MESC &amp; SQA reports </w:t>
            </w:r>
          </w:p>
          <w:p w:rsidR="00196F81" w:rsidRPr="00D24D80" w:rsidRDefault="00196F81" w:rsidP="00C519A7">
            <w:pPr>
              <w:spacing w:after="0" w:line="240" w:lineRule="auto"/>
              <w:rPr>
                <w:rFonts w:ascii="Arial" w:hAnsi="Arial" w:cs="Arial"/>
              </w:rPr>
            </w:pPr>
            <w:r w:rsidRPr="00376706">
              <w:rPr>
                <w:rFonts w:ascii="Arial" w:hAnsi="Arial" w:cs="Arial"/>
                <w:sz w:val="18"/>
                <w:szCs w:val="18"/>
              </w:rPr>
              <w:t>and surveys.</w:t>
            </w:r>
          </w:p>
        </w:tc>
      </w:tr>
      <w:tr w:rsidR="00196F81" w:rsidRPr="00E72C5C" w:rsidTr="00C519A7">
        <w:trPr>
          <w:trHeight w:val="340"/>
        </w:trPr>
        <w:tc>
          <w:tcPr>
            <w:tcW w:w="3936" w:type="dxa"/>
            <w:tcBorders>
              <w:top w:val="nil"/>
              <w:left w:val="single" w:sz="4" w:space="0" w:color="auto"/>
              <w:bottom w:val="single" w:sz="4" w:space="0" w:color="auto"/>
              <w:right w:val="single" w:sz="4" w:space="0" w:color="auto"/>
            </w:tcBorders>
            <w:shd w:val="clear" w:color="auto" w:fill="D9D9D9"/>
            <w:vAlign w:val="center"/>
          </w:tcPr>
          <w:p w:rsidR="00196F81" w:rsidRPr="00376706" w:rsidRDefault="00196F81" w:rsidP="00196F81">
            <w:pPr>
              <w:spacing w:after="0" w:line="240" w:lineRule="auto"/>
              <w:rPr>
                <w:rFonts w:ascii="Arial" w:hAnsi="Arial" w:cs="Arial"/>
                <w:sz w:val="18"/>
                <w:szCs w:val="18"/>
              </w:rPr>
            </w:pPr>
            <w:r w:rsidRPr="00376706">
              <w:rPr>
                <w:rFonts w:ascii="Arial" w:hAnsi="Arial" w:cs="Arial"/>
                <w:sz w:val="18"/>
                <w:szCs w:val="18"/>
              </w:rPr>
              <w:t>48 new scholarships awarded for studies in Australia and the Region.</w:t>
            </w:r>
          </w:p>
          <w:p w:rsidR="00196F81" w:rsidRPr="00376706" w:rsidRDefault="00196F81" w:rsidP="00196F81">
            <w:pPr>
              <w:spacing w:after="0" w:line="240" w:lineRule="auto"/>
              <w:rPr>
                <w:rFonts w:ascii="Arial" w:hAnsi="Arial" w:cs="Arial"/>
                <w:sz w:val="18"/>
                <w:szCs w:val="18"/>
              </w:rPr>
            </w:pPr>
          </w:p>
          <w:p w:rsidR="00196F81" w:rsidRPr="00D24D80" w:rsidRDefault="00196F81" w:rsidP="00C519A7">
            <w:pPr>
              <w:spacing w:after="0" w:line="240" w:lineRule="auto"/>
              <w:rPr>
                <w:rFonts w:ascii="Arial" w:hAnsi="Arial" w:cs="Arial"/>
              </w:rPr>
            </w:pPr>
            <w:r w:rsidRPr="00376706">
              <w:rPr>
                <w:rFonts w:ascii="Arial" w:hAnsi="Arial" w:cs="Arial"/>
                <w:sz w:val="18"/>
                <w:szCs w:val="18"/>
              </w:rPr>
              <w:t>Plan developed and approved for teachers of Maths, English and Science to go on scholarship.</w:t>
            </w:r>
          </w:p>
        </w:tc>
        <w:tc>
          <w:tcPr>
            <w:tcW w:w="850" w:type="dxa"/>
            <w:vMerge/>
            <w:tcBorders>
              <w:left w:val="single" w:sz="4" w:space="0" w:color="auto"/>
              <w:bottom w:val="nil"/>
              <w:right w:val="single" w:sz="4" w:space="0" w:color="auto"/>
            </w:tcBorders>
            <w:vAlign w:val="center"/>
          </w:tcPr>
          <w:p w:rsidR="00196F81" w:rsidRPr="00D24D80" w:rsidRDefault="00196F81" w:rsidP="00C519A7">
            <w:pPr>
              <w:spacing w:after="0" w:line="240" w:lineRule="auto"/>
              <w:rPr>
                <w:rFonts w:ascii="Arial" w:hAnsi="Arial" w:cs="Arial"/>
              </w:rPr>
            </w:pPr>
          </w:p>
        </w:tc>
        <w:tc>
          <w:tcPr>
            <w:tcW w:w="3260" w:type="dxa"/>
            <w:tcBorders>
              <w:top w:val="nil"/>
              <w:left w:val="single" w:sz="4" w:space="0" w:color="auto"/>
              <w:bottom w:val="single" w:sz="4" w:space="0" w:color="auto"/>
              <w:right w:val="single" w:sz="4" w:space="0" w:color="auto"/>
            </w:tcBorders>
            <w:shd w:val="clear" w:color="auto" w:fill="D9D9D9"/>
            <w:vAlign w:val="center"/>
          </w:tcPr>
          <w:p w:rsidR="00196F81" w:rsidRPr="00376706" w:rsidRDefault="00196F81" w:rsidP="00196F81">
            <w:pPr>
              <w:spacing w:after="0" w:line="240" w:lineRule="auto"/>
              <w:rPr>
                <w:rFonts w:ascii="Arial" w:hAnsi="Arial" w:cs="Arial"/>
                <w:sz w:val="18"/>
                <w:szCs w:val="18"/>
              </w:rPr>
            </w:pPr>
            <w:r w:rsidRPr="00376706">
              <w:rPr>
                <w:rFonts w:ascii="Arial" w:hAnsi="Arial" w:cs="Arial"/>
                <w:sz w:val="18"/>
                <w:szCs w:val="18"/>
              </w:rPr>
              <w:t>Improved specific targeting of scholarship awards to better address GoS priorities and specifically education sector.</w:t>
            </w:r>
          </w:p>
          <w:p w:rsidR="00196F81" w:rsidRPr="00376706" w:rsidRDefault="00196F81" w:rsidP="00196F81">
            <w:pPr>
              <w:spacing w:after="0" w:line="240" w:lineRule="auto"/>
              <w:rPr>
                <w:rFonts w:ascii="Arial" w:hAnsi="Arial" w:cs="Arial"/>
                <w:sz w:val="18"/>
                <w:szCs w:val="18"/>
              </w:rPr>
            </w:pPr>
          </w:p>
          <w:p w:rsidR="00196F81" w:rsidRPr="00D24D80" w:rsidRDefault="00196F81" w:rsidP="00C519A7">
            <w:pPr>
              <w:spacing w:after="0" w:line="240" w:lineRule="auto"/>
              <w:rPr>
                <w:rFonts w:ascii="Arial" w:hAnsi="Arial" w:cs="Arial"/>
              </w:rPr>
            </w:pPr>
            <w:r w:rsidRPr="00376706">
              <w:rPr>
                <w:rFonts w:ascii="Arial" w:hAnsi="Arial" w:cs="Arial"/>
                <w:sz w:val="18"/>
                <w:szCs w:val="18"/>
              </w:rPr>
              <w:t xml:space="preserve">MESC continues to </w:t>
            </w:r>
            <w:r>
              <w:rPr>
                <w:rFonts w:ascii="Arial" w:hAnsi="Arial" w:cs="Arial"/>
                <w:sz w:val="18"/>
                <w:szCs w:val="18"/>
              </w:rPr>
              <w:t xml:space="preserve">implement </w:t>
            </w:r>
            <w:r w:rsidRPr="00376706">
              <w:rPr>
                <w:rFonts w:ascii="Arial" w:hAnsi="Arial" w:cs="Arial"/>
                <w:sz w:val="18"/>
                <w:szCs w:val="18"/>
              </w:rPr>
              <w:t>the NTDF.</w:t>
            </w:r>
          </w:p>
        </w:tc>
        <w:tc>
          <w:tcPr>
            <w:tcW w:w="851" w:type="dxa"/>
            <w:vMerge/>
            <w:tcBorders>
              <w:left w:val="single" w:sz="4" w:space="0" w:color="auto"/>
              <w:bottom w:val="nil"/>
              <w:right w:val="single" w:sz="4" w:space="0" w:color="auto"/>
            </w:tcBorders>
            <w:vAlign w:val="center"/>
          </w:tcPr>
          <w:p w:rsidR="00196F81" w:rsidRPr="00D24D80" w:rsidRDefault="00196F81" w:rsidP="00C519A7">
            <w:pPr>
              <w:spacing w:after="0" w:line="240" w:lineRule="auto"/>
              <w:rPr>
                <w:rFonts w:ascii="Arial" w:hAnsi="Arial" w:cs="Arial"/>
              </w:rPr>
            </w:pPr>
          </w:p>
        </w:tc>
        <w:tc>
          <w:tcPr>
            <w:tcW w:w="3827" w:type="dxa"/>
            <w:tcBorders>
              <w:top w:val="nil"/>
              <w:left w:val="single" w:sz="4" w:space="0" w:color="auto"/>
              <w:bottom w:val="single" w:sz="4" w:space="0" w:color="auto"/>
              <w:right w:val="single" w:sz="4" w:space="0" w:color="auto"/>
            </w:tcBorders>
            <w:shd w:val="clear" w:color="auto" w:fill="D9D9D9"/>
            <w:vAlign w:val="center"/>
          </w:tcPr>
          <w:p w:rsidR="00196F81" w:rsidRPr="00376706" w:rsidRDefault="00196F81" w:rsidP="00196F81">
            <w:pPr>
              <w:spacing w:after="0" w:line="240" w:lineRule="auto"/>
              <w:rPr>
                <w:rFonts w:ascii="Arial" w:hAnsi="Arial" w:cs="Arial"/>
                <w:sz w:val="18"/>
                <w:szCs w:val="18"/>
              </w:rPr>
            </w:pPr>
            <w:r w:rsidRPr="00376706">
              <w:rPr>
                <w:rFonts w:ascii="Arial" w:hAnsi="Arial" w:cs="Arial"/>
                <w:sz w:val="18"/>
                <w:szCs w:val="18"/>
              </w:rPr>
              <w:t>Increased number of skilled people recruited into the priority sectors as in the GoS HRD list of priorities and in particular the education sector.</w:t>
            </w:r>
          </w:p>
          <w:p w:rsidR="00196F81" w:rsidRPr="00376706" w:rsidRDefault="00196F81" w:rsidP="00196F81">
            <w:pPr>
              <w:spacing w:after="0" w:line="240" w:lineRule="auto"/>
              <w:rPr>
                <w:rFonts w:ascii="Arial" w:hAnsi="Arial" w:cs="Arial"/>
                <w:sz w:val="18"/>
                <w:szCs w:val="18"/>
              </w:rPr>
            </w:pPr>
          </w:p>
          <w:p w:rsidR="00196F81" w:rsidRPr="00D24D80" w:rsidRDefault="00196F81" w:rsidP="00C519A7">
            <w:pPr>
              <w:spacing w:after="0" w:line="240" w:lineRule="auto"/>
              <w:rPr>
                <w:rFonts w:ascii="Arial" w:hAnsi="Arial" w:cs="Arial"/>
              </w:rPr>
            </w:pPr>
            <w:r w:rsidRPr="00376706">
              <w:rPr>
                <w:rFonts w:ascii="Arial" w:hAnsi="Arial" w:cs="Arial"/>
                <w:sz w:val="18"/>
                <w:szCs w:val="18"/>
              </w:rPr>
              <w:t>Plan for teachers scholarship awards in place.</w:t>
            </w:r>
          </w:p>
        </w:tc>
        <w:tc>
          <w:tcPr>
            <w:tcW w:w="2552" w:type="dxa"/>
            <w:tcBorders>
              <w:top w:val="nil"/>
              <w:left w:val="single" w:sz="4" w:space="0" w:color="auto"/>
              <w:bottom w:val="single" w:sz="4" w:space="0" w:color="auto"/>
              <w:right w:val="single" w:sz="4" w:space="0" w:color="auto"/>
            </w:tcBorders>
            <w:shd w:val="clear" w:color="auto" w:fill="D9D9D9"/>
            <w:vAlign w:val="center"/>
          </w:tcPr>
          <w:p w:rsidR="00196F81" w:rsidRPr="00376706" w:rsidRDefault="00196F81" w:rsidP="00196F81">
            <w:pPr>
              <w:spacing w:after="0" w:line="240" w:lineRule="auto"/>
              <w:rPr>
                <w:rFonts w:ascii="Arial" w:hAnsi="Arial" w:cs="Arial"/>
                <w:sz w:val="18"/>
                <w:szCs w:val="18"/>
              </w:rPr>
            </w:pPr>
            <w:r w:rsidRPr="00376706">
              <w:rPr>
                <w:rFonts w:ascii="Arial" w:hAnsi="Arial" w:cs="Arial"/>
                <w:sz w:val="18"/>
                <w:szCs w:val="18"/>
              </w:rPr>
              <w:t>201</w:t>
            </w:r>
            <w:r>
              <w:rPr>
                <w:rFonts w:ascii="Arial" w:hAnsi="Arial" w:cs="Arial"/>
                <w:sz w:val="18"/>
                <w:szCs w:val="18"/>
              </w:rPr>
              <w:t>3</w:t>
            </w:r>
            <w:r w:rsidRPr="00376706">
              <w:rPr>
                <w:rFonts w:ascii="Arial" w:hAnsi="Arial" w:cs="Arial"/>
                <w:sz w:val="18"/>
                <w:szCs w:val="18"/>
              </w:rPr>
              <w:t>-201</w:t>
            </w:r>
            <w:r>
              <w:rPr>
                <w:rFonts w:ascii="Arial" w:hAnsi="Arial" w:cs="Arial"/>
                <w:sz w:val="18"/>
                <w:szCs w:val="18"/>
              </w:rPr>
              <w:t>4</w:t>
            </w:r>
            <w:r w:rsidRPr="00376706">
              <w:rPr>
                <w:rFonts w:ascii="Arial" w:hAnsi="Arial" w:cs="Arial"/>
                <w:sz w:val="18"/>
                <w:szCs w:val="18"/>
              </w:rPr>
              <w:t xml:space="preserve"> Graduate numbers (as a proxy)</w:t>
            </w:r>
          </w:p>
          <w:p w:rsidR="00196F81" w:rsidRPr="00D24D80" w:rsidRDefault="00196F81" w:rsidP="00C519A7">
            <w:pPr>
              <w:spacing w:after="0" w:line="240" w:lineRule="auto"/>
              <w:rPr>
                <w:rFonts w:ascii="Arial" w:hAnsi="Arial" w:cs="Arial"/>
              </w:rPr>
            </w:pPr>
            <w:r w:rsidRPr="00376706">
              <w:rPr>
                <w:rFonts w:ascii="Arial" w:hAnsi="Arial" w:cs="Arial"/>
                <w:sz w:val="18"/>
                <w:szCs w:val="18"/>
              </w:rPr>
              <w:t>MESC reports.</w:t>
            </w:r>
          </w:p>
        </w:tc>
      </w:tr>
    </w:tbl>
    <w:p w:rsidR="00E1504C" w:rsidRDefault="00E1504C">
      <w:pPr>
        <w:rPr>
          <w:rFonts w:ascii="Arial" w:hAnsi="Arial" w:cs="Arial"/>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3"/>
        <w:gridCol w:w="16"/>
        <w:gridCol w:w="7797"/>
      </w:tblGrid>
      <w:tr w:rsidR="00213339" w:rsidRPr="00E72C5C" w:rsidTr="00DB77EC">
        <w:tc>
          <w:tcPr>
            <w:tcW w:w="7479" w:type="dxa"/>
            <w:gridSpan w:val="2"/>
            <w:shd w:val="clear" w:color="auto" w:fill="BCC9E6"/>
            <w:vAlign w:val="center"/>
          </w:tcPr>
          <w:p w:rsidR="00213339" w:rsidRPr="00E72C5C" w:rsidRDefault="00213339" w:rsidP="001E055B">
            <w:pPr>
              <w:spacing w:before="40" w:after="40" w:line="240" w:lineRule="auto"/>
              <w:rPr>
                <w:rFonts w:ascii="Arial" w:hAnsi="Arial" w:cs="Arial"/>
              </w:rPr>
            </w:pPr>
            <w:r>
              <w:rPr>
                <w:rFonts w:ascii="Arial" w:hAnsi="Arial" w:cs="Arial"/>
                <w:sz w:val="24"/>
                <w:szCs w:val="24"/>
              </w:rPr>
              <w:t>Key Risks</w:t>
            </w:r>
          </w:p>
        </w:tc>
        <w:tc>
          <w:tcPr>
            <w:tcW w:w="7797" w:type="dxa"/>
            <w:shd w:val="clear" w:color="auto" w:fill="BCC9E6"/>
            <w:vAlign w:val="center"/>
          </w:tcPr>
          <w:p w:rsidR="00213339" w:rsidRPr="00E72C5C" w:rsidRDefault="00213339" w:rsidP="001E055B">
            <w:pPr>
              <w:spacing w:before="40" w:after="40" w:line="240" w:lineRule="auto"/>
              <w:rPr>
                <w:rFonts w:ascii="Arial" w:hAnsi="Arial" w:cs="Arial"/>
              </w:rPr>
            </w:pPr>
            <w:r>
              <w:rPr>
                <w:rFonts w:ascii="Arial" w:hAnsi="Arial" w:cs="Arial"/>
                <w:sz w:val="24"/>
                <w:szCs w:val="24"/>
              </w:rPr>
              <w:t>Management Plan</w:t>
            </w:r>
          </w:p>
        </w:tc>
      </w:tr>
      <w:tr w:rsidR="00196F81" w:rsidRPr="00E72C5C" w:rsidTr="00DB77EC">
        <w:tc>
          <w:tcPr>
            <w:tcW w:w="7463" w:type="dxa"/>
            <w:vAlign w:val="center"/>
          </w:tcPr>
          <w:p w:rsidR="00196F81" w:rsidRPr="001305FE" w:rsidRDefault="00AD02B4" w:rsidP="00196F81">
            <w:pPr>
              <w:spacing w:before="40" w:after="40"/>
              <w:rPr>
                <w:rFonts w:ascii="Arial" w:hAnsi="Arial" w:cs="Arial"/>
                <w:sz w:val="18"/>
                <w:szCs w:val="18"/>
              </w:rPr>
            </w:pPr>
            <w:r w:rsidRPr="001305FE">
              <w:rPr>
                <w:rFonts w:ascii="Arial" w:hAnsi="Arial" w:cs="Arial"/>
                <w:sz w:val="18"/>
                <w:szCs w:val="18"/>
              </w:rPr>
              <w:t>Sector Medium Term Expenditure Framework is not completed on time to inform finalisation of Education Sector Support Program Design</w:t>
            </w:r>
            <w:r w:rsidR="00300D63" w:rsidRPr="001305FE">
              <w:rPr>
                <w:rFonts w:ascii="Arial" w:hAnsi="Arial" w:cs="Arial"/>
                <w:sz w:val="18"/>
                <w:szCs w:val="18"/>
              </w:rPr>
              <w:t>.</w:t>
            </w:r>
          </w:p>
        </w:tc>
        <w:tc>
          <w:tcPr>
            <w:tcW w:w="7813" w:type="dxa"/>
            <w:gridSpan w:val="2"/>
            <w:vAlign w:val="center"/>
          </w:tcPr>
          <w:p w:rsidR="00196F81" w:rsidRPr="001305FE" w:rsidRDefault="00AD02B4" w:rsidP="00196F81">
            <w:pPr>
              <w:spacing w:before="40" w:after="40"/>
              <w:rPr>
                <w:rFonts w:ascii="Arial" w:hAnsi="Arial" w:cs="Arial"/>
                <w:sz w:val="18"/>
                <w:szCs w:val="18"/>
              </w:rPr>
            </w:pPr>
            <w:r w:rsidRPr="001305FE">
              <w:rPr>
                <w:rFonts w:ascii="Arial" w:hAnsi="Arial" w:cs="Arial"/>
                <w:sz w:val="18"/>
                <w:szCs w:val="18"/>
              </w:rPr>
              <w:t xml:space="preserve">Australia will work closely with the Education Sector Coordinator </w:t>
            </w:r>
            <w:r w:rsidR="00300D63" w:rsidRPr="001305FE">
              <w:rPr>
                <w:rFonts w:ascii="Arial" w:hAnsi="Arial" w:cs="Arial"/>
                <w:sz w:val="18"/>
                <w:szCs w:val="18"/>
              </w:rPr>
              <w:t>and MoF</w:t>
            </w:r>
            <w:r w:rsidRPr="001305FE">
              <w:rPr>
                <w:rFonts w:ascii="Arial" w:hAnsi="Arial" w:cs="Arial"/>
                <w:sz w:val="18"/>
                <w:szCs w:val="18"/>
              </w:rPr>
              <w:t xml:space="preserve"> throug</w:t>
            </w:r>
            <w:r w:rsidR="009361F2" w:rsidRPr="001305FE">
              <w:rPr>
                <w:rFonts w:ascii="Arial" w:hAnsi="Arial" w:cs="Arial"/>
                <w:sz w:val="18"/>
                <w:szCs w:val="18"/>
              </w:rPr>
              <w:t>h the Education Sector Program d</w:t>
            </w:r>
            <w:r w:rsidRPr="001305FE">
              <w:rPr>
                <w:rFonts w:ascii="Arial" w:hAnsi="Arial" w:cs="Arial"/>
                <w:sz w:val="18"/>
                <w:szCs w:val="18"/>
              </w:rPr>
              <w:t>esign process to ensure that the MTEF is updat</w:t>
            </w:r>
            <w:r w:rsidR="009361F2" w:rsidRPr="001305FE">
              <w:rPr>
                <w:rFonts w:ascii="Arial" w:hAnsi="Arial" w:cs="Arial"/>
                <w:sz w:val="18"/>
                <w:szCs w:val="18"/>
              </w:rPr>
              <w:t>ed in good time and reflects all resources flowing into the Education sector.</w:t>
            </w:r>
          </w:p>
          <w:p w:rsidR="00DB77EC" w:rsidRPr="001305FE" w:rsidRDefault="00DB77EC" w:rsidP="00196F81">
            <w:pPr>
              <w:spacing w:before="40" w:after="40"/>
              <w:rPr>
                <w:rFonts w:ascii="Arial" w:hAnsi="Arial" w:cs="Arial"/>
                <w:sz w:val="18"/>
                <w:szCs w:val="18"/>
              </w:rPr>
            </w:pPr>
          </w:p>
          <w:p w:rsidR="00DB77EC" w:rsidRPr="001305FE" w:rsidRDefault="00DB77EC" w:rsidP="00196F81">
            <w:pPr>
              <w:spacing w:before="40" w:after="40"/>
              <w:rPr>
                <w:rFonts w:ascii="Arial" w:hAnsi="Arial" w:cs="Arial"/>
                <w:sz w:val="18"/>
                <w:szCs w:val="18"/>
              </w:rPr>
            </w:pPr>
          </w:p>
        </w:tc>
      </w:tr>
      <w:tr w:rsidR="00E67B05" w:rsidRPr="00E72C5C" w:rsidTr="00DB77EC">
        <w:tc>
          <w:tcPr>
            <w:tcW w:w="7479" w:type="dxa"/>
            <w:gridSpan w:val="2"/>
            <w:shd w:val="clear" w:color="auto" w:fill="D9D9D9"/>
            <w:vAlign w:val="center"/>
          </w:tcPr>
          <w:p w:rsidR="00E67B05" w:rsidRPr="001305FE" w:rsidRDefault="00670F4E" w:rsidP="00670F4E">
            <w:pPr>
              <w:spacing w:before="40" w:after="40"/>
              <w:rPr>
                <w:rFonts w:ascii="Arial" w:hAnsi="Arial" w:cs="Arial"/>
                <w:sz w:val="18"/>
                <w:szCs w:val="18"/>
              </w:rPr>
            </w:pPr>
            <w:r w:rsidRPr="001305FE">
              <w:rPr>
                <w:rFonts w:ascii="Arial" w:hAnsi="Arial" w:cs="Arial"/>
                <w:sz w:val="18"/>
                <w:szCs w:val="18"/>
              </w:rPr>
              <w:lastRenderedPageBreak/>
              <w:t>Transitional arrangements of ESP II and other funded projects are not sufficiently considered in the ESSP design -  i.e. in relation to reabsorption plans for project staff where appropriate; project governance mechanisms; M&amp;E alignment with Education Sector Plan M&amp;E framework.</w:t>
            </w:r>
          </w:p>
        </w:tc>
        <w:tc>
          <w:tcPr>
            <w:tcW w:w="7797" w:type="dxa"/>
            <w:shd w:val="clear" w:color="auto" w:fill="D9D9D9"/>
            <w:vAlign w:val="center"/>
          </w:tcPr>
          <w:p w:rsidR="00E67B05" w:rsidRPr="001305FE" w:rsidRDefault="00670F4E" w:rsidP="00E67B05">
            <w:pPr>
              <w:spacing w:before="40" w:after="40"/>
              <w:rPr>
                <w:rFonts w:ascii="Arial" w:hAnsi="Arial" w:cs="Arial"/>
                <w:sz w:val="18"/>
                <w:szCs w:val="18"/>
              </w:rPr>
            </w:pPr>
            <w:r w:rsidRPr="001305FE">
              <w:rPr>
                <w:rFonts w:ascii="Arial" w:hAnsi="Arial" w:cs="Arial"/>
                <w:sz w:val="18"/>
                <w:szCs w:val="18"/>
              </w:rPr>
              <w:t xml:space="preserve">Australia will work closely with the Sector Coordinator and ESSP design team to ensure that transitional arrangements are well considered.  </w:t>
            </w:r>
          </w:p>
        </w:tc>
      </w:tr>
      <w:tr w:rsidR="00132EF4" w:rsidRPr="00E72C5C" w:rsidTr="00DB77EC">
        <w:tc>
          <w:tcPr>
            <w:tcW w:w="7479" w:type="dxa"/>
            <w:gridSpan w:val="2"/>
            <w:shd w:val="clear" w:color="auto" w:fill="D9D9D9"/>
            <w:vAlign w:val="center"/>
          </w:tcPr>
          <w:p w:rsidR="00132EF4" w:rsidRPr="001305FE" w:rsidRDefault="00132EF4" w:rsidP="00132EF4">
            <w:pPr>
              <w:spacing w:before="40" w:after="40"/>
              <w:rPr>
                <w:rFonts w:ascii="Arial" w:hAnsi="Arial" w:cs="Arial"/>
                <w:sz w:val="18"/>
                <w:szCs w:val="18"/>
              </w:rPr>
            </w:pPr>
            <w:r w:rsidRPr="001305FE">
              <w:rPr>
                <w:rFonts w:ascii="Arial" w:hAnsi="Arial" w:cs="Arial"/>
                <w:sz w:val="18"/>
                <w:szCs w:val="18"/>
              </w:rPr>
              <w:t>Capacity of MES</w:t>
            </w:r>
            <w:r w:rsidR="00300D63" w:rsidRPr="001305FE">
              <w:rPr>
                <w:rFonts w:ascii="Arial" w:hAnsi="Arial" w:cs="Arial"/>
                <w:sz w:val="18"/>
                <w:szCs w:val="18"/>
              </w:rPr>
              <w:t xml:space="preserve">C for full integration of SIEDP </w:t>
            </w:r>
          </w:p>
        </w:tc>
        <w:tc>
          <w:tcPr>
            <w:tcW w:w="7797" w:type="dxa"/>
            <w:shd w:val="clear" w:color="auto" w:fill="D9D9D9"/>
            <w:vAlign w:val="center"/>
          </w:tcPr>
          <w:p w:rsidR="00132EF4" w:rsidRPr="001305FE" w:rsidRDefault="00372AAA" w:rsidP="00372AAA">
            <w:pPr>
              <w:spacing w:before="40" w:after="40"/>
              <w:rPr>
                <w:rFonts w:ascii="Arial" w:hAnsi="Arial" w:cs="Arial"/>
                <w:sz w:val="18"/>
                <w:szCs w:val="18"/>
              </w:rPr>
            </w:pPr>
            <w:r w:rsidRPr="001305FE">
              <w:rPr>
                <w:rFonts w:ascii="Arial" w:hAnsi="Arial" w:cs="Arial"/>
                <w:sz w:val="18"/>
                <w:szCs w:val="18"/>
              </w:rPr>
              <w:t>The re-design will ensure that the capacity of MESC to fully lead and integrate SIEDP is considered and an appropriate strategy put in place to ensure that MESC is in a stronger position to lead and coordinate SIEDP activities</w:t>
            </w:r>
            <w:r w:rsidR="00300D63" w:rsidRPr="001305FE">
              <w:rPr>
                <w:rFonts w:ascii="Arial" w:hAnsi="Arial" w:cs="Arial"/>
                <w:sz w:val="18"/>
                <w:szCs w:val="18"/>
              </w:rPr>
              <w:t>.  Future recommendations for the transition of the program will also be considered in the re-design.</w:t>
            </w:r>
          </w:p>
        </w:tc>
      </w:tr>
      <w:tr w:rsidR="00132EF4" w:rsidRPr="00E72C5C" w:rsidTr="00DB77EC">
        <w:tc>
          <w:tcPr>
            <w:tcW w:w="7479" w:type="dxa"/>
            <w:gridSpan w:val="2"/>
            <w:shd w:val="clear" w:color="auto" w:fill="D9D9D9"/>
            <w:vAlign w:val="center"/>
          </w:tcPr>
          <w:p w:rsidR="00132EF4" w:rsidRPr="009D3DEA" w:rsidRDefault="00132EF4" w:rsidP="00132EF4">
            <w:pPr>
              <w:tabs>
                <w:tab w:val="left" w:pos="274"/>
                <w:tab w:val="left" w:pos="1217"/>
              </w:tabs>
              <w:spacing w:before="60" w:after="0" w:line="240" w:lineRule="auto"/>
              <w:rPr>
                <w:rFonts w:ascii="Arial" w:hAnsi="Arial" w:cs="Arial"/>
                <w:sz w:val="18"/>
                <w:szCs w:val="18"/>
              </w:rPr>
            </w:pPr>
            <w:r w:rsidRPr="009D3DEA">
              <w:rPr>
                <w:rFonts w:ascii="Arial" w:hAnsi="Arial" w:cs="Arial"/>
                <w:sz w:val="18"/>
                <w:szCs w:val="18"/>
              </w:rPr>
              <w:t xml:space="preserve">Program management </w:t>
            </w:r>
            <w:r>
              <w:rPr>
                <w:rFonts w:ascii="Arial" w:hAnsi="Arial" w:cs="Arial"/>
                <w:sz w:val="18"/>
                <w:szCs w:val="18"/>
              </w:rPr>
              <w:t>of</w:t>
            </w:r>
            <w:r w:rsidRPr="009D3DEA">
              <w:rPr>
                <w:rFonts w:ascii="Arial" w:hAnsi="Arial" w:cs="Arial"/>
                <w:sz w:val="18"/>
                <w:szCs w:val="18"/>
              </w:rPr>
              <w:t xml:space="preserve"> </w:t>
            </w:r>
            <w:r>
              <w:rPr>
                <w:rFonts w:ascii="Arial" w:hAnsi="Arial" w:cs="Arial"/>
                <w:sz w:val="18"/>
                <w:szCs w:val="18"/>
              </w:rPr>
              <w:t xml:space="preserve">SIEDP </w:t>
            </w:r>
            <w:r w:rsidRPr="009D3DEA">
              <w:rPr>
                <w:rFonts w:ascii="Arial" w:hAnsi="Arial" w:cs="Arial"/>
                <w:sz w:val="18"/>
                <w:szCs w:val="18"/>
              </w:rPr>
              <w:t>focus</w:t>
            </w:r>
            <w:r>
              <w:rPr>
                <w:rFonts w:ascii="Arial" w:hAnsi="Arial" w:cs="Arial"/>
                <w:sz w:val="18"/>
                <w:szCs w:val="18"/>
              </w:rPr>
              <w:t>es</w:t>
            </w:r>
            <w:r w:rsidRPr="009D3DEA">
              <w:rPr>
                <w:rFonts w:ascii="Arial" w:hAnsi="Arial" w:cs="Arial"/>
                <w:sz w:val="18"/>
                <w:szCs w:val="18"/>
              </w:rPr>
              <w:t xml:space="preserve"> on individual activities rather than management as an overall program.  </w:t>
            </w:r>
          </w:p>
        </w:tc>
        <w:tc>
          <w:tcPr>
            <w:tcW w:w="7797" w:type="dxa"/>
            <w:shd w:val="clear" w:color="auto" w:fill="D9D9D9"/>
            <w:vAlign w:val="center"/>
          </w:tcPr>
          <w:p w:rsidR="00132EF4" w:rsidRPr="009D3DEA" w:rsidRDefault="00132EF4" w:rsidP="00300D63">
            <w:pPr>
              <w:spacing w:before="40" w:after="40"/>
              <w:rPr>
                <w:rFonts w:ascii="Arial" w:hAnsi="Arial" w:cs="Arial"/>
                <w:sz w:val="18"/>
                <w:szCs w:val="18"/>
              </w:rPr>
            </w:pPr>
            <w:r>
              <w:rPr>
                <w:rFonts w:ascii="Arial" w:hAnsi="Arial" w:cs="Arial"/>
                <w:sz w:val="18"/>
                <w:szCs w:val="18"/>
              </w:rPr>
              <w:t>T</w:t>
            </w:r>
            <w:r w:rsidRPr="009D3DEA">
              <w:rPr>
                <w:rFonts w:ascii="Arial" w:hAnsi="Arial" w:cs="Arial"/>
                <w:sz w:val="18"/>
                <w:szCs w:val="18"/>
              </w:rPr>
              <w:t xml:space="preserve">he redesign of the program </w:t>
            </w:r>
            <w:r>
              <w:rPr>
                <w:rFonts w:ascii="Arial" w:hAnsi="Arial" w:cs="Arial"/>
                <w:sz w:val="18"/>
                <w:szCs w:val="18"/>
              </w:rPr>
              <w:t>will</w:t>
            </w:r>
            <w:r w:rsidR="00372AAA">
              <w:rPr>
                <w:rFonts w:ascii="Arial" w:hAnsi="Arial" w:cs="Arial"/>
                <w:sz w:val="18"/>
                <w:szCs w:val="18"/>
              </w:rPr>
              <w:t xml:space="preserve"> consider and address efforts to </w:t>
            </w:r>
            <w:r w:rsidRPr="009D3DEA">
              <w:rPr>
                <w:rFonts w:ascii="Arial" w:hAnsi="Arial" w:cs="Arial"/>
                <w:sz w:val="18"/>
                <w:szCs w:val="18"/>
              </w:rPr>
              <w:t>improve program management</w:t>
            </w:r>
            <w:r w:rsidR="00372AAA">
              <w:rPr>
                <w:rFonts w:ascii="Arial" w:hAnsi="Arial" w:cs="Arial"/>
                <w:sz w:val="18"/>
                <w:szCs w:val="18"/>
              </w:rPr>
              <w:t xml:space="preserve"> so as to ensure a collaborative approach to implementation is encouraged.  </w:t>
            </w:r>
            <w:r>
              <w:rPr>
                <w:rFonts w:ascii="Arial" w:hAnsi="Arial" w:cs="Arial"/>
                <w:sz w:val="18"/>
                <w:szCs w:val="18"/>
              </w:rPr>
              <w:t xml:space="preserve"> The redesign will include </w:t>
            </w:r>
            <w:r w:rsidRPr="009D3DEA">
              <w:rPr>
                <w:rFonts w:ascii="Arial" w:hAnsi="Arial" w:cs="Arial"/>
                <w:sz w:val="18"/>
                <w:szCs w:val="18"/>
              </w:rPr>
              <w:t xml:space="preserve">a more robust Monitoring and Evaluation system to ensure data is collected and </w:t>
            </w:r>
            <w:r w:rsidR="00372AAA" w:rsidRPr="009D3DEA">
              <w:rPr>
                <w:rFonts w:ascii="Arial" w:hAnsi="Arial" w:cs="Arial"/>
                <w:sz w:val="18"/>
                <w:szCs w:val="18"/>
              </w:rPr>
              <w:t xml:space="preserve">analysed </w:t>
            </w:r>
            <w:r w:rsidR="00372AAA">
              <w:rPr>
                <w:rFonts w:ascii="Arial" w:hAnsi="Arial" w:cs="Arial"/>
                <w:sz w:val="18"/>
                <w:szCs w:val="18"/>
              </w:rPr>
              <w:t>to</w:t>
            </w:r>
            <w:r w:rsidRPr="009D3DEA">
              <w:rPr>
                <w:rFonts w:ascii="Arial" w:hAnsi="Arial" w:cs="Arial"/>
                <w:sz w:val="18"/>
                <w:szCs w:val="18"/>
              </w:rPr>
              <w:t xml:space="preserve"> inform decision making and address issues accordingly.</w:t>
            </w:r>
          </w:p>
        </w:tc>
      </w:tr>
      <w:tr w:rsidR="00132EF4" w:rsidRPr="00E72C5C" w:rsidTr="00DB77EC">
        <w:tc>
          <w:tcPr>
            <w:tcW w:w="7479" w:type="dxa"/>
            <w:gridSpan w:val="2"/>
            <w:vAlign w:val="center"/>
          </w:tcPr>
          <w:p w:rsidR="00132EF4" w:rsidRPr="009D3DEA" w:rsidRDefault="00132EF4" w:rsidP="00132EF4">
            <w:pPr>
              <w:spacing w:before="40" w:after="40"/>
              <w:rPr>
                <w:rFonts w:ascii="Arial" w:hAnsi="Arial" w:cs="Arial"/>
                <w:sz w:val="18"/>
                <w:szCs w:val="18"/>
              </w:rPr>
            </w:pPr>
            <w:r>
              <w:rPr>
                <w:rFonts w:ascii="Arial" w:hAnsi="Arial" w:cs="Arial"/>
                <w:sz w:val="18"/>
                <w:szCs w:val="18"/>
              </w:rPr>
              <w:t xml:space="preserve">Misuse of funds and </w:t>
            </w:r>
            <w:r w:rsidRPr="009D3DEA">
              <w:rPr>
                <w:rFonts w:ascii="Arial" w:hAnsi="Arial" w:cs="Arial"/>
                <w:sz w:val="18"/>
                <w:szCs w:val="18"/>
              </w:rPr>
              <w:t>non-compliance issues associated with schools management of the funds for the SSFGS</w:t>
            </w:r>
            <w:r>
              <w:rPr>
                <w:rFonts w:ascii="Arial" w:hAnsi="Arial" w:cs="Arial"/>
                <w:sz w:val="18"/>
                <w:szCs w:val="18"/>
              </w:rPr>
              <w:t>.</w:t>
            </w:r>
            <w:r w:rsidRPr="009D3DEA">
              <w:rPr>
                <w:rFonts w:ascii="Arial" w:hAnsi="Arial" w:cs="Arial"/>
                <w:sz w:val="18"/>
                <w:szCs w:val="18"/>
              </w:rPr>
              <w:t xml:space="preserve"> </w:t>
            </w:r>
          </w:p>
        </w:tc>
        <w:tc>
          <w:tcPr>
            <w:tcW w:w="7797" w:type="dxa"/>
            <w:vAlign w:val="center"/>
          </w:tcPr>
          <w:p w:rsidR="00132EF4" w:rsidRPr="009D3DEA" w:rsidRDefault="003B030A" w:rsidP="003B030A">
            <w:pPr>
              <w:spacing w:before="40" w:after="40"/>
              <w:rPr>
                <w:rFonts w:ascii="Arial" w:hAnsi="Arial" w:cs="Arial"/>
                <w:sz w:val="18"/>
                <w:szCs w:val="18"/>
              </w:rPr>
            </w:pPr>
            <w:r>
              <w:rPr>
                <w:rFonts w:ascii="Arial" w:hAnsi="Arial" w:cs="Arial"/>
                <w:sz w:val="18"/>
                <w:szCs w:val="18"/>
              </w:rPr>
              <w:t>Australia</w:t>
            </w:r>
            <w:r w:rsidR="00132EF4" w:rsidRPr="009D3DEA">
              <w:rPr>
                <w:rFonts w:ascii="Arial" w:hAnsi="Arial" w:cs="Arial"/>
                <w:sz w:val="18"/>
                <w:szCs w:val="18"/>
              </w:rPr>
              <w:t xml:space="preserve"> continues to work closely </w:t>
            </w:r>
            <w:r w:rsidR="00FB175A">
              <w:rPr>
                <w:rFonts w:ascii="Arial" w:hAnsi="Arial" w:cs="Arial"/>
                <w:sz w:val="18"/>
                <w:szCs w:val="18"/>
              </w:rPr>
              <w:t xml:space="preserve">with </w:t>
            </w:r>
            <w:r w:rsidR="00132EF4" w:rsidRPr="009D3DEA">
              <w:rPr>
                <w:rFonts w:ascii="Arial" w:hAnsi="Arial" w:cs="Arial"/>
                <w:sz w:val="18"/>
                <w:szCs w:val="18"/>
              </w:rPr>
              <w:t xml:space="preserve">MESC to support </w:t>
            </w:r>
            <w:r>
              <w:rPr>
                <w:rFonts w:ascii="Arial" w:hAnsi="Arial" w:cs="Arial"/>
                <w:sz w:val="18"/>
                <w:szCs w:val="18"/>
              </w:rPr>
              <w:t>its</w:t>
            </w:r>
            <w:r w:rsidR="00132EF4" w:rsidRPr="009D3DEA">
              <w:rPr>
                <w:rFonts w:ascii="Arial" w:hAnsi="Arial" w:cs="Arial"/>
                <w:sz w:val="18"/>
                <w:szCs w:val="18"/>
              </w:rPr>
              <w:t xml:space="preserve"> monitoring of the SSFGS.</w:t>
            </w:r>
            <w:r w:rsidR="00132EF4">
              <w:rPr>
                <w:rFonts w:ascii="Arial" w:hAnsi="Arial" w:cs="Arial"/>
                <w:sz w:val="18"/>
                <w:szCs w:val="18"/>
              </w:rPr>
              <w:t xml:space="preserve"> MESC will undertake </w:t>
            </w:r>
            <w:r w:rsidR="00132EF4" w:rsidRPr="00CD4551">
              <w:rPr>
                <w:rFonts w:ascii="Arial" w:hAnsi="Arial" w:cs="Arial"/>
                <w:sz w:val="18"/>
                <w:szCs w:val="18"/>
              </w:rPr>
              <w:t>a performance audit to see what further actions can be taken to reduce risk of misuse of funds.</w:t>
            </w:r>
            <w:r w:rsidR="00132EF4" w:rsidRPr="00170019">
              <w:rPr>
                <w:rFonts w:ascii="Times New Roman" w:hAnsi="Times New Roman"/>
                <w:iCs/>
                <w:sz w:val="24"/>
                <w:szCs w:val="24"/>
              </w:rPr>
              <w:t xml:space="preserve">  </w:t>
            </w:r>
          </w:p>
        </w:tc>
      </w:tr>
      <w:tr w:rsidR="00132EF4" w:rsidRPr="00E72C5C" w:rsidTr="00DB77EC">
        <w:trPr>
          <w:cantSplit/>
        </w:trPr>
        <w:tc>
          <w:tcPr>
            <w:tcW w:w="7479" w:type="dxa"/>
            <w:gridSpan w:val="2"/>
            <w:shd w:val="clear" w:color="auto" w:fill="D9D9D9"/>
            <w:vAlign w:val="center"/>
          </w:tcPr>
          <w:p w:rsidR="00132EF4" w:rsidRPr="009D3DEA" w:rsidRDefault="00132EF4" w:rsidP="00196F81">
            <w:pPr>
              <w:tabs>
                <w:tab w:val="left" w:pos="274"/>
                <w:tab w:val="left" w:pos="1217"/>
              </w:tabs>
              <w:spacing w:before="60" w:after="0" w:line="240" w:lineRule="auto"/>
              <w:rPr>
                <w:rFonts w:ascii="Arial" w:hAnsi="Arial" w:cs="Arial"/>
                <w:sz w:val="18"/>
                <w:szCs w:val="18"/>
              </w:rPr>
            </w:pPr>
          </w:p>
        </w:tc>
        <w:tc>
          <w:tcPr>
            <w:tcW w:w="7797" w:type="dxa"/>
            <w:shd w:val="clear" w:color="auto" w:fill="D9D9D9"/>
            <w:vAlign w:val="center"/>
          </w:tcPr>
          <w:p w:rsidR="00132EF4" w:rsidRPr="009D3DEA" w:rsidRDefault="00132EF4" w:rsidP="00196F81">
            <w:pPr>
              <w:spacing w:before="40" w:after="40"/>
              <w:rPr>
                <w:rFonts w:ascii="Arial" w:hAnsi="Arial" w:cs="Arial"/>
                <w:sz w:val="18"/>
                <w:szCs w:val="18"/>
              </w:rPr>
            </w:pPr>
          </w:p>
        </w:tc>
      </w:tr>
    </w:tbl>
    <w:p w:rsidR="001E055B" w:rsidRDefault="001E055B">
      <w:pPr>
        <w:rPr>
          <w:rFonts w:ascii="Arial" w:hAnsi="Arial" w:cs="Arial"/>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gridCol w:w="4678"/>
      </w:tblGrid>
      <w:tr w:rsidR="00196F81" w:rsidRPr="00E72C5C" w:rsidTr="00196F81">
        <w:tc>
          <w:tcPr>
            <w:tcW w:w="10881" w:type="dxa"/>
            <w:shd w:val="clear" w:color="auto" w:fill="BCC9E6"/>
            <w:vAlign w:val="center"/>
          </w:tcPr>
          <w:p w:rsidR="00196F81" w:rsidRPr="00E72C5C" w:rsidRDefault="00196F81" w:rsidP="00196F81">
            <w:pPr>
              <w:spacing w:before="40" w:after="40" w:line="240" w:lineRule="auto"/>
              <w:rPr>
                <w:rFonts w:ascii="Arial" w:hAnsi="Arial" w:cs="Arial"/>
              </w:rPr>
            </w:pPr>
            <w:r w:rsidRPr="00E72C5C">
              <w:rPr>
                <w:rFonts w:ascii="Arial" w:hAnsi="Arial" w:cs="Arial"/>
                <w:sz w:val="24"/>
                <w:szCs w:val="24"/>
              </w:rPr>
              <w:t>Supporting information</w:t>
            </w:r>
          </w:p>
        </w:tc>
        <w:tc>
          <w:tcPr>
            <w:tcW w:w="4678" w:type="dxa"/>
            <w:shd w:val="clear" w:color="auto" w:fill="BCC9E6"/>
            <w:vAlign w:val="center"/>
          </w:tcPr>
          <w:p w:rsidR="00196F81" w:rsidRPr="00E72C5C" w:rsidRDefault="00196F81" w:rsidP="00196F81">
            <w:pPr>
              <w:spacing w:before="40" w:after="40" w:line="240" w:lineRule="auto"/>
              <w:rPr>
                <w:rFonts w:ascii="Arial" w:hAnsi="Arial" w:cs="Arial"/>
                <w:sz w:val="24"/>
                <w:szCs w:val="24"/>
              </w:rPr>
            </w:pPr>
            <w:r w:rsidRPr="00E72C5C">
              <w:rPr>
                <w:rFonts w:ascii="Arial" w:hAnsi="Arial" w:cs="Arial"/>
                <w:sz w:val="24"/>
                <w:szCs w:val="24"/>
              </w:rPr>
              <w:t>Programs</w:t>
            </w:r>
          </w:p>
        </w:tc>
      </w:tr>
      <w:tr w:rsidR="00196F81" w:rsidRPr="00E72C5C" w:rsidTr="00196F81">
        <w:tc>
          <w:tcPr>
            <w:tcW w:w="10881" w:type="dxa"/>
            <w:vAlign w:val="center"/>
          </w:tcPr>
          <w:p w:rsidR="00196F81" w:rsidRPr="00376706" w:rsidRDefault="00196F81" w:rsidP="00196F81">
            <w:pPr>
              <w:numPr>
                <w:ilvl w:val="0"/>
                <w:numId w:val="1"/>
              </w:numPr>
              <w:tabs>
                <w:tab w:val="num" w:pos="360"/>
              </w:tabs>
              <w:spacing w:before="40" w:after="40" w:line="240" w:lineRule="auto"/>
              <w:rPr>
                <w:rFonts w:ascii="Arial" w:hAnsi="Arial" w:cs="Arial"/>
                <w:sz w:val="18"/>
                <w:szCs w:val="18"/>
              </w:rPr>
            </w:pPr>
            <w:r w:rsidRPr="00376706">
              <w:rPr>
                <w:rFonts w:ascii="Arial" w:hAnsi="Arial" w:cs="Arial"/>
                <w:sz w:val="18"/>
                <w:szCs w:val="18"/>
              </w:rPr>
              <w:t>Executing Agency – Ministry of Finance</w:t>
            </w:r>
          </w:p>
          <w:p w:rsidR="00196F81" w:rsidRPr="00376706" w:rsidRDefault="00196F81" w:rsidP="00196F81">
            <w:pPr>
              <w:numPr>
                <w:ilvl w:val="0"/>
                <w:numId w:val="1"/>
              </w:numPr>
              <w:tabs>
                <w:tab w:val="num" w:pos="360"/>
              </w:tabs>
              <w:spacing w:before="40" w:after="40" w:line="240" w:lineRule="auto"/>
              <w:rPr>
                <w:rFonts w:ascii="Arial" w:hAnsi="Arial" w:cs="Arial"/>
                <w:sz w:val="18"/>
                <w:szCs w:val="18"/>
              </w:rPr>
            </w:pPr>
            <w:r w:rsidRPr="00376706">
              <w:rPr>
                <w:rFonts w:ascii="Arial" w:hAnsi="Arial" w:cs="Arial"/>
                <w:b/>
                <w:sz w:val="18"/>
                <w:szCs w:val="18"/>
              </w:rPr>
              <w:t>Implementing Agency</w:t>
            </w:r>
            <w:r w:rsidRPr="00376706">
              <w:rPr>
                <w:rFonts w:ascii="Arial" w:hAnsi="Arial" w:cs="Arial"/>
                <w:sz w:val="18"/>
                <w:szCs w:val="18"/>
              </w:rPr>
              <w:t xml:space="preserve"> – Ministry of Education, Sports and Culture (MESC), Samoa Qualifications Authority, National University of Samoa, Ministry of Foreign Affairs and Trade</w:t>
            </w:r>
          </w:p>
          <w:p w:rsidR="00196F81" w:rsidRPr="00376706" w:rsidRDefault="00196F81" w:rsidP="00196F81">
            <w:pPr>
              <w:numPr>
                <w:ilvl w:val="0"/>
                <w:numId w:val="1"/>
              </w:numPr>
              <w:tabs>
                <w:tab w:val="num" w:pos="360"/>
              </w:tabs>
              <w:spacing w:before="40" w:after="40" w:line="240" w:lineRule="auto"/>
              <w:rPr>
                <w:rFonts w:ascii="Arial" w:hAnsi="Arial" w:cs="Arial"/>
                <w:sz w:val="18"/>
                <w:szCs w:val="18"/>
              </w:rPr>
            </w:pPr>
            <w:r w:rsidRPr="00376706">
              <w:rPr>
                <w:rFonts w:ascii="Arial" w:hAnsi="Arial" w:cs="Arial"/>
                <w:b/>
                <w:sz w:val="18"/>
                <w:szCs w:val="18"/>
              </w:rPr>
              <w:t>Sector Coordinating Agency</w:t>
            </w:r>
            <w:r w:rsidRPr="00376706">
              <w:rPr>
                <w:rFonts w:ascii="Arial" w:hAnsi="Arial" w:cs="Arial"/>
                <w:sz w:val="18"/>
                <w:szCs w:val="18"/>
              </w:rPr>
              <w:t xml:space="preserve"> - MESC</w:t>
            </w:r>
          </w:p>
          <w:p w:rsidR="00196F81" w:rsidRPr="00376706" w:rsidRDefault="00196F81" w:rsidP="00196F81">
            <w:pPr>
              <w:numPr>
                <w:ilvl w:val="0"/>
                <w:numId w:val="1"/>
              </w:numPr>
              <w:tabs>
                <w:tab w:val="num" w:pos="360"/>
              </w:tabs>
              <w:spacing w:before="40" w:after="40" w:line="240" w:lineRule="auto"/>
              <w:rPr>
                <w:rFonts w:ascii="Arial" w:hAnsi="Arial" w:cs="Arial"/>
                <w:sz w:val="18"/>
                <w:szCs w:val="18"/>
              </w:rPr>
            </w:pPr>
            <w:r w:rsidRPr="00376706">
              <w:rPr>
                <w:rFonts w:ascii="Arial" w:hAnsi="Arial" w:cs="Arial"/>
                <w:b/>
                <w:sz w:val="18"/>
                <w:szCs w:val="18"/>
              </w:rPr>
              <w:t>Key Sector Contacts</w:t>
            </w:r>
            <w:r w:rsidRPr="00376706">
              <w:rPr>
                <w:rFonts w:ascii="Arial" w:hAnsi="Arial" w:cs="Arial"/>
                <w:sz w:val="18"/>
                <w:szCs w:val="18"/>
              </w:rPr>
              <w:t xml:space="preserve"> : </w:t>
            </w:r>
          </w:p>
          <w:p w:rsidR="00196F81" w:rsidRPr="00045BC6" w:rsidRDefault="00196F81" w:rsidP="00196F81">
            <w:pPr>
              <w:numPr>
                <w:ilvl w:val="1"/>
                <w:numId w:val="1"/>
              </w:numPr>
              <w:tabs>
                <w:tab w:val="num" w:pos="851"/>
              </w:tabs>
              <w:spacing w:before="40" w:after="40" w:line="240" w:lineRule="auto"/>
              <w:ind w:left="851"/>
              <w:rPr>
                <w:rFonts w:ascii="Arial" w:hAnsi="Arial" w:cs="Arial"/>
                <w:sz w:val="18"/>
                <w:szCs w:val="18"/>
              </w:rPr>
            </w:pPr>
            <w:r w:rsidRPr="00045BC6">
              <w:rPr>
                <w:rFonts w:ascii="Arial" w:hAnsi="Arial" w:cs="Arial"/>
                <w:sz w:val="18"/>
                <w:szCs w:val="18"/>
              </w:rPr>
              <w:t>Education - Matafeo Falanaípupu Tanielu Aiafi</w:t>
            </w:r>
            <w:r w:rsidRPr="00045BC6">
              <w:rPr>
                <w:rStyle w:val="Strong"/>
                <w:color w:val="6E6E6E"/>
                <w:sz w:val="20"/>
                <w:szCs w:val="20"/>
              </w:rPr>
              <w:t xml:space="preserve"> </w:t>
            </w:r>
            <w:r w:rsidRPr="00045BC6">
              <w:rPr>
                <w:rFonts w:ascii="Arial" w:hAnsi="Arial" w:cs="Arial"/>
                <w:sz w:val="18"/>
                <w:szCs w:val="18"/>
              </w:rPr>
              <w:t>CEO, MESC</w:t>
            </w:r>
            <w:r w:rsidR="00045BC6" w:rsidRPr="00045BC6">
              <w:rPr>
                <w:rFonts w:ascii="Arial" w:hAnsi="Arial" w:cs="Arial"/>
                <w:sz w:val="18"/>
                <w:szCs w:val="18"/>
              </w:rPr>
              <w:t xml:space="preserve">; </w:t>
            </w:r>
            <w:r w:rsidR="00045BC6">
              <w:rPr>
                <w:rFonts w:ascii="Arial" w:hAnsi="Arial" w:cs="Arial"/>
                <w:sz w:val="18"/>
                <w:szCs w:val="18"/>
              </w:rPr>
              <w:t xml:space="preserve"> </w:t>
            </w:r>
            <w:r w:rsidRPr="00045BC6">
              <w:rPr>
                <w:rFonts w:ascii="Arial" w:hAnsi="Arial" w:cs="Arial"/>
                <w:sz w:val="18"/>
                <w:szCs w:val="18"/>
              </w:rPr>
              <w:t>Education – Valma Galuvao –Sector Coordinator, MESC</w:t>
            </w:r>
          </w:p>
          <w:p w:rsidR="00196F81" w:rsidRPr="00376706" w:rsidRDefault="00196F81" w:rsidP="00196F81">
            <w:pPr>
              <w:numPr>
                <w:ilvl w:val="1"/>
                <w:numId w:val="1"/>
              </w:numPr>
              <w:tabs>
                <w:tab w:val="num" w:pos="851"/>
              </w:tabs>
              <w:spacing w:before="40" w:after="40" w:line="240" w:lineRule="auto"/>
              <w:ind w:left="851"/>
              <w:rPr>
                <w:rFonts w:ascii="Arial" w:hAnsi="Arial" w:cs="Arial"/>
                <w:sz w:val="18"/>
                <w:szCs w:val="18"/>
              </w:rPr>
            </w:pPr>
            <w:r w:rsidRPr="00376706">
              <w:rPr>
                <w:rFonts w:ascii="Arial" w:hAnsi="Arial" w:cs="Arial"/>
                <w:sz w:val="18"/>
                <w:szCs w:val="18"/>
              </w:rPr>
              <w:t>TVET – Fepuleai Sinapi Moli, Chief Executive Officer, Samoa Qualifications Authority</w:t>
            </w:r>
          </w:p>
          <w:p w:rsidR="00196F81" w:rsidRDefault="00196F81" w:rsidP="00196F81">
            <w:pPr>
              <w:numPr>
                <w:ilvl w:val="1"/>
                <w:numId w:val="1"/>
              </w:numPr>
              <w:tabs>
                <w:tab w:val="num" w:pos="851"/>
              </w:tabs>
              <w:spacing w:before="40" w:after="40" w:line="240" w:lineRule="auto"/>
              <w:ind w:left="851"/>
              <w:rPr>
                <w:rFonts w:ascii="Arial" w:hAnsi="Arial" w:cs="Arial"/>
                <w:sz w:val="18"/>
                <w:szCs w:val="18"/>
              </w:rPr>
            </w:pPr>
            <w:r w:rsidRPr="00376706">
              <w:rPr>
                <w:rFonts w:ascii="Arial" w:hAnsi="Arial" w:cs="Arial"/>
                <w:sz w:val="18"/>
                <w:szCs w:val="18"/>
              </w:rPr>
              <w:t>National University of Samoa –Leapai Prof</w:t>
            </w:r>
            <w:r>
              <w:rPr>
                <w:rFonts w:ascii="Arial" w:hAnsi="Arial" w:cs="Arial"/>
                <w:sz w:val="18"/>
                <w:szCs w:val="18"/>
              </w:rPr>
              <w:t>.</w:t>
            </w:r>
            <w:r w:rsidRPr="00376706">
              <w:rPr>
                <w:rFonts w:ascii="Arial" w:hAnsi="Arial" w:cs="Arial"/>
                <w:sz w:val="18"/>
                <w:szCs w:val="18"/>
              </w:rPr>
              <w:t xml:space="preserve"> Asofou So’o</w:t>
            </w:r>
          </w:p>
          <w:p w:rsidR="00196F81" w:rsidRPr="00196F81" w:rsidRDefault="00196F81" w:rsidP="00196F81">
            <w:pPr>
              <w:numPr>
                <w:ilvl w:val="0"/>
                <w:numId w:val="1"/>
              </w:numPr>
              <w:spacing w:before="40" w:after="40" w:line="240" w:lineRule="auto"/>
              <w:ind w:left="357" w:hanging="357"/>
              <w:rPr>
                <w:rFonts w:ascii="Arial" w:hAnsi="Arial" w:cs="Arial"/>
                <w:sz w:val="18"/>
                <w:szCs w:val="18"/>
              </w:rPr>
            </w:pPr>
            <w:r w:rsidRPr="00376706">
              <w:rPr>
                <w:rFonts w:ascii="Arial" w:hAnsi="Arial" w:cs="Arial"/>
                <w:sz w:val="18"/>
                <w:szCs w:val="18"/>
              </w:rPr>
              <w:t xml:space="preserve"> </w:t>
            </w:r>
            <w:r w:rsidRPr="00DD1E0F">
              <w:rPr>
                <w:rFonts w:ascii="Arial" w:hAnsi="Arial" w:cs="Arial"/>
                <w:sz w:val="18"/>
                <w:szCs w:val="18"/>
              </w:rPr>
              <w:t xml:space="preserve">Scholarships – Tagaloa Sharon Aiafi, Assistant CEO, </w:t>
            </w:r>
            <w:r>
              <w:rPr>
                <w:rFonts w:ascii="Arial" w:hAnsi="Arial" w:cs="Arial"/>
                <w:sz w:val="18"/>
                <w:szCs w:val="18"/>
              </w:rPr>
              <w:t>MFAT</w:t>
            </w:r>
          </w:p>
        </w:tc>
        <w:tc>
          <w:tcPr>
            <w:tcW w:w="4678" w:type="dxa"/>
            <w:vMerge w:val="restart"/>
            <w:vAlign w:val="center"/>
          </w:tcPr>
          <w:p w:rsidR="00196F81" w:rsidRPr="00376706" w:rsidRDefault="00196F81" w:rsidP="00196F81">
            <w:pPr>
              <w:numPr>
                <w:ilvl w:val="0"/>
                <w:numId w:val="4"/>
              </w:numPr>
              <w:spacing w:before="40" w:after="40" w:line="240" w:lineRule="auto"/>
              <w:rPr>
                <w:rFonts w:ascii="Arial" w:hAnsi="Arial" w:cs="Arial"/>
                <w:sz w:val="18"/>
                <w:szCs w:val="18"/>
              </w:rPr>
            </w:pPr>
            <w:r w:rsidRPr="00376706">
              <w:rPr>
                <w:rFonts w:ascii="Arial" w:hAnsi="Arial" w:cs="Arial"/>
                <w:sz w:val="18"/>
                <w:szCs w:val="18"/>
              </w:rPr>
              <w:t>ESP II</w:t>
            </w:r>
          </w:p>
          <w:p w:rsidR="00196F81" w:rsidRPr="00376706" w:rsidRDefault="00196F81" w:rsidP="00196F81">
            <w:pPr>
              <w:numPr>
                <w:ilvl w:val="0"/>
                <w:numId w:val="4"/>
              </w:numPr>
              <w:spacing w:before="40" w:after="40" w:line="240" w:lineRule="auto"/>
              <w:rPr>
                <w:rFonts w:ascii="Arial" w:hAnsi="Arial" w:cs="Arial"/>
                <w:sz w:val="18"/>
                <w:szCs w:val="18"/>
              </w:rPr>
            </w:pPr>
            <w:r w:rsidRPr="00376706">
              <w:rPr>
                <w:rFonts w:ascii="Arial" w:hAnsi="Arial" w:cs="Arial"/>
                <w:sz w:val="18"/>
                <w:szCs w:val="18"/>
              </w:rPr>
              <w:t>School Fee Grant Scheme</w:t>
            </w:r>
          </w:p>
          <w:p w:rsidR="00196F81" w:rsidRPr="00376706" w:rsidRDefault="00196F81" w:rsidP="00196F81">
            <w:pPr>
              <w:numPr>
                <w:ilvl w:val="0"/>
                <w:numId w:val="4"/>
              </w:numPr>
              <w:spacing w:before="40" w:after="40" w:line="240" w:lineRule="auto"/>
              <w:rPr>
                <w:rFonts w:ascii="Arial" w:hAnsi="Arial" w:cs="Arial"/>
                <w:sz w:val="18"/>
                <w:szCs w:val="18"/>
              </w:rPr>
            </w:pPr>
            <w:r w:rsidRPr="00376706">
              <w:rPr>
                <w:rFonts w:ascii="Arial" w:hAnsi="Arial" w:cs="Arial"/>
                <w:sz w:val="18"/>
                <w:szCs w:val="18"/>
              </w:rPr>
              <w:t>Samoa Inclusive Education Program</w:t>
            </w:r>
          </w:p>
          <w:p w:rsidR="00196F81" w:rsidRPr="00376706" w:rsidRDefault="00196F81" w:rsidP="00196F81">
            <w:pPr>
              <w:numPr>
                <w:ilvl w:val="0"/>
                <w:numId w:val="4"/>
              </w:numPr>
              <w:spacing w:before="40" w:after="40" w:line="240" w:lineRule="auto"/>
              <w:rPr>
                <w:rFonts w:ascii="Arial" w:hAnsi="Arial" w:cs="Arial"/>
                <w:sz w:val="18"/>
                <w:szCs w:val="18"/>
              </w:rPr>
            </w:pPr>
            <w:r w:rsidRPr="00376706">
              <w:rPr>
                <w:rFonts w:ascii="Arial" w:hAnsi="Arial" w:cs="Arial"/>
                <w:sz w:val="18"/>
                <w:szCs w:val="18"/>
              </w:rPr>
              <w:t>Australia Awards (ADS, ALAS, ARDS)</w:t>
            </w:r>
          </w:p>
          <w:p w:rsidR="00196F81" w:rsidRDefault="00196F81" w:rsidP="00196F81">
            <w:pPr>
              <w:numPr>
                <w:ilvl w:val="0"/>
                <w:numId w:val="4"/>
              </w:numPr>
              <w:spacing w:before="40" w:after="40" w:line="240" w:lineRule="auto"/>
              <w:rPr>
                <w:rFonts w:ascii="Arial" w:hAnsi="Arial" w:cs="Arial"/>
                <w:sz w:val="18"/>
                <w:szCs w:val="18"/>
              </w:rPr>
            </w:pPr>
            <w:r>
              <w:rPr>
                <w:rFonts w:ascii="Arial" w:hAnsi="Arial" w:cs="Arial"/>
                <w:sz w:val="18"/>
                <w:szCs w:val="18"/>
              </w:rPr>
              <w:t>Samoa In Country Training Program</w:t>
            </w:r>
          </w:p>
          <w:p w:rsidR="00196F81" w:rsidRPr="00376706" w:rsidRDefault="00196F81" w:rsidP="00196F81">
            <w:pPr>
              <w:numPr>
                <w:ilvl w:val="0"/>
                <w:numId w:val="4"/>
              </w:numPr>
              <w:spacing w:before="40" w:after="40" w:line="240" w:lineRule="auto"/>
              <w:rPr>
                <w:rFonts w:ascii="Arial" w:hAnsi="Arial" w:cs="Arial"/>
                <w:sz w:val="18"/>
                <w:szCs w:val="18"/>
              </w:rPr>
            </w:pPr>
            <w:r w:rsidRPr="00376706">
              <w:rPr>
                <w:rFonts w:ascii="Arial" w:hAnsi="Arial" w:cs="Arial"/>
                <w:sz w:val="18"/>
                <w:szCs w:val="18"/>
              </w:rPr>
              <w:t>TVET/PSET sector support</w:t>
            </w:r>
          </w:p>
          <w:p w:rsidR="00196F81" w:rsidRPr="00376706" w:rsidRDefault="00196F81" w:rsidP="00196F81">
            <w:pPr>
              <w:numPr>
                <w:ilvl w:val="0"/>
                <w:numId w:val="4"/>
              </w:numPr>
              <w:spacing w:before="40" w:after="40" w:line="240" w:lineRule="auto"/>
              <w:rPr>
                <w:rFonts w:ascii="Arial" w:hAnsi="Arial" w:cs="Arial"/>
                <w:sz w:val="18"/>
                <w:szCs w:val="18"/>
              </w:rPr>
            </w:pPr>
            <w:r w:rsidRPr="00376706">
              <w:rPr>
                <w:rFonts w:ascii="Arial" w:hAnsi="Arial" w:cs="Arial"/>
                <w:sz w:val="18"/>
                <w:szCs w:val="18"/>
              </w:rPr>
              <w:t>Pacific Ben</w:t>
            </w:r>
            <w:r>
              <w:rPr>
                <w:rFonts w:ascii="Arial" w:hAnsi="Arial" w:cs="Arial"/>
                <w:sz w:val="18"/>
                <w:szCs w:val="18"/>
              </w:rPr>
              <w:t>chmarking of Education Results</w:t>
            </w:r>
          </w:p>
          <w:p w:rsidR="00196F81" w:rsidRPr="00376706" w:rsidRDefault="00196F81" w:rsidP="00196F81">
            <w:pPr>
              <w:numPr>
                <w:ilvl w:val="0"/>
                <w:numId w:val="4"/>
              </w:numPr>
              <w:spacing w:before="40" w:after="40" w:line="240" w:lineRule="auto"/>
              <w:rPr>
                <w:rFonts w:ascii="Arial" w:hAnsi="Arial" w:cs="Arial"/>
                <w:sz w:val="18"/>
                <w:szCs w:val="18"/>
              </w:rPr>
            </w:pPr>
            <w:r w:rsidRPr="00376706">
              <w:rPr>
                <w:rFonts w:ascii="Arial" w:hAnsi="Arial" w:cs="Arial"/>
                <w:sz w:val="18"/>
                <w:szCs w:val="18"/>
              </w:rPr>
              <w:t>Australian Pacific Technical College</w:t>
            </w:r>
          </w:p>
          <w:p w:rsidR="00196F81" w:rsidRPr="008D1CED" w:rsidRDefault="00196F81" w:rsidP="00196F81">
            <w:pPr>
              <w:pStyle w:val="ListParagraph"/>
              <w:spacing w:before="40" w:after="40" w:line="240" w:lineRule="auto"/>
              <w:ind w:left="0"/>
              <w:contextualSpacing w:val="0"/>
              <w:rPr>
                <w:rFonts w:ascii="Arial" w:hAnsi="Arial" w:cs="Arial"/>
              </w:rPr>
            </w:pPr>
          </w:p>
        </w:tc>
      </w:tr>
      <w:tr w:rsidR="00196F81" w:rsidRPr="00E72C5C" w:rsidTr="00196F81">
        <w:tc>
          <w:tcPr>
            <w:tcW w:w="10881" w:type="dxa"/>
            <w:shd w:val="clear" w:color="auto" w:fill="BCC9E6"/>
            <w:vAlign w:val="center"/>
          </w:tcPr>
          <w:p w:rsidR="00196F81" w:rsidRPr="00E72C5C" w:rsidRDefault="00196F81" w:rsidP="00196F81">
            <w:pPr>
              <w:spacing w:before="40" w:after="40" w:line="240" w:lineRule="auto"/>
              <w:rPr>
                <w:rFonts w:ascii="Arial" w:hAnsi="Arial" w:cs="Arial"/>
              </w:rPr>
            </w:pPr>
            <w:r>
              <w:rPr>
                <w:rFonts w:ascii="Arial" w:hAnsi="Arial" w:cs="Arial"/>
                <w:sz w:val="24"/>
                <w:szCs w:val="24"/>
              </w:rPr>
              <w:t>Sector</w:t>
            </w:r>
            <w:r w:rsidRPr="00E72C5C">
              <w:rPr>
                <w:rFonts w:ascii="Arial" w:hAnsi="Arial" w:cs="Arial"/>
                <w:sz w:val="24"/>
                <w:szCs w:val="24"/>
              </w:rPr>
              <w:t xml:space="preserve"> Issues</w:t>
            </w:r>
          </w:p>
        </w:tc>
        <w:tc>
          <w:tcPr>
            <w:tcW w:w="4678" w:type="dxa"/>
            <w:vMerge/>
            <w:shd w:val="clear" w:color="auto" w:fill="BCC9E6"/>
            <w:vAlign w:val="center"/>
          </w:tcPr>
          <w:p w:rsidR="00196F81" w:rsidRPr="00E72C5C" w:rsidRDefault="00196F81" w:rsidP="00196F81">
            <w:pPr>
              <w:spacing w:before="40" w:after="40" w:line="240" w:lineRule="auto"/>
              <w:rPr>
                <w:rFonts w:ascii="Arial" w:hAnsi="Arial" w:cs="Arial"/>
                <w:sz w:val="24"/>
                <w:szCs w:val="24"/>
              </w:rPr>
            </w:pPr>
          </w:p>
        </w:tc>
      </w:tr>
      <w:tr w:rsidR="00196F81" w:rsidRPr="00E72C5C" w:rsidTr="00196F81">
        <w:tc>
          <w:tcPr>
            <w:tcW w:w="10881" w:type="dxa"/>
            <w:vAlign w:val="center"/>
          </w:tcPr>
          <w:p w:rsidR="00196F81" w:rsidRPr="00376706" w:rsidRDefault="00196F81" w:rsidP="00196F81">
            <w:pPr>
              <w:numPr>
                <w:ilvl w:val="0"/>
                <w:numId w:val="1"/>
              </w:numPr>
              <w:spacing w:before="40" w:after="40" w:line="240" w:lineRule="auto"/>
              <w:rPr>
                <w:rFonts w:ascii="Arial" w:hAnsi="Arial" w:cs="Arial"/>
                <w:sz w:val="18"/>
                <w:szCs w:val="18"/>
              </w:rPr>
            </w:pPr>
            <w:r w:rsidRPr="00376706">
              <w:rPr>
                <w:rFonts w:ascii="Arial" w:hAnsi="Arial" w:cs="Arial"/>
                <w:sz w:val="18"/>
                <w:szCs w:val="18"/>
              </w:rPr>
              <w:t>There needs to be close consultations over resourcing needs and associated costing when the NTDF is implemented.</w:t>
            </w:r>
          </w:p>
          <w:p w:rsidR="00196F81" w:rsidRPr="00376706" w:rsidRDefault="00196F81" w:rsidP="00196F81">
            <w:pPr>
              <w:numPr>
                <w:ilvl w:val="0"/>
                <w:numId w:val="1"/>
              </w:numPr>
              <w:spacing w:before="40" w:after="40" w:line="240" w:lineRule="auto"/>
              <w:rPr>
                <w:rFonts w:ascii="Arial" w:hAnsi="Arial" w:cs="Arial"/>
                <w:sz w:val="18"/>
                <w:szCs w:val="18"/>
              </w:rPr>
            </w:pPr>
            <w:r w:rsidRPr="00376706">
              <w:rPr>
                <w:rFonts w:ascii="Arial" w:hAnsi="Arial" w:cs="Arial"/>
                <w:sz w:val="18"/>
                <w:szCs w:val="18"/>
              </w:rPr>
              <w:t>Integration of SIEDP into MESC for full management.</w:t>
            </w:r>
          </w:p>
          <w:p w:rsidR="00196F81" w:rsidRPr="00376706" w:rsidRDefault="00196F81" w:rsidP="00196F81">
            <w:pPr>
              <w:numPr>
                <w:ilvl w:val="0"/>
                <w:numId w:val="1"/>
              </w:numPr>
              <w:spacing w:before="40" w:after="40" w:line="240" w:lineRule="auto"/>
              <w:rPr>
                <w:rFonts w:ascii="Arial" w:hAnsi="Arial" w:cs="Arial"/>
                <w:sz w:val="18"/>
                <w:szCs w:val="18"/>
              </w:rPr>
            </w:pPr>
            <w:r w:rsidRPr="00376706">
              <w:rPr>
                <w:rFonts w:ascii="Arial" w:hAnsi="Arial" w:cs="Arial"/>
                <w:sz w:val="18"/>
                <w:szCs w:val="18"/>
              </w:rPr>
              <w:t xml:space="preserve">Joint development of the new Education Sector </w:t>
            </w:r>
            <w:r>
              <w:rPr>
                <w:rFonts w:ascii="Arial" w:hAnsi="Arial" w:cs="Arial"/>
                <w:sz w:val="18"/>
                <w:szCs w:val="18"/>
              </w:rPr>
              <w:t>Support</w:t>
            </w:r>
            <w:r w:rsidRPr="00376706">
              <w:rPr>
                <w:rFonts w:ascii="Arial" w:hAnsi="Arial" w:cs="Arial"/>
                <w:sz w:val="18"/>
                <w:szCs w:val="18"/>
              </w:rPr>
              <w:t xml:space="preserve"> Program.</w:t>
            </w:r>
          </w:p>
          <w:p w:rsidR="00196F81" w:rsidRPr="00376706" w:rsidRDefault="00196F81" w:rsidP="00196F81">
            <w:pPr>
              <w:numPr>
                <w:ilvl w:val="0"/>
                <w:numId w:val="1"/>
              </w:numPr>
              <w:spacing w:before="40" w:after="40" w:line="240" w:lineRule="auto"/>
              <w:rPr>
                <w:rFonts w:ascii="Arial" w:hAnsi="Arial" w:cs="Arial"/>
                <w:sz w:val="18"/>
                <w:szCs w:val="18"/>
              </w:rPr>
            </w:pPr>
            <w:r w:rsidRPr="00376706">
              <w:rPr>
                <w:rFonts w:ascii="Arial" w:hAnsi="Arial" w:cs="Arial"/>
                <w:sz w:val="18"/>
                <w:szCs w:val="18"/>
              </w:rPr>
              <w:t>Establishment and approval of the Education Sector Coordinating Unit proposed in the revised MESC organisational structure.</w:t>
            </w:r>
          </w:p>
          <w:p w:rsidR="00196F81" w:rsidRPr="00376706" w:rsidRDefault="00196F81" w:rsidP="00196F81">
            <w:pPr>
              <w:numPr>
                <w:ilvl w:val="0"/>
                <w:numId w:val="1"/>
              </w:numPr>
              <w:spacing w:before="40" w:after="40" w:line="240" w:lineRule="auto"/>
              <w:rPr>
                <w:rFonts w:ascii="Arial" w:hAnsi="Arial" w:cs="Arial"/>
                <w:sz w:val="18"/>
                <w:szCs w:val="18"/>
              </w:rPr>
            </w:pPr>
            <w:r w:rsidRPr="00376706">
              <w:rPr>
                <w:rFonts w:ascii="Arial" w:hAnsi="Arial" w:cs="Arial"/>
                <w:sz w:val="18"/>
                <w:szCs w:val="18"/>
              </w:rPr>
              <w:t>Alumni for Australian funded scholarships to be implemented.</w:t>
            </w:r>
          </w:p>
          <w:p w:rsidR="00196F81" w:rsidRPr="008D1CED" w:rsidRDefault="00196F81" w:rsidP="00196F81">
            <w:pPr>
              <w:numPr>
                <w:ilvl w:val="0"/>
                <w:numId w:val="1"/>
              </w:numPr>
              <w:spacing w:before="40" w:after="40" w:line="240" w:lineRule="auto"/>
              <w:rPr>
                <w:rFonts w:ascii="Arial" w:hAnsi="Arial" w:cs="Arial"/>
              </w:rPr>
            </w:pPr>
            <w:r w:rsidRPr="00376706">
              <w:rPr>
                <w:rFonts w:ascii="Arial" w:hAnsi="Arial" w:cs="Arial"/>
                <w:sz w:val="18"/>
                <w:szCs w:val="18"/>
              </w:rPr>
              <w:t>Targeting of scholarship programs to support education to be implemented.</w:t>
            </w:r>
          </w:p>
        </w:tc>
        <w:tc>
          <w:tcPr>
            <w:tcW w:w="4678" w:type="dxa"/>
            <w:vMerge/>
            <w:vAlign w:val="center"/>
          </w:tcPr>
          <w:p w:rsidR="00196F81" w:rsidRPr="008D1CED" w:rsidRDefault="00196F81" w:rsidP="00196F81">
            <w:pPr>
              <w:pStyle w:val="ListParagraph"/>
              <w:numPr>
                <w:ilvl w:val="0"/>
                <w:numId w:val="4"/>
              </w:numPr>
              <w:spacing w:before="40" w:after="40" w:line="240" w:lineRule="auto"/>
              <w:ind w:left="357" w:hanging="357"/>
              <w:contextualSpacing w:val="0"/>
              <w:rPr>
                <w:rFonts w:ascii="Arial" w:hAnsi="Arial" w:cs="Arial"/>
              </w:rPr>
            </w:pPr>
          </w:p>
        </w:tc>
      </w:tr>
    </w:tbl>
    <w:p w:rsidR="00196F81" w:rsidRDefault="00196F81">
      <w:pPr>
        <w:rPr>
          <w:rFonts w:ascii="Arial" w:hAnsi="Arial" w:cs="Arial"/>
        </w:rPr>
      </w:pPr>
    </w:p>
    <w:tbl>
      <w:tblPr>
        <w:tblW w:w="0" w:type="auto"/>
        <w:tblLook w:val="00A0" w:firstRow="1" w:lastRow="0" w:firstColumn="1" w:lastColumn="0" w:noHBand="0" w:noVBand="0"/>
      </w:tblPr>
      <w:tblGrid>
        <w:gridCol w:w="7220"/>
        <w:gridCol w:w="711"/>
        <w:gridCol w:w="7395"/>
      </w:tblGrid>
      <w:tr w:rsidR="00E1504C" w:rsidTr="001E055B">
        <w:trPr>
          <w:trHeight w:val="1355"/>
        </w:trPr>
        <w:tc>
          <w:tcPr>
            <w:tcW w:w="7220" w:type="dxa"/>
            <w:shd w:val="clear" w:color="auto" w:fill="F2F2F2"/>
          </w:tcPr>
          <w:p w:rsidR="00E1504C" w:rsidRPr="00D24D80" w:rsidRDefault="00E1504C" w:rsidP="00D24D80">
            <w:pPr>
              <w:keepNext/>
              <w:keepLines/>
              <w:spacing w:before="40" w:after="40" w:line="240" w:lineRule="auto"/>
              <w:rPr>
                <w:rFonts w:ascii="Arial" w:hAnsi="Arial" w:cs="Arial"/>
                <w:b/>
                <w:sz w:val="24"/>
                <w:szCs w:val="16"/>
              </w:rPr>
            </w:pPr>
            <w:r w:rsidRPr="00D24D80">
              <w:rPr>
                <w:rFonts w:ascii="Arial" w:hAnsi="Arial" w:cs="Arial"/>
                <w:b/>
                <w:sz w:val="24"/>
                <w:szCs w:val="16"/>
              </w:rPr>
              <w:t>Signed</w:t>
            </w:r>
          </w:p>
          <w:p w:rsidR="00E1504C" w:rsidRPr="00D24D80" w:rsidRDefault="00E1504C" w:rsidP="00D24D80">
            <w:pPr>
              <w:spacing w:after="0" w:line="240" w:lineRule="auto"/>
              <w:rPr>
                <w:rFonts w:ascii="Arial" w:hAnsi="Arial" w:cs="Arial"/>
                <w:b/>
                <w:sz w:val="16"/>
                <w:szCs w:val="16"/>
              </w:rPr>
            </w:pPr>
            <w:r w:rsidRPr="00D24D80">
              <w:rPr>
                <w:rFonts w:ascii="Arial" w:hAnsi="Arial" w:cs="Arial"/>
                <w:b/>
                <w:sz w:val="16"/>
                <w:szCs w:val="16"/>
              </w:rPr>
              <w:t>for the Government of Samoa</w:t>
            </w:r>
          </w:p>
          <w:p w:rsidR="00E1504C" w:rsidRPr="00D24D80" w:rsidRDefault="00E1504C" w:rsidP="00D24D80">
            <w:pPr>
              <w:spacing w:after="0" w:line="240" w:lineRule="auto"/>
              <w:rPr>
                <w:rFonts w:ascii="Arial" w:hAnsi="Arial" w:cs="Arial"/>
                <w:b/>
                <w:sz w:val="16"/>
                <w:szCs w:val="16"/>
              </w:rPr>
            </w:pPr>
          </w:p>
          <w:p w:rsidR="00E1504C" w:rsidRPr="00D24D80" w:rsidRDefault="00E1504C" w:rsidP="00D24D80">
            <w:pPr>
              <w:spacing w:after="0" w:line="240" w:lineRule="auto"/>
              <w:rPr>
                <w:rFonts w:ascii="Arial" w:hAnsi="Arial" w:cs="Arial"/>
                <w:b/>
                <w:sz w:val="16"/>
                <w:szCs w:val="16"/>
              </w:rPr>
            </w:pPr>
          </w:p>
          <w:p w:rsidR="00E1504C" w:rsidRPr="00D24D80" w:rsidRDefault="00E1504C" w:rsidP="00D24D80">
            <w:pPr>
              <w:spacing w:after="0" w:line="240" w:lineRule="auto"/>
              <w:rPr>
                <w:rFonts w:ascii="Arial" w:hAnsi="Arial" w:cs="Arial"/>
                <w:b/>
                <w:sz w:val="16"/>
                <w:szCs w:val="16"/>
              </w:rPr>
            </w:pPr>
          </w:p>
          <w:p w:rsidR="00E1504C" w:rsidRPr="00D24D80" w:rsidRDefault="00E1504C" w:rsidP="00D24D80">
            <w:pPr>
              <w:spacing w:after="0" w:line="240" w:lineRule="auto"/>
              <w:rPr>
                <w:rFonts w:ascii="Arial" w:hAnsi="Arial" w:cs="Arial"/>
                <w:b/>
                <w:sz w:val="16"/>
                <w:szCs w:val="16"/>
              </w:rPr>
            </w:pPr>
          </w:p>
          <w:p w:rsidR="00E1504C" w:rsidRPr="00D24D80" w:rsidRDefault="00E1504C" w:rsidP="00D24D80">
            <w:pPr>
              <w:spacing w:after="0" w:line="240" w:lineRule="auto"/>
              <w:rPr>
                <w:rFonts w:ascii="Arial" w:hAnsi="Arial" w:cs="Arial"/>
              </w:rPr>
            </w:pPr>
          </w:p>
        </w:tc>
        <w:tc>
          <w:tcPr>
            <w:tcW w:w="711" w:type="dxa"/>
            <w:vMerge w:val="restart"/>
          </w:tcPr>
          <w:p w:rsidR="00E1504C" w:rsidRPr="00D24D80" w:rsidRDefault="00E1504C" w:rsidP="00D24D80">
            <w:pPr>
              <w:spacing w:after="0" w:line="240" w:lineRule="auto"/>
              <w:rPr>
                <w:rFonts w:ascii="Arial" w:hAnsi="Arial" w:cs="Arial"/>
              </w:rPr>
            </w:pPr>
          </w:p>
        </w:tc>
        <w:tc>
          <w:tcPr>
            <w:tcW w:w="7395" w:type="dxa"/>
            <w:shd w:val="clear" w:color="auto" w:fill="F2F2F2"/>
          </w:tcPr>
          <w:p w:rsidR="00E1504C" w:rsidRPr="00D24D80" w:rsidRDefault="00E1504C" w:rsidP="00D24D80">
            <w:pPr>
              <w:keepNext/>
              <w:keepLines/>
              <w:spacing w:before="40" w:after="40" w:line="240" w:lineRule="auto"/>
              <w:rPr>
                <w:rFonts w:ascii="Arial" w:hAnsi="Arial" w:cs="Arial"/>
                <w:b/>
                <w:sz w:val="24"/>
                <w:szCs w:val="16"/>
              </w:rPr>
            </w:pPr>
            <w:r w:rsidRPr="00D24D80">
              <w:rPr>
                <w:rFonts w:ascii="Arial" w:hAnsi="Arial" w:cs="Arial"/>
                <w:b/>
                <w:sz w:val="24"/>
                <w:szCs w:val="16"/>
              </w:rPr>
              <w:t>Signed</w:t>
            </w:r>
          </w:p>
          <w:p w:rsidR="00E1504C" w:rsidRPr="00D24D80" w:rsidRDefault="00E1504C" w:rsidP="00D24D80">
            <w:pPr>
              <w:spacing w:after="0" w:line="240" w:lineRule="auto"/>
              <w:rPr>
                <w:rFonts w:ascii="Arial" w:hAnsi="Arial" w:cs="Arial"/>
                <w:b/>
                <w:sz w:val="16"/>
                <w:szCs w:val="16"/>
              </w:rPr>
            </w:pPr>
            <w:r w:rsidRPr="00D24D80">
              <w:rPr>
                <w:rFonts w:ascii="Arial" w:hAnsi="Arial" w:cs="Arial"/>
                <w:b/>
                <w:sz w:val="16"/>
                <w:szCs w:val="16"/>
              </w:rPr>
              <w:t>for the Government of Australia</w:t>
            </w:r>
          </w:p>
          <w:p w:rsidR="00E1504C" w:rsidRPr="00D24D80" w:rsidRDefault="00E1504C" w:rsidP="00D24D80">
            <w:pPr>
              <w:spacing w:after="0" w:line="240" w:lineRule="auto"/>
              <w:rPr>
                <w:rFonts w:ascii="Arial" w:hAnsi="Arial" w:cs="Arial"/>
              </w:rPr>
            </w:pPr>
          </w:p>
        </w:tc>
      </w:tr>
      <w:tr w:rsidR="00E1504C" w:rsidTr="001E055B">
        <w:trPr>
          <w:trHeight w:val="709"/>
        </w:trPr>
        <w:tc>
          <w:tcPr>
            <w:tcW w:w="7220" w:type="dxa"/>
            <w:shd w:val="clear" w:color="auto" w:fill="F2F2F2"/>
          </w:tcPr>
          <w:p w:rsidR="00E1504C" w:rsidRPr="00D24D80" w:rsidRDefault="00955BE3" w:rsidP="00D24D80">
            <w:pPr>
              <w:keepNext/>
              <w:keepLines/>
              <w:spacing w:before="40" w:after="40" w:line="240" w:lineRule="auto"/>
              <w:rPr>
                <w:rFonts w:ascii="Arial" w:hAnsi="Arial" w:cs="Arial"/>
                <w:sz w:val="16"/>
                <w:szCs w:val="16"/>
              </w:rPr>
            </w:pPr>
            <w:r>
              <w:rPr>
                <w:rFonts w:ascii="Arial" w:hAnsi="Arial" w:cs="Arial"/>
                <w:sz w:val="16"/>
                <w:szCs w:val="16"/>
              </w:rPr>
              <w:t xml:space="preserve">Lavea </w:t>
            </w:r>
            <w:r w:rsidR="0091529A">
              <w:rPr>
                <w:rFonts w:ascii="Arial" w:hAnsi="Arial" w:cs="Arial"/>
                <w:sz w:val="16"/>
                <w:szCs w:val="16"/>
              </w:rPr>
              <w:t>Tupa’imatuna Iulai Lavea</w:t>
            </w:r>
          </w:p>
          <w:p w:rsidR="00E1504C" w:rsidRPr="00D24D80" w:rsidRDefault="00E1504C" w:rsidP="00D24D80">
            <w:pPr>
              <w:keepNext/>
              <w:keepLines/>
              <w:spacing w:before="40" w:after="40" w:line="240" w:lineRule="auto"/>
              <w:rPr>
                <w:rFonts w:ascii="Arial" w:hAnsi="Arial" w:cs="Arial"/>
                <w:sz w:val="16"/>
                <w:szCs w:val="16"/>
              </w:rPr>
            </w:pPr>
          </w:p>
          <w:p w:rsidR="00E1504C" w:rsidRDefault="0091529A" w:rsidP="001E055B">
            <w:pPr>
              <w:keepNext/>
              <w:keepLines/>
              <w:spacing w:before="40" w:after="40" w:line="240" w:lineRule="auto"/>
              <w:rPr>
                <w:rFonts w:ascii="Arial" w:hAnsi="Arial" w:cs="Arial"/>
                <w:sz w:val="16"/>
                <w:szCs w:val="16"/>
              </w:rPr>
            </w:pPr>
            <w:r>
              <w:rPr>
                <w:rFonts w:ascii="Arial" w:hAnsi="Arial" w:cs="Arial"/>
                <w:sz w:val="16"/>
                <w:szCs w:val="16"/>
              </w:rPr>
              <w:t>Chief Executive Officer, Ministry of Finance</w:t>
            </w:r>
          </w:p>
          <w:p w:rsidR="001E055B" w:rsidRDefault="001E055B" w:rsidP="001E055B">
            <w:pPr>
              <w:keepNext/>
              <w:keepLines/>
              <w:spacing w:before="40" w:after="40" w:line="240" w:lineRule="auto"/>
              <w:rPr>
                <w:rFonts w:ascii="Arial" w:hAnsi="Arial" w:cs="Arial"/>
                <w:sz w:val="16"/>
                <w:szCs w:val="16"/>
              </w:rPr>
            </w:pPr>
          </w:p>
          <w:p w:rsidR="001E055B" w:rsidRPr="001E055B" w:rsidRDefault="0091529A" w:rsidP="001E055B">
            <w:pPr>
              <w:keepNext/>
              <w:keepLines/>
              <w:spacing w:before="40" w:after="40" w:line="240" w:lineRule="auto"/>
              <w:rPr>
                <w:rFonts w:ascii="Arial" w:hAnsi="Arial" w:cs="Arial"/>
                <w:sz w:val="16"/>
                <w:szCs w:val="16"/>
              </w:rPr>
            </w:pPr>
            <w:r>
              <w:rPr>
                <w:rFonts w:ascii="Arial" w:hAnsi="Arial" w:cs="Arial"/>
                <w:sz w:val="16"/>
                <w:szCs w:val="16"/>
              </w:rPr>
              <w:t>11 December 2013</w:t>
            </w:r>
          </w:p>
        </w:tc>
        <w:tc>
          <w:tcPr>
            <w:tcW w:w="711" w:type="dxa"/>
            <w:vMerge/>
          </w:tcPr>
          <w:p w:rsidR="00E1504C" w:rsidRPr="00D24D80" w:rsidRDefault="00E1504C" w:rsidP="00D24D80">
            <w:pPr>
              <w:spacing w:after="0" w:line="240" w:lineRule="auto"/>
              <w:rPr>
                <w:rFonts w:ascii="Arial" w:hAnsi="Arial" w:cs="Arial"/>
              </w:rPr>
            </w:pPr>
          </w:p>
        </w:tc>
        <w:tc>
          <w:tcPr>
            <w:tcW w:w="7395" w:type="dxa"/>
            <w:shd w:val="clear" w:color="auto" w:fill="F2F2F2"/>
          </w:tcPr>
          <w:p w:rsidR="00E1504C" w:rsidRPr="00D24D80" w:rsidRDefault="005F7600" w:rsidP="00D24D80">
            <w:pPr>
              <w:keepNext/>
              <w:keepLines/>
              <w:spacing w:before="40" w:after="40" w:line="240" w:lineRule="auto"/>
              <w:rPr>
                <w:rFonts w:ascii="Arial" w:hAnsi="Arial" w:cs="Arial"/>
                <w:sz w:val="16"/>
                <w:szCs w:val="16"/>
              </w:rPr>
            </w:pPr>
            <w:r>
              <w:rPr>
                <w:rFonts w:ascii="Arial" w:hAnsi="Arial" w:cs="Arial"/>
                <w:sz w:val="16"/>
                <w:szCs w:val="16"/>
              </w:rPr>
              <w:t>Dr. Stephen Henningham</w:t>
            </w:r>
          </w:p>
          <w:p w:rsidR="00E1504C" w:rsidRPr="00D24D80" w:rsidRDefault="00E1504C" w:rsidP="00D24D80">
            <w:pPr>
              <w:keepNext/>
              <w:keepLines/>
              <w:spacing w:before="40" w:after="40" w:line="240" w:lineRule="auto"/>
              <w:rPr>
                <w:rFonts w:ascii="Arial" w:hAnsi="Arial" w:cs="Arial"/>
                <w:sz w:val="16"/>
                <w:szCs w:val="16"/>
              </w:rPr>
            </w:pPr>
          </w:p>
          <w:p w:rsidR="00E1504C" w:rsidRDefault="005F7600" w:rsidP="001E055B">
            <w:pPr>
              <w:keepNext/>
              <w:keepLines/>
              <w:spacing w:before="40" w:after="40" w:line="240" w:lineRule="auto"/>
              <w:rPr>
                <w:rFonts w:ascii="Arial" w:hAnsi="Arial" w:cs="Arial"/>
                <w:sz w:val="16"/>
                <w:szCs w:val="16"/>
              </w:rPr>
            </w:pPr>
            <w:r>
              <w:rPr>
                <w:rFonts w:ascii="Arial" w:hAnsi="Arial" w:cs="Arial"/>
                <w:sz w:val="16"/>
                <w:szCs w:val="16"/>
              </w:rPr>
              <w:t>Australian High Commissioner to Samoa</w:t>
            </w:r>
          </w:p>
          <w:p w:rsidR="001E055B" w:rsidRDefault="001E055B" w:rsidP="001E055B">
            <w:pPr>
              <w:keepNext/>
              <w:keepLines/>
              <w:spacing w:before="40" w:after="40" w:line="240" w:lineRule="auto"/>
              <w:rPr>
                <w:rFonts w:ascii="Arial" w:hAnsi="Arial" w:cs="Arial"/>
                <w:sz w:val="16"/>
                <w:szCs w:val="16"/>
              </w:rPr>
            </w:pPr>
          </w:p>
          <w:p w:rsidR="001E055B" w:rsidRPr="001E055B" w:rsidRDefault="0005209E" w:rsidP="001E055B">
            <w:pPr>
              <w:keepNext/>
              <w:keepLines/>
              <w:spacing w:before="40" w:after="40" w:line="240" w:lineRule="auto"/>
              <w:rPr>
                <w:rFonts w:ascii="Arial" w:hAnsi="Arial" w:cs="Arial"/>
                <w:sz w:val="16"/>
                <w:szCs w:val="16"/>
              </w:rPr>
            </w:pPr>
            <w:r>
              <w:rPr>
                <w:rFonts w:ascii="Arial" w:hAnsi="Arial" w:cs="Arial"/>
                <w:sz w:val="16"/>
                <w:szCs w:val="16"/>
              </w:rPr>
              <w:t>11 December 2013</w:t>
            </w:r>
          </w:p>
        </w:tc>
      </w:tr>
    </w:tbl>
    <w:p w:rsidR="00E1504C" w:rsidRPr="00E72C5C" w:rsidRDefault="00E1504C" w:rsidP="005F18A2">
      <w:pPr>
        <w:rPr>
          <w:rFonts w:ascii="Arial" w:hAnsi="Arial" w:cs="Arial"/>
        </w:rPr>
      </w:pPr>
    </w:p>
    <w:sectPr w:rsidR="00E1504C" w:rsidRPr="00E72C5C" w:rsidSect="007E5B07">
      <w:headerReference w:type="even" r:id="rId11"/>
      <w:headerReference w:type="default" r:id="rId12"/>
      <w:footerReference w:type="even" r:id="rId13"/>
      <w:footerReference w:type="default" r:id="rId14"/>
      <w:headerReference w:type="first" r:id="rId15"/>
      <w:footerReference w:type="first" r:id="rId16"/>
      <w:pgSz w:w="16838" w:h="11906" w:orient="landscape"/>
      <w:pgMar w:top="568" w:right="820"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599" w:rsidRDefault="002D6599" w:rsidP="006D4AB1">
      <w:pPr>
        <w:spacing w:after="0" w:line="240" w:lineRule="auto"/>
      </w:pPr>
      <w:r>
        <w:separator/>
      </w:r>
    </w:p>
  </w:endnote>
  <w:endnote w:type="continuationSeparator" w:id="0">
    <w:p w:rsidR="002D6599" w:rsidRDefault="002D6599" w:rsidP="006D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E6" w:rsidRDefault="00F87B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599" w:rsidRDefault="002D6599">
    <w:pPr>
      <w:pStyle w:val="Footer"/>
      <w:jc w:val="right"/>
    </w:pPr>
    <w:r>
      <w:fldChar w:fldCharType="begin"/>
    </w:r>
    <w:r>
      <w:instrText xml:space="preserve"> PAGE   \* MERGEFORMAT </w:instrText>
    </w:r>
    <w:r>
      <w:fldChar w:fldCharType="separate"/>
    </w:r>
    <w:r w:rsidR="00F87BE6">
      <w:rPr>
        <w:noProof/>
      </w:rPr>
      <w:t>1</w:t>
    </w:r>
    <w:r>
      <w:rPr>
        <w:noProof/>
      </w:rPr>
      <w:fldChar w:fldCharType="end"/>
    </w:r>
  </w:p>
  <w:p w:rsidR="002D6599" w:rsidRDefault="002D65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E6" w:rsidRDefault="00F87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599" w:rsidRDefault="002D6599" w:rsidP="006D4AB1">
      <w:pPr>
        <w:spacing w:after="0" w:line="240" w:lineRule="auto"/>
      </w:pPr>
      <w:r>
        <w:separator/>
      </w:r>
    </w:p>
  </w:footnote>
  <w:footnote w:type="continuationSeparator" w:id="0">
    <w:p w:rsidR="002D6599" w:rsidRDefault="002D6599" w:rsidP="006D4AB1">
      <w:pPr>
        <w:spacing w:after="0" w:line="240" w:lineRule="auto"/>
      </w:pPr>
      <w:r>
        <w:continuationSeparator/>
      </w:r>
    </w:p>
  </w:footnote>
  <w:footnote w:id="1">
    <w:p w:rsidR="002D6599" w:rsidRPr="00D735E2" w:rsidRDefault="002D6599" w:rsidP="00396261">
      <w:pPr>
        <w:pStyle w:val="FootnoteText"/>
        <w:spacing w:after="0"/>
        <w:rPr>
          <w:lang w:val="en-AU"/>
        </w:rPr>
      </w:pPr>
      <w:r>
        <w:rPr>
          <w:rStyle w:val="FootnoteReference"/>
        </w:rPr>
        <w:footnoteRef/>
      </w:r>
      <w:r>
        <w:t xml:space="preserve"> </w:t>
      </w:r>
      <w:r>
        <w:rPr>
          <w:lang w:val="en-AU"/>
        </w:rPr>
        <w:t>As per the</w:t>
      </w:r>
      <w:r w:rsidR="0091529A">
        <w:rPr>
          <w:lang w:val="en-AU"/>
        </w:rPr>
        <w:t xml:space="preserve"> Australian Aid Program</w:t>
      </w:r>
      <w:r>
        <w:rPr>
          <w:lang w:val="en-AU"/>
        </w:rPr>
        <w:t xml:space="preserve"> Samoa Annual Program Performance Report 2012-13</w:t>
      </w:r>
    </w:p>
  </w:footnote>
  <w:footnote w:id="2">
    <w:p w:rsidR="002D6599" w:rsidRPr="00396261" w:rsidRDefault="002D6599" w:rsidP="00396261">
      <w:pPr>
        <w:pStyle w:val="FootnoteText"/>
        <w:spacing w:after="0"/>
        <w:rPr>
          <w:lang w:val="en-AU"/>
        </w:rPr>
      </w:pPr>
      <w:r>
        <w:rPr>
          <w:rStyle w:val="FootnoteReference"/>
        </w:rPr>
        <w:footnoteRef/>
      </w:r>
      <w:r>
        <w:t xml:space="preserve"> </w:t>
      </w:r>
      <w:r>
        <w:rPr>
          <w:lang w:val="en-AU"/>
        </w:rPr>
        <w:t>Source: MCIL Labour Surveys; additional information will become available through tracer studies of TVET outcomes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E6" w:rsidRDefault="00F87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599" w:rsidRDefault="002D65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E6" w:rsidRDefault="00F87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36CC1"/>
    <w:multiLevelType w:val="hybridMultilevel"/>
    <w:tmpl w:val="000AE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3C1577C"/>
    <w:multiLevelType w:val="hybridMultilevel"/>
    <w:tmpl w:val="C8FE5586"/>
    <w:lvl w:ilvl="0" w:tplc="8110C32A">
      <w:start w:val="1"/>
      <w:numFmt w:val="decimal"/>
      <w:lvlText w:val="%1."/>
      <w:lvlJc w:val="left"/>
      <w:pPr>
        <w:tabs>
          <w:tab w:val="num" w:pos="360"/>
        </w:tabs>
        <w:ind w:left="360" w:hanging="360"/>
      </w:pPr>
      <w:rPr>
        <w:rFonts w:ascii="Calibri" w:hAnsi="Calibri" w:cs="Times New Roman" w:hint="default"/>
        <w:sz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nsid w:val="65151C5D"/>
    <w:multiLevelType w:val="hybridMultilevel"/>
    <w:tmpl w:val="45A096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AB43AE8"/>
    <w:multiLevelType w:val="hybridMultilevel"/>
    <w:tmpl w:val="F350D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doNotTrackMove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237"/>
    <w:rsid w:val="000336E3"/>
    <w:rsid w:val="00045BC6"/>
    <w:rsid w:val="0005209E"/>
    <w:rsid w:val="000E360D"/>
    <w:rsid w:val="001305FE"/>
    <w:rsid w:val="00132EF4"/>
    <w:rsid w:val="001415A7"/>
    <w:rsid w:val="00160BFF"/>
    <w:rsid w:val="00196F81"/>
    <w:rsid w:val="001B4BA9"/>
    <w:rsid w:val="001E055B"/>
    <w:rsid w:val="00213339"/>
    <w:rsid w:val="002D6599"/>
    <w:rsid w:val="002F799E"/>
    <w:rsid w:val="00300D63"/>
    <w:rsid w:val="00334E08"/>
    <w:rsid w:val="0034742A"/>
    <w:rsid w:val="00353A73"/>
    <w:rsid w:val="00372AAA"/>
    <w:rsid w:val="00382E24"/>
    <w:rsid w:val="00390D5A"/>
    <w:rsid w:val="00396261"/>
    <w:rsid w:val="003B030A"/>
    <w:rsid w:val="00400A38"/>
    <w:rsid w:val="004312F6"/>
    <w:rsid w:val="0047010C"/>
    <w:rsid w:val="00523A90"/>
    <w:rsid w:val="005257AD"/>
    <w:rsid w:val="005E0D58"/>
    <w:rsid w:val="005F18A2"/>
    <w:rsid w:val="005F7600"/>
    <w:rsid w:val="005F788C"/>
    <w:rsid w:val="00670F4E"/>
    <w:rsid w:val="0068494A"/>
    <w:rsid w:val="006D4AB1"/>
    <w:rsid w:val="007645B7"/>
    <w:rsid w:val="007B69AA"/>
    <w:rsid w:val="007E5B07"/>
    <w:rsid w:val="00812E8D"/>
    <w:rsid w:val="0082137A"/>
    <w:rsid w:val="00852237"/>
    <w:rsid w:val="008A56A7"/>
    <w:rsid w:val="008C48D5"/>
    <w:rsid w:val="0091529A"/>
    <w:rsid w:val="009361F2"/>
    <w:rsid w:val="00940A8F"/>
    <w:rsid w:val="00955BE3"/>
    <w:rsid w:val="009650A4"/>
    <w:rsid w:val="009977A3"/>
    <w:rsid w:val="00A24FD4"/>
    <w:rsid w:val="00A31DDC"/>
    <w:rsid w:val="00A5517F"/>
    <w:rsid w:val="00A619B1"/>
    <w:rsid w:val="00A70824"/>
    <w:rsid w:val="00AD02B4"/>
    <w:rsid w:val="00AD3EAF"/>
    <w:rsid w:val="00C519A7"/>
    <w:rsid w:val="00C546F2"/>
    <w:rsid w:val="00C5499B"/>
    <w:rsid w:val="00C66F89"/>
    <w:rsid w:val="00C95014"/>
    <w:rsid w:val="00D2422B"/>
    <w:rsid w:val="00D24D80"/>
    <w:rsid w:val="00D735E2"/>
    <w:rsid w:val="00DB77EC"/>
    <w:rsid w:val="00DC0228"/>
    <w:rsid w:val="00DE0AFA"/>
    <w:rsid w:val="00DF5793"/>
    <w:rsid w:val="00E1504C"/>
    <w:rsid w:val="00E67B05"/>
    <w:rsid w:val="00E72C5C"/>
    <w:rsid w:val="00F2508D"/>
    <w:rsid w:val="00F4088B"/>
    <w:rsid w:val="00F761EA"/>
    <w:rsid w:val="00F87BE6"/>
    <w:rsid w:val="00FB17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237"/>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522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D4AB1"/>
    <w:pPr>
      <w:tabs>
        <w:tab w:val="center" w:pos="4513"/>
        <w:tab w:val="right" w:pos="9026"/>
      </w:tabs>
      <w:spacing w:after="0" w:line="240" w:lineRule="auto"/>
    </w:pPr>
  </w:style>
  <w:style w:type="character" w:customStyle="1" w:styleId="HeaderChar">
    <w:name w:val="Header Char"/>
    <w:link w:val="Header"/>
    <w:uiPriority w:val="99"/>
    <w:semiHidden/>
    <w:locked/>
    <w:rsid w:val="006D4AB1"/>
    <w:rPr>
      <w:rFonts w:ascii="Calibri" w:hAnsi="Calibri" w:cs="Times New Roman"/>
      <w:lang w:val="en-GB"/>
    </w:rPr>
  </w:style>
  <w:style w:type="paragraph" w:styleId="Footer">
    <w:name w:val="footer"/>
    <w:basedOn w:val="Normal"/>
    <w:link w:val="FooterChar"/>
    <w:uiPriority w:val="99"/>
    <w:rsid w:val="006D4AB1"/>
    <w:pPr>
      <w:tabs>
        <w:tab w:val="center" w:pos="4513"/>
        <w:tab w:val="right" w:pos="9026"/>
      </w:tabs>
      <w:spacing w:after="0" w:line="240" w:lineRule="auto"/>
    </w:pPr>
  </w:style>
  <w:style w:type="character" w:customStyle="1" w:styleId="FooterChar">
    <w:name w:val="Footer Char"/>
    <w:link w:val="Footer"/>
    <w:uiPriority w:val="99"/>
    <w:locked/>
    <w:rsid w:val="006D4AB1"/>
    <w:rPr>
      <w:rFonts w:ascii="Calibri" w:hAnsi="Calibri" w:cs="Times New Roman"/>
      <w:lang w:val="en-GB"/>
    </w:rPr>
  </w:style>
  <w:style w:type="paragraph" w:styleId="ListParagraph">
    <w:name w:val="List Paragraph"/>
    <w:basedOn w:val="Normal"/>
    <w:uiPriority w:val="34"/>
    <w:qFormat/>
    <w:rsid w:val="00E72C5C"/>
    <w:pPr>
      <w:ind w:left="720"/>
      <w:contextualSpacing/>
    </w:pPr>
  </w:style>
  <w:style w:type="paragraph" w:styleId="FootnoteText">
    <w:name w:val="footnote text"/>
    <w:basedOn w:val="Normal"/>
    <w:link w:val="FootnoteTextChar"/>
    <w:semiHidden/>
    <w:unhideWhenUsed/>
    <w:rsid w:val="00D735E2"/>
    <w:rPr>
      <w:sz w:val="20"/>
      <w:szCs w:val="20"/>
    </w:rPr>
  </w:style>
  <w:style w:type="character" w:customStyle="1" w:styleId="FootnoteTextChar">
    <w:name w:val="Footnote Text Char"/>
    <w:link w:val="FootnoteText"/>
    <w:uiPriority w:val="99"/>
    <w:semiHidden/>
    <w:rsid w:val="00D735E2"/>
    <w:rPr>
      <w:sz w:val="20"/>
      <w:szCs w:val="20"/>
      <w:lang w:val="en-GB" w:eastAsia="en-US"/>
    </w:rPr>
  </w:style>
  <w:style w:type="character" w:styleId="FootnoteReference">
    <w:name w:val="footnote reference"/>
    <w:semiHidden/>
    <w:unhideWhenUsed/>
    <w:rsid w:val="00D735E2"/>
    <w:rPr>
      <w:vertAlign w:val="superscript"/>
    </w:rPr>
  </w:style>
  <w:style w:type="character" w:styleId="CommentReference">
    <w:name w:val="annotation reference"/>
    <w:uiPriority w:val="99"/>
    <w:semiHidden/>
    <w:unhideWhenUsed/>
    <w:rsid w:val="00196F81"/>
    <w:rPr>
      <w:sz w:val="16"/>
      <w:szCs w:val="16"/>
    </w:rPr>
  </w:style>
  <w:style w:type="paragraph" w:styleId="CommentText">
    <w:name w:val="annotation text"/>
    <w:basedOn w:val="Normal"/>
    <w:link w:val="CommentTextChar"/>
    <w:uiPriority w:val="99"/>
    <w:unhideWhenUsed/>
    <w:rsid w:val="00196F81"/>
    <w:pPr>
      <w:spacing w:line="240" w:lineRule="auto"/>
    </w:pPr>
    <w:rPr>
      <w:sz w:val="20"/>
      <w:szCs w:val="20"/>
    </w:rPr>
  </w:style>
  <w:style w:type="character" w:customStyle="1" w:styleId="CommentTextChar">
    <w:name w:val="Comment Text Char"/>
    <w:link w:val="CommentText"/>
    <w:uiPriority w:val="99"/>
    <w:rsid w:val="00196F81"/>
    <w:rPr>
      <w:sz w:val="20"/>
      <w:szCs w:val="20"/>
      <w:lang w:val="en-GB" w:eastAsia="en-US"/>
    </w:rPr>
  </w:style>
  <w:style w:type="paragraph" w:styleId="BalloonText">
    <w:name w:val="Balloon Text"/>
    <w:basedOn w:val="Normal"/>
    <w:link w:val="BalloonTextChar"/>
    <w:uiPriority w:val="99"/>
    <w:semiHidden/>
    <w:unhideWhenUsed/>
    <w:rsid w:val="00196F8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96F81"/>
    <w:rPr>
      <w:rFonts w:ascii="Tahoma" w:hAnsi="Tahoma" w:cs="Tahoma"/>
      <w:sz w:val="16"/>
      <w:szCs w:val="16"/>
      <w:lang w:val="en-GB" w:eastAsia="en-US"/>
    </w:rPr>
  </w:style>
  <w:style w:type="character" w:styleId="Strong">
    <w:name w:val="Strong"/>
    <w:uiPriority w:val="22"/>
    <w:qFormat/>
    <w:locked/>
    <w:rsid w:val="00196F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417F36-331B-44E1-815C-5561EB694BE3}"/>
</file>

<file path=customXml/itemProps2.xml><?xml version="1.0" encoding="utf-8"?>
<ds:datastoreItem xmlns:ds="http://schemas.openxmlformats.org/officeDocument/2006/customXml" ds:itemID="{22EE7F61-9020-4C51-B19C-5CC80DDA51F4}"/>
</file>

<file path=customXml/itemProps3.xml><?xml version="1.0" encoding="utf-8"?>
<ds:datastoreItem xmlns:ds="http://schemas.openxmlformats.org/officeDocument/2006/customXml" ds:itemID="{EDADF2CF-75CF-4CBD-9A58-C5C40B7986E7}"/>
</file>

<file path=customXml/itemProps4.xml><?xml version="1.0" encoding="utf-8"?>
<ds:datastoreItem xmlns:ds="http://schemas.openxmlformats.org/officeDocument/2006/customXml" ds:itemID="{F2AA06D4-69E3-4BB4-B95D-63B469667674}"/>
</file>

<file path=docProps/app.xml><?xml version="1.0" encoding="utf-8"?>
<Properties xmlns="http://schemas.openxmlformats.org/officeDocument/2006/extended-properties" xmlns:vt="http://schemas.openxmlformats.org/officeDocument/2006/docPropsVTypes">
  <Template>Normal.dotm</Template>
  <TotalTime>0</TotalTime>
  <Pages>4</Pages>
  <Words>1175</Words>
  <Characters>6701</Characters>
  <Application>Microsoft Office Word</Application>
  <DocSecurity>0</DocSecurity>
  <Lines>55</Lines>
  <Paragraphs>15</Paragraphs>
  <ScaleCrop>false</ScaleCrop>
  <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2014-01-22T00:37:00Z</dcterms:created>
  <dcterms:modified xsi:type="dcterms:W3CDTF">2014-01-22T00:37:00Z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Order">
    <vt:r8>10400</vt:r8>
  </property>
  <property fmtid="{D5CDD505-2E9C-101B-9397-08002B2CF9AE}" pid="5" name="PublishingRollupImage">
    <vt:lpwstr/>
  </property>
  <property fmtid="{D5CDD505-2E9C-101B-9397-08002B2CF9AE}" pid="6" name="AusAIDAggregationLevel">
    <vt:lpwstr/>
  </property>
  <property fmtid="{D5CDD505-2E9C-101B-9397-08002B2CF9AE}" pid="7" name="PublishingContactEmail">
    <vt:lpwstr/>
  </property>
  <property fmtid="{D5CDD505-2E9C-101B-9397-08002B2CF9AE}" pid="8" name="AusAIDPageDescriptionMetadata">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AusAIDIdentifierMetadata">
    <vt:lpwstr/>
  </property>
  <property fmtid="{D5CDD505-2E9C-101B-9397-08002B2CF9AE}" pid="14" name="RSS Feed Link">
    <vt:lpwstr/>
  </property>
  <property fmtid="{D5CDD505-2E9C-101B-9397-08002B2CF9AE}" pid="15" name="PublishingVariationRelationshipLinkFieldID">
    <vt:lpwstr/>
  </property>
  <property fmtid="{D5CDD505-2E9C-101B-9397-08002B2CF9AE}" pid="16" name="PublishingContactName">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AusAIDPageSubjectMetadata">
    <vt:lpwstr/>
  </property>
  <property fmtid="{D5CDD505-2E9C-101B-9397-08002B2CF9AE}" pid="22" name="AusAIDCategoryMetadata">
    <vt:lpwstr/>
  </property>
  <property fmtid="{D5CDD505-2E9C-101B-9397-08002B2CF9AE}" pid="23" name="AusAIDDocumentTypeMetaData">
    <vt:lpwstr/>
  </property>
  <property fmtid="{D5CDD505-2E9C-101B-9397-08002B2CF9AE}" pid="24" name="WCMSLanguage">
    <vt:lpwstr/>
  </property>
  <property fmtid="{D5CDD505-2E9C-101B-9397-08002B2CF9AE}" pid="25" name="TemplateUrl">
    <vt:lpwstr/>
  </property>
  <property fmtid="{D5CDD505-2E9C-101B-9397-08002B2CF9AE}" pid="26" name="Audience">
    <vt:lpwstr/>
  </property>
</Properties>
</file>