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4C" w:rsidRPr="00E72C5C" w:rsidRDefault="00DD1E0F" w:rsidP="00852237">
      <w:pPr>
        <w:spacing w:before="40" w:after="40" w:line="240" w:lineRule="auto"/>
        <w:jc w:val="center"/>
        <w:rPr>
          <w:rFonts w:ascii="Arial" w:hAnsi="Arial" w:cs="Arial"/>
          <w:b/>
          <w:sz w:val="24"/>
          <w:szCs w:val="24"/>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ile:Coat of Arms Samoa.svg" href="http://upload.wikimedia.org/wikipedia/commons/f/f9/Coat_of_Arms_Samoa" style="position:absolute;left:0;text-align:left;margin-left:621pt;margin-top:-30.55pt;width:63pt;height:63pt;z-index:-251659264;visibility:visible" wrapcoords="10029 257 2829 4371 1800 5400 257 7971 -257 9771 0 12857 1029 15429 2314 16714 257 17486 1029 20829 7457 21343 14143 21343 20571 20829 21343 17486 19286 16714 20314 15429 21343 12857 21600 10286 21343 8229 19800 5400 18771 4371 11829 257 10029 257" o:button="t">
            <v:fill o:detectmouseclick="t"/>
            <v:imagedata r:id="rId9" o:title=""/>
            <w10:wrap type="through"/>
          </v:shape>
        </w:pict>
      </w:r>
      <w:r>
        <w:rPr>
          <w:noProof/>
          <w:lang w:val="en-AU" w:eastAsia="en-AU"/>
        </w:rPr>
        <w:pict>
          <v:shape id="Picture 2" o:spid="_x0000_s1028" type="#_x0000_t75" style="position:absolute;left:0;text-align:left;margin-left:36pt;margin-top:-30.55pt;width:81pt;height:59.2pt;z-index:251656192;visibility:visible" wrapcoords="-200 0 -200 21327 21600 21327 21600 0 -200 0">
            <v:imagedata r:id="rId10" o:title=""/>
            <w10:wrap type="through"/>
          </v:shape>
        </w:pict>
      </w:r>
      <w:r w:rsidR="00E1504C" w:rsidRPr="00E72C5C">
        <w:rPr>
          <w:rFonts w:ascii="Arial" w:hAnsi="Arial" w:cs="Arial"/>
          <w:b/>
          <w:sz w:val="24"/>
          <w:szCs w:val="24"/>
        </w:rPr>
        <w:t>Samoa – Australia Partnership for Development</w:t>
      </w:r>
    </w:p>
    <w:p w:rsidR="00E1504C" w:rsidRPr="00E72C5C" w:rsidRDefault="001E055B" w:rsidP="00852237">
      <w:pPr>
        <w:spacing w:before="40" w:after="40" w:line="240" w:lineRule="auto"/>
        <w:jc w:val="center"/>
        <w:rPr>
          <w:rFonts w:ascii="Arial" w:hAnsi="Arial" w:cs="Arial"/>
          <w:b/>
          <w:sz w:val="18"/>
          <w:szCs w:val="16"/>
        </w:rPr>
      </w:pPr>
      <w:r>
        <w:rPr>
          <w:rFonts w:ascii="Arial" w:hAnsi="Arial" w:cs="Arial"/>
          <w:b/>
          <w:sz w:val="24"/>
          <w:szCs w:val="16"/>
        </w:rPr>
        <w:t>2012-13</w:t>
      </w:r>
      <w:r w:rsidR="00E1504C" w:rsidRPr="00E72C5C">
        <w:rPr>
          <w:rFonts w:ascii="Arial" w:hAnsi="Arial" w:cs="Arial"/>
          <w:b/>
          <w:sz w:val="24"/>
          <w:szCs w:val="16"/>
        </w:rPr>
        <w:t xml:space="preserve"> Implementation Schedule</w:t>
      </w:r>
    </w:p>
    <w:p w:rsidR="00E1504C" w:rsidRPr="00E72C5C" w:rsidRDefault="00897C0C" w:rsidP="00852237">
      <w:pPr>
        <w:spacing w:before="40" w:after="40" w:line="240" w:lineRule="auto"/>
        <w:jc w:val="center"/>
        <w:rPr>
          <w:rFonts w:ascii="Arial" w:hAnsi="Arial" w:cs="Arial"/>
          <w:b/>
          <w:sz w:val="24"/>
          <w:szCs w:val="16"/>
        </w:rPr>
      </w:pPr>
      <w:r>
        <w:rPr>
          <w:rFonts w:ascii="Arial" w:hAnsi="Arial" w:cs="Arial"/>
          <w:b/>
          <w:sz w:val="24"/>
          <w:szCs w:val="16"/>
        </w:rPr>
        <w:t>Priority Outcome</w:t>
      </w:r>
      <w:r w:rsidR="00E1504C" w:rsidRPr="00E72C5C">
        <w:rPr>
          <w:rFonts w:ascii="Arial" w:hAnsi="Arial" w:cs="Arial"/>
          <w:b/>
          <w:sz w:val="24"/>
          <w:szCs w:val="16"/>
        </w:rPr>
        <w:t xml:space="preserve">: </w:t>
      </w:r>
      <w:r>
        <w:rPr>
          <w:rFonts w:ascii="Arial" w:hAnsi="Arial" w:cs="Arial"/>
          <w:b/>
          <w:sz w:val="24"/>
          <w:szCs w:val="16"/>
        </w:rPr>
        <w:t>Improved Education</w:t>
      </w:r>
    </w:p>
    <w:p w:rsidR="00E1504C" w:rsidRDefault="00E1504C" w:rsidP="00852237">
      <w:pPr>
        <w:spacing w:before="40" w:after="40" w:line="240" w:lineRule="auto"/>
        <w:jc w:val="center"/>
        <w:rPr>
          <w:rFonts w:ascii="Arial" w:hAnsi="Arial" w:cs="Arial"/>
          <w:b/>
          <w:sz w:val="24"/>
          <w:szCs w:val="16"/>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2"/>
        <w:gridCol w:w="9716"/>
        <w:gridCol w:w="2802"/>
        <w:gridCol w:w="1276"/>
      </w:tblGrid>
      <w:tr w:rsidR="00897C0C" w:rsidRPr="00E72C5C" w:rsidTr="00897C0C">
        <w:trPr>
          <w:trHeight w:val="397"/>
        </w:trPr>
        <w:tc>
          <w:tcPr>
            <w:tcW w:w="1482" w:type="dxa"/>
            <w:shd w:val="clear" w:color="auto" w:fill="B8CCE4"/>
            <w:vAlign w:val="center"/>
          </w:tcPr>
          <w:p w:rsidR="00897C0C" w:rsidRPr="00D24D80" w:rsidRDefault="00897C0C" w:rsidP="009D3DEA">
            <w:pPr>
              <w:spacing w:after="0" w:line="240" w:lineRule="auto"/>
              <w:rPr>
                <w:rFonts w:ascii="Arial" w:hAnsi="Arial" w:cs="Arial"/>
                <w:sz w:val="24"/>
                <w:szCs w:val="24"/>
              </w:rPr>
            </w:pPr>
            <w:r w:rsidRPr="00D24D80">
              <w:rPr>
                <w:rFonts w:ascii="Arial" w:hAnsi="Arial" w:cs="Arial"/>
                <w:sz w:val="24"/>
                <w:szCs w:val="24"/>
              </w:rPr>
              <w:t>Aim:</w:t>
            </w:r>
          </w:p>
        </w:tc>
        <w:tc>
          <w:tcPr>
            <w:tcW w:w="9716" w:type="dxa"/>
            <w:vAlign w:val="center"/>
          </w:tcPr>
          <w:p w:rsidR="00897C0C" w:rsidRPr="00897C0C" w:rsidRDefault="00897C0C" w:rsidP="009D3DEA">
            <w:pPr>
              <w:spacing w:after="0" w:line="240" w:lineRule="auto"/>
              <w:rPr>
                <w:rFonts w:ascii="Arial" w:hAnsi="Arial" w:cs="Arial"/>
              </w:rPr>
            </w:pPr>
            <w:r w:rsidRPr="00897C0C">
              <w:rPr>
                <w:rFonts w:ascii="Arial" w:hAnsi="Arial" w:cs="Arial"/>
              </w:rPr>
              <w:t>The Partnership will support Samoa’s ambition to achieve and move beyond MDG targets to address better quality and more equitable education for all.</w:t>
            </w:r>
          </w:p>
        </w:tc>
        <w:tc>
          <w:tcPr>
            <w:tcW w:w="2802" w:type="dxa"/>
            <w:shd w:val="clear" w:color="auto" w:fill="B8CCE4"/>
            <w:vAlign w:val="center"/>
          </w:tcPr>
          <w:p w:rsidR="00897C0C" w:rsidRPr="00D24D80" w:rsidRDefault="00897C0C" w:rsidP="009D3DEA">
            <w:pPr>
              <w:spacing w:after="0" w:line="240" w:lineRule="auto"/>
              <w:jc w:val="center"/>
              <w:rPr>
                <w:rFonts w:ascii="Arial" w:hAnsi="Arial" w:cs="Arial"/>
              </w:rPr>
            </w:pPr>
            <w:r>
              <w:rPr>
                <w:rFonts w:ascii="Arial" w:hAnsi="Arial" w:cs="Arial"/>
                <w:sz w:val="24"/>
              </w:rPr>
              <w:t>Baseline</w:t>
            </w:r>
          </w:p>
        </w:tc>
        <w:tc>
          <w:tcPr>
            <w:tcW w:w="1276" w:type="dxa"/>
            <w:shd w:val="clear" w:color="auto" w:fill="B8CCE4"/>
            <w:vAlign w:val="center"/>
          </w:tcPr>
          <w:p w:rsidR="00897C0C" w:rsidRPr="00D24D80" w:rsidRDefault="00897C0C" w:rsidP="009D3DEA">
            <w:pPr>
              <w:spacing w:after="0" w:line="240" w:lineRule="auto"/>
              <w:jc w:val="center"/>
              <w:rPr>
                <w:rFonts w:ascii="Arial" w:hAnsi="Arial" w:cs="Arial"/>
              </w:rPr>
            </w:pPr>
            <w:r>
              <w:rPr>
                <w:rFonts w:ascii="Arial" w:hAnsi="Arial" w:cs="Arial"/>
              </w:rPr>
              <w:t>Progress</w:t>
            </w:r>
            <w:r>
              <w:rPr>
                <w:rStyle w:val="FootnoteReference"/>
                <w:rFonts w:ascii="Arial" w:hAnsi="Arial" w:cs="Arial"/>
              </w:rPr>
              <w:footnoteReference w:id="1"/>
            </w:r>
          </w:p>
        </w:tc>
      </w:tr>
      <w:tr w:rsidR="00897C0C" w:rsidRPr="00E72C5C" w:rsidTr="009D3DEA">
        <w:trPr>
          <w:trHeight w:val="397"/>
        </w:trPr>
        <w:tc>
          <w:tcPr>
            <w:tcW w:w="1482" w:type="dxa"/>
            <w:vMerge w:val="restart"/>
            <w:tcBorders>
              <w:right w:val="single" w:sz="4" w:space="0" w:color="auto"/>
            </w:tcBorders>
            <w:shd w:val="clear" w:color="auto" w:fill="B8CCE4"/>
            <w:vAlign w:val="center"/>
          </w:tcPr>
          <w:p w:rsidR="00897C0C" w:rsidRPr="00D24D80" w:rsidRDefault="00897C0C" w:rsidP="009D3DEA">
            <w:pPr>
              <w:spacing w:after="0" w:line="240" w:lineRule="auto"/>
              <w:rPr>
                <w:rFonts w:ascii="Arial" w:hAnsi="Arial" w:cs="Arial"/>
                <w:sz w:val="24"/>
                <w:szCs w:val="24"/>
              </w:rPr>
            </w:pPr>
            <w:r w:rsidRPr="00D24D80">
              <w:rPr>
                <w:rFonts w:ascii="Arial" w:hAnsi="Arial" w:cs="Arial"/>
                <w:sz w:val="24"/>
                <w:szCs w:val="24"/>
              </w:rPr>
              <w:t>Targets for 2015:</w:t>
            </w:r>
          </w:p>
        </w:tc>
        <w:tc>
          <w:tcPr>
            <w:tcW w:w="9716" w:type="dxa"/>
            <w:tcBorders>
              <w:top w:val="single" w:sz="4" w:space="0" w:color="auto"/>
              <w:left w:val="single" w:sz="4" w:space="0" w:color="auto"/>
              <w:bottom w:val="nil"/>
              <w:right w:val="single" w:sz="4" w:space="0" w:color="auto"/>
            </w:tcBorders>
            <w:vAlign w:val="center"/>
          </w:tcPr>
          <w:p w:rsidR="00897C0C" w:rsidRPr="00897C0C" w:rsidRDefault="00897C0C" w:rsidP="009D3DEA">
            <w:pPr>
              <w:spacing w:after="0" w:line="240" w:lineRule="auto"/>
              <w:rPr>
                <w:rFonts w:ascii="Arial" w:hAnsi="Arial" w:cs="Arial"/>
              </w:rPr>
            </w:pPr>
            <w:r w:rsidRPr="00897C0C">
              <w:rPr>
                <w:rFonts w:ascii="Arial" w:hAnsi="Arial" w:cs="Arial"/>
              </w:rPr>
              <w:t>1. Improved literacy through reducing number of at risk students at Year 4 and Year 6</w:t>
            </w:r>
          </w:p>
        </w:tc>
        <w:tc>
          <w:tcPr>
            <w:tcW w:w="2802" w:type="dxa"/>
            <w:tcBorders>
              <w:top w:val="single" w:sz="4" w:space="0" w:color="auto"/>
              <w:left w:val="single" w:sz="4" w:space="0" w:color="auto"/>
              <w:bottom w:val="nil"/>
              <w:right w:val="single" w:sz="4" w:space="0" w:color="auto"/>
            </w:tcBorders>
          </w:tcPr>
          <w:p w:rsidR="00897C0C" w:rsidRPr="00216CAC" w:rsidRDefault="00897C0C" w:rsidP="009D3DEA">
            <w:pPr>
              <w:numPr>
                <w:ilvl w:val="0"/>
                <w:numId w:val="3"/>
              </w:numPr>
              <w:spacing w:after="0" w:line="240" w:lineRule="auto"/>
              <w:ind w:left="357" w:hanging="357"/>
              <w:rPr>
                <w:rFonts w:ascii="Arial" w:hAnsi="Arial" w:cs="Arial"/>
                <w:sz w:val="16"/>
                <w:szCs w:val="16"/>
                <w:u w:val="single"/>
              </w:rPr>
            </w:pPr>
            <w:r w:rsidRPr="00216CAC">
              <w:rPr>
                <w:u w:val="single"/>
              </w:rPr>
              <w:t>Year 4</w:t>
            </w:r>
            <w:r w:rsidRPr="00216CAC">
              <w:rPr>
                <w:rStyle w:val="FootnoteReference"/>
                <w:u w:val="single"/>
              </w:rPr>
              <w:footnoteReference w:id="2"/>
            </w:r>
          </w:p>
          <w:p w:rsidR="00897C0C" w:rsidRPr="001A2E18" w:rsidRDefault="00897C0C" w:rsidP="009D3DEA">
            <w:pPr>
              <w:spacing w:after="0" w:line="240" w:lineRule="auto"/>
              <w:rPr>
                <w:u w:val="single"/>
              </w:rPr>
            </w:pPr>
            <w:r>
              <w:t xml:space="preserve">                  </w:t>
            </w:r>
            <w:r w:rsidRPr="001A2E18">
              <w:rPr>
                <w:u w:val="single"/>
              </w:rPr>
              <w:t>2008          2010</w:t>
            </w:r>
          </w:p>
          <w:p w:rsidR="00897C0C" w:rsidRDefault="00897C0C" w:rsidP="009D3DEA">
            <w:pPr>
              <w:spacing w:after="0" w:line="240" w:lineRule="auto"/>
            </w:pPr>
            <w:r>
              <w:t>English       20%            23%</w:t>
            </w:r>
          </w:p>
          <w:p w:rsidR="00897C0C" w:rsidRDefault="00897C0C" w:rsidP="009D3DEA">
            <w:pPr>
              <w:spacing w:after="0" w:line="240" w:lineRule="auto"/>
            </w:pPr>
            <w:r>
              <w:t>Samoan     23%           16%      Numeracy 27%           19%</w:t>
            </w:r>
          </w:p>
          <w:p w:rsidR="00897C0C" w:rsidRPr="00216CAC" w:rsidRDefault="00897C0C" w:rsidP="009D3DEA">
            <w:pPr>
              <w:spacing w:after="0" w:line="240" w:lineRule="auto"/>
              <w:rPr>
                <w:u w:val="single"/>
              </w:rPr>
            </w:pPr>
            <w:r>
              <w:t xml:space="preserve">      </w:t>
            </w:r>
            <w:r w:rsidRPr="00216CAC">
              <w:rPr>
                <w:u w:val="single"/>
              </w:rPr>
              <w:t>Year 6</w:t>
            </w:r>
          </w:p>
          <w:p w:rsidR="00897C0C" w:rsidRPr="001A2E18" w:rsidRDefault="00897C0C" w:rsidP="009D3DEA">
            <w:pPr>
              <w:spacing w:after="0" w:line="240" w:lineRule="auto"/>
              <w:rPr>
                <w:u w:val="single"/>
              </w:rPr>
            </w:pPr>
            <w:r>
              <w:t xml:space="preserve">                    </w:t>
            </w:r>
            <w:r w:rsidRPr="001A2E18">
              <w:rPr>
                <w:u w:val="single"/>
              </w:rPr>
              <w:t>2008         2010</w:t>
            </w:r>
          </w:p>
          <w:p w:rsidR="00897C0C" w:rsidRPr="004C504A" w:rsidRDefault="00897C0C" w:rsidP="00897C0C">
            <w:pPr>
              <w:spacing w:after="0" w:line="240" w:lineRule="auto"/>
            </w:pPr>
            <w:r>
              <w:t>English        60%         36% Samoan      15%          16% Numeracy  60%          49%</w:t>
            </w:r>
          </w:p>
        </w:tc>
        <w:tc>
          <w:tcPr>
            <w:tcW w:w="1276" w:type="dxa"/>
            <w:tcBorders>
              <w:top w:val="single" w:sz="4" w:space="0" w:color="auto"/>
              <w:left w:val="single" w:sz="4" w:space="0" w:color="auto"/>
              <w:bottom w:val="nil"/>
              <w:right w:val="single" w:sz="4" w:space="0" w:color="auto"/>
            </w:tcBorders>
            <w:vAlign w:val="center"/>
          </w:tcPr>
          <w:p w:rsidR="00897C0C" w:rsidRPr="00897C0C" w:rsidRDefault="00897C0C" w:rsidP="009D3DEA">
            <w:pPr>
              <w:spacing w:after="0" w:line="240" w:lineRule="auto"/>
              <w:jc w:val="center"/>
              <w:rPr>
                <w:rFonts w:cs="Calibri"/>
              </w:rPr>
            </w:pPr>
            <w:r w:rsidRPr="00897C0C">
              <w:rPr>
                <w:rFonts w:cs="Calibri"/>
              </w:rPr>
              <w:t>On track</w:t>
            </w:r>
          </w:p>
        </w:tc>
      </w:tr>
      <w:tr w:rsidR="00897C0C" w:rsidRPr="00E72C5C" w:rsidTr="009D3DEA">
        <w:trPr>
          <w:trHeight w:val="397"/>
        </w:trPr>
        <w:tc>
          <w:tcPr>
            <w:tcW w:w="1482" w:type="dxa"/>
            <w:vMerge/>
            <w:tcBorders>
              <w:right w:val="single" w:sz="4" w:space="0" w:color="auto"/>
            </w:tcBorders>
            <w:shd w:val="clear" w:color="auto" w:fill="B8CCE4"/>
          </w:tcPr>
          <w:p w:rsidR="00897C0C" w:rsidRPr="00D24D80" w:rsidRDefault="00897C0C" w:rsidP="009D3DEA">
            <w:pPr>
              <w:spacing w:after="0" w:line="240" w:lineRule="auto"/>
              <w:rPr>
                <w:rFonts w:ascii="Arial" w:hAnsi="Arial" w:cs="Arial"/>
                <w:sz w:val="24"/>
                <w:szCs w:val="24"/>
              </w:rPr>
            </w:pPr>
          </w:p>
        </w:tc>
        <w:tc>
          <w:tcPr>
            <w:tcW w:w="9716" w:type="dxa"/>
            <w:tcBorders>
              <w:top w:val="nil"/>
              <w:left w:val="single" w:sz="4" w:space="0" w:color="auto"/>
              <w:bottom w:val="nil"/>
              <w:right w:val="single" w:sz="4" w:space="0" w:color="auto"/>
            </w:tcBorders>
            <w:shd w:val="clear" w:color="auto" w:fill="D9D9D9"/>
            <w:vAlign w:val="center"/>
          </w:tcPr>
          <w:p w:rsidR="00897C0C" w:rsidRPr="00897C0C" w:rsidRDefault="00897C0C" w:rsidP="009D3DEA">
            <w:pPr>
              <w:spacing w:after="0" w:line="240" w:lineRule="auto"/>
              <w:rPr>
                <w:rFonts w:ascii="Arial" w:hAnsi="Arial" w:cs="Arial"/>
              </w:rPr>
            </w:pPr>
            <w:r w:rsidRPr="00897C0C">
              <w:rPr>
                <w:rFonts w:ascii="Arial" w:hAnsi="Arial" w:cs="Arial"/>
              </w:rPr>
              <w:t>2. Increased primary net enrolment ratio over 2008–2012</w:t>
            </w:r>
          </w:p>
        </w:tc>
        <w:tc>
          <w:tcPr>
            <w:tcW w:w="2802" w:type="dxa"/>
            <w:tcBorders>
              <w:top w:val="nil"/>
              <w:left w:val="single" w:sz="4" w:space="0" w:color="auto"/>
              <w:bottom w:val="nil"/>
              <w:right w:val="single" w:sz="4" w:space="0" w:color="auto"/>
            </w:tcBorders>
            <w:shd w:val="clear" w:color="auto" w:fill="D9D9D9"/>
          </w:tcPr>
          <w:p w:rsidR="00897C0C" w:rsidRDefault="00897C0C" w:rsidP="009D3DEA">
            <w:pPr>
              <w:spacing w:beforeLines="20" w:before="48" w:afterLines="20" w:after="48" w:line="240" w:lineRule="auto"/>
              <w:ind w:left="178" w:hanging="180"/>
              <w:rPr>
                <w:rFonts w:cs="Arial"/>
                <w:lang w:val="en-US"/>
              </w:rPr>
            </w:pPr>
            <w:r w:rsidRPr="004C504A">
              <w:rPr>
                <w:rFonts w:cs="Arial"/>
                <w:lang w:val="en-US"/>
              </w:rPr>
              <w:t>2.  83.6 %</w:t>
            </w:r>
            <w:r>
              <w:rPr>
                <w:rFonts w:cs="Arial"/>
                <w:lang w:val="en-US"/>
              </w:rPr>
              <w:t xml:space="preserve"> (2008)   </w:t>
            </w:r>
          </w:p>
          <w:p w:rsidR="00897C0C" w:rsidRPr="004C504A" w:rsidRDefault="00897C0C" w:rsidP="009D3DEA">
            <w:pPr>
              <w:spacing w:beforeLines="20" w:before="48" w:afterLines="20" w:after="48" w:line="240" w:lineRule="auto"/>
              <w:ind w:left="178" w:hanging="180"/>
              <w:rPr>
                <w:rFonts w:cs="Arial"/>
                <w:lang w:val="en-US"/>
              </w:rPr>
            </w:pPr>
            <w:r>
              <w:rPr>
                <w:rFonts w:cs="Arial"/>
                <w:lang w:val="en-US"/>
              </w:rPr>
              <w:t xml:space="preserve">     83.3%  (2010)</w:t>
            </w:r>
          </w:p>
        </w:tc>
        <w:tc>
          <w:tcPr>
            <w:tcW w:w="1276" w:type="dxa"/>
            <w:tcBorders>
              <w:top w:val="nil"/>
              <w:left w:val="single" w:sz="4" w:space="0" w:color="auto"/>
              <w:bottom w:val="nil"/>
              <w:right w:val="single" w:sz="4" w:space="0" w:color="auto"/>
            </w:tcBorders>
            <w:shd w:val="clear" w:color="auto" w:fill="D9D9D9"/>
            <w:vAlign w:val="center"/>
          </w:tcPr>
          <w:p w:rsidR="00897C0C" w:rsidRPr="00897C0C" w:rsidRDefault="00897C0C" w:rsidP="009D3DEA">
            <w:pPr>
              <w:spacing w:after="0" w:line="240" w:lineRule="auto"/>
              <w:ind w:left="34"/>
              <w:jc w:val="center"/>
              <w:rPr>
                <w:rFonts w:cs="Calibri"/>
              </w:rPr>
            </w:pPr>
            <w:r w:rsidRPr="00897C0C">
              <w:rPr>
                <w:rFonts w:cs="Calibri"/>
              </w:rPr>
              <w:t>Partly on track</w:t>
            </w:r>
          </w:p>
        </w:tc>
      </w:tr>
      <w:tr w:rsidR="00897C0C" w:rsidRPr="00E72C5C" w:rsidTr="009D3DEA">
        <w:trPr>
          <w:trHeight w:val="397"/>
        </w:trPr>
        <w:tc>
          <w:tcPr>
            <w:tcW w:w="1482" w:type="dxa"/>
            <w:vMerge/>
            <w:tcBorders>
              <w:right w:val="single" w:sz="4" w:space="0" w:color="auto"/>
            </w:tcBorders>
            <w:shd w:val="clear" w:color="auto" w:fill="B8CCE4"/>
          </w:tcPr>
          <w:p w:rsidR="00897C0C" w:rsidRPr="00D24D80" w:rsidRDefault="00897C0C" w:rsidP="009D3DEA">
            <w:pPr>
              <w:spacing w:after="0" w:line="240" w:lineRule="auto"/>
              <w:rPr>
                <w:rFonts w:ascii="Arial" w:hAnsi="Arial" w:cs="Arial"/>
                <w:sz w:val="24"/>
                <w:szCs w:val="24"/>
              </w:rPr>
            </w:pPr>
          </w:p>
        </w:tc>
        <w:tc>
          <w:tcPr>
            <w:tcW w:w="9716" w:type="dxa"/>
            <w:tcBorders>
              <w:top w:val="nil"/>
              <w:left w:val="single" w:sz="4" w:space="0" w:color="auto"/>
              <w:bottom w:val="nil"/>
              <w:right w:val="single" w:sz="4" w:space="0" w:color="auto"/>
            </w:tcBorders>
            <w:vAlign w:val="center"/>
          </w:tcPr>
          <w:p w:rsidR="00897C0C" w:rsidRPr="00897C0C" w:rsidRDefault="00897C0C" w:rsidP="009D3DEA">
            <w:pPr>
              <w:spacing w:after="0" w:line="240" w:lineRule="auto"/>
              <w:rPr>
                <w:rFonts w:ascii="Arial" w:hAnsi="Arial" w:cs="Arial"/>
              </w:rPr>
            </w:pPr>
            <w:r w:rsidRPr="00897C0C">
              <w:rPr>
                <w:rFonts w:ascii="Arial" w:hAnsi="Arial" w:cs="Arial"/>
              </w:rPr>
              <w:t>3. Increased proportion of boys and girls commencing Year 1 and reaching Year 8</w:t>
            </w:r>
          </w:p>
        </w:tc>
        <w:tc>
          <w:tcPr>
            <w:tcW w:w="2802" w:type="dxa"/>
            <w:tcBorders>
              <w:top w:val="nil"/>
              <w:left w:val="single" w:sz="4" w:space="0" w:color="auto"/>
              <w:bottom w:val="nil"/>
              <w:right w:val="single" w:sz="4" w:space="0" w:color="auto"/>
            </w:tcBorders>
          </w:tcPr>
          <w:p w:rsidR="00897C0C" w:rsidRDefault="00897C0C" w:rsidP="009D3DEA">
            <w:pPr>
              <w:spacing w:beforeLines="20" w:before="48" w:afterLines="20" w:after="48" w:line="240" w:lineRule="auto"/>
              <w:rPr>
                <w:lang w:val="en-AU"/>
              </w:rPr>
            </w:pPr>
            <w:r>
              <w:rPr>
                <w:lang w:val="en-AU"/>
              </w:rPr>
              <w:t xml:space="preserve">3. </w:t>
            </w:r>
            <w:r w:rsidRPr="004C504A">
              <w:rPr>
                <w:lang w:val="en-AU"/>
              </w:rPr>
              <w:t xml:space="preserve"> 81.1 %</w:t>
            </w:r>
            <w:r>
              <w:rPr>
                <w:lang w:val="en-AU"/>
              </w:rPr>
              <w:t xml:space="preserve"> (2008)</w:t>
            </w:r>
          </w:p>
          <w:p w:rsidR="00897C0C" w:rsidRPr="004C504A" w:rsidRDefault="00897C0C" w:rsidP="009D3DEA">
            <w:pPr>
              <w:spacing w:beforeLines="20" w:before="48" w:afterLines="20" w:after="48" w:line="240" w:lineRule="auto"/>
              <w:rPr>
                <w:lang w:val="en-AU"/>
              </w:rPr>
            </w:pPr>
            <w:r>
              <w:rPr>
                <w:lang w:val="en-AU"/>
              </w:rPr>
              <w:t xml:space="preserve">     83%      (2010)</w:t>
            </w:r>
          </w:p>
        </w:tc>
        <w:tc>
          <w:tcPr>
            <w:tcW w:w="1276" w:type="dxa"/>
            <w:tcBorders>
              <w:top w:val="nil"/>
              <w:left w:val="single" w:sz="4" w:space="0" w:color="auto"/>
              <w:bottom w:val="nil"/>
              <w:right w:val="single" w:sz="4" w:space="0" w:color="auto"/>
            </w:tcBorders>
            <w:vAlign w:val="center"/>
          </w:tcPr>
          <w:p w:rsidR="00897C0C" w:rsidRPr="00897C0C" w:rsidRDefault="00897C0C" w:rsidP="009D3DEA">
            <w:pPr>
              <w:spacing w:after="0" w:line="240" w:lineRule="auto"/>
              <w:jc w:val="center"/>
              <w:rPr>
                <w:rFonts w:cs="Calibri"/>
              </w:rPr>
            </w:pPr>
            <w:r w:rsidRPr="00897C0C">
              <w:rPr>
                <w:rFonts w:cs="Calibri"/>
              </w:rPr>
              <w:t>Partly on track</w:t>
            </w:r>
          </w:p>
        </w:tc>
      </w:tr>
      <w:tr w:rsidR="00897C0C" w:rsidRPr="00E72C5C" w:rsidTr="009D3DEA">
        <w:trPr>
          <w:trHeight w:val="397"/>
        </w:trPr>
        <w:tc>
          <w:tcPr>
            <w:tcW w:w="1482" w:type="dxa"/>
            <w:vMerge/>
            <w:tcBorders>
              <w:right w:val="single" w:sz="4" w:space="0" w:color="auto"/>
            </w:tcBorders>
            <w:shd w:val="clear" w:color="auto" w:fill="B8CCE4"/>
          </w:tcPr>
          <w:p w:rsidR="00897C0C" w:rsidRPr="00D24D80" w:rsidRDefault="00897C0C" w:rsidP="009D3DEA">
            <w:pPr>
              <w:spacing w:after="0" w:line="240" w:lineRule="auto"/>
              <w:rPr>
                <w:rFonts w:ascii="Arial" w:hAnsi="Arial" w:cs="Arial"/>
                <w:sz w:val="24"/>
                <w:szCs w:val="24"/>
              </w:rPr>
            </w:pPr>
          </w:p>
        </w:tc>
        <w:tc>
          <w:tcPr>
            <w:tcW w:w="9716" w:type="dxa"/>
            <w:tcBorders>
              <w:top w:val="nil"/>
              <w:left w:val="single" w:sz="4" w:space="0" w:color="auto"/>
              <w:bottom w:val="nil"/>
              <w:right w:val="single" w:sz="4" w:space="0" w:color="auto"/>
            </w:tcBorders>
            <w:shd w:val="clear" w:color="auto" w:fill="D9D9D9"/>
            <w:vAlign w:val="center"/>
          </w:tcPr>
          <w:p w:rsidR="00897C0C" w:rsidRPr="00897C0C" w:rsidRDefault="00897C0C" w:rsidP="009D3DEA">
            <w:pPr>
              <w:spacing w:after="0" w:line="240" w:lineRule="auto"/>
              <w:rPr>
                <w:rFonts w:ascii="Arial" w:hAnsi="Arial" w:cs="Arial"/>
              </w:rPr>
            </w:pPr>
            <w:r w:rsidRPr="00897C0C">
              <w:rPr>
                <w:rFonts w:ascii="Arial" w:hAnsi="Arial" w:cs="Arial"/>
              </w:rPr>
              <w:t>4. Increased access of boys and girls with disability to quality education</w:t>
            </w:r>
          </w:p>
        </w:tc>
        <w:tc>
          <w:tcPr>
            <w:tcW w:w="2802" w:type="dxa"/>
            <w:tcBorders>
              <w:top w:val="nil"/>
              <w:left w:val="single" w:sz="4" w:space="0" w:color="auto"/>
              <w:bottom w:val="nil"/>
              <w:right w:val="single" w:sz="4" w:space="0" w:color="auto"/>
            </w:tcBorders>
            <w:shd w:val="clear" w:color="auto" w:fill="D9D9D9"/>
          </w:tcPr>
          <w:p w:rsidR="00897C0C" w:rsidRPr="00C11C79" w:rsidRDefault="00897C0C" w:rsidP="009D3DEA">
            <w:pPr>
              <w:tabs>
                <w:tab w:val="num" w:pos="360"/>
              </w:tabs>
              <w:spacing w:beforeLines="20" w:before="48" w:afterLines="20" w:after="48" w:line="240" w:lineRule="auto"/>
              <w:rPr>
                <w:lang w:val="en-AU"/>
              </w:rPr>
            </w:pPr>
            <w:r>
              <w:rPr>
                <w:lang w:val="en-AU"/>
              </w:rPr>
              <w:t>4. Number of children with a disability in mainstream schooling: 105 (2010)</w:t>
            </w:r>
          </w:p>
        </w:tc>
        <w:tc>
          <w:tcPr>
            <w:tcW w:w="1276" w:type="dxa"/>
            <w:tcBorders>
              <w:top w:val="nil"/>
              <w:left w:val="single" w:sz="4" w:space="0" w:color="auto"/>
              <w:bottom w:val="nil"/>
              <w:right w:val="single" w:sz="4" w:space="0" w:color="auto"/>
            </w:tcBorders>
            <w:shd w:val="clear" w:color="auto" w:fill="D9D9D9"/>
            <w:vAlign w:val="center"/>
          </w:tcPr>
          <w:p w:rsidR="00897C0C" w:rsidRPr="00897C0C" w:rsidRDefault="00897C0C" w:rsidP="009D3DEA">
            <w:pPr>
              <w:spacing w:after="0" w:line="240" w:lineRule="auto"/>
              <w:jc w:val="center"/>
              <w:rPr>
                <w:rFonts w:cs="Calibri"/>
              </w:rPr>
            </w:pPr>
            <w:r w:rsidRPr="00897C0C">
              <w:rPr>
                <w:rFonts w:cs="Calibri"/>
              </w:rPr>
              <w:t>On track</w:t>
            </w:r>
          </w:p>
        </w:tc>
      </w:tr>
      <w:tr w:rsidR="00897C0C" w:rsidRPr="00E72C5C" w:rsidTr="009D3DEA">
        <w:trPr>
          <w:trHeight w:val="397"/>
        </w:trPr>
        <w:tc>
          <w:tcPr>
            <w:tcW w:w="1482" w:type="dxa"/>
            <w:vMerge/>
            <w:tcBorders>
              <w:right w:val="single" w:sz="4" w:space="0" w:color="auto"/>
            </w:tcBorders>
            <w:shd w:val="clear" w:color="auto" w:fill="B8CCE4"/>
          </w:tcPr>
          <w:p w:rsidR="00897C0C" w:rsidRPr="00D24D80" w:rsidRDefault="00897C0C" w:rsidP="009D3DEA">
            <w:pPr>
              <w:spacing w:after="0" w:line="240" w:lineRule="auto"/>
              <w:rPr>
                <w:rFonts w:ascii="Arial" w:hAnsi="Arial" w:cs="Arial"/>
                <w:sz w:val="24"/>
                <w:szCs w:val="24"/>
              </w:rPr>
            </w:pPr>
          </w:p>
        </w:tc>
        <w:tc>
          <w:tcPr>
            <w:tcW w:w="9716" w:type="dxa"/>
            <w:tcBorders>
              <w:top w:val="nil"/>
              <w:left w:val="single" w:sz="4" w:space="0" w:color="auto"/>
              <w:bottom w:val="single" w:sz="4" w:space="0" w:color="auto"/>
              <w:right w:val="single" w:sz="4" w:space="0" w:color="auto"/>
            </w:tcBorders>
            <w:vAlign w:val="center"/>
          </w:tcPr>
          <w:p w:rsidR="00897C0C" w:rsidRPr="00897C0C" w:rsidRDefault="00897C0C" w:rsidP="009D3DEA">
            <w:pPr>
              <w:spacing w:after="0" w:line="240" w:lineRule="auto"/>
              <w:rPr>
                <w:rFonts w:ascii="Arial" w:hAnsi="Arial" w:cs="Arial"/>
              </w:rPr>
            </w:pPr>
            <w:r w:rsidRPr="00897C0C">
              <w:rPr>
                <w:rFonts w:ascii="Arial" w:hAnsi="Arial" w:cs="Arial"/>
              </w:rPr>
              <w:t>5. Increased number of skilled Samoans available to fill priority workforce needs</w:t>
            </w:r>
          </w:p>
        </w:tc>
        <w:tc>
          <w:tcPr>
            <w:tcW w:w="2802" w:type="dxa"/>
            <w:tcBorders>
              <w:top w:val="nil"/>
              <w:left w:val="single" w:sz="4" w:space="0" w:color="auto"/>
              <w:bottom w:val="single" w:sz="4" w:space="0" w:color="auto"/>
              <w:right w:val="single" w:sz="4" w:space="0" w:color="auto"/>
            </w:tcBorders>
          </w:tcPr>
          <w:p w:rsidR="00897C0C" w:rsidRDefault="00897C0C" w:rsidP="009D3DEA">
            <w:pPr>
              <w:tabs>
                <w:tab w:val="num" w:pos="360"/>
              </w:tabs>
              <w:spacing w:beforeLines="20" w:before="48" w:afterLines="20" w:after="48" w:line="240" w:lineRule="auto"/>
              <w:rPr>
                <w:lang w:val="en-AU"/>
              </w:rPr>
            </w:pPr>
            <w:r>
              <w:rPr>
                <w:lang w:val="en-AU"/>
              </w:rPr>
              <w:t>5. Vacancy rate as % of  total employment: 4% (2007)</w:t>
            </w:r>
          </w:p>
          <w:p w:rsidR="00897C0C" w:rsidRPr="00C11C79" w:rsidRDefault="00897C0C" w:rsidP="009D3DEA">
            <w:pPr>
              <w:spacing w:beforeLines="20" w:before="48" w:afterLines="20" w:after="48" w:line="240" w:lineRule="auto"/>
              <w:rPr>
                <w:lang w:val="en-AU"/>
              </w:rPr>
            </w:pPr>
            <w:r>
              <w:rPr>
                <w:lang w:val="en-AU"/>
              </w:rPr>
              <w:t>% industry identifying skill shortages: 30% (2007)</w:t>
            </w:r>
          </w:p>
        </w:tc>
        <w:tc>
          <w:tcPr>
            <w:tcW w:w="1276" w:type="dxa"/>
            <w:tcBorders>
              <w:top w:val="nil"/>
              <w:left w:val="single" w:sz="4" w:space="0" w:color="auto"/>
              <w:bottom w:val="single" w:sz="4" w:space="0" w:color="auto"/>
              <w:right w:val="single" w:sz="4" w:space="0" w:color="auto"/>
            </w:tcBorders>
            <w:vAlign w:val="center"/>
          </w:tcPr>
          <w:p w:rsidR="00897C0C" w:rsidRPr="00897C0C" w:rsidRDefault="00897C0C" w:rsidP="009D3DEA">
            <w:pPr>
              <w:spacing w:after="0" w:line="240" w:lineRule="auto"/>
              <w:jc w:val="center"/>
              <w:rPr>
                <w:rFonts w:cs="Calibri"/>
              </w:rPr>
            </w:pPr>
            <w:r w:rsidRPr="00897C0C">
              <w:rPr>
                <w:rFonts w:cs="Calibri"/>
              </w:rPr>
              <w:t>On track</w:t>
            </w:r>
          </w:p>
        </w:tc>
      </w:tr>
    </w:tbl>
    <w:p w:rsidR="00897C0C" w:rsidRPr="00E72C5C" w:rsidRDefault="00897C0C" w:rsidP="00852237">
      <w:pPr>
        <w:spacing w:before="40" w:after="40" w:line="240" w:lineRule="auto"/>
        <w:jc w:val="center"/>
        <w:rPr>
          <w:rFonts w:ascii="Arial" w:hAnsi="Arial" w:cs="Arial"/>
          <w:b/>
          <w:sz w:val="24"/>
          <w:szCs w:val="16"/>
        </w:rPr>
      </w:pPr>
    </w:p>
    <w:p w:rsidR="00E1504C" w:rsidRPr="00E72C5C" w:rsidRDefault="00E1504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850"/>
        <w:gridCol w:w="3260"/>
        <w:gridCol w:w="851"/>
        <w:gridCol w:w="3827"/>
        <w:gridCol w:w="2552"/>
      </w:tblGrid>
      <w:tr w:rsidR="00E1504C" w:rsidRPr="00E72C5C" w:rsidTr="00C519A7">
        <w:trPr>
          <w:trHeight w:val="340"/>
        </w:trPr>
        <w:tc>
          <w:tcPr>
            <w:tcW w:w="3936" w:type="dxa"/>
            <w:tcBorders>
              <w:bottom w:val="single" w:sz="4" w:space="0" w:color="auto"/>
            </w:tcBorders>
            <w:shd w:val="clear" w:color="auto" w:fill="DBE5F1"/>
            <w:vAlign w:val="center"/>
          </w:tcPr>
          <w:p w:rsidR="00E1504C" w:rsidRPr="00D24D80" w:rsidRDefault="00E1504C" w:rsidP="00C519A7">
            <w:pPr>
              <w:spacing w:after="0" w:line="240" w:lineRule="auto"/>
              <w:rPr>
                <w:rFonts w:ascii="Arial" w:hAnsi="Arial" w:cs="Arial"/>
              </w:rPr>
            </w:pPr>
            <w:r w:rsidRPr="00D24D80">
              <w:rPr>
                <w:rFonts w:ascii="Arial" w:hAnsi="Arial" w:cs="Arial"/>
                <w:sz w:val="18"/>
                <w:szCs w:val="18"/>
              </w:rPr>
              <w:lastRenderedPageBreak/>
              <w:t xml:space="preserve">Partnership </w:t>
            </w:r>
            <w:r w:rsidRPr="00D24D80">
              <w:rPr>
                <w:rFonts w:ascii="Arial" w:hAnsi="Arial" w:cs="Arial"/>
                <w:b/>
                <w:sz w:val="18"/>
                <w:szCs w:val="18"/>
              </w:rPr>
              <w:t>outputs</w:t>
            </w:r>
            <w:r w:rsidRPr="00D24D80">
              <w:rPr>
                <w:rFonts w:ascii="Arial" w:hAnsi="Arial" w:cs="Arial"/>
                <w:sz w:val="18"/>
                <w:szCs w:val="18"/>
              </w:rPr>
              <w:t xml:space="preserve"> for 201</w:t>
            </w:r>
            <w:r w:rsidR="001E055B">
              <w:rPr>
                <w:rFonts w:ascii="Arial" w:hAnsi="Arial" w:cs="Arial"/>
                <w:sz w:val="18"/>
                <w:szCs w:val="18"/>
              </w:rPr>
              <w:t>2-13</w:t>
            </w:r>
          </w:p>
        </w:tc>
        <w:tc>
          <w:tcPr>
            <w:tcW w:w="850" w:type="dxa"/>
            <w:vMerge w:val="restart"/>
            <w:tcBorders>
              <w:top w:val="nil"/>
            </w:tcBorders>
            <w:vAlign w:val="center"/>
          </w:tcPr>
          <w:p w:rsidR="00E1504C" w:rsidRPr="00D24D80" w:rsidRDefault="00DD1E0F" w:rsidP="00C519A7">
            <w:pPr>
              <w:spacing w:after="0" w:line="240" w:lineRule="auto"/>
              <w:rPr>
                <w:rFonts w:ascii="Arial" w:hAnsi="Arial" w:cs="Arial"/>
              </w:rPr>
            </w:pPr>
            <w:r>
              <w:rPr>
                <w:noProof/>
                <w:lang w:val="en-AU" w:eastAsia="en-AU"/>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9" type="#_x0000_t11" style="position:absolute;margin-left:2.1pt;margin-top:42.55pt;width:27pt;height:27pt;z-index:-251658240;mso-position-horizontal-relative:text;mso-position-vertical-relative:text" wrapcoords="6000 -600 -600 6600 -600 15600 5400 18600 6600 22800 15600 22800 15600 18600 20400 18600 22200 15600 22200 7200 15000 -600 6000 -600" adj="7200" fillcolor="#95b3d7" strokecolor="#4f81bd" strokeweight="1pt">
                  <v:fill color2="#4f81bd" focus="50%" type="gradient"/>
                  <v:stroke endcap="round"/>
                  <v:shadow on="t" type="perspective" color="#243f60" offset="1pt" offset2="-3pt"/>
                  <w10:wrap type="tight"/>
                </v:shape>
              </w:pict>
            </w:r>
          </w:p>
        </w:tc>
        <w:tc>
          <w:tcPr>
            <w:tcW w:w="3260" w:type="dxa"/>
            <w:tcBorders>
              <w:bottom w:val="single" w:sz="4" w:space="0" w:color="auto"/>
            </w:tcBorders>
            <w:shd w:val="clear" w:color="auto" w:fill="DBE5F1"/>
            <w:vAlign w:val="center"/>
          </w:tcPr>
          <w:p w:rsidR="00E1504C" w:rsidRPr="00D24D80" w:rsidRDefault="00E1504C" w:rsidP="00C519A7">
            <w:pPr>
              <w:spacing w:after="0" w:line="240" w:lineRule="auto"/>
              <w:rPr>
                <w:rFonts w:ascii="Arial" w:hAnsi="Arial" w:cs="Arial"/>
              </w:rPr>
            </w:pPr>
            <w:r w:rsidRPr="00D24D80">
              <w:rPr>
                <w:rFonts w:ascii="Arial" w:hAnsi="Arial" w:cs="Arial"/>
                <w:b/>
                <w:sz w:val="18"/>
                <w:szCs w:val="18"/>
              </w:rPr>
              <w:t>Assumptions</w:t>
            </w:r>
          </w:p>
        </w:tc>
        <w:tc>
          <w:tcPr>
            <w:tcW w:w="851" w:type="dxa"/>
            <w:vMerge w:val="restart"/>
            <w:tcBorders>
              <w:top w:val="nil"/>
            </w:tcBorders>
            <w:vAlign w:val="center"/>
          </w:tcPr>
          <w:p w:rsidR="00E1504C" w:rsidRPr="00D24D80" w:rsidRDefault="00DD1E0F" w:rsidP="00C519A7">
            <w:pPr>
              <w:spacing w:after="0" w:line="240" w:lineRule="auto"/>
              <w:rPr>
                <w:rFonts w:ascii="Arial" w:hAnsi="Arial" w:cs="Arial"/>
              </w:rPr>
            </w:pPr>
            <w:r>
              <w:rPr>
                <w:noProof/>
                <w:lang w:val="en-AU" w:eastAsia="en-A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margin-left:2.05pt;margin-top:45.65pt;width:27pt;height:23.9pt;z-index:-251657216;mso-position-horizontal-relative:text;mso-position-vertical-relative:text" wrapcoords="14400 0 -600 4050 -600 18225 15600 21600 15600 22275 18000 22275 19200 21600 22200 12150 22200 10800 17400 0 14400 0" fillcolor="#95b3d7" strokecolor="#4f81bd" strokeweight="1pt">
                  <v:fill color2="#4f81bd" focus="50%" type="gradient"/>
                  <v:stroke endcap="round"/>
                  <v:shadow on="t" type="perspective" color="#243f60" offset="1pt" offset2="-3pt"/>
                  <w10:wrap type="tight"/>
                </v:shape>
              </w:pict>
            </w:r>
          </w:p>
        </w:tc>
        <w:tc>
          <w:tcPr>
            <w:tcW w:w="3827" w:type="dxa"/>
            <w:tcBorders>
              <w:bottom w:val="single" w:sz="4" w:space="0" w:color="auto"/>
            </w:tcBorders>
            <w:shd w:val="clear" w:color="auto" w:fill="DBE5F1"/>
            <w:vAlign w:val="center"/>
          </w:tcPr>
          <w:p w:rsidR="00E1504C" w:rsidRPr="00D24D80" w:rsidRDefault="00E1504C" w:rsidP="00C519A7">
            <w:pPr>
              <w:keepNext/>
              <w:spacing w:before="40" w:after="40" w:line="240" w:lineRule="auto"/>
              <w:rPr>
                <w:rFonts w:ascii="Arial" w:hAnsi="Arial" w:cs="Arial"/>
                <w:sz w:val="18"/>
                <w:szCs w:val="18"/>
              </w:rPr>
            </w:pPr>
            <w:r w:rsidRPr="00D24D80">
              <w:rPr>
                <w:rFonts w:ascii="Arial" w:hAnsi="Arial" w:cs="Arial"/>
                <w:sz w:val="18"/>
                <w:szCs w:val="18"/>
              </w:rPr>
              <w:t xml:space="preserve">Planned </w:t>
            </w:r>
            <w:r w:rsidRPr="00D24D80">
              <w:rPr>
                <w:rFonts w:ascii="Arial" w:hAnsi="Arial" w:cs="Arial"/>
                <w:b/>
                <w:sz w:val="18"/>
                <w:szCs w:val="18"/>
              </w:rPr>
              <w:t xml:space="preserve">Outcomes </w:t>
            </w:r>
            <w:r w:rsidR="00390D5A">
              <w:rPr>
                <w:rFonts w:ascii="Arial" w:hAnsi="Arial" w:cs="Arial"/>
                <w:sz w:val="18"/>
                <w:szCs w:val="18"/>
              </w:rPr>
              <w:t>for 2012-13</w:t>
            </w:r>
          </w:p>
        </w:tc>
        <w:tc>
          <w:tcPr>
            <w:tcW w:w="2552" w:type="dxa"/>
            <w:tcBorders>
              <w:bottom w:val="single" w:sz="4" w:space="0" w:color="auto"/>
            </w:tcBorders>
            <w:shd w:val="clear" w:color="auto" w:fill="DBE5F1"/>
            <w:vAlign w:val="center"/>
          </w:tcPr>
          <w:p w:rsidR="00E1504C" w:rsidRPr="00D24D80" w:rsidRDefault="00E1504C" w:rsidP="00C519A7">
            <w:pPr>
              <w:keepNext/>
              <w:spacing w:before="40" w:after="40" w:line="240" w:lineRule="auto"/>
              <w:rPr>
                <w:rFonts w:ascii="Arial" w:hAnsi="Arial" w:cs="Arial"/>
                <w:b/>
                <w:sz w:val="18"/>
                <w:szCs w:val="18"/>
              </w:rPr>
            </w:pPr>
            <w:r w:rsidRPr="00D24D80">
              <w:rPr>
                <w:rFonts w:ascii="Arial" w:hAnsi="Arial" w:cs="Arial"/>
                <w:sz w:val="18"/>
                <w:szCs w:val="18"/>
              </w:rPr>
              <w:t xml:space="preserve">Source of </w:t>
            </w:r>
            <w:r w:rsidRPr="00D24D80">
              <w:rPr>
                <w:rFonts w:ascii="Arial" w:hAnsi="Arial" w:cs="Arial"/>
                <w:b/>
                <w:sz w:val="18"/>
                <w:szCs w:val="18"/>
              </w:rPr>
              <w:t>Verification</w:t>
            </w:r>
          </w:p>
        </w:tc>
      </w:tr>
      <w:tr w:rsidR="00897C0C" w:rsidRPr="00E72C5C" w:rsidTr="00C519A7">
        <w:trPr>
          <w:trHeight w:val="340"/>
        </w:trPr>
        <w:tc>
          <w:tcPr>
            <w:tcW w:w="3936" w:type="dxa"/>
            <w:tcBorders>
              <w:top w:val="single" w:sz="4" w:space="0" w:color="auto"/>
              <w:left w:val="single" w:sz="4" w:space="0" w:color="auto"/>
              <w:bottom w:val="nil"/>
              <w:right w:val="single" w:sz="4" w:space="0" w:color="auto"/>
            </w:tcBorders>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The Samoa School Fees Grant Scheme funding paid to all 163 Government and mission primary schools.</w:t>
            </w:r>
          </w:p>
        </w:tc>
        <w:tc>
          <w:tcPr>
            <w:tcW w:w="850" w:type="dxa"/>
            <w:vMerge/>
            <w:tcBorders>
              <w:left w:val="single" w:sz="4" w:space="0" w:color="auto"/>
              <w:right w:val="single" w:sz="4" w:space="0" w:color="auto"/>
            </w:tcBorders>
            <w:vAlign w:val="center"/>
          </w:tcPr>
          <w:p w:rsidR="00897C0C" w:rsidRPr="00D24D80" w:rsidRDefault="00897C0C" w:rsidP="00C519A7">
            <w:pPr>
              <w:spacing w:after="0" w:line="240" w:lineRule="auto"/>
              <w:rPr>
                <w:rFonts w:ascii="Arial" w:hAnsi="Arial" w:cs="Arial"/>
              </w:rPr>
            </w:pPr>
          </w:p>
        </w:tc>
        <w:tc>
          <w:tcPr>
            <w:tcW w:w="3260" w:type="dxa"/>
            <w:tcBorders>
              <w:top w:val="single" w:sz="4" w:space="0" w:color="auto"/>
              <w:left w:val="single" w:sz="4" w:space="0" w:color="auto"/>
              <w:bottom w:val="nil"/>
              <w:right w:val="single" w:sz="4" w:space="0" w:color="auto"/>
            </w:tcBorders>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The Team of Consultants continue to monitor performance of schools.</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GoS continues to support the implementation of the Compulsory Education Act</w:t>
            </w:r>
          </w:p>
        </w:tc>
        <w:tc>
          <w:tcPr>
            <w:tcW w:w="851" w:type="dxa"/>
            <w:vMerge/>
            <w:tcBorders>
              <w:left w:val="single" w:sz="4" w:space="0" w:color="auto"/>
              <w:right w:val="single" w:sz="4" w:space="0" w:color="auto"/>
            </w:tcBorders>
            <w:vAlign w:val="center"/>
          </w:tcPr>
          <w:p w:rsidR="00897C0C" w:rsidRPr="00D24D80" w:rsidRDefault="00897C0C" w:rsidP="00C519A7">
            <w:pPr>
              <w:spacing w:after="0" w:line="240" w:lineRule="auto"/>
              <w:rPr>
                <w:rFonts w:ascii="Arial" w:hAnsi="Arial" w:cs="Arial"/>
              </w:rPr>
            </w:pPr>
          </w:p>
        </w:tc>
        <w:tc>
          <w:tcPr>
            <w:tcW w:w="3827" w:type="dxa"/>
            <w:tcBorders>
              <w:top w:val="single" w:sz="4" w:space="0" w:color="auto"/>
              <w:left w:val="single" w:sz="4" w:space="0" w:color="auto"/>
              <w:bottom w:val="nil"/>
              <w:right w:val="single" w:sz="4" w:space="0" w:color="auto"/>
            </w:tcBorders>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Increased net enrolment and retention rates in primary schools.</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Increased number of schools achieving more than 50% of minimum service standards.</w:t>
            </w:r>
          </w:p>
        </w:tc>
        <w:tc>
          <w:tcPr>
            <w:tcW w:w="2552" w:type="dxa"/>
            <w:tcBorders>
              <w:top w:val="single" w:sz="4" w:space="0" w:color="auto"/>
              <w:left w:val="single" w:sz="4" w:space="0" w:color="auto"/>
              <w:bottom w:val="nil"/>
              <w:right w:val="single" w:sz="4" w:space="0" w:color="auto"/>
            </w:tcBorders>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MESC Reports.</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Independent Review of SSFGS.</w:t>
            </w:r>
          </w:p>
        </w:tc>
      </w:tr>
      <w:tr w:rsidR="00897C0C" w:rsidRPr="00E72C5C" w:rsidTr="00C519A7">
        <w:trPr>
          <w:trHeight w:val="340"/>
        </w:trPr>
        <w:tc>
          <w:tcPr>
            <w:tcW w:w="3936" w:type="dxa"/>
            <w:tcBorders>
              <w:top w:val="nil"/>
              <w:left w:val="single" w:sz="4" w:space="0" w:color="auto"/>
              <w:bottom w:val="nil"/>
              <w:right w:val="single" w:sz="4" w:space="0" w:color="auto"/>
            </w:tcBorders>
            <w:shd w:val="clear" w:color="auto" w:fill="D9D9D9"/>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Full implementation of the new Primary Curriculum and teacher manuals for Government Primary Schools.</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Review of assessment systems and Benchmarking tools developed (PABER)</w:t>
            </w:r>
          </w:p>
        </w:tc>
        <w:tc>
          <w:tcPr>
            <w:tcW w:w="850" w:type="dxa"/>
            <w:vMerge/>
            <w:tcBorders>
              <w:left w:val="single" w:sz="4" w:space="0" w:color="auto"/>
              <w:right w:val="single" w:sz="4" w:space="0" w:color="auto"/>
            </w:tcBorders>
            <w:vAlign w:val="center"/>
          </w:tcPr>
          <w:p w:rsidR="00897C0C" w:rsidRPr="00D24D80" w:rsidRDefault="00897C0C"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D9D9D9"/>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Teachers properly trained and motivated.</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MESC has sufficient capacity to implement PABER.</w:t>
            </w:r>
          </w:p>
        </w:tc>
        <w:tc>
          <w:tcPr>
            <w:tcW w:w="851" w:type="dxa"/>
            <w:vMerge/>
            <w:tcBorders>
              <w:left w:val="single" w:sz="4" w:space="0" w:color="auto"/>
              <w:right w:val="single" w:sz="4" w:space="0" w:color="auto"/>
            </w:tcBorders>
            <w:vAlign w:val="center"/>
          </w:tcPr>
          <w:p w:rsidR="00897C0C" w:rsidRPr="00D24D80" w:rsidRDefault="00897C0C"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D9D9D9"/>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Increased numeracy and literacy in Samoan and English.</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Improved assessment tools.</w:t>
            </w:r>
          </w:p>
        </w:tc>
        <w:tc>
          <w:tcPr>
            <w:tcW w:w="2552" w:type="dxa"/>
            <w:tcBorders>
              <w:top w:val="nil"/>
              <w:left w:val="single" w:sz="4" w:space="0" w:color="auto"/>
              <w:bottom w:val="nil"/>
              <w:right w:val="single" w:sz="4" w:space="0" w:color="auto"/>
            </w:tcBorders>
            <w:shd w:val="clear" w:color="auto" w:fill="D9D9D9"/>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SPELL 1 &amp; 2 Test Results</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PABER monitoring reports</w:t>
            </w:r>
          </w:p>
        </w:tc>
      </w:tr>
      <w:tr w:rsidR="00897C0C" w:rsidRPr="00E72C5C" w:rsidTr="00C519A7">
        <w:trPr>
          <w:trHeight w:val="340"/>
        </w:trPr>
        <w:tc>
          <w:tcPr>
            <w:tcW w:w="3936" w:type="dxa"/>
            <w:tcBorders>
              <w:top w:val="nil"/>
              <w:left w:val="single" w:sz="4" w:space="0" w:color="auto"/>
              <w:bottom w:val="nil"/>
              <w:right w:val="single" w:sz="4" w:space="0" w:color="auto"/>
            </w:tcBorders>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Full integration of Samoa Inclusive Education Demonstration program into MESC management.</w:t>
            </w:r>
          </w:p>
          <w:p w:rsidR="00897C0C" w:rsidRPr="00376706" w:rsidRDefault="00897C0C" w:rsidP="009D3DEA">
            <w:pPr>
              <w:spacing w:after="0" w:line="240" w:lineRule="auto"/>
              <w:rPr>
                <w:rFonts w:ascii="Arial" w:hAnsi="Arial" w:cs="Arial"/>
                <w:sz w:val="18"/>
                <w:szCs w:val="18"/>
              </w:rPr>
            </w:pPr>
          </w:p>
          <w:p w:rsidR="00897C0C" w:rsidRPr="00376706" w:rsidRDefault="00897C0C" w:rsidP="00897C0C">
            <w:pPr>
              <w:spacing w:after="0" w:line="240" w:lineRule="auto"/>
              <w:rPr>
                <w:rFonts w:ascii="Arial" w:hAnsi="Arial" w:cs="Arial"/>
                <w:sz w:val="18"/>
                <w:szCs w:val="18"/>
              </w:rPr>
            </w:pPr>
            <w:r w:rsidRPr="00376706">
              <w:rPr>
                <w:rFonts w:ascii="Arial" w:hAnsi="Arial" w:cs="Arial"/>
                <w:sz w:val="18"/>
                <w:szCs w:val="18"/>
              </w:rPr>
              <w:t>Inclusive Education service providers deliver support services.</w:t>
            </w:r>
            <w:r>
              <w:rPr>
                <w:rFonts w:ascii="Arial" w:hAnsi="Arial" w:cs="Arial"/>
                <w:sz w:val="18"/>
                <w:szCs w:val="18"/>
              </w:rPr>
              <w:t xml:space="preserve"> </w:t>
            </w:r>
            <w:r w:rsidRPr="00376706">
              <w:rPr>
                <w:rFonts w:ascii="Arial" w:hAnsi="Arial" w:cs="Arial"/>
                <w:sz w:val="18"/>
                <w:szCs w:val="18"/>
              </w:rPr>
              <w:t>Inclusive Education Situational Analysis completed and shared with stakeholders.</w:t>
            </w:r>
          </w:p>
        </w:tc>
        <w:tc>
          <w:tcPr>
            <w:tcW w:w="850" w:type="dxa"/>
            <w:vMerge/>
            <w:tcBorders>
              <w:left w:val="single" w:sz="4" w:space="0" w:color="auto"/>
              <w:right w:val="single" w:sz="4" w:space="0" w:color="auto"/>
            </w:tcBorders>
            <w:vAlign w:val="center"/>
          </w:tcPr>
          <w:p w:rsidR="00897C0C" w:rsidRPr="00D24D80" w:rsidRDefault="00897C0C"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MESC continues to support inclusive education developments.</w:t>
            </w: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br/>
              <w:t>MESC continues to work collaboratively with NGOs at all levels.</w:t>
            </w:r>
          </w:p>
        </w:tc>
        <w:tc>
          <w:tcPr>
            <w:tcW w:w="851" w:type="dxa"/>
            <w:vMerge/>
            <w:tcBorders>
              <w:left w:val="single" w:sz="4" w:space="0" w:color="auto"/>
              <w:right w:val="single" w:sz="4" w:space="0" w:color="auto"/>
            </w:tcBorders>
            <w:vAlign w:val="center"/>
          </w:tcPr>
          <w:p w:rsidR="00897C0C" w:rsidRPr="00D24D80" w:rsidRDefault="00897C0C"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 xml:space="preserve">Increased number of children with a disability </w:t>
            </w:r>
            <w:r>
              <w:rPr>
                <w:rFonts w:ascii="Arial" w:hAnsi="Arial" w:cs="Arial"/>
                <w:sz w:val="18"/>
                <w:szCs w:val="18"/>
              </w:rPr>
              <w:t xml:space="preserve">provided with access to </w:t>
            </w:r>
            <w:r w:rsidRPr="00376706">
              <w:rPr>
                <w:rFonts w:ascii="Arial" w:hAnsi="Arial" w:cs="Arial"/>
                <w:sz w:val="18"/>
                <w:szCs w:val="18"/>
              </w:rPr>
              <w:t>school</w:t>
            </w:r>
            <w:r>
              <w:rPr>
                <w:rFonts w:ascii="Arial" w:hAnsi="Arial" w:cs="Arial"/>
                <w:sz w:val="18"/>
                <w:szCs w:val="18"/>
              </w:rPr>
              <w:t>ing</w:t>
            </w:r>
            <w:r w:rsidRPr="00376706">
              <w:rPr>
                <w:rFonts w:ascii="Arial" w:hAnsi="Arial" w:cs="Arial"/>
                <w:sz w:val="18"/>
                <w:szCs w:val="18"/>
              </w:rPr>
              <w:t>.</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Inclusive Education Policy developed and approved.</w:t>
            </w:r>
          </w:p>
        </w:tc>
        <w:tc>
          <w:tcPr>
            <w:tcW w:w="2552" w:type="dxa"/>
            <w:tcBorders>
              <w:top w:val="nil"/>
              <w:left w:val="single" w:sz="4" w:space="0" w:color="auto"/>
              <w:bottom w:val="nil"/>
              <w:right w:val="single" w:sz="4" w:space="0" w:color="auto"/>
            </w:tcBorders>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SIEDP  Reports</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MESC Situational Analysis</w:t>
            </w:r>
          </w:p>
        </w:tc>
      </w:tr>
      <w:tr w:rsidR="00897C0C" w:rsidRPr="00E72C5C" w:rsidTr="00C519A7">
        <w:trPr>
          <w:trHeight w:val="340"/>
        </w:trPr>
        <w:tc>
          <w:tcPr>
            <w:tcW w:w="3936" w:type="dxa"/>
            <w:tcBorders>
              <w:top w:val="nil"/>
              <w:left w:val="single" w:sz="4" w:space="0" w:color="auto"/>
              <w:bottom w:val="nil"/>
              <w:right w:val="single" w:sz="4" w:space="0" w:color="auto"/>
            </w:tcBorders>
            <w:shd w:val="clear" w:color="auto" w:fill="D9D9D9"/>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 xml:space="preserve">Implementation of the National Teacher Development Framework, based upon a </w:t>
            </w:r>
            <w:proofErr w:type="spellStart"/>
            <w:r w:rsidRPr="00376706">
              <w:rPr>
                <w:rFonts w:ascii="Arial" w:hAnsi="Arial" w:cs="Arial"/>
                <w:sz w:val="18"/>
                <w:szCs w:val="18"/>
              </w:rPr>
              <w:t>costed</w:t>
            </w:r>
            <w:proofErr w:type="spellEnd"/>
            <w:r w:rsidRPr="00376706">
              <w:rPr>
                <w:rFonts w:ascii="Arial" w:hAnsi="Arial" w:cs="Arial"/>
                <w:sz w:val="18"/>
                <w:szCs w:val="18"/>
              </w:rPr>
              <w:t xml:space="preserve"> implementation plan.</w:t>
            </w:r>
          </w:p>
        </w:tc>
        <w:tc>
          <w:tcPr>
            <w:tcW w:w="850" w:type="dxa"/>
            <w:vMerge/>
            <w:tcBorders>
              <w:left w:val="single" w:sz="4" w:space="0" w:color="auto"/>
              <w:right w:val="single" w:sz="4" w:space="0" w:color="auto"/>
            </w:tcBorders>
            <w:vAlign w:val="center"/>
          </w:tcPr>
          <w:p w:rsidR="00897C0C" w:rsidRPr="00D24D80" w:rsidRDefault="00897C0C"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D9D9D9"/>
            <w:vAlign w:val="center"/>
          </w:tcPr>
          <w:p w:rsidR="00897C0C" w:rsidRDefault="00897C0C" w:rsidP="009D3DEA">
            <w:pPr>
              <w:spacing w:after="0" w:line="240" w:lineRule="auto"/>
              <w:rPr>
                <w:rFonts w:ascii="Arial" w:hAnsi="Arial" w:cs="Arial"/>
                <w:sz w:val="18"/>
                <w:szCs w:val="18"/>
              </w:rPr>
            </w:pPr>
            <w:r w:rsidRPr="00376706">
              <w:rPr>
                <w:rFonts w:ascii="Arial" w:hAnsi="Arial" w:cs="Arial"/>
                <w:sz w:val="18"/>
                <w:szCs w:val="18"/>
              </w:rPr>
              <w:t xml:space="preserve">Teachers’ terms and conditions made sufficiently attractive to </w:t>
            </w:r>
            <w:r>
              <w:rPr>
                <w:rFonts w:ascii="Arial" w:hAnsi="Arial" w:cs="Arial"/>
                <w:sz w:val="18"/>
                <w:szCs w:val="18"/>
              </w:rPr>
              <w:t xml:space="preserve">recruit </w:t>
            </w:r>
            <w:r w:rsidRPr="00376706">
              <w:rPr>
                <w:rFonts w:ascii="Arial" w:hAnsi="Arial" w:cs="Arial"/>
                <w:sz w:val="18"/>
                <w:szCs w:val="18"/>
              </w:rPr>
              <w:t>and retain qualified and motivated staff.</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Reduced rate of teacher turnover.</w:t>
            </w:r>
          </w:p>
        </w:tc>
        <w:tc>
          <w:tcPr>
            <w:tcW w:w="851" w:type="dxa"/>
            <w:vMerge/>
            <w:tcBorders>
              <w:left w:val="single" w:sz="4" w:space="0" w:color="auto"/>
              <w:right w:val="single" w:sz="4" w:space="0" w:color="auto"/>
            </w:tcBorders>
            <w:vAlign w:val="center"/>
          </w:tcPr>
          <w:p w:rsidR="00897C0C" w:rsidRPr="00D24D80" w:rsidRDefault="00897C0C"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D9D9D9"/>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Improved teacher performance.</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Improved student performance.</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Improved number of teachers meeting performance standards.</w:t>
            </w:r>
          </w:p>
        </w:tc>
        <w:tc>
          <w:tcPr>
            <w:tcW w:w="2552" w:type="dxa"/>
            <w:tcBorders>
              <w:top w:val="nil"/>
              <w:left w:val="single" w:sz="4" w:space="0" w:color="auto"/>
              <w:bottom w:val="nil"/>
              <w:right w:val="single" w:sz="4" w:space="0" w:color="auto"/>
            </w:tcBorders>
            <w:shd w:val="clear" w:color="auto" w:fill="D9D9D9"/>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Results of the revised performance appraisal system.</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MESC Reports on Student Performance Reports across primary schools.</w:t>
            </w:r>
          </w:p>
        </w:tc>
      </w:tr>
      <w:tr w:rsidR="00897C0C" w:rsidRPr="00E72C5C" w:rsidTr="00C519A7">
        <w:trPr>
          <w:trHeight w:val="340"/>
        </w:trPr>
        <w:tc>
          <w:tcPr>
            <w:tcW w:w="3936" w:type="dxa"/>
            <w:tcBorders>
              <w:top w:val="nil"/>
              <w:left w:val="single" w:sz="4" w:space="0" w:color="auto"/>
              <w:bottom w:val="nil"/>
              <w:right w:val="single" w:sz="4" w:space="0" w:color="auto"/>
            </w:tcBorders>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Enhanced TVET training capacity among government and mission TVET providers.</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Program for providing access to TVET opportunities by those with disability implemented.</w:t>
            </w:r>
          </w:p>
        </w:tc>
        <w:tc>
          <w:tcPr>
            <w:tcW w:w="850" w:type="dxa"/>
            <w:vMerge/>
            <w:tcBorders>
              <w:left w:val="single" w:sz="4" w:space="0" w:color="auto"/>
              <w:right w:val="single" w:sz="4" w:space="0" w:color="auto"/>
            </w:tcBorders>
            <w:vAlign w:val="center"/>
          </w:tcPr>
          <w:p w:rsidR="00897C0C" w:rsidRPr="00D24D80" w:rsidRDefault="00897C0C"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Sufficient recurrent budgetary resources allocated.</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SQA &amp; MESC continues to support access for children with disabilities in their activities.</w:t>
            </w:r>
          </w:p>
        </w:tc>
        <w:tc>
          <w:tcPr>
            <w:tcW w:w="851" w:type="dxa"/>
            <w:vMerge/>
            <w:tcBorders>
              <w:left w:val="single" w:sz="4" w:space="0" w:color="auto"/>
              <w:right w:val="single" w:sz="4" w:space="0" w:color="auto"/>
            </w:tcBorders>
            <w:vAlign w:val="center"/>
          </w:tcPr>
          <w:p w:rsidR="00897C0C" w:rsidRPr="00D24D80" w:rsidRDefault="00897C0C"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Increased numbers (including among those with disability) obtaining national TVET qualifications.</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 xml:space="preserve">No of registered providers and accredited </w:t>
            </w:r>
            <w:r>
              <w:rPr>
                <w:rFonts w:ascii="Arial" w:hAnsi="Arial" w:cs="Arial"/>
                <w:sz w:val="18"/>
                <w:szCs w:val="18"/>
              </w:rPr>
              <w:t xml:space="preserve">programs </w:t>
            </w:r>
            <w:r w:rsidRPr="00376706">
              <w:rPr>
                <w:rFonts w:ascii="Arial" w:hAnsi="Arial" w:cs="Arial"/>
                <w:sz w:val="18"/>
                <w:szCs w:val="18"/>
              </w:rPr>
              <w:t>increased</w:t>
            </w:r>
            <w:r>
              <w:rPr>
                <w:rFonts w:ascii="Arial" w:hAnsi="Arial" w:cs="Arial"/>
                <w:sz w:val="18"/>
                <w:szCs w:val="18"/>
              </w:rPr>
              <w:t xml:space="preserve"> (2011 – 12 course providers registered, no programs accredited) </w:t>
            </w:r>
          </w:p>
        </w:tc>
        <w:tc>
          <w:tcPr>
            <w:tcW w:w="2552" w:type="dxa"/>
            <w:tcBorders>
              <w:top w:val="nil"/>
              <w:left w:val="single" w:sz="4" w:space="0" w:color="auto"/>
              <w:bottom w:val="nil"/>
              <w:right w:val="single" w:sz="4" w:space="0" w:color="auto"/>
            </w:tcBorders>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 xml:space="preserve">MESC &amp; SQA reports </w:t>
            </w:r>
          </w:p>
          <w:p w:rsidR="00897C0C" w:rsidRPr="00376706" w:rsidRDefault="00897C0C" w:rsidP="009D3DEA">
            <w:pPr>
              <w:spacing w:after="0" w:line="240" w:lineRule="auto"/>
              <w:rPr>
                <w:rFonts w:ascii="Arial" w:hAnsi="Arial" w:cs="Arial"/>
                <w:sz w:val="18"/>
                <w:szCs w:val="18"/>
              </w:rPr>
            </w:pPr>
            <w:proofErr w:type="gramStart"/>
            <w:r w:rsidRPr="00376706">
              <w:rPr>
                <w:rFonts w:ascii="Arial" w:hAnsi="Arial" w:cs="Arial"/>
                <w:sz w:val="18"/>
                <w:szCs w:val="18"/>
              </w:rPr>
              <w:t>and</w:t>
            </w:r>
            <w:proofErr w:type="gramEnd"/>
            <w:r w:rsidRPr="00376706">
              <w:rPr>
                <w:rFonts w:ascii="Arial" w:hAnsi="Arial" w:cs="Arial"/>
                <w:sz w:val="18"/>
                <w:szCs w:val="18"/>
              </w:rPr>
              <w:t xml:space="preserve"> surveys.</w:t>
            </w:r>
          </w:p>
        </w:tc>
      </w:tr>
      <w:tr w:rsidR="00897C0C" w:rsidRPr="00E72C5C" w:rsidTr="00C519A7">
        <w:trPr>
          <w:trHeight w:val="340"/>
        </w:trPr>
        <w:tc>
          <w:tcPr>
            <w:tcW w:w="3936" w:type="dxa"/>
            <w:tcBorders>
              <w:top w:val="nil"/>
              <w:left w:val="single" w:sz="4" w:space="0" w:color="auto"/>
              <w:bottom w:val="single" w:sz="4" w:space="0" w:color="auto"/>
              <w:right w:val="single" w:sz="4" w:space="0" w:color="auto"/>
            </w:tcBorders>
            <w:shd w:val="clear" w:color="auto" w:fill="D9D9D9"/>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48 new scholarships awarded for studies in Australia and the Region.</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Plan developed and approved for teachers of Maths, English and Science to go on scholarship.</w:t>
            </w:r>
          </w:p>
        </w:tc>
        <w:tc>
          <w:tcPr>
            <w:tcW w:w="850" w:type="dxa"/>
            <w:vMerge/>
            <w:tcBorders>
              <w:left w:val="single" w:sz="4" w:space="0" w:color="auto"/>
              <w:bottom w:val="nil"/>
              <w:right w:val="single" w:sz="4" w:space="0" w:color="auto"/>
            </w:tcBorders>
            <w:vAlign w:val="center"/>
          </w:tcPr>
          <w:p w:rsidR="00897C0C" w:rsidRPr="00D24D80" w:rsidRDefault="00897C0C" w:rsidP="00C519A7">
            <w:pPr>
              <w:spacing w:after="0" w:line="240" w:lineRule="auto"/>
              <w:rPr>
                <w:rFonts w:ascii="Arial" w:hAnsi="Arial" w:cs="Arial"/>
              </w:rPr>
            </w:pPr>
          </w:p>
        </w:tc>
        <w:tc>
          <w:tcPr>
            <w:tcW w:w="3260" w:type="dxa"/>
            <w:tcBorders>
              <w:top w:val="nil"/>
              <w:left w:val="single" w:sz="4" w:space="0" w:color="auto"/>
              <w:bottom w:val="single" w:sz="4" w:space="0" w:color="auto"/>
              <w:right w:val="single" w:sz="4" w:space="0" w:color="auto"/>
            </w:tcBorders>
            <w:shd w:val="clear" w:color="auto" w:fill="D9D9D9"/>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Improved specific targeting of scholarship awards to better address GoS priorities and specifically education sector.</w:t>
            </w:r>
          </w:p>
          <w:p w:rsidR="00897C0C" w:rsidRPr="00376706" w:rsidRDefault="00897C0C" w:rsidP="009D3DEA">
            <w:pPr>
              <w:spacing w:after="0" w:line="240" w:lineRule="auto"/>
              <w:rPr>
                <w:rFonts w:ascii="Arial" w:hAnsi="Arial" w:cs="Arial"/>
                <w:sz w:val="18"/>
                <w:szCs w:val="18"/>
              </w:rPr>
            </w:pPr>
          </w:p>
          <w:p w:rsidR="00897C0C" w:rsidRPr="00376706" w:rsidRDefault="00897C0C" w:rsidP="00897C0C">
            <w:pPr>
              <w:spacing w:after="0" w:line="240" w:lineRule="auto"/>
              <w:rPr>
                <w:rFonts w:ascii="Arial" w:hAnsi="Arial" w:cs="Arial"/>
                <w:sz w:val="18"/>
                <w:szCs w:val="18"/>
              </w:rPr>
            </w:pPr>
            <w:r w:rsidRPr="00376706">
              <w:rPr>
                <w:rFonts w:ascii="Arial" w:hAnsi="Arial" w:cs="Arial"/>
                <w:sz w:val="18"/>
                <w:szCs w:val="18"/>
              </w:rPr>
              <w:t xml:space="preserve">MESC continues to </w:t>
            </w:r>
            <w:proofErr w:type="gramStart"/>
            <w:r>
              <w:rPr>
                <w:rFonts w:ascii="Arial" w:hAnsi="Arial" w:cs="Arial"/>
                <w:sz w:val="18"/>
                <w:szCs w:val="18"/>
              </w:rPr>
              <w:t xml:space="preserve">implement </w:t>
            </w:r>
            <w:r w:rsidRPr="00376706">
              <w:rPr>
                <w:rFonts w:ascii="Arial" w:hAnsi="Arial" w:cs="Arial"/>
                <w:sz w:val="18"/>
                <w:szCs w:val="18"/>
              </w:rPr>
              <w:t xml:space="preserve"> the</w:t>
            </w:r>
            <w:proofErr w:type="gramEnd"/>
            <w:r w:rsidRPr="00376706">
              <w:rPr>
                <w:rFonts w:ascii="Arial" w:hAnsi="Arial" w:cs="Arial"/>
                <w:sz w:val="18"/>
                <w:szCs w:val="18"/>
              </w:rPr>
              <w:t xml:space="preserve"> NTDF.</w:t>
            </w:r>
          </w:p>
        </w:tc>
        <w:tc>
          <w:tcPr>
            <w:tcW w:w="851" w:type="dxa"/>
            <w:vMerge/>
            <w:tcBorders>
              <w:left w:val="single" w:sz="4" w:space="0" w:color="auto"/>
              <w:bottom w:val="nil"/>
              <w:right w:val="single" w:sz="4" w:space="0" w:color="auto"/>
            </w:tcBorders>
            <w:vAlign w:val="center"/>
          </w:tcPr>
          <w:p w:rsidR="00897C0C" w:rsidRPr="00D24D80" w:rsidRDefault="00897C0C" w:rsidP="00C519A7">
            <w:pPr>
              <w:spacing w:after="0" w:line="240" w:lineRule="auto"/>
              <w:rPr>
                <w:rFonts w:ascii="Arial" w:hAnsi="Arial" w:cs="Arial"/>
              </w:rPr>
            </w:pPr>
          </w:p>
        </w:tc>
        <w:tc>
          <w:tcPr>
            <w:tcW w:w="3827" w:type="dxa"/>
            <w:tcBorders>
              <w:top w:val="nil"/>
              <w:left w:val="single" w:sz="4" w:space="0" w:color="auto"/>
              <w:bottom w:val="single" w:sz="4" w:space="0" w:color="auto"/>
              <w:right w:val="single" w:sz="4" w:space="0" w:color="auto"/>
            </w:tcBorders>
            <w:shd w:val="clear" w:color="auto" w:fill="D9D9D9"/>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Increased number of skilled people recruited into the priority sectors as in the GoS HRD list of priorities and in particular the education sector.</w:t>
            </w:r>
          </w:p>
          <w:p w:rsidR="00897C0C" w:rsidRPr="00376706" w:rsidRDefault="00897C0C" w:rsidP="009D3DEA">
            <w:pPr>
              <w:spacing w:after="0" w:line="240" w:lineRule="auto"/>
              <w:rPr>
                <w:rFonts w:ascii="Arial" w:hAnsi="Arial" w:cs="Arial"/>
                <w:sz w:val="18"/>
                <w:szCs w:val="18"/>
              </w:rPr>
            </w:pP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Plan for teachers scholarship awards in place.</w:t>
            </w:r>
          </w:p>
        </w:tc>
        <w:tc>
          <w:tcPr>
            <w:tcW w:w="2552" w:type="dxa"/>
            <w:tcBorders>
              <w:top w:val="nil"/>
              <w:left w:val="single" w:sz="4" w:space="0" w:color="auto"/>
              <w:bottom w:val="single" w:sz="4" w:space="0" w:color="auto"/>
              <w:right w:val="single" w:sz="4" w:space="0" w:color="auto"/>
            </w:tcBorders>
            <w:shd w:val="clear" w:color="auto" w:fill="D9D9D9"/>
            <w:vAlign w:val="center"/>
          </w:tcPr>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2012-2013 Graduate numbers (as a proxy)</w:t>
            </w:r>
          </w:p>
          <w:p w:rsidR="00897C0C" w:rsidRPr="00376706" w:rsidRDefault="00897C0C" w:rsidP="009D3DEA">
            <w:pPr>
              <w:spacing w:after="0" w:line="240" w:lineRule="auto"/>
              <w:rPr>
                <w:rFonts w:ascii="Arial" w:hAnsi="Arial" w:cs="Arial"/>
                <w:sz w:val="18"/>
                <w:szCs w:val="18"/>
              </w:rPr>
            </w:pPr>
            <w:r w:rsidRPr="00376706">
              <w:rPr>
                <w:rFonts w:ascii="Arial" w:hAnsi="Arial" w:cs="Arial"/>
                <w:sz w:val="18"/>
                <w:szCs w:val="18"/>
              </w:rPr>
              <w:t>MESC reports.</w:t>
            </w:r>
          </w:p>
        </w:tc>
      </w:tr>
    </w:tbl>
    <w:p w:rsidR="00E1504C" w:rsidRPr="00E72C5C" w:rsidRDefault="00E1504C">
      <w:pPr>
        <w:rPr>
          <w:rFonts w:ascii="Arial" w:hAnsi="Arial" w:cs="Arial"/>
        </w:rPr>
      </w:pPr>
    </w:p>
    <w:p w:rsidR="00E1504C" w:rsidRDefault="00E1504C">
      <w:pPr>
        <w:rPr>
          <w:rFonts w:ascii="Arial" w:hAnsi="Arial" w:cs="Arial"/>
        </w:rPr>
      </w:pPr>
    </w:p>
    <w:tbl>
      <w:tblPr>
        <w:tblW w:w="4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0"/>
        <w:gridCol w:w="1439"/>
        <w:gridCol w:w="4820"/>
        <w:gridCol w:w="3435"/>
        <w:gridCol w:w="2693"/>
      </w:tblGrid>
      <w:tr w:rsidR="009D3DEA" w:rsidRPr="008D1CED" w:rsidTr="009D3DEA">
        <w:tc>
          <w:tcPr>
            <w:tcW w:w="14458" w:type="dxa"/>
            <w:gridSpan w:val="5"/>
            <w:shd w:val="clear" w:color="auto" w:fill="B8CCE4"/>
            <w:vAlign w:val="center"/>
          </w:tcPr>
          <w:p w:rsidR="009D3DEA" w:rsidRPr="008D1CED" w:rsidRDefault="009D3DEA" w:rsidP="009D3DEA">
            <w:pPr>
              <w:keepNext/>
              <w:spacing w:before="40" w:after="40" w:line="240" w:lineRule="auto"/>
              <w:rPr>
                <w:rFonts w:ascii="Arial" w:hAnsi="Arial" w:cs="Arial"/>
                <w:sz w:val="24"/>
                <w:szCs w:val="16"/>
              </w:rPr>
            </w:pPr>
            <w:r w:rsidRPr="008D1CED">
              <w:rPr>
                <w:rFonts w:ascii="Arial" w:hAnsi="Arial" w:cs="Arial"/>
                <w:sz w:val="24"/>
                <w:szCs w:val="16"/>
              </w:rPr>
              <w:lastRenderedPageBreak/>
              <w:t>Commitments:</w:t>
            </w:r>
          </w:p>
        </w:tc>
      </w:tr>
      <w:tr w:rsidR="009D3DEA" w:rsidRPr="008D1CED" w:rsidTr="009D3DEA">
        <w:trPr>
          <w:trHeight w:val="460"/>
        </w:trPr>
        <w:tc>
          <w:tcPr>
            <w:tcW w:w="3510" w:type="dxa"/>
            <w:gridSpan w:val="2"/>
            <w:shd w:val="clear" w:color="auto" w:fill="DBE5F1"/>
            <w:vAlign w:val="center"/>
          </w:tcPr>
          <w:p w:rsidR="009D3DEA" w:rsidRPr="008D1CED" w:rsidRDefault="009D3DEA" w:rsidP="009D3DEA">
            <w:pPr>
              <w:spacing w:before="40" w:after="40"/>
              <w:rPr>
                <w:rFonts w:ascii="Arial" w:hAnsi="Arial" w:cs="Arial"/>
                <w:sz w:val="18"/>
                <w:szCs w:val="18"/>
              </w:rPr>
            </w:pPr>
            <w:r w:rsidRPr="008D1CED">
              <w:rPr>
                <w:rFonts w:ascii="Arial" w:hAnsi="Arial" w:cs="Arial"/>
                <w:sz w:val="18"/>
                <w:szCs w:val="18"/>
              </w:rPr>
              <w:t>Year:</w:t>
            </w:r>
          </w:p>
        </w:tc>
        <w:tc>
          <w:tcPr>
            <w:tcW w:w="4820" w:type="dxa"/>
            <w:shd w:val="clear" w:color="auto" w:fill="DBE5F1"/>
            <w:vAlign w:val="center"/>
          </w:tcPr>
          <w:p w:rsidR="009D3DEA" w:rsidRPr="008D1CED" w:rsidRDefault="009D3DEA" w:rsidP="009D3DEA">
            <w:pPr>
              <w:spacing w:before="40" w:after="40"/>
              <w:rPr>
                <w:rFonts w:ascii="Arial" w:hAnsi="Arial" w:cs="Arial"/>
                <w:sz w:val="18"/>
                <w:szCs w:val="18"/>
              </w:rPr>
            </w:pPr>
            <w:r w:rsidRPr="008D1CED">
              <w:rPr>
                <w:rFonts w:ascii="Arial" w:hAnsi="Arial" w:cs="Arial"/>
                <w:sz w:val="18"/>
                <w:szCs w:val="18"/>
              </w:rPr>
              <w:t>FY 2012-13</w:t>
            </w:r>
          </w:p>
        </w:tc>
        <w:tc>
          <w:tcPr>
            <w:tcW w:w="3435" w:type="dxa"/>
            <w:shd w:val="clear" w:color="auto" w:fill="DBE5F1"/>
            <w:vAlign w:val="center"/>
          </w:tcPr>
          <w:p w:rsidR="009D3DEA" w:rsidRPr="008D1CED" w:rsidRDefault="009D3DEA" w:rsidP="009D3DEA">
            <w:pPr>
              <w:spacing w:before="40" w:after="40"/>
              <w:rPr>
                <w:rFonts w:ascii="Arial" w:hAnsi="Arial" w:cs="Arial"/>
                <w:sz w:val="18"/>
                <w:szCs w:val="18"/>
              </w:rPr>
            </w:pPr>
            <w:r w:rsidRPr="008D1CED">
              <w:rPr>
                <w:rFonts w:ascii="Arial" w:hAnsi="Arial" w:cs="Arial"/>
                <w:sz w:val="18"/>
                <w:szCs w:val="18"/>
              </w:rPr>
              <w:t>FY 2013-14</w:t>
            </w:r>
          </w:p>
        </w:tc>
        <w:tc>
          <w:tcPr>
            <w:tcW w:w="2693" w:type="dxa"/>
            <w:shd w:val="clear" w:color="auto" w:fill="DBE5F1"/>
            <w:vAlign w:val="center"/>
          </w:tcPr>
          <w:p w:rsidR="009D3DEA" w:rsidRPr="008D1CED" w:rsidRDefault="009D3DEA" w:rsidP="009D3DEA">
            <w:pPr>
              <w:spacing w:before="40" w:after="40"/>
              <w:rPr>
                <w:rFonts w:ascii="Arial" w:hAnsi="Arial" w:cs="Arial"/>
                <w:sz w:val="18"/>
                <w:szCs w:val="18"/>
              </w:rPr>
            </w:pPr>
            <w:r w:rsidRPr="008D1CED">
              <w:rPr>
                <w:rFonts w:ascii="Arial" w:hAnsi="Arial" w:cs="Arial"/>
                <w:sz w:val="18"/>
                <w:szCs w:val="18"/>
              </w:rPr>
              <w:t>FY 2014-15</w:t>
            </w:r>
          </w:p>
        </w:tc>
      </w:tr>
      <w:tr w:rsidR="009D3DEA" w:rsidRPr="008D1CED" w:rsidTr="009D3DEA">
        <w:trPr>
          <w:trHeight w:val="320"/>
        </w:trPr>
        <w:tc>
          <w:tcPr>
            <w:tcW w:w="2071" w:type="dxa"/>
            <w:vMerge w:val="restart"/>
            <w:shd w:val="clear" w:color="auto" w:fill="DBE5F1"/>
            <w:vAlign w:val="center"/>
          </w:tcPr>
          <w:p w:rsidR="009D3DEA" w:rsidRPr="008D1CED" w:rsidRDefault="009D3DEA" w:rsidP="009D3DEA">
            <w:pPr>
              <w:spacing w:before="40" w:after="40"/>
              <w:rPr>
                <w:rFonts w:ascii="Arial" w:hAnsi="Arial" w:cs="Arial"/>
                <w:sz w:val="18"/>
                <w:szCs w:val="18"/>
              </w:rPr>
            </w:pPr>
            <w:r w:rsidRPr="008D1CED">
              <w:rPr>
                <w:rFonts w:ascii="Arial" w:hAnsi="Arial" w:cs="Arial"/>
                <w:sz w:val="18"/>
                <w:szCs w:val="18"/>
              </w:rPr>
              <w:t>Government of Australia Commitments:</w:t>
            </w:r>
          </w:p>
        </w:tc>
        <w:tc>
          <w:tcPr>
            <w:tcW w:w="1439" w:type="dxa"/>
            <w:shd w:val="clear" w:color="auto" w:fill="DBE5F1"/>
            <w:vAlign w:val="center"/>
          </w:tcPr>
          <w:p w:rsidR="009D3DEA" w:rsidRPr="008D1CED" w:rsidRDefault="009D3DEA" w:rsidP="009D3DEA">
            <w:pPr>
              <w:spacing w:before="40" w:after="40"/>
              <w:rPr>
                <w:rFonts w:ascii="Arial" w:hAnsi="Arial" w:cs="Arial"/>
                <w:sz w:val="18"/>
                <w:szCs w:val="18"/>
              </w:rPr>
            </w:pPr>
            <w:r w:rsidRPr="008D1CED">
              <w:rPr>
                <w:rFonts w:ascii="Arial" w:hAnsi="Arial" w:cs="Arial"/>
                <w:sz w:val="18"/>
                <w:szCs w:val="18"/>
              </w:rPr>
              <w:t>Grant</w:t>
            </w:r>
          </w:p>
        </w:tc>
        <w:tc>
          <w:tcPr>
            <w:tcW w:w="4820" w:type="dxa"/>
            <w:shd w:val="clear" w:color="auto" w:fill="FFFFFF"/>
            <w:vAlign w:val="center"/>
          </w:tcPr>
          <w:p w:rsidR="009D3DEA" w:rsidRPr="009D3DEA" w:rsidRDefault="009D3DEA" w:rsidP="009D3DEA">
            <w:pPr>
              <w:spacing w:before="40" w:after="40"/>
              <w:rPr>
                <w:rFonts w:ascii="Arial" w:hAnsi="Arial" w:cs="Arial"/>
                <w:sz w:val="18"/>
                <w:szCs w:val="18"/>
              </w:rPr>
            </w:pPr>
            <w:r w:rsidRPr="009D3DEA">
              <w:rPr>
                <w:rFonts w:ascii="Arial" w:hAnsi="Arial" w:cs="Arial"/>
                <w:sz w:val="18"/>
                <w:szCs w:val="18"/>
              </w:rPr>
              <w:t>Inclusive education A$1.5 m</w:t>
            </w:r>
            <w:r>
              <w:rPr>
                <w:rFonts w:ascii="Arial" w:hAnsi="Arial" w:cs="Arial"/>
                <w:sz w:val="18"/>
                <w:szCs w:val="18"/>
              </w:rPr>
              <w:t>illion</w:t>
            </w:r>
            <w:r w:rsidRPr="009D3DEA">
              <w:rPr>
                <w:rFonts w:ascii="Arial" w:hAnsi="Arial" w:cs="Arial"/>
                <w:sz w:val="18"/>
                <w:szCs w:val="18"/>
              </w:rPr>
              <w:t xml:space="preserve"> (</w:t>
            </w:r>
            <w:proofErr w:type="spellStart"/>
            <w:r w:rsidRPr="009D3DEA">
              <w:rPr>
                <w:rFonts w:ascii="Arial" w:hAnsi="Arial" w:cs="Arial"/>
                <w:sz w:val="18"/>
                <w:szCs w:val="18"/>
              </w:rPr>
              <w:t>est</w:t>
            </w:r>
            <w:proofErr w:type="spellEnd"/>
            <w:r w:rsidRPr="009D3DEA">
              <w:rPr>
                <w:rFonts w:ascii="Arial" w:hAnsi="Arial" w:cs="Arial"/>
                <w:sz w:val="18"/>
                <w:szCs w:val="18"/>
              </w:rPr>
              <w:t>)</w:t>
            </w:r>
          </w:p>
          <w:p w:rsidR="009D3DEA" w:rsidRPr="009D3DEA" w:rsidRDefault="009D3DEA" w:rsidP="009D3DEA">
            <w:pPr>
              <w:spacing w:before="40" w:after="40"/>
              <w:rPr>
                <w:rFonts w:ascii="Arial" w:hAnsi="Arial" w:cs="Arial"/>
                <w:sz w:val="18"/>
                <w:szCs w:val="18"/>
              </w:rPr>
            </w:pPr>
            <w:r w:rsidRPr="009D3DEA">
              <w:rPr>
                <w:rFonts w:ascii="Arial" w:hAnsi="Arial" w:cs="Arial"/>
                <w:sz w:val="18"/>
                <w:szCs w:val="18"/>
              </w:rPr>
              <w:t>Education Sector Plan A$2.5 m</w:t>
            </w:r>
            <w:r>
              <w:rPr>
                <w:rFonts w:ascii="Arial" w:hAnsi="Arial" w:cs="Arial"/>
                <w:sz w:val="18"/>
                <w:szCs w:val="18"/>
              </w:rPr>
              <w:t>illion</w:t>
            </w:r>
            <w:r w:rsidRPr="009D3DEA">
              <w:rPr>
                <w:rFonts w:ascii="Arial" w:hAnsi="Arial" w:cs="Arial"/>
                <w:sz w:val="18"/>
                <w:szCs w:val="18"/>
              </w:rPr>
              <w:t xml:space="preserve"> (</w:t>
            </w:r>
            <w:proofErr w:type="spellStart"/>
            <w:r w:rsidRPr="009D3DEA">
              <w:rPr>
                <w:rFonts w:ascii="Arial" w:hAnsi="Arial" w:cs="Arial"/>
                <w:sz w:val="18"/>
                <w:szCs w:val="18"/>
              </w:rPr>
              <w:t>est</w:t>
            </w:r>
            <w:proofErr w:type="spellEnd"/>
            <w:r w:rsidRPr="009D3DEA">
              <w:rPr>
                <w:rFonts w:ascii="Arial" w:hAnsi="Arial" w:cs="Arial"/>
                <w:sz w:val="18"/>
                <w:szCs w:val="18"/>
              </w:rPr>
              <w:t>)</w:t>
            </w:r>
          </w:p>
          <w:p w:rsidR="009D3DEA" w:rsidRPr="009D3DEA" w:rsidRDefault="009D3DEA" w:rsidP="009D3DEA">
            <w:pPr>
              <w:spacing w:before="40" w:after="40"/>
              <w:rPr>
                <w:rFonts w:ascii="Arial" w:hAnsi="Arial" w:cs="Arial"/>
                <w:sz w:val="18"/>
                <w:szCs w:val="18"/>
              </w:rPr>
            </w:pPr>
            <w:r>
              <w:rPr>
                <w:rFonts w:ascii="Arial" w:hAnsi="Arial" w:cs="Arial"/>
                <w:sz w:val="18"/>
                <w:szCs w:val="18"/>
              </w:rPr>
              <w:t>In-country training A$</w:t>
            </w:r>
            <w:r w:rsidRPr="009D3DEA">
              <w:rPr>
                <w:rFonts w:ascii="Arial" w:hAnsi="Arial" w:cs="Arial"/>
                <w:sz w:val="18"/>
                <w:szCs w:val="18"/>
              </w:rPr>
              <w:t>4</w:t>
            </w:r>
            <w:r>
              <w:rPr>
                <w:rFonts w:ascii="Arial" w:hAnsi="Arial" w:cs="Arial"/>
                <w:sz w:val="18"/>
                <w:szCs w:val="18"/>
              </w:rPr>
              <w:t>00,000</w:t>
            </w:r>
          </w:p>
        </w:tc>
        <w:tc>
          <w:tcPr>
            <w:tcW w:w="3435" w:type="dxa"/>
            <w:shd w:val="clear" w:color="auto" w:fill="FFFFFF"/>
            <w:vAlign w:val="center"/>
          </w:tcPr>
          <w:p w:rsidR="009D3DEA" w:rsidRPr="008D1CED" w:rsidRDefault="009D3DEA" w:rsidP="009D3DEA">
            <w:pPr>
              <w:spacing w:before="40" w:after="40"/>
              <w:rPr>
                <w:rFonts w:ascii="Arial" w:hAnsi="Arial" w:cs="Arial"/>
                <w:sz w:val="16"/>
                <w:szCs w:val="16"/>
              </w:rPr>
            </w:pPr>
          </w:p>
        </w:tc>
        <w:tc>
          <w:tcPr>
            <w:tcW w:w="2693" w:type="dxa"/>
            <w:shd w:val="clear" w:color="auto" w:fill="FFFFFF"/>
            <w:vAlign w:val="center"/>
          </w:tcPr>
          <w:p w:rsidR="009D3DEA" w:rsidRPr="008D1CED" w:rsidRDefault="009D3DEA" w:rsidP="009D3DEA">
            <w:pPr>
              <w:spacing w:before="40" w:after="40"/>
              <w:rPr>
                <w:rFonts w:ascii="Arial" w:hAnsi="Arial" w:cs="Arial"/>
                <w:sz w:val="16"/>
                <w:szCs w:val="16"/>
              </w:rPr>
            </w:pPr>
          </w:p>
        </w:tc>
      </w:tr>
      <w:tr w:rsidR="009D3DEA" w:rsidRPr="008D1CED" w:rsidTr="009D3DEA">
        <w:trPr>
          <w:trHeight w:val="320"/>
        </w:trPr>
        <w:tc>
          <w:tcPr>
            <w:tcW w:w="2071" w:type="dxa"/>
            <w:vMerge/>
            <w:shd w:val="clear" w:color="auto" w:fill="DBE5F1"/>
            <w:vAlign w:val="center"/>
          </w:tcPr>
          <w:p w:rsidR="009D3DEA" w:rsidRPr="008D1CED" w:rsidRDefault="009D3DEA" w:rsidP="009D3DEA">
            <w:pPr>
              <w:spacing w:before="40" w:after="40"/>
              <w:rPr>
                <w:rFonts w:ascii="Arial" w:hAnsi="Arial" w:cs="Arial"/>
                <w:sz w:val="18"/>
                <w:szCs w:val="18"/>
              </w:rPr>
            </w:pPr>
          </w:p>
        </w:tc>
        <w:tc>
          <w:tcPr>
            <w:tcW w:w="1439" w:type="dxa"/>
            <w:shd w:val="clear" w:color="auto" w:fill="DBE5F1"/>
            <w:vAlign w:val="center"/>
          </w:tcPr>
          <w:p w:rsidR="009D3DEA" w:rsidRPr="008D1CED" w:rsidRDefault="009D3DEA" w:rsidP="009D3DEA">
            <w:pPr>
              <w:spacing w:before="40" w:after="40"/>
              <w:rPr>
                <w:rFonts w:ascii="Arial" w:hAnsi="Arial" w:cs="Arial"/>
                <w:sz w:val="18"/>
                <w:szCs w:val="18"/>
              </w:rPr>
            </w:pPr>
            <w:r w:rsidRPr="008D1CED">
              <w:rPr>
                <w:rFonts w:ascii="Arial" w:hAnsi="Arial" w:cs="Arial"/>
                <w:sz w:val="18"/>
                <w:szCs w:val="18"/>
              </w:rPr>
              <w:t>In-kind</w:t>
            </w:r>
          </w:p>
        </w:tc>
        <w:tc>
          <w:tcPr>
            <w:tcW w:w="4820" w:type="dxa"/>
            <w:shd w:val="clear" w:color="auto" w:fill="FFFFFF"/>
            <w:vAlign w:val="center"/>
          </w:tcPr>
          <w:p w:rsidR="009D3DEA" w:rsidRPr="009D3DEA" w:rsidRDefault="009D3DEA" w:rsidP="009D3DEA">
            <w:pPr>
              <w:spacing w:before="40" w:after="40"/>
              <w:rPr>
                <w:rFonts w:ascii="Arial" w:hAnsi="Arial" w:cs="Arial"/>
                <w:sz w:val="18"/>
                <w:szCs w:val="18"/>
              </w:rPr>
            </w:pPr>
            <w:r w:rsidRPr="009D3DEA">
              <w:rPr>
                <w:rFonts w:ascii="Arial" w:hAnsi="Arial" w:cs="Arial"/>
                <w:sz w:val="18"/>
                <w:szCs w:val="18"/>
              </w:rPr>
              <w:t>A$4 million (scholarships)</w:t>
            </w:r>
          </w:p>
        </w:tc>
        <w:tc>
          <w:tcPr>
            <w:tcW w:w="3435" w:type="dxa"/>
            <w:shd w:val="clear" w:color="auto" w:fill="FFFFFF"/>
            <w:vAlign w:val="center"/>
          </w:tcPr>
          <w:p w:rsidR="009D3DEA" w:rsidRPr="008D1CED" w:rsidRDefault="009D3DEA" w:rsidP="009D3DEA">
            <w:pPr>
              <w:spacing w:before="40" w:after="40"/>
              <w:rPr>
                <w:rFonts w:ascii="Arial" w:hAnsi="Arial" w:cs="Arial"/>
                <w:sz w:val="16"/>
                <w:szCs w:val="16"/>
              </w:rPr>
            </w:pPr>
          </w:p>
        </w:tc>
        <w:tc>
          <w:tcPr>
            <w:tcW w:w="2693" w:type="dxa"/>
            <w:shd w:val="clear" w:color="auto" w:fill="FFFFFF"/>
            <w:vAlign w:val="center"/>
          </w:tcPr>
          <w:p w:rsidR="009D3DEA" w:rsidRPr="008D1CED" w:rsidRDefault="009D3DEA" w:rsidP="009D3DEA">
            <w:pPr>
              <w:spacing w:before="40" w:after="40"/>
              <w:rPr>
                <w:rFonts w:ascii="Arial" w:hAnsi="Arial" w:cs="Arial"/>
                <w:sz w:val="16"/>
                <w:szCs w:val="16"/>
              </w:rPr>
            </w:pPr>
          </w:p>
        </w:tc>
      </w:tr>
      <w:tr w:rsidR="009D3DEA" w:rsidRPr="008D1CED" w:rsidTr="009D3DEA">
        <w:trPr>
          <w:trHeight w:val="460"/>
        </w:trPr>
        <w:tc>
          <w:tcPr>
            <w:tcW w:w="3510" w:type="dxa"/>
            <w:gridSpan w:val="2"/>
            <w:shd w:val="clear" w:color="auto" w:fill="DBE5F1"/>
            <w:vAlign w:val="center"/>
          </w:tcPr>
          <w:p w:rsidR="009D3DEA" w:rsidRPr="008D1CED" w:rsidRDefault="009D3DEA" w:rsidP="009D3DEA">
            <w:pPr>
              <w:spacing w:before="40" w:after="40"/>
              <w:rPr>
                <w:rFonts w:ascii="Arial" w:hAnsi="Arial" w:cs="Arial"/>
                <w:sz w:val="18"/>
                <w:szCs w:val="18"/>
              </w:rPr>
            </w:pPr>
            <w:r w:rsidRPr="008D1CED">
              <w:rPr>
                <w:rFonts w:ascii="Arial" w:hAnsi="Arial" w:cs="Arial"/>
                <w:sz w:val="18"/>
                <w:szCs w:val="18"/>
              </w:rPr>
              <w:t>Government of Samoa Commitments:</w:t>
            </w:r>
          </w:p>
        </w:tc>
        <w:tc>
          <w:tcPr>
            <w:tcW w:w="4820" w:type="dxa"/>
            <w:shd w:val="clear" w:color="auto" w:fill="FFFFFF"/>
            <w:vAlign w:val="center"/>
          </w:tcPr>
          <w:p w:rsidR="009D3DEA" w:rsidRDefault="009D3DEA" w:rsidP="009D3DEA">
            <w:pPr>
              <w:spacing w:before="40" w:after="40"/>
              <w:rPr>
                <w:rFonts w:ascii="Arial" w:hAnsi="Arial" w:cs="Arial"/>
                <w:sz w:val="16"/>
                <w:szCs w:val="16"/>
              </w:rPr>
            </w:pPr>
            <w:r>
              <w:rPr>
                <w:rFonts w:ascii="Arial" w:hAnsi="Arial" w:cs="Arial"/>
                <w:sz w:val="16"/>
                <w:szCs w:val="16"/>
              </w:rPr>
              <w:t>Maintenance of the education budget in GoS budget.</w:t>
            </w:r>
          </w:p>
          <w:p w:rsidR="009D3DEA" w:rsidRPr="008D1CED" w:rsidRDefault="009D3DEA" w:rsidP="009D3DEA">
            <w:pPr>
              <w:spacing w:before="40" w:after="40"/>
              <w:rPr>
                <w:rFonts w:ascii="Arial" w:hAnsi="Arial" w:cs="Arial"/>
                <w:sz w:val="16"/>
                <w:szCs w:val="16"/>
              </w:rPr>
            </w:pPr>
            <w:r>
              <w:rPr>
                <w:rFonts w:ascii="Arial" w:hAnsi="Arial" w:cs="Arial"/>
                <w:sz w:val="16"/>
                <w:szCs w:val="16"/>
              </w:rPr>
              <w:t>Lead in the design of the next phase of support for the sector.</w:t>
            </w:r>
          </w:p>
        </w:tc>
        <w:tc>
          <w:tcPr>
            <w:tcW w:w="3435" w:type="dxa"/>
            <w:shd w:val="clear" w:color="auto" w:fill="FFFFFF"/>
            <w:vAlign w:val="center"/>
          </w:tcPr>
          <w:p w:rsidR="009D3DEA" w:rsidRPr="008D1CED" w:rsidRDefault="009D3DEA" w:rsidP="009D3DEA">
            <w:pPr>
              <w:spacing w:before="40" w:after="40"/>
              <w:rPr>
                <w:rFonts w:ascii="Arial" w:hAnsi="Arial" w:cs="Arial"/>
                <w:sz w:val="16"/>
                <w:szCs w:val="16"/>
              </w:rPr>
            </w:pPr>
          </w:p>
        </w:tc>
        <w:tc>
          <w:tcPr>
            <w:tcW w:w="2693" w:type="dxa"/>
            <w:shd w:val="clear" w:color="auto" w:fill="FFFFFF"/>
            <w:vAlign w:val="center"/>
          </w:tcPr>
          <w:p w:rsidR="009D3DEA" w:rsidRPr="008D1CED" w:rsidRDefault="009D3DEA" w:rsidP="009D3DEA">
            <w:pPr>
              <w:spacing w:before="40" w:after="40"/>
              <w:rPr>
                <w:rFonts w:ascii="Arial" w:hAnsi="Arial" w:cs="Arial"/>
                <w:sz w:val="16"/>
                <w:szCs w:val="16"/>
              </w:rPr>
            </w:pPr>
          </w:p>
        </w:tc>
      </w:tr>
    </w:tbl>
    <w:p w:rsidR="009D3DEA" w:rsidRDefault="009D3DE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843"/>
        <w:gridCol w:w="3116"/>
        <w:gridCol w:w="4397"/>
      </w:tblGrid>
      <w:tr w:rsidR="00213339" w:rsidRPr="00E72C5C" w:rsidTr="009D3DEA">
        <w:tc>
          <w:tcPr>
            <w:tcW w:w="7763" w:type="dxa"/>
            <w:gridSpan w:val="2"/>
            <w:shd w:val="clear" w:color="auto" w:fill="BCC9E6"/>
            <w:vAlign w:val="center"/>
          </w:tcPr>
          <w:p w:rsidR="00213339" w:rsidRPr="00E72C5C" w:rsidRDefault="00213339" w:rsidP="001E055B">
            <w:pPr>
              <w:spacing w:before="40" w:after="40" w:line="240" w:lineRule="auto"/>
              <w:rPr>
                <w:rFonts w:ascii="Arial" w:hAnsi="Arial" w:cs="Arial"/>
              </w:rPr>
            </w:pPr>
            <w:r>
              <w:rPr>
                <w:rFonts w:ascii="Arial" w:hAnsi="Arial" w:cs="Arial"/>
                <w:sz w:val="24"/>
                <w:szCs w:val="24"/>
              </w:rPr>
              <w:t>Key Risks</w:t>
            </w:r>
          </w:p>
        </w:tc>
        <w:tc>
          <w:tcPr>
            <w:tcW w:w="7513" w:type="dxa"/>
            <w:gridSpan w:val="2"/>
            <w:shd w:val="clear" w:color="auto" w:fill="BCC9E6"/>
            <w:vAlign w:val="center"/>
          </w:tcPr>
          <w:p w:rsidR="00213339" w:rsidRPr="00E72C5C" w:rsidRDefault="00213339" w:rsidP="001E055B">
            <w:pPr>
              <w:spacing w:before="40" w:after="40" w:line="240" w:lineRule="auto"/>
              <w:rPr>
                <w:rFonts w:ascii="Arial" w:hAnsi="Arial" w:cs="Arial"/>
              </w:rPr>
            </w:pPr>
            <w:r>
              <w:rPr>
                <w:rFonts w:ascii="Arial" w:hAnsi="Arial" w:cs="Arial"/>
                <w:sz w:val="24"/>
                <w:szCs w:val="24"/>
              </w:rPr>
              <w:t>Management Plan</w:t>
            </w:r>
          </w:p>
        </w:tc>
      </w:tr>
      <w:tr w:rsidR="009D3DEA" w:rsidRPr="00E72C5C" w:rsidTr="009D3DEA">
        <w:tc>
          <w:tcPr>
            <w:tcW w:w="7763" w:type="dxa"/>
            <w:gridSpan w:val="2"/>
            <w:vAlign w:val="center"/>
          </w:tcPr>
          <w:p w:rsidR="009D3DEA" w:rsidRPr="009D3DEA" w:rsidRDefault="009D3DEA" w:rsidP="009D3DEA">
            <w:pPr>
              <w:spacing w:before="40" w:after="40"/>
              <w:rPr>
                <w:rFonts w:ascii="Arial" w:hAnsi="Arial" w:cs="Arial"/>
                <w:sz w:val="18"/>
                <w:szCs w:val="18"/>
              </w:rPr>
            </w:pPr>
            <w:r w:rsidRPr="009D3DEA">
              <w:rPr>
                <w:rFonts w:ascii="Arial" w:hAnsi="Arial" w:cs="Arial"/>
                <w:sz w:val="18"/>
                <w:szCs w:val="18"/>
              </w:rPr>
              <w:t>Education Sector Plan costing and M&amp;E Framework not completed on time.</w:t>
            </w:r>
          </w:p>
        </w:tc>
        <w:tc>
          <w:tcPr>
            <w:tcW w:w="7513" w:type="dxa"/>
            <w:gridSpan w:val="2"/>
            <w:vAlign w:val="center"/>
          </w:tcPr>
          <w:p w:rsidR="009D3DEA" w:rsidRPr="009D3DEA" w:rsidRDefault="009D3DEA" w:rsidP="009D3DEA">
            <w:pPr>
              <w:spacing w:before="40" w:after="40"/>
              <w:rPr>
                <w:rFonts w:ascii="Arial" w:hAnsi="Arial" w:cs="Arial"/>
                <w:sz w:val="18"/>
                <w:szCs w:val="18"/>
              </w:rPr>
            </w:pPr>
            <w:r w:rsidRPr="009D3DEA">
              <w:rPr>
                <w:rFonts w:ascii="Arial" w:hAnsi="Arial" w:cs="Arial"/>
                <w:sz w:val="18"/>
                <w:szCs w:val="18"/>
              </w:rPr>
              <w:t>Post continues to work closely with Sector Plan Working Group.</w:t>
            </w:r>
          </w:p>
        </w:tc>
      </w:tr>
      <w:tr w:rsidR="009D3DEA" w:rsidRPr="00E72C5C" w:rsidTr="009D3DEA">
        <w:tc>
          <w:tcPr>
            <w:tcW w:w="7763" w:type="dxa"/>
            <w:gridSpan w:val="2"/>
            <w:shd w:val="clear" w:color="auto" w:fill="D9D9D9" w:themeFill="background1" w:themeFillShade="D9"/>
            <w:vAlign w:val="center"/>
          </w:tcPr>
          <w:p w:rsidR="009D3DEA" w:rsidRPr="009D3DEA" w:rsidRDefault="009D3DEA" w:rsidP="009D3DEA">
            <w:pPr>
              <w:spacing w:before="40" w:after="40"/>
              <w:rPr>
                <w:rFonts w:ascii="Arial" w:hAnsi="Arial" w:cs="Arial"/>
                <w:sz w:val="18"/>
                <w:szCs w:val="18"/>
              </w:rPr>
            </w:pPr>
            <w:r w:rsidRPr="009D3DEA">
              <w:rPr>
                <w:rFonts w:ascii="Arial" w:hAnsi="Arial" w:cs="Arial"/>
                <w:sz w:val="18"/>
                <w:szCs w:val="18"/>
              </w:rPr>
              <w:t>Capacity of MESC for full integration of SIEDP.</w:t>
            </w:r>
          </w:p>
        </w:tc>
        <w:tc>
          <w:tcPr>
            <w:tcW w:w="7513" w:type="dxa"/>
            <w:gridSpan w:val="2"/>
            <w:shd w:val="clear" w:color="auto" w:fill="D9D9D9" w:themeFill="background1" w:themeFillShade="D9"/>
            <w:vAlign w:val="center"/>
          </w:tcPr>
          <w:p w:rsidR="009D3DEA" w:rsidRPr="009D3DEA" w:rsidRDefault="009D3DEA" w:rsidP="009D3DEA">
            <w:pPr>
              <w:spacing w:before="40" w:after="40"/>
              <w:rPr>
                <w:rFonts w:ascii="Arial" w:hAnsi="Arial" w:cs="Arial"/>
                <w:sz w:val="18"/>
                <w:szCs w:val="18"/>
              </w:rPr>
            </w:pPr>
            <w:r w:rsidRPr="009D3DEA">
              <w:rPr>
                <w:rFonts w:ascii="Arial" w:hAnsi="Arial" w:cs="Arial"/>
                <w:sz w:val="18"/>
                <w:szCs w:val="18"/>
              </w:rPr>
              <w:t>Resources to support the Ministry in the transitional phase</w:t>
            </w:r>
          </w:p>
        </w:tc>
      </w:tr>
      <w:tr w:rsidR="009D3DEA" w:rsidRPr="00E72C5C" w:rsidTr="009D3DEA">
        <w:tc>
          <w:tcPr>
            <w:tcW w:w="7763" w:type="dxa"/>
            <w:gridSpan w:val="2"/>
            <w:vAlign w:val="center"/>
          </w:tcPr>
          <w:p w:rsidR="009D3DEA" w:rsidRPr="009D3DEA" w:rsidRDefault="009D3DEA" w:rsidP="009D3DEA">
            <w:pPr>
              <w:spacing w:before="40" w:after="40"/>
              <w:rPr>
                <w:rFonts w:ascii="Arial" w:hAnsi="Arial" w:cs="Arial"/>
                <w:sz w:val="18"/>
                <w:szCs w:val="18"/>
              </w:rPr>
            </w:pPr>
            <w:r w:rsidRPr="009D3DEA">
              <w:rPr>
                <w:rFonts w:ascii="Arial" w:hAnsi="Arial" w:cs="Arial"/>
                <w:sz w:val="18"/>
                <w:szCs w:val="18"/>
              </w:rPr>
              <w:t xml:space="preserve">The non-compliance issues associated with schools management of the funds for the SSFGS need to be followed up closely.  </w:t>
            </w:r>
          </w:p>
        </w:tc>
        <w:tc>
          <w:tcPr>
            <w:tcW w:w="7513" w:type="dxa"/>
            <w:gridSpan w:val="2"/>
            <w:vAlign w:val="center"/>
          </w:tcPr>
          <w:p w:rsidR="009D3DEA" w:rsidRPr="009D3DEA" w:rsidRDefault="009D3DEA" w:rsidP="009D3DEA">
            <w:pPr>
              <w:spacing w:before="40" w:after="40"/>
              <w:rPr>
                <w:rFonts w:ascii="Arial" w:hAnsi="Arial" w:cs="Arial"/>
                <w:sz w:val="18"/>
                <w:szCs w:val="18"/>
              </w:rPr>
            </w:pPr>
            <w:r w:rsidRPr="009D3DEA">
              <w:rPr>
                <w:rFonts w:ascii="Arial" w:hAnsi="Arial" w:cs="Arial"/>
                <w:sz w:val="18"/>
                <w:szCs w:val="18"/>
              </w:rPr>
              <w:t>Post continues to work closely with the Team of Consultants and MESC to support their monitoring of the SSFGS.</w:t>
            </w:r>
          </w:p>
        </w:tc>
      </w:tr>
      <w:tr w:rsidR="009D3DEA" w:rsidRPr="00E72C5C" w:rsidTr="009D3DEA">
        <w:tc>
          <w:tcPr>
            <w:tcW w:w="7763" w:type="dxa"/>
            <w:gridSpan w:val="2"/>
            <w:shd w:val="clear" w:color="auto" w:fill="D9D9D9" w:themeFill="background1" w:themeFillShade="D9"/>
            <w:vAlign w:val="center"/>
          </w:tcPr>
          <w:p w:rsidR="009D3DEA" w:rsidRPr="009D3DEA" w:rsidRDefault="009D3DEA" w:rsidP="009D3DEA">
            <w:pPr>
              <w:tabs>
                <w:tab w:val="left" w:pos="274"/>
                <w:tab w:val="left" w:pos="1217"/>
              </w:tabs>
              <w:spacing w:before="60" w:after="0" w:line="240" w:lineRule="auto"/>
              <w:rPr>
                <w:rFonts w:ascii="Arial" w:hAnsi="Arial" w:cs="Arial"/>
                <w:sz w:val="18"/>
                <w:szCs w:val="18"/>
              </w:rPr>
            </w:pPr>
            <w:r w:rsidRPr="009D3DEA">
              <w:rPr>
                <w:rFonts w:ascii="Arial" w:hAnsi="Arial" w:cs="Arial"/>
                <w:sz w:val="18"/>
                <w:szCs w:val="18"/>
              </w:rPr>
              <w:t xml:space="preserve">Program management was identified as a risk in the original </w:t>
            </w:r>
            <w:r w:rsidR="00BA7D16">
              <w:rPr>
                <w:rFonts w:ascii="Arial" w:hAnsi="Arial" w:cs="Arial"/>
                <w:sz w:val="18"/>
                <w:szCs w:val="18"/>
              </w:rPr>
              <w:t xml:space="preserve">SIEDP </w:t>
            </w:r>
            <w:r w:rsidRPr="009D3DEA">
              <w:rPr>
                <w:rFonts w:ascii="Arial" w:hAnsi="Arial" w:cs="Arial"/>
                <w:sz w:val="18"/>
                <w:szCs w:val="18"/>
              </w:rPr>
              <w:t xml:space="preserve">design and continues to be a risk with the focus being on individual activities rather than management as an overall program.  </w:t>
            </w:r>
          </w:p>
          <w:p w:rsidR="009D3DEA" w:rsidRPr="009D3DEA" w:rsidRDefault="009D3DEA" w:rsidP="009D3DEA">
            <w:pPr>
              <w:tabs>
                <w:tab w:val="left" w:pos="274"/>
                <w:tab w:val="left" w:pos="1217"/>
              </w:tabs>
              <w:spacing w:before="60" w:after="0" w:line="240" w:lineRule="auto"/>
              <w:rPr>
                <w:rFonts w:ascii="Arial" w:hAnsi="Arial" w:cs="Arial"/>
                <w:sz w:val="18"/>
                <w:szCs w:val="18"/>
              </w:rPr>
            </w:pPr>
          </w:p>
          <w:p w:rsidR="009D3DEA" w:rsidRPr="009D3DEA" w:rsidRDefault="009D3DEA" w:rsidP="009D3DEA">
            <w:pPr>
              <w:spacing w:before="40" w:after="40"/>
              <w:rPr>
                <w:rFonts w:ascii="Arial" w:hAnsi="Arial" w:cs="Arial"/>
                <w:sz w:val="18"/>
                <w:szCs w:val="18"/>
              </w:rPr>
            </w:pPr>
            <w:r w:rsidRPr="009D3DEA">
              <w:rPr>
                <w:rFonts w:ascii="Arial" w:hAnsi="Arial" w:cs="Arial"/>
                <w:sz w:val="18"/>
                <w:szCs w:val="18"/>
              </w:rPr>
              <w:t>There is a need for a more robust Monitoring and Evaluation system to ensure data is collected and analysed to inform decision making and address issues accordingly.</w:t>
            </w:r>
          </w:p>
        </w:tc>
        <w:tc>
          <w:tcPr>
            <w:tcW w:w="7513" w:type="dxa"/>
            <w:gridSpan w:val="2"/>
            <w:shd w:val="clear" w:color="auto" w:fill="D9D9D9" w:themeFill="background1" w:themeFillShade="D9"/>
            <w:vAlign w:val="center"/>
          </w:tcPr>
          <w:p w:rsidR="009D3DEA" w:rsidRPr="009D3DEA" w:rsidRDefault="009D3DEA" w:rsidP="009D3DEA">
            <w:pPr>
              <w:spacing w:before="40" w:after="40"/>
              <w:rPr>
                <w:rFonts w:ascii="Arial" w:hAnsi="Arial" w:cs="Arial"/>
                <w:sz w:val="18"/>
                <w:szCs w:val="18"/>
              </w:rPr>
            </w:pPr>
            <w:r w:rsidRPr="009D3DEA">
              <w:rPr>
                <w:rFonts w:ascii="Arial" w:hAnsi="Arial" w:cs="Arial"/>
                <w:sz w:val="18"/>
                <w:szCs w:val="18"/>
              </w:rPr>
              <w:t>Post to follow up the recommendations in the redesign of the program to improve program management and work with the SIEDP Working Group to address these concerns.</w:t>
            </w:r>
          </w:p>
        </w:tc>
      </w:tr>
      <w:tr w:rsidR="00390D5A" w:rsidRPr="00E72C5C" w:rsidTr="00DD1E0F">
        <w:tc>
          <w:tcPr>
            <w:tcW w:w="5920" w:type="dxa"/>
            <w:shd w:val="clear" w:color="auto" w:fill="BCC9E6"/>
            <w:vAlign w:val="center"/>
          </w:tcPr>
          <w:p w:rsidR="00390D5A" w:rsidRPr="00E72C5C" w:rsidRDefault="00390D5A" w:rsidP="00213339">
            <w:pPr>
              <w:spacing w:before="40" w:after="40" w:line="240" w:lineRule="auto"/>
              <w:rPr>
                <w:rFonts w:ascii="Arial" w:hAnsi="Arial" w:cs="Arial"/>
              </w:rPr>
            </w:pPr>
            <w:r w:rsidRPr="00E72C5C">
              <w:rPr>
                <w:rFonts w:ascii="Arial" w:hAnsi="Arial" w:cs="Arial"/>
                <w:sz w:val="24"/>
                <w:szCs w:val="24"/>
              </w:rPr>
              <w:t>Supporting information</w:t>
            </w:r>
          </w:p>
        </w:tc>
        <w:tc>
          <w:tcPr>
            <w:tcW w:w="4959" w:type="dxa"/>
            <w:gridSpan w:val="2"/>
            <w:shd w:val="clear" w:color="auto" w:fill="BCC9E6"/>
            <w:vAlign w:val="center"/>
          </w:tcPr>
          <w:p w:rsidR="00390D5A" w:rsidRPr="00E72C5C" w:rsidRDefault="00DE0AFA" w:rsidP="00213339">
            <w:pPr>
              <w:spacing w:before="40" w:after="40" w:line="240" w:lineRule="auto"/>
              <w:rPr>
                <w:rFonts w:ascii="Arial" w:hAnsi="Arial" w:cs="Arial"/>
              </w:rPr>
            </w:pPr>
            <w:r>
              <w:rPr>
                <w:rFonts w:ascii="Arial" w:hAnsi="Arial" w:cs="Arial"/>
                <w:sz w:val="24"/>
                <w:szCs w:val="24"/>
              </w:rPr>
              <w:t>Sector</w:t>
            </w:r>
            <w:r w:rsidR="00390D5A" w:rsidRPr="00E72C5C">
              <w:rPr>
                <w:rFonts w:ascii="Arial" w:hAnsi="Arial" w:cs="Arial"/>
                <w:sz w:val="24"/>
                <w:szCs w:val="24"/>
              </w:rPr>
              <w:t xml:space="preserve"> Issues</w:t>
            </w:r>
          </w:p>
        </w:tc>
        <w:tc>
          <w:tcPr>
            <w:tcW w:w="4397" w:type="dxa"/>
            <w:shd w:val="clear" w:color="auto" w:fill="BCC9E6"/>
            <w:vAlign w:val="center"/>
          </w:tcPr>
          <w:p w:rsidR="00390D5A" w:rsidRPr="00E72C5C" w:rsidRDefault="00390D5A" w:rsidP="00213339">
            <w:pPr>
              <w:spacing w:before="40" w:after="40" w:line="240" w:lineRule="auto"/>
              <w:rPr>
                <w:rFonts w:ascii="Arial" w:hAnsi="Arial" w:cs="Arial"/>
                <w:sz w:val="24"/>
                <w:szCs w:val="24"/>
              </w:rPr>
            </w:pPr>
            <w:r w:rsidRPr="00E72C5C">
              <w:rPr>
                <w:rFonts w:ascii="Arial" w:hAnsi="Arial" w:cs="Arial"/>
                <w:sz w:val="24"/>
                <w:szCs w:val="24"/>
              </w:rPr>
              <w:t>Programs</w:t>
            </w:r>
          </w:p>
        </w:tc>
      </w:tr>
      <w:tr w:rsidR="00390D5A" w:rsidRPr="00E72C5C" w:rsidTr="00DD1E0F">
        <w:tc>
          <w:tcPr>
            <w:tcW w:w="5920" w:type="dxa"/>
            <w:vAlign w:val="center"/>
          </w:tcPr>
          <w:p w:rsidR="009D3DEA" w:rsidRPr="00376706" w:rsidRDefault="009D3DEA" w:rsidP="009D3DEA">
            <w:pPr>
              <w:numPr>
                <w:ilvl w:val="0"/>
                <w:numId w:val="1"/>
              </w:numPr>
              <w:tabs>
                <w:tab w:val="num" w:pos="360"/>
              </w:tabs>
              <w:spacing w:before="40" w:after="40" w:line="240" w:lineRule="auto"/>
              <w:rPr>
                <w:rFonts w:ascii="Arial" w:hAnsi="Arial" w:cs="Arial"/>
                <w:sz w:val="18"/>
                <w:szCs w:val="18"/>
              </w:rPr>
            </w:pPr>
            <w:r w:rsidRPr="00376706">
              <w:rPr>
                <w:rFonts w:ascii="Arial" w:hAnsi="Arial" w:cs="Arial"/>
                <w:sz w:val="18"/>
                <w:szCs w:val="18"/>
              </w:rPr>
              <w:t>Executing Agency – Ministry of Finance</w:t>
            </w:r>
          </w:p>
          <w:p w:rsidR="009D3DEA" w:rsidRPr="00376706" w:rsidRDefault="009D3DEA" w:rsidP="009D3DEA">
            <w:pPr>
              <w:numPr>
                <w:ilvl w:val="0"/>
                <w:numId w:val="1"/>
              </w:numPr>
              <w:tabs>
                <w:tab w:val="num" w:pos="360"/>
              </w:tabs>
              <w:spacing w:before="40" w:after="40" w:line="240" w:lineRule="auto"/>
              <w:rPr>
                <w:rFonts w:ascii="Arial" w:hAnsi="Arial" w:cs="Arial"/>
                <w:sz w:val="18"/>
                <w:szCs w:val="18"/>
              </w:rPr>
            </w:pPr>
            <w:r w:rsidRPr="00376706">
              <w:rPr>
                <w:rFonts w:ascii="Arial" w:hAnsi="Arial" w:cs="Arial"/>
                <w:b/>
                <w:sz w:val="18"/>
                <w:szCs w:val="18"/>
              </w:rPr>
              <w:t>Implementing Agency</w:t>
            </w:r>
            <w:r w:rsidRPr="00376706">
              <w:rPr>
                <w:rFonts w:ascii="Arial" w:hAnsi="Arial" w:cs="Arial"/>
                <w:sz w:val="18"/>
                <w:szCs w:val="18"/>
              </w:rPr>
              <w:t xml:space="preserve"> – Ministry of Education, Sports and Culture (MESC), Samoa Qualifications Authority, National University of Samoa, Ministry of Foreign Affairs and Trade</w:t>
            </w:r>
          </w:p>
          <w:p w:rsidR="009D3DEA" w:rsidRPr="00376706" w:rsidRDefault="009D3DEA" w:rsidP="009D3DEA">
            <w:pPr>
              <w:numPr>
                <w:ilvl w:val="0"/>
                <w:numId w:val="1"/>
              </w:numPr>
              <w:tabs>
                <w:tab w:val="num" w:pos="360"/>
              </w:tabs>
              <w:spacing w:before="40" w:after="40" w:line="240" w:lineRule="auto"/>
              <w:rPr>
                <w:rFonts w:ascii="Arial" w:hAnsi="Arial" w:cs="Arial"/>
                <w:sz w:val="18"/>
                <w:szCs w:val="18"/>
              </w:rPr>
            </w:pPr>
            <w:r w:rsidRPr="00376706">
              <w:rPr>
                <w:rFonts w:ascii="Arial" w:hAnsi="Arial" w:cs="Arial"/>
                <w:b/>
                <w:sz w:val="18"/>
                <w:szCs w:val="18"/>
              </w:rPr>
              <w:t>Sector Coordinating Agency</w:t>
            </w:r>
            <w:r w:rsidRPr="00376706">
              <w:rPr>
                <w:rFonts w:ascii="Arial" w:hAnsi="Arial" w:cs="Arial"/>
                <w:sz w:val="18"/>
                <w:szCs w:val="18"/>
              </w:rPr>
              <w:t xml:space="preserve"> - MESC</w:t>
            </w:r>
          </w:p>
          <w:p w:rsidR="009D3DEA" w:rsidRPr="00376706" w:rsidRDefault="009D3DEA" w:rsidP="009D3DEA">
            <w:pPr>
              <w:numPr>
                <w:ilvl w:val="0"/>
                <w:numId w:val="1"/>
              </w:numPr>
              <w:tabs>
                <w:tab w:val="num" w:pos="360"/>
              </w:tabs>
              <w:spacing w:before="40" w:after="40" w:line="240" w:lineRule="auto"/>
              <w:rPr>
                <w:rFonts w:ascii="Arial" w:hAnsi="Arial" w:cs="Arial"/>
                <w:sz w:val="18"/>
                <w:szCs w:val="18"/>
              </w:rPr>
            </w:pPr>
            <w:r w:rsidRPr="00376706">
              <w:rPr>
                <w:rFonts w:ascii="Arial" w:hAnsi="Arial" w:cs="Arial"/>
                <w:b/>
                <w:sz w:val="18"/>
                <w:szCs w:val="18"/>
              </w:rPr>
              <w:t>Key Sector Contacts</w:t>
            </w:r>
            <w:r w:rsidRPr="00376706">
              <w:rPr>
                <w:rFonts w:ascii="Arial" w:hAnsi="Arial" w:cs="Arial"/>
                <w:sz w:val="18"/>
                <w:szCs w:val="18"/>
              </w:rPr>
              <w:t xml:space="preserve"> : </w:t>
            </w:r>
          </w:p>
          <w:p w:rsidR="009D3DEA" w:rsidRPr="00376706" w:rsidRDefault="009D3DEA" w:rsidP="009D3DEA">
            <w:pPr>
              <w:numPr>
                <w:ilvl w:val="1"/>
                <w:numId w:val="1"/>
              </w:numPr>
              <w:tabs>
                <w:tab w:val="num" w:pos="851"/>
              </w:tabs>
              <w:spacing w:before="40" w:after="40" w:line="240" w:lineRule="auto"/>
              <w:ind w:left="851"/>
              <w:rPr>
                <w:rFonts w:ascii="Arial" w:hAnsi="Arial" w:cs="Arial"/>
                <w:sz w:val="18"/>
                <w:szCs w:val="18"/>
              </w:rPr>
            </w:pPr>
            <w:r w:rsidRPr="00376706">
              <w:rPr>
                <w:rFonts w:ascii="Arial" w:hAnsi="Arial" w:cs="Arial"/>
                <w:sz w:val="18"/>
                <w:szCs w:val="18"/>
              </w:rPr>
              <w:t xml:space="preserve">Education - Galumalemana Nuufou Petaia, </w:t>
            </w:r>
            <w:r>
              <w:rPr>
                <w:rFonts w:ascii="Arial" w:hAnsi="Arial" w:cs="Arial"/>
                <w:sz w:val="18"/>
                <w:szCs w:val="18"/>
              </w:rPr>
              <w:t>CEO</w:t>
            </w:r>
            <w:r w:rsidRPr="00376706">
              <w:rPr>
                <w:rFonts w:ascii="Arial" w:hAnsi="Arial" w:cs="Arial"/>
                <w:sz w:val="18"/>
                <w:szCs w:val="18"/>
              </w:rPr>
              <w:t>, MESC</w:t>
            </w:r>
          </w:p>
          <w:p w:rsidR="009D3DEA" w:rsidRPr="00376706" w:rsidRDefault="009D3DEA" w:rsidP="009D3DEA">
            <w:pPr>
              <w:numPr>
                <w:ilvl w:val="1"/>
                <w:numId w:val="1"/>
              </w:numPr>
              <w:tabs>
                <w:tab w:val="num" w:pos="851"/>
              </w:tabs>
              <w:spacing w:before="40" w:after="40" w:line="240" w:lineRule="auto"/>
              <w:ind w:left="851"/>
              <w:rPr>
                <w:rFonts w:ascii="Arial" w:hAnsi="Arial" w:cs="Arial"/>
                <w:sz w:val="18"/>
                <w:szCs w:val="18"/>
              </w:rPr>
            </w:pPr>
            <w:r w:rsidRPr="00376706">
              <w:rPr>
                <w:rFonts w:ascii="Arial" w:hAnsi="Arial" w:cs="Arial"/>
                <w:sz w:val="18"/>
                <w:szCs w:val="18"/>
              </w:rPr>
              <w:t xml:space="preserve">TVET – </w:t>
            </w:r>
            <w:proofErr w:type="spellStart"/>
            <w:r w:rsidRPr="00376706">
              <w:rPr>
                <w:rFonts w:ascii="Arial" w:hAnsi="Arial" w:cs="Arial"/>
                <w:sz w:val="18"/>
                <w:szCs w:val="18"/>
              </w:rPr>
              <w:t>Fepuleai</w:t>
            </w:r>
            <w:proofErr w:type="spellEnd"/>
            <w:r w:rsidRPr="00376706">
              <w:rPr>
                <w:rFonts w:ascii="Arial" w:hAnsi="Arial" w:cs="Arial"/>
                <w:sz w:val="18"/>
                <w:szCs w:val="18"/>
              </w:rPr>
              <w:t xml:space="preserve"> Sinapi </w:t>
            </w:r>
            <w:proofErr w:type="spellStart"/>
            <w:r w:rsidRPr="00376706">
              <w:rPr>
                <w:rFonts w:ascii="Arial" w:hAnsi="Arial" w:cs="Arial"/>
                <w:sz w:val="18"/>
                <w:szCs w:val="18"/>
              </w:rPr>
              <w:t>Moli</w:t>
            </w:r>
            <w:proofErr w:type="spellEnd"/>
            <w:r w:rsidRPr="00376706">
              <w:rPr>
                <w:rFonts w:ascii="Arial" w:hAnsi="Arial" w:cs="Arial"/>
                <w:sz w:val="18"/>
                <w:szCs w:val="18"/>
              </w:rPr>
              <w:t>, Chief Executive Officer, Samoa Qualifications Authority</w:t>
            </w:r>
          </w:p>
          <w:p w:rsidR="00DD1E0F" w:rsidRDefault="009D3DEA" w:rsidP="009D3DEA">
            <w:pPr>
              <w:numPr>
                <w:ilvl w:val="1"/>
                <w:numId w:val="1"/>
              </w:numPr>
              <w:tabs>
                <w:tab w:val="num" w:pos="851"/>
              </w:tabs>
              <w:spacing w:before="40" w:after="40" w:line="240" w:lineRule="auto"/>
              <w:ind w:left="851"/>
              <w:rPr>
                <w:rFonts w:ascii="Arial" w:hAnsi="Arial" w:cs="Arial"/>
                <w:sz w:val="18"/>
                <w:szCs w:val="18"/>
              </w:rPr>
            </w:pPr>
            <w:r w:rsidRPr="00376706">
              <w:rPr>
                <w:rFonts w:ascii="Arial" w:hAnsi="Arial" w:cs="Arial"/>
                <w:sz w:val="18"/>
                <w:szCs w:val="18"/>
              </w:rPr>
              <w:t>National University of Samoa –</w:t>
            </w:r>
            <w:proofErr w:type="spellStart"/>
            <w:r w:rsidRPr="00376706">
              <w:rPr>
                <w:rFonts w:ascii="Arial" w:hAnsi="Arial" w:cs="Arial"/>
                <w:sz w:val="18"/>
                <w:szCs w:val="18"/>
              </w:rPr>
              <w:t>Leapai</w:t>
            </w:r>
            <w:proofErr w:type="spellEnd"/>
            <w:r w:rsidRPr="00376706">
              <w:rPr>
                <w:rFonts w:ascii="Arial" w:hAnsi="Arial" w:cs="Arial"/>
                <w:sz w:val="18"/>
                <w:szCs w:val="18"/>
              </w:rPr>
              <w:t xml:space="preserve"> </w:t>
            </w:r>
            <w:proofErr w:type="spellStart"/>
            <w:r w:rsidRPr="00376706">
              <w:rPr>
                <w:rFonts w:ascii="Arial" w:hAnsi="Arial" w:cs="Arial"/>
                <w:sz w:val="18"/>
                <w:szCs w:val="18"/>
              </w:rPr>
              <w:t>Prof</w:t>
            </w:r>
            <w:r>
              <w:rPr>
                <w:rFonts w:ascii="Arial" w:hAnsi="Arial" w:cs="Arial"/>
                <w:sz w:val="18"/>
                <w:szCs w:val="18"/>
              </w:rPr>
              <w:t>.</w:t>
            </w:r>
            <w:proofErr w:type="spellEnd"/>
            <w:r w:rsidRPr="00376706">
              <w:rPr>
                <w:rFonts w:ascii="Arial" w:hAnsi="Arial" w:cs="Arial"/>
                <w:sz w:val="18"/>
                <w:szCs w:val="18"/>
              </w:rPr>
              <w:t xml:space="preserve"> </w:t>
            </w:r>
            <w:proofErr w:type="spellStart"/>
            <w:r w:rsidRPr="00376706">
              <w:rPr>
                <w:rFonts w:ascii="Arial" w:hAnsi="Arial" w:cs="Arial"/>
                <w:sz w:val="18"/>
                <w:szCs w:val="18"/>
              </w:rPr>
              <w:t>Asofou</w:t>
            </w:r>
            <w:proofErr w:type="spellEnd"/>
            <w:r w:rsidRPr="00376706">
              <w:rPr>
                <w:rFonts w:ascii="Arial" w:hAnsi="Arial" w:cs="Arial"/>
                <w:sz w:val="18"/>
                <w:szCs w:val="18"/>
              </w:rPr>
              <w:t xml:space="preserve"> </w:t>
            </w:r>
            <w:proofErr w:type="spellStart"/>
            <w:r w:rsidRPr="00376706">
              <w:rPr>
                <w:rFonts w:ascii="Arial" w:hAnsi="Arial" w:cs="Arial"/>
                <w:sz w:val="18"/>
                <w:szCs w:val="18"/>
              </w:rPr>
              <w:t>So’o</w:t>
            </w:r>
            <w:proofErr w:type="spellEnd"/>
          </w:p>
          <w:p w:rsidR="00390D5A" w:rsidRPr="00DD1E0F" w:rsidRDefault="009D3DEA" w:rsidP="009D3DEA">
            <w:pPr>
              <w:numPr>
                <w:ilvl w:val="1"/>
                <w:numId w:val="1"/>
              </w:numPr>
              <w:tabs>
                <w:tab w:val="num" w:pos="851"/>
              </w:tabs>
              <w:spacing w:before="40" w:after="40" w:line="240" w:lineRule="auto"/>
              <w:ind w:left="851"/>
              <w:rPr>
                <w:rFonts w:ascii="Arial" w:hAnsi="Arial" w:cs="Arial"/>
                <w:sz w:val="18"/>
                <w:szCs w:val="18"/>
              </w:rPr>
            </w:pPr>
            <w:r w:rsidRPr="00376706">
              <w:rPr>
                <w:rFonts w:ascii="Arial" w:hAnsi="Arial" w:cs="Arial"/>
                <w:sz w:val="18"/>
                <w:szCs w:val="18"/>
              </w:rPr>
              <w:t xml:space="preserve"> </w:t>
            </w:r>
            <w:r w:rsidRPr="00DD1E0F">
              <w:rPr>
                <w:rFonts w:ascii="Arial" w:hAnsi="Arial" w:cs="Arial"/>
                <w:sz w:val="18"/>
                <w:szCs w:val="18"/>
              </w:rPr>
              <w:t xml:space="preserve">Scholarships – Tagaloa Sharon </w:t>
            </w:r>
            <w:proofErr w:type="spellStart"/>
            <w:r w:rsidRPr="00DD1E0F">
              <w:rPr>
                <w:rFonts w:ascii="Arial" w:hAnsi="Arial" w:cs="Arial"/>
                <w:sz w:val="18"/>
                <w:szCs w:val="18"/>
              </w:rPr>
              <w:t>Aiafi</w:t>
            </w:r>
            <w:proofErr w:type="spellEnd"/>
            <w:r w:rsidRPr="00DD1E0F">
              <w:rPr>
                <w:rFonts w:ascii="Arial" w:hAnsi="Arial" w:cs="Arial"/>
                <w:sz w:val="18"/>
                <w:szCs w:val="18"/>
              </w:rPr>
              <w:t>, Assistant CEO, Ministry of Foreign Affairs and Trade</w:t>
            </w:r>
          </w:p>
        </w:tc>
        <w:tc>
          <w:tcPr>
            <w:tcW w:w="4959" w:type="dxa"/>
            <w:gridSpan w:val="2"/>
            <w:vAlign w:val="center"/>
          </w:tcPr>
          <w:p w:rsidR="009D3DEA" w:rsidRPr="00376706" w:rsidRDefault="009D3DEA" w:rsidP="009D3DEA">
            <w:pPr>
              <w:numPr>
                <w:ilvl w:val="0"/>
                <w:numId w:val="2"/>
              </w:numPr>
              <w:spacing w:before="40" w:after="40" w:line="240" w:lineRule="auto"/>
              <w:rPr>
                <w:rFonts w:ascii="Arial" w:hAnsi="Arial" w:cs="Arial"/>
                <w:sz w:val="18"/>
                <w:szCs w:val="18"/>
              </w:rPr>
            </w:pPr>
            <w:r w:rsidRPr="00376706">
              <w:rPr>
                <w:rFonts w:ascii="Arial" w:hAnsi="Arial" w:cs="Arial"/>
                <w:sz w:val="18"/>
                <w:szCs w:val="18"/>
              </w:rPr>
              <w:t>There needs to be close consultations over resourcing needs and associated costing when the NTDF is implemented.</w:t>
            </w:r>
          </w:p>
          <w:p w:rsidR="009D3DEA" w:rsidRPr="00376706" w:rsidRDefault="009D3DEA" w:rsidP="009D3DEA">
            <w:pPr>
              <w:numPr>
                <w:ilvl w:val="0"/>
                <w:numId w:val="2"/>
              </w:numPr>
              <w:spacing w:before="40" w:after="40" w:line="240" w:lineRule="auto"/>
              <w:rPr>
                <w:rFonts w:ascii="Arial" w:hAnsi="Arial" w:cs="Arial"/>
                <w:sz w:val="18"/>
                <w:szCs w:val="18"/>
              </w:rPr>
            </w:pPr>
            <w:r w:rsidRPr="00376706">
              <w:rPr>
                <w:rFonts w:ascii="Arial" w:hAnsi="Arial" w:cs="Arial"/>
                <w:sz w:val="18"/>
                <w:szCs w:val="18"/>
              </w:rPr>
              <w:t>Integration of SIEDP into MESC for full management.</w:t>
            </w:r>
          </w:p>
          <w:p w:rsidR="009D3DEA" w:rsidRPr="00376706" w:rsidRDefault="009D3DEA" w:rsidP="009D3DEA">
            <w:pPr>
              <w:numPr>
                <w:ilvl w:val="0"/>
                <w:numId w:val="2"/>
              </w:numPr>
              <w:spacing w:before="40" w:after="40" w:line="240" w:lineRule="auto"/>
              <w:rPr>
                <w:rFonts w:ascii="Arial" w:hAnsi="Arial" w:cs="Arial"/>
                <w:sz w:val="18"/>
                <w:szCs w:val="18"/>
              </w:rPr>
            </w:pPr>
            <w:r w:rsidRPr="00376706">
              <w:rPr>
                <w:rFonts w:ascii="Arial" w:hAnsi="Arial" w:cs="Arial"/>
                <w:sz w:val="18"/>
                <w:szCs w:val="18"/>
              </w:rPr>
              <w:t xml:space="preserve">Joint development of the new Education Sector </w:t>
            </w:r>
            <w:r w:rsidR="00DD1E0F">
              <w:rPr>
                <w:rFonts w:ascii="Arial" w:hAnsi="Arial" w:cs="Arial"/>
                <w:sz w:val="18"/>
                <w:szCs w:val="18"/>
              </w:rPr>
              <w:t>Support</w:t>
            </w:r>
            <w:r w:rsidRPr="00376706">
              <w:rPr>
                <w:rFonts w:ascii="Arial" w:hAnsi="Arial" w:cs="Arial"/>
                <w:sz w:val="18"/>
                <w:szCs w:val="18"/>
              </w:rPr>
              <w:t xml:space="preserve"> Program.</w:t>
            </w:r>
          </w:p>
          <w:p w:rsidR="009D3DEA" w:rsidRPr="00376706" w:rsidRDefault="009D3DEA" w:rsidP="009D3DEA">
            <w:pPr>
              <w:numPr>
                <w:ilvl w:val="0"/>
                <w:numId w:val="2"/>
              </w:numPr>
              <w:spacing w:before="40" w:after="40" w:line="240" w:lineRule="auto"/>
              <w:rPr>
                <w:rFonts w:ascii="Arial" w:hAnsi="Arial" w:cs="Arial"/>
                <w:sz w:val="18"/>
                <w:szCs w:val="18"/>
              </w:rPr>
            </w:pPr>
            <w:r w:rsidRPr="00376706">
              <w:rPr>
                <w:rFonts w:ascii="Arial" w:hAnsi="Arial" w:cs="Arial"/>
                <w:sz w:val="18"/>
                <w:szCs w:val="18"/>
              </w:rPr>
              <w:t>Establishment and approval of the Education Sector Coordinating Unit pro</w:t>
            </w:r>
            <w:bookmarkStart w:id="0" w:name="_GoBack"/>
            <w:bookmarkEnd w:id="0"/>
            <w:r w:rsidRPr="00376706">
              <w:rPr>
                <w:rFonts w:ascii="Arial" w:hAnsi="Arial" w:cs="Arial"/>
                <w:sz w:val="18"/>
                <w:szCs w:val="18"/>
              </w:rPr>
              <w:t>posed in the revised MESC organisational structure.</w:t>
            </w:r>
          </w:p>
          <w:p w:rsidR="009D3DEA" w:rsidRPr="00376706" w:rsidRDefault="009D3DEA" w:rsidP="009D3DEA">
            <w:pPr>
              <w:numPr>
                <w:ilvl w:val="0"/>
                <w:numId w:val="2"/>
              </w:numPr>
              <w:spacing w:before="40" w:after="40" w:line="240" w:lineRule="auto"/>
              <w:rPr>
                <w:rFonts w:ascii="Arial" w:hAnsi="Arial" w:cs="Arial"/>
                <w:sz w:val="18"/>
                <w:szCs w:val="18"/>
              </w:rPr>
            </w:pPr>
            <w:r w:rsidRPr="00376706">
              <w:rPr>
                <w:rFonts w:ascii="Arial" w:hAnsi="Arial" w:cs="Arial"/>
                <w:sz w:val="18"/>
                <w:szCs w:val="18"/>
              </w:rPr>
              <w:t>Alumni for Australian funded scholarships to be implemented.</w:t>
            </w:r>
          </w:p>
          <w:p w:rsidR="00390D5A" w:rsidRPr="009D3DEA" w:rsidRDefault="009D3DEA" w:rsidP="009D3DEA">
            <w:pPr>
              <w:numPr>
                <w:ilvl w:val="0"/>
                <w:numId w:val="2"/>
              </w:numPr>
              <w:spacing w:before="40" w:after="40" w:line="240" w:lineRule="auto"/>
              <w:rPr>
                <w:rFonts w:ascii="Arial" w:hAnsi="Arial" w:cs="Arial"/>
                <w:sz w:val="18"/>
                <w:szCs w:val="18"/>
              </w:rPr>
            </w:pPr>
            <w:r w:rsidRPr="00376706">
              <w:rPr>
                <w:rFonts w:ascii="Arial" w:hAnsi="Arial" w:cs="Arial"/>
                <w:sz w:val="18"/>
                <w:szCs w:val="18"/>
              </w:rPr>
              <w:t>Targeting of scholarship programs to support education to be implemented.</w:t>
            </w:r>
          </w:p>
        </w:tc>
        <w:tc>
          <w:tcPr>
            <w:tcW w:w="4397" w:type="dxa"/>
            <w:vAlign w:val="center"/>
          </w:tcPr>
          <w:p w:rsidR="009D3DEA" w:rsidRPr="00376706" w:rsidRDefault="009D3DEA" w:rsidP="009D3DEA">
            <w:pPr>
              <w:numPr>
                <w:ilvl w:val="0"/>
                <w:numId w:val="2"/>
              </w:numPr>
              <w:spacing w:before="40" w:after="40" w:line="240" w:lineRule="auto"/>
              <w:rPr>
                <w:rFonts w:ascii="Arial" w:hAnsi="Arial" w:cs="Arial"/>
                <w:sz w:val="18"/>
                <w:szCs w:val="18"/>
              </w:rPr>
            </w:pPr>
            <w:r w:rsidRPr="00376706">
              <w:rPr>
                <w:rFonts w:ascii="Arial" w:hAnsi="Arial" w:cs="Arial"/>
                <w:sz w:val="18"/>
                <w:szCs w:val="18"/>
              </w:rPr>
              <w:t>ESP II</w:t>
            </w:r>
          </w:p>
          <w:p w:rsidR="009D3DEA" w:rsidRPr="00376706" w:rsidRDefault="009D3DEA" w:rsidP="009D3DEA">
            <w:pPr>
              <w:numPr>
                <w:ilvl w:val="0"/>
                <w:numId w:val="2"/>
              </w:numPr>
              <w:spacing w:before="40" w:after="40" w:line="240" w:lineRule="auto"/>
              <w:rPr>
                <w:rFonts w:ascii="Arial" w:hAnsi="Arial" w:cs="Arial"/>
                <w:sz w:val="18"/>
                <w:szCs w:val="18"/>
              </w:rPr>
            </w:pPr>
            <w:r w:rsidRPr="00376706">
              <w:rPr>
                <w:rFonts w:ascii="Arial" w:hAnsi="Arial" w:cs="Arial"/>
                <w:sz w:val="18"/>
                <w:szCs w:val="18"/>
              </w:rPr>
              <w:t>School Fee Grant Scheme</w:t>
            </w:r>
          </w:p>
          <w:p w:rsidR="009D3DEA" w:rsidRPr="00376706" w:rsidRDefault="009D3DEA" w:rsidP="009D3DEA">
            <w:pPr>
              <w:numPr>
                <w:ilvl w:val="0"/>
                <w:numId w:val="2"/>
              </w:numPr>
              <w:spacing w:before="40" w:after="40" w:line="240" w:lineRule="auto"/>
              <w:rPr>
                <w:rFonts w:ascii="Arial" w:hAnsi="Arial" w:cs="Arial"/>
                <w:sz w:val="18"/>
                <w:szCs w:val="18"/>
              </w:rPr>
            </w:pPr>
            <w:r w:rsidRPr="00376706">
              <w:rPr>
                <w:rFonts w:ascii="Arial" w:hAnsi="Arial" w:cs="Arial"/>
                <w:sz w:val="18"/>
                <w:szCs w:val="18"/>
              </w:rPr>
              <w:t>Samoa Inclusive Education Program</w:t>
            </w:r>
          </w:p>
          <w:p w:rsidR="009D3DEA" w:rsidRPr="00376706" w:rsidRDefault="009D3DEA" w:rsidP="009D3DEA">
            <w:pPr>
              <w:numPr>
                <w:ilvl w:val="0"/>
                <w:numId w:val="2"/>
              </w:numPr>
              <w:spacing w:before="40" w:after="40" w:line="240" w:lineRule="auto"/>
              <w:rPr>
                <w:rFonts w:ascii="Arial" w:hAnsi="Arial" w:cs="Arial"/>
                <w:sz w:val="18"/>
                <w:szCs w:val="18"/>
              </w:rPr>
            </w:pPr>
            <w:r w:rsidRPr="00376706">
              <w:rPr>
                <w:rFonts w:ascii="Arial" w:hAnsi="Arial" w:cs="Arial"/>
                <w:sz w:val="18"/>
                <w:szCs w:val="18"/>
              </w:rPr>
              <w:t>Australia Awards (ADS, ALAS, ARDS)</w:t>
            </w:r>
          </w:p>
          <w:p w:rsidR="009D3DEA" w:rsidRPr="00376706" w:rsidRDefault="009D3DEA" w:rsidP="009D3DEA">
            <w:pPr>
              <w:numPr>
                <w:ilvl w:val="0"/>
                <w:numId w:val="2"/>
              </w:numPr>
              <w:spacing w:before="40" w:after="40" w:line="240" w:lineRule="auto"/>
              <w:rPr>
                <w:rFonts w:ascii="Arial" w:hAnsi="Arial" w:cs="Arial"/>
                <w:sz w:val="18"/>
                <w:szCs w:val="18"/>
              </w:rPr>
            </w:pPr>
            <w:r w:rsidRPr="00376706">
              <w:rPr>
                <w:rFonts w:ascii="Arial" w:hAnsi="Arial" w:cs="Arial"/>
                <w:sz w:val="18"/>
                <w:szCs w:val="18"/>
              </w:rPr>
              <w:t>Distance Education</w:t>
            </w:r>
          </w:p>
          <w:p w:rsidR="009D3DEA" w:rsidRPr="00376706" w:rsidRDefault="009D3DEA" w:rsidP="009D3DEA">
            <w:pPr>
              <w:numPr>
                <w:ilvl w:val="0"/>
                <w:numId w:val="2"/>
              </w:numPr>
              <w:spacing w:before="40" w:after="40" w:line="240" w:lineRule="auto"/>
              <w:rPr>
                <w:rFonts w:ascii="Arial" w:hAnsi="Arial" w:cs="Arial"/>
                <w:sz w:val="18"/>
                <w:szCs w:val="18"/>
              </w:rPr>
            </w:pPr>
            <w:r w:rsidRPr="00376706">
              <w:rPr>
                <w:rFonts w:ascii="Arial" w:hAnsi="Arial" w:cs="Arial"/>
                <w:sz w:val="18"/>
                <w:szCs w:val="18"/>
              </w:rPr>
              <w:t>SICTP</w:t>
            </w:r>
          </w:p>
          <w:p w:rsidR="009D3DEA" w:rsidRPr="00376706" w:rsidRDefault="009D3DEA" w:rsidP="009D3DEA">
            <w:pPr>
              <w:numPr>
                <w:ilvl w:val="0"/>
                <w:numId w:val="2"/>
              </w:numPr>
              <w:spacing w:before="40" w:after="40" w:line="240" w:lineRule="auto"/>
              <w:rPr>
                <w:rFonts w:ascii="Arial" w:hAnsi="Arial" w:cs="Arial"/>
                <w:sz w:val="18"/>
                <w:szCs w:val="18"/>
              </w:rPr>
            </w:pPr>
            <w:r w:rsidRPr="00376706">
              <w:rPr>
                <w:rFonts w:ascii="Arial" w:hAnsi="Arial" w:cs="Arial"/>
                <w:sz w:val="18"/>
                <w:szCs w:val="18"/>
              </w:rPr>
              <w:t>TVET/PSET sector support</w:t>
            </w:r>
          </w:p>
          <w:p w:rsidR="009D3DEA" w:rsidRPr="00376706" w:rsidRDefault="009D3DEA" w:rsidP="009D3DEA">
            <w:pPr>
              <w:numPr>
                <w:ilvl w:val="0"/>
                <w:numId w:val="2"/>
              </w:numPr>
              <w:spacing w:before="40" w:after="40" w:line="240" w:lineRule="auto"/>
              <w:rPr>
                <w:rFonts w:ascii="Arial" w:hAnsi="Arial" w:cs="Arial"/>
                <w:sz w:val="18"/>
                <w:szCs w:val="18"/>
              </w:rPr>
            </w:pPr>
            <w:r w:rsidRPr="00376706">
              <w:rPr>
                <w:rFonts w:ascii="Arial" w:hAnsi="Arial" w:cs="Arial"/>
                <w:sz w:val="18"/>
                <w:szCs w:val="18"/>
              </w:rPr>
              <w:t>Pacific Ben</w:t>
            </w:r>
            <w:r>
              <w:rPr>
                <w:rFonts w:ascii="Arial" w:hAnsi="Arial" w:cs="Arial"/>
                <w:sz w:val="18"/>
                <w:szCs w:val="18"/>
              </w:rPr>
              <w:t>chmarking of Education Results</w:t>
            </w:r>
          </w:p>
          <w:p w:rsidR="009D3DEA" w:rsidRPr="00376706" w:rsidRDefault="009D3DEA" w:rsidP="009D3DEA">
            <w:pPr>
              <w:numPr>
                <w:ilvl w:val="0"/>
                <w:numId w:val="2"/>
              </w:numPr>
              <w:spacing w:before="40" w:after="40" w:line="240" w:lineRule="auto"/>
              <w:rPr>
                <w:rFonts w:ascii="Arial" w:hAnsi="Arial" w:cs="Arial"/>
                <w:sz w:val="18"/>
                <w:szCs w:val="18"/>
              </w:rPr>
            </w:pPr>
            <w:r w:rsidRPr="00376706">
              <w:rPr>
                <w:rFonts w:ascii="Arial" w:hAnsi="Arial" w:cs="Arial"/>
                <w:sz w:val="18"/>
                <w:szCs w:val="18"/>
              </w:rPr>
              <w:t>Australian Pacific Technical College</w:t>
            </w:r>
          </w:p>
          <w:p w:rsidR="00390D5A" w:rsidRPr="00E72C5C" w:rsidRDefault="00390D5A" w:rsidP="009D3DEA">
            <w:pPr>
              <w:pStyle w:val="ListParagraph"/>
              <w:spacing w:before="40" w:after="40" w:line="240" w:lineRule="auto"/>
              <w:ind w:left="0"/>
              <w:rPr>
                <w:rFonts w:ascii="Arial" w:hAnsi="Arial" w:cs="Arial"/>
              </w:rPr>
            </w:pPr>
          </w:p>
        </w:tc>
      </w:tr>
    </w:tbl>
    <w:p w:rsidR="001E055B" w:rsidRDefault="001E055B">
      <w:pPr>
        <w:rPr>
          <w:rFonts w:ascii="Arial" w:hAnsi="Arial" w:cs="Arial"/>
        </w:rPr>
      </w:pPr>
    </w:p>
    <w:p w:rsidR="00E1504C" w:rsidRDefault="00E1504C">
      <w:pPr>
        <w:rPr>
          <w:rFonts w:ascii="Arial" w:hAnsi="Arial" w:cs="Arial"/>
        </w:rPr>
      </w:pPr>
    </w:p>
    <w:tbl>
      <w:tblPr>
        <w:tblW w:w="0" w:type="auto"/>
        <w:tblLook w:val="00A0" w:firstRow="1" w:lastRow="0" w:firstColumn="1" w:lastColumn="0" w:noHBand="0" w:noVBand="0"/>
      </w:tblPr>
      <w:tblGrid>
        <w:gridCol w:w="7220"/>
        <w:gridCol w:w="711"/>
        <w:gridCol w:w="7395"/>
      </w:tblGrid>
      <w:tr w:rsidR="00E1504C" w:rsidTr="001E055B">
        <w:trPr>
          <w:trHeight w:val="1355"/>
        </w:trPr>
        <w:tc>
          <w:tcPr>
            <w:tcW w:w="7220" w:type="dxa"/>
            <w:shd w:val="clear" w:color="auto" w:fill="F2F2F2"/>
          </w:tcPr>
          <w:p w:rsidR="00E1504C" w:rsidRPr="00D24D80" w:rsidRDefault="00E1504C" w:rsidP="00D24D80">
            <w:pPr>
              <w:keepNext/>
              <w:keepLines/>
              <w:spacing w:before="40" w:after="40" w:line="240" w:lineRule="auto"/>
              <w:rPr>
                <w:rFonts w:ascii="Arial" w:hAnsi="Arial" w:cs="Arial"/>
                <w:b/>
                <w:sz w:val="24"/>
                <w:szCs w:val="16"/>
              </w:rPr>
            </w:pPr>
            <w:r w:rsidRPr="00D24D80">
              <w:rPr>
                <w:rFonts w:ascii="Arial" w:hAnsi="Arial" w:cs="Arial"/>
                <w:b/>
                <w:sz w:val="24"/>
                <w:szCs w:val="16"/>
              </w:rPr>
              <w:t>Signed</w:t>
            </w:r>
          </w:p>
          <w:p w:rsidR="00E1504C" w:rsidRPr="00D24D80" w:rsidRDefault="00E1504C" w:rsidP="00D24D80">
            <w:pPr>
              <w:spacing w:after="0" w:line="240" w:lineRule="auto"/>
              <w:rPr>
                <w:rFonts w:ascii="Arial" w:hAnsi="Arial" w:cs="Arial"/>
                <w:b/>
                <w:sz w:val="16"/>
                <w:szCs w:val="16"/>
              </w:rPr>
            </w:pPr>
            <w:r w:rsidRPr="00D24D80">
              <w:rPr>
                <w:rFonts w:ascii="Arial" w:hAnsi="Arial" w:cs="Arial"/>
                <w:b/>
                <w:sz w:val="16"/>
                <w:szCs w:val="16"/>
              </w:rPr>
              <w:t>for the Government of Samoa</w:t>
            </w: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rPr>
            </w:pPr>
          </w:p>
        </w:tc>
        <w:tc>
          <w:tcPr>
            <w:tcW w:w="711" w:type="dxa"/>
            <w:vMerge w:val="restart"/>
          </w:tcPr>
          <w:p w:rsidR="00E1504C" w:rsidRPr="00D24D80" w:rsidRDefault="00E1504C" w:rsidP="00D24D80">
            <w:pPr>
              <w:spacing w:after="0" w:line="240" w:lineRule="auto"/>
              <w:rPr>
                <w:rFonts w:ascii="Arial" w:hAnsi="Arial" w:cs="Arial"/>
              </w:rPr>
            </w:pPr>
          </w:p>
        </w:tc>
        <w:tc>
          <w:tcPr>
            <w:tcW w:w="7395" w:type="dxa"/>
            <w:shd w:val="clear" w:color="auto" w:fill="F2F2F2"/>
          </w:tcPr>
          <w:p w:rsidR="00E1504C" w:rsidRPr="00D24D80" w:rsidRDefault="00E1504C" w:rsidP="00D24D80">
            <w:pPr>
              <w:keepNext/>
              <w:keepLines/>
              <w:spacing w:before="40" w:after="40" w:line="240" w:lineRule="auto"/>
              <w:rPr>
                <w:rFonts w:ascii="Arial" w:hAnsi="Arial" w:cs="Arial"/>
                <w:b/>
                <w:sz w:val="24"/>
                <w:szCs w:val="16"/>
              </w:rPr>
            </w:pPr>
            <w:r w:rsidRPr="00D24D80">
              <w:rPr>
                <w:rFonts w:ascii="Arial" w:hAnsi="Arial" w:cs="Arial"/>
                <w:b/>
                <w:sz w:val="24"/>
                <w:szCs w:val="16"/>
              </w:rPr>
              <w:t>Signed</w:t>
            </w:r>
          </w:p>
          <w:p w:rsidR="00E1504C" w:rsidRPr="00D24D80" w:rsidRDefault="00E1504C" w:rsidP="00D24D80">
            <w:pPr>
              <w:spacing w:after="0" w:line="240" w:lineRule="auto"/>
              <w:rPr>
                <w:rFonts w:ascii="Arial" w:hAnsi="Arial" w:cs="Arial"/>
                <w:b/>
                <w:sz w:val="16"/>
                <w:szCs w:val="16"/>
              </w:rPr>
            </w:pPr>
            <w:r w:rsidRPr="00D24D80">
              <w:rPr>
                <w:rFonts w:ascii="Arial" w:hAnsi="Arial" w:cs="Arial"/>
                <w:b/>
                <w:sz w:val="16"/>
                <w:szCs w:val="16"/>
              </w:rPr>
              <w:t>for the Government of Australia</w:t>
            </w:r>
          </w:p>
          <w:p w:rsidR="00E1504C" w:rsidRPr="00D24D80" w:rsidRDefault="00E1504C" w:rsidP="00D24D80">
            <w:pPr>
              <w:spacing w:after="0" w:line="240" w:lineRule="auto"/>
              <w:rPr>
                <w:rFonts w:ascii="Arial" w:hAnsi="Arial" w:cs="Arial"/>
              </w:rPr>
            </w:pPr>
          </w:p>
        </w:tc>
      </w:tr>
      <w:tr w:rsidR="00E1504C" w:rsidTr="001E055B">
        <w:trPr>
          <w:trHeight w:val="709"/>
        </w:trPr>
        <w:tc>
          <w:tcPr>
            <w:tcW w:w="7220" w:type="dxa"/>
            <w:shd w:val="clear" w:color="auto" w:fill="F2F2F2"/>
          </w:tcPr>
          <w:p w:rsidR="00E1504C" w:rsidRPr="00D24D80" w:rsidRDefault="00E1504C" w:rsidP="00D24D80">
            <w:pPr>
              <w:keepNext/>
              <w:keepLines/>
              <w:spacing w:before="40" w:after="40" w:line="240" w:lineRule="auto"/>
              <w:rPr>
                <w:rFonts w:ascii="Arial" w:hAnsi="Arial" w:cs="Arial"/>
                <w:sz w:val="16"/>
                <w:szCs w:val="16"/>
              </w:rPr>
            </w:pPr>
            <w:r w:rsidRPr="00D24D80">
              <w:rPr>
                <w:rFonts w:ascii="Arial" w:hAnsi="Arial" w:cs="Arial"/>
                <w:sz w:val="16"/>
                <w:szCs w:val="16"/>
              </w:rPr>
              <w:t>Name:</w:t>
            </w:r>
          </w:p>
          <w:p w:rsidR="00E1504C" w:rsidRPr="00D24D80" w:rsidRDefault="00E1504C" w:rsidP="00D24D80">
            <w:pPr>
              <w:keepNext/>
              <w:keepLines/>
              <w:spacing w:before="40" w:after="40" w:line="240" w:lineRule="auto"/>
              <w:rPr>
                <w:rFonts w:ascii="Arial" w:hAnsi="Arial" w:cs="Arial"/>
                <w:sz w:val="16"/>
                <w:szCs w:val="16"/>
              </w:rPr>
            </w:pPr>
          </w:p>
          <w:p w:rsidR="00E1504C" w:rsidRDefault="00E1504C" w:rsidP="001E055B">
            <w:pPr>
              <w:keepNext/>
              <w:keepLines/>
              <w:spacing w:before="40" w:after="40" w:line="240" w:lineRule="auto"/>
              <w:rPr>
                <w:rFonts w:ascii="Arial" w:hAnsi="Arial" w:cs="Arial"/>
                <w:sz w:val="16"/>
                <w:szCs w:val="16"/>
              </w:rPr>
            </w:pPr>
            <w:r w:rsidRPr="00D24D80">
              <w:rPr>
                <w:rFonts w:ascii="Arial" w:hAnsi="Arial" w:cs="Arial"/>
                <w:sz w:val="16"/>
                <w:szCs w:val="16"/>
              </w:rPr>
              <w:t>Title:</w:t>
            </w:r>
          </w:p>
          <w:p w:rsidR="001E055B" w:rsidRDefault="001E055B" w:rsidP="001E055B">
            <w:pPr>
              <w:keepNext/>
              <w:keepLines/>
              <w:spacing w:before="40" w:after="40" w:line="240" w:lineRule="auto"/>
              <w:rPr>
                <w:rFonts w:ascii="Arial" w:hAnsi="Arial" w:cs="Arial"/>
                <w:sz w:val="16"/>
                <w:szCs w:val="16"/>
              </w:rPr>
            </w:pPr>
          </w:p>
          <w:p w:rsidR="001E055B" w:rsidRPr="001E055B" w:rsidRDefault="001E055B" w:rsidP="001E055B">
            <w:pPr>
              <w:keepNext/>
              <w:keepLines/>
              <w:spacing w:before="40" w:after="40" w:line="240" w:lineRule="auto"/>
              <w:rPr>
                <w:rFonts w:ascii="Arial" w:hAnsi="Arial" w:cs="Arial"/>
                <w:sz w:val="16"/>
                <w:szCs w:val="16"/>
              </w:rPr>
            </w:pPr>
            <w:r>
              <w:rPr>
                <w:rFonts w:ascii="Arial" w:hAnsi="Arial" w:cs="Arial"/>
                <w:sz w:val="16"/>
                <w:szCs w:val="16"/>
              </w:rPr>
              <w:t>Date:</w:t>
            </w:r>
          </w:p>
        </w:tc>
        <w:tc>
          <w:tcPr>
            <w:tcW w:w="711" w:type="dxa"/>
            <w:vMerge/>
          </w:tcPr>
          <w:p w:rsidR="00E1504C" w:rsidRPr="00D24D80" w:rsidRDefault="00E1504C" w:rsidP="00D24D80">
            <w:pPr>
              <w:spacing w:after="0" w:line="240" w:lineRule="auto"/>
              <w:rPr>
                <w:rFonts w:ascii="Arial" w:hAnsi="Arial" w:cs="Arial"/>
              </w:rPr>
            </w:pPr>
          </w:p>
        </w:tc>
        <w:tc>
          <w:tcPr>
            <w:tcW w:w="7395" w:type="dxa"/>
            <w:shd w:val="clear" w:color="auto" w:fill="F2F2F2"/>
          </w:tcPr>
          <w:p w:rsidR="00E1504C" w:rsidRPr="00D24D80" w:rsidRDefault="00E1504C" w:rsidP="00D24D80">
            <w:pPr>
              <w:keepNext/>
              <w:keepLines/>
              <w:spacing w:before="40" w:after="40" w:line="240" w:lineRule="auto"/>
              <w:rPr>
                <w:rFonts w:ascii="Arial" w:hAnsi="Arial" w:cs="Arial"/>
                <w:sz w:val="16"/>
                <w:szCs w:val="16"/>
              </w:rPr>
            </w:pPr>
            <w:r w:rsidRPr="00D24D80">
              <w:rPr>
                <w:rFonts w:ascii="Arial" w:hAnsi="Arial" w:cs="Arial"/>
                <w:sz w:val="16"/>
                <w:szCs w:val="16"/>
              </w:rPr>
              <w:t>Name:</w:t>
            </w:r>
          </w:p>
          <w:p w:rsidR="00E1504C" w:rsidRPr="00D24D80" w:rsidRDefault="00E1504C" w:rsidP="00D24D80">
            <w:pPr>
              <w:keepNext/>
              <w:keepLines/>
              <w:spacing w:before="40" w:after="40" w:line="240" w:lineRule="auto"/>
              <w:rPr>
                <w:rFonts w:ascii="Arial" w:hAnsi="Arial" w:cs="Arial"/>
                <w:sz w:val="16"/>
                <w:szCs w:val="16"/>
              </w:rPr>
            </w:pPr>
          </w:p>
          <w:p w:rsidR="00E1504C" w:rsidRDefault="00E1504C" w:rsidP="001E055B">
            <w:pPr>
              <w:keepNext/>
              <w:keepLines/>
              <w:spacing w:before="40" w:after="40" w:line="240" w:lineRule="auto"/>
              <w:rPr>
                <w:rFonts w:ascii="Arial" w:hAnsi="Arial" w:cs="Arial"/>
                <w:sz w:val="16"/>
                <w:szCs w:val="16"/>
              </w:rPr>
            </w:pPr>
            <w:r w:rsidRPr="00D24D80">
              <w:rPr>
                <w:rFonts w:ascii="Arial" w:hAnsi="Arial" w:cs="Arial"/>
                <w:sz w:val="16"/>
                <w:szCs w:val="16"/>
              </w:rPr>
              <w:t>Title:</w:t>
            </w:r>
          </w:p>
          <w:p w:rsidR="001E055B" w:rsidRDefault="001E055B" w:rsidP="001E055B">
            <w:pPr>
              <w:keepNext/>
              <w:keepLines/>
              <w:spacing w:before="40" w:after="40" w:line="240" w:lineRule="auto"/>
              <w:rPr>
                <w:rFonts w:ascii="Arial" w:hAnsi="Arial" w:cs="Arial"/>
                <w:sz w:val="16"/>
                <w:szCs w:val="16"/>
              </w:rPr>
            </w:pPr>
          </w:p>
          <w:p w:rsidR="001E055B" w:rsidRPr="001E055B" w:rsidRDefault="001E055B" w:rsidP="001E055B">
            <w:pPr>
              <w:keepNext/>
              <w:keepLines/>
              <w:spacing w:before="40" w:after="40" w:line="240" w:lineRule="auto"/>
              <w:rPr>
                <w:rFonts w:ascii="Arial" w:hAnsi="Arial" w:cs="Arial"/>
                <w:sz w:val="16"/>
                <w:szCs w:val="16"/>
              </w:rPr>
            </w:pPr>
            <w:r>
              <w:rPr>
                <w:rFonts w:ascii="Arial" w:hAnsi="Arial" w:cs="Arial"/>
                <w:sz w:val="16"/>
                <w:szCs w:val="16"/>
              </w:rPr>
              <w:t>Date:</w:t>
            </w:r>
          </w:p>
        </w:tc>
      </w:tr>
    </w:tbl>
    <w:p w:rsidR="00E1504C" w:rsidRPr="00E72C5C" w:rsidRDefault="00E1504C" w:rsidP="005F18A2">
      <w:pPr>
        <w:rPr>
          <w:rFonts w:ascii="Arial" w:hAnsi="Arial" w:cs="Arial"/>
        </w:rPr>
      </w:pPr>
    </w:p>
    <w:sectPr w:rsidR="00E1504C" w:rsidRPr="00E72C5C" w:rsidSect="007E5B07">
      <w:headerReference w:type="even" r:id="rId11"/>
      <w:headerReference w:type="default" r:id="rId12"/>
      <w:footerReference w:type="even" r:id="rId13"/>
      <w:footerReference w:type="default" r:id="rId14"/>
      <w:headerReference w:type="first" r:id="rId15"/>
      <w:footerReference w:type="first" r:id="rId16"/>
      <w:pgSz w:w="16838" w:h="11906" w:orient="landscape"/>
      <w:pgMar w:top="568" w:right="82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DEA" w:rsidRDefault="009D3DEA" w:rsidP="006D4AB1">
      <w:pPr>
        <w:spacing w:after="0" w:line="240" w:lineRule="auto"/>
      </w:pPr>
      <w:r>
        <w:separator/>
      </w:r>
    </w:p>
  </w:endnote>
  <w:endnote w:type="continuationSeparator" w:id="0">
    <w:p w:rsidR="009D3DEA" w:rsidRDefault="009D3DEA" w:rsidP="006D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EA" w:rsidRDefault="009D3D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EA" w:rsidRDefault="009D3D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EA" w:rsidRDefault="009D3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DEA" w:rsidRDefault="009D3DEA" w:rsidP="006D4AB1">
      <w:pPr>
        <w:spacing w:after="0" w:line="240" w:lineRule="auto"/>
      </w:pPr>
      <w:r>
        <w:separator/>
      </w:r>
    </w:p>
  </w:footnote>
  <w:footnote w:type="continuationSeparator" w:id="0">
    <w:p w:rsidR="009D3DEA" w:rsidRDefault="009D3DEA" w:rsidP="006D4AB1">
      <w:pPr>
        <w:spacing w:after="0" w:line="240" w:lineRule="auto"/>
      </w:pPr>
      <w:r>
        <w:continuationSeparator/>
      </w:r>
    </w:p>
  </w:footnote>
  <w:footnote w:id="1">
    <w:p w:rsidR="009D3DEA" w:rsidRPr="00DD4F9E" w:rsidRDefault="009D3DEA" w:rsidP="00897C0C">
      <w:pPr>
        <w:pStyle w:val="FootnoteText"/>
        <w:spacing w:after="0"/>
        <w:rPr>
          <w:sz w:val="16"/>
          <w:szCs w:val="16"/>
          <w:lang w:val="en-AU"/>
        </w:rPr>
      </w:pPr>
      <w:r w:rsidRPr="00DD4F9E">
        <w:rPr>
          <w:lang w:val="en-AU"/>
        </w:rPr>
        <w:footnoteRef/>
      </w:r>
      <w:r w:rsidRPr="00DD4F9E">
        <w:rPr>
          <w:sz w:val="16"/>
          <w:szCs w:val="16"/>
          <w:lang w:val="en-AU"/>
        </w:rPr>
        <w:t xml:space="preserve"> As per the </w:t>
      </w:r>
      <w:hyperlink r:id="rId1" w:history="1">
        <w:r w:rsidRPr="008F659C">
          <w:rPr>
            <w:rStyle w:val="Hyperlink"/>
            <w:sz w:val="16"/>
            <w:szCs w:val="16"/>
            <w:lang w:val="en-AU"/>
          </w:rPr>
          <w:t>AusAID Samoa Annual Program Performance Report 2011</w:t>
        </w:r>
      </w:hyperlink>
    </w:p>
  </w:footnote>
  <w:footnote w:id="2">
    <w:p w:rsidR="009D3DEA" w:rsidRPr="004C504A" w:rsidRDefault="009D3DEA" w:rsidP="00897C0C">
      <w:pPr>
        <w:pStyle w:val="FootnoteText"/>
        <w:spacing w:after="0"/>
        <w:rPr>
          <w:sz w:val="16"/>
          <w:szCs w:val="16"/>
          <w:lang w:val="en-AU"/>
        </w:rPr>
      </w:pPr>
      <w:r>
        <w:rPr>
          <w:rStyle w:val="FootnoteReference"/>
        </w:rPr>
        <w:footnoteRef/>
      </w:r>
      <w:r>
        <w:t xml:space="preserve"> </w:t>
      </w:r>
      <w:r w:rsidRPr="004C504A">
        <w:rPr>
          <w:sz w:val="16"/>
          <w:szCs w:val="16"/>
          <w:lang w:val="en-AU"/>
        </w:rPr>
        <w:t>Results reflect total percentage for the SPELL tests taken by all year 4 and year 6 students in Government school.  Most non-Government schools also participate but it is not compulsory.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EA" w:rsidRDefault="009D3D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EA" w:rsidRDefault="009D3D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EA" w:rsidRDefault="009D3D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1577C"/>
    <w:multiLevelType w:val="hybridMultilevel"/>
    <w:tmpl w:val="C8FE5586"/>
    <w:lvl w:ilvl="0" w:tplc="8110C32A">
      <w:start w:val="1"/>
      <w:numFmt w:val="decimal"/>
      <w:lvlText w:val="%1."/>
      <w:lvlJc w:val="left"/>
      <w:pPr>
        <w:tabs>
          <w:tab w:val="num" w:pos="360"/>
        </w:tabs>
        <w:ind w:left="360" w:hanging="360"/>
      </w:pPr>
      <w:rPr>
        <w:rFonts w:ascii="Calibri" w:hAnsi="Calibri" w:cs="Times New Roman" w:hint="default"/>
        <w:sz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nsid w:val="65151C5D"/>
    <w:multiLevelType w:val="hybridMultilevel"/>
    <w:tmpl w:val="45A096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AB43AE8"/>
    <w:multiLevelType w:val="hybridMultilevel"/>
    <w:tmpl w:val="F350D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237"/>
    <w:rsid w:val="00064ACA"/>
    <w:rsid w:val="00095B78"/>
    <w:rsid w:val="000E360D"/>
    <w:rsid w:val="001415A7"/>
    <w:rsid w:val="00160BFF"/>
    <w:rsid w:val="001E055B"/>
    <w:rsid w:val="00213339"/>
    <w:rsid w:val="002D7AAF"/>
    <w:rsid w:val="002F799E"/>
    <w:rsid w:val="00353A73"/>
    <w:rsid w:val="00382E24"/>
    <w:rsid w:val="00390D5A"/>
    <w:rsid w:val="00400A38"/>
    <w:rsid w:val="005F18A2"/>
    <w:rsid w:val="005F788C"/>
    <w:rsid w:val="0068494A"/>
    <w:rsid w:val="006D4AB1"/>
    <w:rsid w:val="007B69AA"/>
    <w:rsid w:val="007E5B07"/>
    <w:rsid w:val="00812E8D"/>
    <w:rsid w:val="0082137A"/>
    <w:rsid w:val="00852237"/>
    <w:rsid w:val="00897C0C"/>
    <w:rsid w:val="008A56A7"/>
    <w:rsid w:val="008C48D5"/>
    <w:rsid w:val="00940A8F"/>
    <w:rsid w:val="009650A4"/>
    <w:rsid w:val="009977A3"/>
    <w:rsid w:val="009D3DEA"/>
    <w:rsid w:val="00A31DDC"/>
    <w:rsid w:val="00A5517F"/>
    <w:rsid w:val="00A619B1"/>
    <w:rsid w:val="00A70824"/>
    <w:rsid w:val="00AD3EAF"/>
    <w:rsid w:val="00BA7D16"/>
    <w:rsid w:val="00C519A7"/>
    <w:rsid w:val="00C546F2"/>
    <w:rsid w:val="00C5499B"/>
    <w:rsid w:val="00D24D80"/>
    <w:rsid w:val="00D735E2"/>
    <w:rsid w:val="00DD1E0F"/>
    <w:rsid w:val="00DE0AFA"/>
    <w:rsid w:val="00DF5793"/>
    <w:rsid w:val="00E1504C"/>
    <w:rsid w:val="00E72C5C"/>
    <w:rsid w:val="00F2508D"/>
    <w:rsid w:val="00F4088B"/>
    <w:rsid w:val="00F76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237"/>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5223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D4A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D4AB1"/>
    <w:rPr>
      <w:rFonts w:ascii="Calibri" w:hAnsi="Calibri" w:cs="Times New Roman"/>
      <w:lang w:val="en-GB"/>
    </w:rPr>
  </w:style>
  <w:style w:type="paragraph" w:styleId="Footer">
    <w:name w:val="footer"/>
    <w:basedOn w:val="Normal"/>
    <w:link w:val="FooterChar"/>
    <w:uiPriority w:val="99"/>
    <w:semiHidden/>
    <w:rsid w:val="006D4A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6D4AB1"/>
    <w:rPr>
      <w:rFonts w:ascii="Calibri" w:hAnsi="Calibri" w:cs="Times New Roman"/>
      <w:lang w:val="en-GB"/>
    </w:rPr>
  </w:style>
  <w:style w:type="paragraph" w:styleId="ListParagraph">
    <w:name w:val="List Paragraph"/>
    <w:basedOn w:val="Normal"/>
    <w:uiPriority w:val="99"/>
    <w:qFormat/>
    <w:rsid w:val="00E72C5C"/>
    <w:pPr>
      <w:ind w:left="720"/>
      <w:contextualSpacing/>
    </w:pPr>
  </w:style>
  <w:style w:type="paragraph" w:styleId="FootnoteText">
    <w:name w:val="footnote text"/>
    <w:basedOn w:val="Normal"/>
    <w:link w:val="FootnoteTextChar"/>
    <w:semiHidden/>
    <w:unhideWhenUsed/>
    <w:rsid w:val="00D735E2"/>
    <w:rPr>
      <w:sz w:val="20"/>
      <w:szCs w:val="20"/>
    </w:rPr>
  </w:style>
  <w:style w:type="character" w:customStyle="1" w:styleId="FootnoteTextChar">
    <w:name w:val="Footnote Text Char"/>
    <w:basedOn w:val="DefaultParagraphFont"/>
    <w:link w:val="FootnoteText"/>
    <w:uiPriority w:val="99"/>
    <w:semiHidden/>
    <w:rsid w:val="00D735E2"/>
    <w:rPr>
      <w:sz w:val="20"/>
      <w:szCs w:val="20"/>
      <w:lang w:val="en-GB" w:eastAsia="en-US"/>
    </w:rPr>
  </w:style>
  <w:style w:type="character" w:styleId="FootnoteReference">
    <w:name w:val="footnote reference"/>
    <w:basedOn w:val="DefaultParagraphFont"/>
    <w:semiHidden/>
    <w:unhideWhenUsed/>
    <w:rsid w:val="00D735E2"/>
    <w:rPr>
      <w:vertAlign w:val="superscript"/>
    </w:rPr>
  </w:style>
  <w:style w:type="character" w:styleId="Hyperlink">
    <w:name w:val="Hyperlink"/>
    <w:uiPriority w:val="99"/>
    <w:unhideWhenUsed/>
    <w:rsid w:val="00897C0C"/>
    <w:rPr>
      <w:color w:val="0000FF"/>
      <w:u w:val="single"/>
    </w:rPr>
  </w:style>
  <w:style w:type="paragraph" w:styleId="BalloonText">
    <w:name w:val="Balloon Text"/>
    <w:basedOn w:val="Normal"/>
    <w:link w:val="BalloonTextChar"/>
    <w:uiPriority w:val="99"/>
    <w:semiHidden/>
    <w:unhideWhenUsed/>
    <w:rsid w:val="00BA7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1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usaid.gov.au/Publications/Pages/Samoa-Annual-Program-Performance-Report-20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F818AD-68B7-4977-991F-6EC96850F6C4}"/>
</file>

<file path=customXml/itemProps2.xml><?xml version="1.0" encoding="utf-8"?>
<ds:datastoreItem xmlns:ds="http://schemas.openxmlformats.org/officeDocument/2006/customXml" ds:itemID="{EA3FC370-B50F-4879-9B35-26D46D115006}"/>
</file>

<file path=customXml/itemProps3.xml><?xml version="1.0" encoding="utf-8"?>
<ds:datastoreItem xmlns:ds="http://schemas.openxmlformats.org/officeDocument/2006/customXml" ds:itemID="{14719878-2EE2-48A2-AFE3-3DCD7594D67D}"/>
</file>

<file path=customXml/itemProps4.xml><?xml version="1.0" encoding="utf-8"?>
<ds:datastoreItem xmlns:ds="http://schemas.openxmlformats.org/officeDocument/2006/customXml" ds:itemID="{E87C4ABE-D521-44DF-A1A1-6C809B1CAC9C}"/>
</file>

<file path=docProps/app.xml><?xml version="1.0" encoding="utf-8"?>
<Properties xmlns="http://schemas.openxmlformats.org/officeDocument/2006/extended-properties" xmlns:vt="http://schemas.openxmlformats.org/officeDocument/2006/docPropsVTypes">
  <Template>Normal.dotm</Template>
  <TotalTime>12</TotalTime>
  <Pages>4</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Samoa – Australia Partnership for Development</vt:lpstr>
    </vt:vector>
  </TitlesOfParts>
  <Company>Toshiba</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Samoa – Australia Partnership for Development</dc:title>
  <dc:creator>Owen Martin</dc:creator>
  <cp:lastModifiedBy>Valma Galuvao</cp:lastModifiedBy>
  <cp:revision>7</cp:revision>
  <cp:lastPrinted>2012-09-11T02:02:00Z</cp:lastPrinted>
  <dcterms:created xsi:type="dcterms:W3CDTF">2012-09-08T17:56:00Z</dcterms:created>
  <dcterms:modified xsi:type="dcterms:W3CDTF">2012-09-11T02:05:00Z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8700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