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8D1CED" w:rsidRDefault="004155EF" w:rsidP="00852237">
      <w:pPr>
        <w:spacing w:before="40" w:after="40" w:line="240" w:lineRule="auto"/>
        <w:jc w:val="center"/>
        <w:rPr>
          <w:rFonts w:ascii="Arial" w:hAnsi="Arial" w:cs="Arial"/>
          <w:b/>
          <w:sz w:val="24"/>
          <w:szCs w:val="24"/>
        </w:rPr>
      </w:pPr>
      <w:r>
        <w:rPr>
          <w:rFonts w:ascii="Arial" w:hAnsi="Arial" w:cs="Arial"/>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rFonts w:ascii="Arial" w:hAnsi="Arial" w:cs="Arial"/>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8D1CED">
        <w:rPr>
          <w:rFonts w:ascii="Arial" w:hAnsi="Arial" w:cs="Arial"/>
          <w:b/>
          <w:sz w:val="24"/>
          <w:szCs w:val="24"/>
        </w:rPr>
        <w:t>Samoa – Australia Partnership for Development</w:t>
      </w:r>
    </w:p>
    <w:p w:rsidR="00E1504C" w:rsidRPr="008D1CED" w:rsidRDefault="001E055B" w:rsidP="00852237">
      <w:pPr>
        <w:spacing w:before="40" w:after="40" w:line="240" w:lineRule="auto"/>
        <w:jc w:val="center"/>
        <w:rPr>
          <w:rFonts w:ascii="Arial" w:hAnsi="Arial" w:cs="Arial"/>
          <w:b/>
          <w:sz w:val="18"/>
          <w:szCs w:val="16"/>
        </w:rPr>
      </w:pPr>
      <w:r w:rsidRPr="008D1CED">
        <w:rPr>
          <w:rFonts w:ascii="Arial" w:hAnsi="Arial" w:cs="Arial"/>
          <w:b/>
          <w:sz w:val="24"/>
          <w:szCs w:val="16"/>
        </w:rPr>
        <w:t>2012-13</w:t>
      </w:r>
      <w:r w:rsidR="00E1504C" w:rsidRPr="008D1CED">
        <w:rPr>
          <w:rFonts w:ascii="Arial" w:hAnsi="Arial" w:cs="Arial"/>
          <w:b/>
          <w:sz w:val="24"/>
          <w:szCs w:val="16"/>
        </w:rPr>
        <w:t xml:space="preserve"> Implementation Schedule</w:t>
      </w:r>
    </w:p>
    <w:p w:rsidR="00E1504C" w:rsidRPr="008D1CED" w:rsidRDefault="004C1FDF" w:rsidP="004C1FDF">
      <w:pPr>
        <w:spacing w:before="40" w:after="40" w:line="240" w:lineRule="auto"/>
        <w:ind w:firstLine="720"/>
        <w:rPr>
          <w:rFonts w:ascii="Arial" w:hAnsi="Arial" w:cs="Arial"/>
          <w:b/>
          <w:sz w:val="24"/>
          <w:szCs w:val="16"/>
        </w:rPr>
      </w:pPr>
      <w:r>
        <w:rPr>
          <w:rFonts w:ascii="Arial" w:hAnsi="Arial" w:cs="Arial"/>
          <w:b/>
          <w:sz w:val="24"/>
          <w:szCs w:val="16"/>
        </w:rPr>
        <w:t xml:space="preserve">                                                                     </w:t>
      </w:r>
      <w:r w:rsidR="00E1504C" w:rsidRPr="008D1CED">
        <w:rPr>
          <w:rFonts w:ascii="Arial" w:hAnsi="Arial" w:cs="Arial"/>
          <w:b/>
          <w:sz w:val="24"/>
          <w:szCs w:val="16"/>
        </w:rPr>
        <w:t>Priority Outcome:</w:t>
      </w:r>
      <w:r w:rsidR="008D1CED" w:rsidRPr="008D1CED">
        <w:rPr>
          <w:rFonts w:ascii="Arial" w:hAnsi="Arial" w:cs="Arial"/>
          <w:b/>
          <w:sz w:val="24"/>
          <w:szCs w:val="16"/>
        </w:rPr>
        <w:t xml:space="preserve"> Improved Health</w:t>
      </w:r>
    </w:p>
    <w:p w:rsidR="00E1504C" w:rsidRPr="005E46C1" w:rsidRDefault="00E1504C" w:rsidP="00852237">
      <w:pPr>
        <w:spacing w:before="40" w:after="40" w:line="240" w:lineRule="auto"/>
        <w:jc w:val="center"/>
        <w:rPr>
          <w:rFonts w:ascii="Arial" w:hAnsi="Arial" w:cs="Arial"/>
          <w:b/>
          <w:sz w:val="16"/>
          <w:szCs w:val="16"/>
        </w:rPr>
      </w:pPr>
    </w:p>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3"/>
        <w:gridCol w:w="9716"/>
        <w:gridCol w:w="2802"/>
        <w:gridCol w:w="1276"/>
      </w:tblGrid>
      <w:tr w:rsidR="008D1CED" w:rsidRPr="008D1CED" w:rsidTr="005E46C1">
        <w:trPr>
          <w:trHeight w:val="628"/>
        </w:trPr>
        <w:tc>
          <w:tcPr>
            <w:tcW w:w="1483" w:type="dxa"/>
            <w:shd w:val="clear" w:color="auto" w:fill="B8CCE4"/>
            <w:vAlign w:val="center"/>
          </w:tcPr>
          <w:p w:rsidR="008D1CED" w:rsidRPr="008D1CED" w:rsidRDefault="008D1CED" w:rsidP="0050083C">
            <w:pPr>
              <w:spacing w:after="0" w:line="240" w:lineRule="auto"/>
              <w:rPr>
                <w:rFonts w:ascii="Arial" w:hAnsi="Arial" w:cs="Arial"/>
                <w:sz w:val="24"/>
                <w:szCs w:val="24"/>
              </w:rPr>
            </w:pPr>
            <w:r w:rsidRPr="008D1CED">
              <w:rPr>
                <w:rFonts w:ascii="Arial" w:hAnsi="Arial" w:cs="Arial"/>
                <w:sz w:val="24"/>
                <w:szCs w:val="24"/>
              </w:rPr>
              <w:t>Aim:</w:t>
            </w:r>
          </w:p>
        </w:tc>
        <w:tc>
          <w:tcPr>
            <w:tcW w:w="9716" w:type="dxa"/>
            <w:vAlign w:val="center"/>
          </w:tcPr>
          <w:p w:rsidR="008D1CED" w:rsidRPr="008D1CED" w:rsidRDefault="008D1CED" w:rsidP="0050083C">
            <w:pPr>
              <w:spacing w:after="0" w:line="240" w:lineRule="auto"/>
              <w:rPr>
                <w:rFonts w:ascii="Arial" w:hAnsi="Arial" w:cs="Arial"/>
              </w:rPr>
            </w:pPr>
            <w:r w:rsidRPr="008D1CED">
              <w:rPr>
                <w:rFonts w:ascii="Arial" w:hAnsi="Arial" w:cs="Arial"/>
              </w:rPr>
              <w:t>The Partnership will enable Samoa to provide better quality and more equitable health services to the people of Samoa</w:t>
            </w:r>
          </w:p>
        </w:tc>
        <w:tc>
          <w:tcPr>
            <w:tcW w:w="2802" w:type="dxa"/>
            <w:shd w:val="clear" w:color="auto" w:fill="B8CCE4"/>
            <w:vAlign w:val="center"/>
          </w:tcPr>
          <w:p w:rsidR="008D1CED" w:rsidRPr="008D1CED" w:rsidRDefault="008D1CED" w:rsidP="0050083C">
            <w:pPr>
              <w:spacing w:after="0" w:line="240" w:lineRule="auto"/>
              <w:jc w:val="center"/>
              <w:rPr>
                <w:rFonts w:ascii="Arial" w:hAnsi="Arial" w:cs="Arial"/>
              </w:rPr>
            </w:pPr>
            <w:r w:rsidRPr="008D1CED">
              <w:rPr>
                <w:rFonts w:ascii="Arial" w:hAnsi="Arial" w:cs="Arial"/>
              </w:rPr>
              <w:t>Baseline</w:t>
            </w:r>
          </w:p>
        </w:tc>
        <w:tc>
          <w:tcPr>
            <w:tcW w:w="1276" w:type="dxa"/>
            <w:shd w:val="clear" w:color="auto" w:fill="B8CCE4"/>
            <w:vAlign w:val="center"/>
          </w:tcPr>
          <w:p w:rsidR="008D1CED" w:rsidRPr="008D1CED" w:rsidRDefault="008D1CED" w:rsidP="0050083C">
            <w:pPr>
              <w:spacing w:after="0" w:line="240" w:lineRule="auto"/>
              <w:jc w:val="center"/>
              <w:rPr>
                <w:rFonts w:ascii="Arial" w:hAnsi="Arial" w:cs="Arial"/>
              </w:rPr>
            </w:pPr>
            <w:r w:rsidRPr="008D1CED">
              <w:rPr>
                <w:rFonts w:ascii="Arial" w:hAnsi="Arial" w:cs="Arial"/>
              </w:rPr>
              <w:t>Progress</w:t>
            </w:r>
            <w:r w:rsidRPr="008D1CED">
              <w:rPr>
                <w:rStyle w:val="FootnoteReference"/>
                <w:rFonts w:ascii="Arial" w:hAnsi="Arial" w:cs="Arial"/>
              </w:rPr>
              <w:footnoteReference w:id="1"/>
            </w:r>
          </w:p>
        </w:tc>
      </w:tr>
      <w:tr w:rsidR="007E0EC9" w:rsidRPr="008D1CED" w:rsidTr="008D1CED">
        <w:trPr>
          <w:trHeight w:val="397"/>
        </w:trPr>
        <w:tc>
          <w:tcPr>
            <w:tcW w:w="1483" w:type="dxa"/>
            <w:vMerge w:val="restart"/>
            <w:tcBorders>
              <w:right w:val="single" w:sz="4" w:space="0" w:color="auto"/>
            </w:tcBorders>
            <w:shd w:val="clear" w:color="auto" w:fill="B8CCE4"/>
            <w:vAlign w:val="center"/>
          </w:tcPr>
          <w:p w:rsidR="007E0EC9" w:rsidRPr="008D1CED" w:rsidRDefault="007E0EC9" w:rsidP="008D1CED">
            <w:pPr>
              <w:spacing w:after="0" w:line="240" w:lineRule="auto"/>
              <w:rPr>
                <w:rFonts w:ascii="Arial" w:hAnsi="Arial" w:cs="Arial"/>
                <w:sz w:val="24"/>
                <w:szCs w:val="24"/>
              </w:rPr>
            </w:pPr>
            <w:r w:rsidRPr="007E0EC9">
              <w:rPr>
                <w:rFonts w:ascii="Arial" w:hAnsi="Arial" w:cs="Arial"/>
                <w:szCs w:val="24"/>
              </w:rPr>
              <w:t>Targets 2015</w:t>
            </w:r>
          </w:p>
        </w:tc>
        <w:tc>
          <w:tcPr>
            <w:tcW w:w="9716" w:type="dxa"/>
            <w:tcBorders>
              <w:top w:val="nil"/>
              <w:left w:val="single" w:sz="4" w:space="0" w:color="auto"/>
              <w:bottom w:val="nil"/>
              <w:right w:val="single" w:sz="4" w:space="0" w:color="auto"/>
            </w:tcBorders>
            <w:shd w:val="clear" w:color="auto" w:fill="D9D9D9"/>
            <w:vAlign w:val="center"/>
          </w:tcPr>
          <w:p w:rsidR="007E0EC9" w:rsidRPr="008D1CED" w:rsidRDefault="007E0EC9" w:rsidP="008D1CED">
            <w:pPr>
              <w:spacing w:after="0" w:line="240" w:lineRule="auto"/>
              <w:rPr>
                <w:rFonts w:ascii="Arial" w:hAnsi="Arial" w:cs="Arial"/>
              </w:rPr>
            </w:pPr>
            <w:r w:rsidRPr="008D1CED">
              <w:rPr>
                <w:rFonts w:ascii="Arial" w:hAnsi="Arial" w:cs="Arial"/>
              </w:rPr>
              <w:t>1</w:t>
            </w:r>
            <w:r w:rsidRPr="007E0EC9">
              <w:rPr>
                <w:rFonts w:ascii="Arial" w:hAnsi="Arial" w:cs="Arial"/>
              </w:rPr>
              <w:t xml:space="preserve">. </w:t>
            </w:r>
            <w:r>
              <w:rPr>
                <w:rFonts w:ascii="Arial" w:hAnsi="Arial" w:cs="Arial"/>
                <w:lang w:val="en-US"/>
              </w:rPr>
              <w:t>N</w:t>
            </w:r>
            <w:r w:rsidRPr="007E0EC9">
              <w:rPr>
                <w:rFonts w:ascii="Arial" w:hAnsi="Arial" w:cs="Arial"/>
                <w:lang w:val="en-US"/>
              </w:rPr>
              <w:t>umber of new NCD cases identified on community outreach services and referred for consultation and management</w:t>
            </w:r>
            <w:r>
              <w:rPr>
                <w:rFonts w:ascii="Arial" w:hAnsi="Arial" w:cs="Arial"/>
                <w:lang w:val="en-US"/>
              </w:rPr>
              <w:t>.</w:t>
            </w:r>
          </w:p>
        </w:tc>
        <w:tc>
          <w:tcPr>
            <w:tcW w:w="2802" w:type="dxa"/>
            <w:tcBorders>
              <w:top w:val="nil"/>
              <w:left w:val="single" w:sz="4" w:space="0" w:color="auto"/>
              <w:bottom w:val="nil"/>
              <w:right w:val="single" w:sz="4" w:space="0" w:color="auto"/>
            </w:tcBorders>
            <w:shd w:val="clear" w:color="auto" w:fill="D9D9D9"/>
            <w:vAlign w:val="center"/>
          </w:tcPr>
          <w:p w:rsidR="007E0EC9" w:rsidRPr="008D1CED" w:rsidRDefault="004C1FDF" w:rsidP="007E0EC9">
            <w:pPr>
              <w:spacing w:after="0" w:line="240" w:lineRule="auto"/>
              <w:rPr>
                <w:rFonts w:ascii="Arial" w:hAnsi="Arial" w:cs="Arial"/>
              </w:rPr>
            </w:pPr>
            <w:r>
              <w:rPr>
                <w:rFonts w:ascii="Arial" w:hAnsi="Arial" w:cs="Arial"/>
              </w:rPr>
              <w:t>Not available</w:t>
            </w:r>
          </w:p>
        </w:tc>
        <w:tc>
          <w:tcPr>
            <w:tcW w:w="1276" w:type="dxa"/>
            <w:tcBorders>
              <w:top w:val="nil"/>
              <w:left w:val="single" w:sz="4" w:space="0" w:color="auto"/>
              <w:bottom w:val="nil"/>
              <w:right w:val="single" w:sz="4" w:space="0" w:color="auto"/>
            </w:tcBorders>
            <w:shd w:val="clear" w:color="auto" w:fill="D9D9D9"/>
            <w:vAlign w:val="center"/>
          </w:tcPr>
          <w:p w:rsidR="007E0EC9" w:rsidRPr="008D1CED" w:rsidRDefault="007E0EC9" w:rsidP="0050083C">
            <w:pPr>
              <w:spacing w:after="0" w:line="240" w:lineRule="auto"/>
              <w:ind w:left="34"/>
              <w:jc w:val="center"/>
              <w:rPr>
                <w:rFonts w:ascii="Arial" w:hAnsi="Arial" w:cs="Arial"/>
              </w:rPr>
            </w:pPr>
            <w:r w:rsidRPr="008D1CED">
              <w:rPr>
                <w:rFonts w:ascii="Arial" w:hAnsi="Arial" w:cs="Arial"/>
              </w:rPr>
              <w:t>-</w:t>
            </w:r>
          </w:p>
        </w:tc>
      </w:tr>
      <w:tr w:rsidR="007E0EC9" w:rsidRPr="008D1CED" w:rsidTr="008D1CED">
        <w:trPr>
          <w:trHeight w:val="397"/>
        </w:trPr>
        <w:tc>
          <w:tcPr>
            <w:tcW w:w="1483" w:type="dxa"/>
            <w:vMerge/>
            <w:tcBorders>
              <w:right w:val="single" w:sz="4" w:space="0" w:color="auto"/>
            </w:tcBorders>
            <w:shd w:val="clear" w:color="auto" w:fill="B8CCE4"/>
          </w:tcPr>
          <w:p w:rsidR="007E0EC9" w:rsidRPr="008D1CED" w:rsidRDefault="007E0EC9" w:rsidP="0050083C">
            <w:pPr>
              <w:spacing w:after="0" w:line="240" w:lineRule="auto"/>
              <w:rPr>
                <w:rFonts w:ascii="Arial" w:hAnsi="Arial" w:cs="Arial"/>
                <w:sz w:val="20"/>
              </w:rPr>
            </w:pPr>
          </w:p>
        </w:tc>
        <w:tc>
          <w:tcPr>
            <w:tcW w:w="9716" w:type="dxa"/>
            <w:tcBorders>
              <w:top w:val="nil"/>
              <w:left w:val="single" w:sz="4" w:space="0" w:color="auto"/>
              <w:bottom w:val="nil"/>
              <w:right w:val="single" w:sz="4" w:space="0" w:color="auto"/>
            </w:tcBorders>
            <w:vAlign w:val="center"/>
          </w:tcPr>
          <w:p w:rsidR="007E0EC9" w:rsidRPr="008D1CED" w:rsidRDefault="007E0EC9" w:rsidP="0050083C">
            <w:pPr>
              <w:spacing w:after="0" w:line="240" w:lineRule="auto"/>
              <w:rPr>
                <w:rFonts w:ascii="Arial" w:hAnsi="Arial" w:cs="Arial"/>
              </w:rPr>
            </w:pPr>
            <w:r w:rsidRPr="008D1CED">
              <w:rPr>
                <w:rFonts w:ascii="Arial" w:hAnsi="Arial" w:cs="Arial"/>
              </w:rPr>
              <w:t xml:space="preserve">2. Proportion </w:t>
            </w:r>
            <w:r>
              <w:rPr>
                <w:rFonts w:ascii="Arial" w:hAnsi="Arial" w:cs="Arial"/>
              </w:rPr>
              <w:t>of children vaccinated against m</w:t>
            </w:r>
            <w:r w:rsidRPr="008D1CED">
              <w:rPr>
                <w:rFonts w:ascii="Arial" w:hAnsi="Arial" w:cs="Arial"/>
              </w:rPr>
              <w:t>easles increases to 75%</w:t>
            </w:r>
          </w:p>
        </w:tc>
        <w:tc>
          <w:tcPr>
            <w:tcW w:w="2802" w:type="dxa"/>
            <w:tcBorders>
              <w:top w:val="nil"/>
              <w:left w:val="single" w:sz="4" w:space="0" w:color="auto"/>
              <w:bottom w:val="nil"/>
              <w:right w:val="single" w:sz="4" w:space="0" w:color="auto"/>
            </w:tcBorders>
            <w:vAlign w:val="center"/>
          </w:tcPr>
          <w:p w:rsidR="007E0EC9" w:rsidRPr="008D1CED" w:rsidRDefault="007E0EC9" w:rsidP="0050083C">
            <w:pPr>
              <w:spacing w:after="0" w:line="240" w:lineRule="auto"/>
              <w:rPr>
                <w:rFonts w:ascii="Arial" w:hAnsi="Arial" w:cs="Arial"/>
              </w:rPr>
            </w:pPr>
            <w:r w:rsidRPr="008D1CED">
              <w:rPr>
                <w:rFonts w:ascii="Arial" w:hAnsi="Arial" w:cs="Arial"/>
              </w:rPr>
              <w:t>65% in 2011 (</w:t>
            </w:r>
            <w:proofErr w:type="spellStart"/>
            <w:r w:rsidRPr="008D1CED">
              <w:rPr>
                <w:rFonts w:ascii="Arial" w:hAnsi="Arial" w:cs="Arial"/>
              </w:rPr>
              <w:t>Unicef</w:t>
            </w:r>
            <w:proofErr w:type="spellEnd"/>
            <w:r w:rsidRPr="008D1CED">
              <w:rPr>
                <w:rFonts w:ascii="Arial" w:hAnsi="Arial" w:cs="Arial"/>
              </w:rPr>
              <w:t>)</w:t>
            </w:r>
          </w:p>
        </w:tc>
        <w:tc>
          <w:tcPr>
            <w:tcW w:w="1276" w:type="dxa"/>
            <w:tcBorders>
              <w:top w:val="nil"/>
              <w:left w:val="single" w:sz="4" w:space="0" w:color="auto"/>
              <w:bottom w:val="nil"/>
              <w:right w:val="single" w:sz="4" w:space="0" w:color="auto"/>
            </w:tcBorders>
            <w:vAlign w:val="center"/>
          </w:tcPr>
          <w:p w:rsidR="007E0EC9" w:rsidRPr="008D1CED" w:rsidRDefault="007E0EC9" w:rsidP="0050083C">
            <w:pPr>
              <w:spacing w:after="0" w:line="240" w:lineRule="auto"/>
              <w:jc w:val="center"/>
              <w:rPr>
                <w:rFonts w:ascii="Arial" w:hAnsi="Arial" w:cs="Arial"/>
              </w:rPr>
            </w:pPr>
            <w:r w:rsidRPr="008D1CED">
              <w:rPr>
                <w:rFonts w:ascii="Arial" w:hAnsi="Arial" w:cs="Arial"/>
              </w:rPr>
              <w:t>-</w:t>
            </w:r>
          </w:p>
        </w:tc>
      </w:tr>
      <w:tr w:rsidR="007E0EC9" w:rsidRPr="008D1CED" w:rsidTr="007E0EC9">
        <w:trPr>
          <w:trHeight w:val="397"/>
        </w:trPr>
        <w:tc>
          <w:tcPr>
            <w:tcW w:w="1483" w:type="dxa"/>
            <w:vMerge/>
            <w:tcBorders>
              <w:right w:val="single" w:sz="4" w:space="0" w:color="auto"/>
            </w:tcBorders>
            <w:shd w:val="clear" w:color="auto" w:fill="B8CCE4"/>
          </w:tcPr>
          <w:p w:rsidR="007E0EC9" w:rsidRPr="008D1CED" w:rsidRDefault="007E0EC9" w:rsidP="0050083C">
            <w:pPr>
              <w:spacing w:after="0" w:line="240" w:lineRule="auto"/>
              <w:rPr>
                <w:rFonts w:ascii="Arial" w:hAnsi="Arial" w:cs="Arial"/>
                <w:sz w:val="20"/>
              </w:rPr>
            </w:pPr>
          </w:p>
        </w:tc>
        <w:tc>
          <w:tcPr>
            <w:tcW w:w="9716" w:type="dxa"/>
            <w:tcBorders>
              <w:top w:val="nil"/>
              <w:left w:val="single" w:sz="4" w:space="0" w:color="auto"/>
              <w:bottom w:val="nil"/>
              <w:right w:val="single" w:sz="4" w:space="0" w:color="auto"/>
            </w:tcBorders>
            <w:shd w:val="clear" w:color="auto" w:fill="D9D9D9"/>
            <w:vAlign w:val="center"/>
          </w:tcPr>
          <w:p w:rsidR="007E0EC9" w:rsidRPr="008D1CED" w:rsidRDefault="007E0EC9" w:rsidP="0050083C">
            <w:pPr>
              <w:spacing w:after="0" w:line="240" w:lineRule="auto"/>
              <w:rPr>
                <w:rFonts w:ascii="Arial" w:hAnsi="Arial" w:cs="Arial"/>
              </w:rPr>
            </w:pPr>
            <w:r w:rsidRPr="008D1CED">
              <w:rPr>
                <w:rFonts w:ascii="Arial" w:hAnsi="Arial" w:cs="Arial"/>
              </w:rPr>
              <w:t>3. Proportion of p</w:t>
            </w:r>
            <w:r>
              <w:rPr>
                <w:rFonts w:ascii="Arial" w:hAnsi="Arial" w:cs="Arial"/>
              </w:rPr>
              <w:t>regnant women participating in three</w:t>
            </w:r>
            <w:r w:rsidRPr="008D1CED">
              <w:rPr>
                <w:rFonts w:ascii="Arial" w:hAnsi="Arial" w:cs="Arial"/>
              </w:rPr>
              <w:t xml:space="preserve"> antenatal visits increases to 75%</w:t>
            </w:r>
          </w:p>
        </w:tc>
        <w:tc>
          <w:tcPr>
            <w:tcW w:w="2802" w:type="dxa"/>
            <w:tcBorders>
              <w:top w:val="nil"/>
              <w:left w:val="single" w:sz="4" w:space="0" w:color="auto"/>
              <w:bottom w:val="nil"/>
              <w:right w:val="single" w:sz="4" w:space="0" w:color="auto"/>
            </w:tcBorders>
            <w:shd w:val="clear" w:color="auto" w:fill="D9D9D9"/>
            <w:vAlign w:val="center"/>
          </w:tcPr>
          <w:p w:rsidR="007E0EC9" w:rsidRPr="008D1CED" w:rsidRDefault="007E0EC9" w:rsidP="0050083C">
            <w:pPr>
              <w:spacing w:after="0" w:line="240" w:lineRule="auto"/>
              <w:rPr>
                <w:rFonts w:ascii="Arial" w:hAnsi="Arial" w:cs="Arial"/>
              </w:rPr>
            </w:pPr>
            <w:r w:rsidRPr="008D1CED">
              <w:rPr>
                <w:rFonts w:ascii="Arial" w:hAnsi="Arial" w:cs="Arial"/>
              </w:rPr>
              <w:t>58% in 2010/11 (PATIS)</w:t>
            </w:r>
          </w:p>
        </w:tc>
        <w:tc>
          <w:tcPr>
            <w:tcW w:w="1276" w:type="dxa"/>
            <w:tcBorders>
              <w:top w:val="nil"/>
              <w:left w:val="single" w:sz="4" w:space="0" w:color="auto"/>
              <w:bottom w:val="nil"/>
              <w:right w:val="single" w:sz="4" w:space="0" w:color="auto"/>
            </w:tcBorders>
            <w:shd w:val="clear" w:color="auto" w:fill="D9D9D9"/>
            <w:vAlign w:val="center"/>
          </w:tcPr>
          <w:p w:rsidR="007E0EC9" w:rsidRPr="008D1CED" w:rsidRDefault="007E0EC9" w:rsidP="0050083C">
            <w:pPr>
              <w:spacing w:after="0" w:line="240" w:lineRule="auto"/>
              <w:jc w:val="center"/>
              <w:rPr>
                <w:rFonts w:ascii="Arial" w:hAnsi="Arial" w:cs="Arial"/>
              </w:rPr>
            </w:pPr>
            <w:r w:rsidRPr="008D1CED">
              <w:rPr>
                <w:rFonts w:ascii="Arial" w:hAnsi="Arial" w:cs="Arial"/>
              </w:rPr>
              <w:t>-</w:t>
            </w:r>
          </w:p>
        </w:tc>
      </w:tr>
      <w:tr w:rsidR="007E0EC9" w:rsidRPr="008D1CED" w:rsidTr="007E0EC9">
        <w:trPr>
          <w:trHeight w:val="397"/>
        </w:trPr>
        <w:tc>
          <w:tcPr>
            <w:tcW w:w="1483" w:type="dxa"/>
            <w:vMerge/>
            <w:tcBorders>
              <w:bottom w:val="single" w:sz="4" w:space="0" w:color="auto"/>
              <w:right w:val="single" w:sz="4" w:space="0" w:color="auto"/>
            </w:tcBorders>
            <w:shd w:val="clear" w:color="auto" w:fill="B8CCE4"/>
          </w:tcPr>
          <w:p w:rsidR="007E0EC9" w:rsidRPr="008D1CED" w:rsidRDefault="007E0EC9" w:rsidP="0050083C">
            <w:pPr>
              <w:spacing w:after="0" w:line="240" w:lineRule="auto"/>
              <w:rPr>
                <w:rFonts w:ascii="Arial" w:hAnsi="Arial" w:cs="Arial"/>
                <w:sz w:val="20"/>
              </w:rPr>
            </w:pPr>
          </w:p>
        </w:tc>
        <w:tc>
          <w:tcPr>
            <w:tcW w:w="9716" w:type="dxa"/>
            <w:tcBorders>
              <w:top w:val="nil"/>
              <w:left w:val="single" w:sz="4" w:space="0" w:color="auto"/>
              <w:bottom w:val="single" w:sz="4" w:space="0" w:color="auto"/>
              <w:right w:val="single" w:sz="4" w:space="0" w:color="auto"/>
            </w:tcBorders>
            <w:shd w:val="clear" w:color="auto" w:fill="FFFFFF" w:themeFill="background1"/>
            <w:vAlign w:val="center"/>
          </w:tcPr>
          <w:p w:rsidR="007E0EC9" w:rsidRPr="008D1CED" w:rsidRDefault="007E0EC9" w:rsidP="007E0EC9">
            <w:pPr>
              <w:spacing w:after="0" w:line="240" w:lineRule="auto"/>
              <w:rPr>
                <w:rFonts w:ascii="Arial" w:hAnsi="Arial" w:cs="Arial"/>
              </w:rPr>
            </w:pPr>
            <w:r>
              <w:rPr>
                <w:rFonts w:ascii="Arial" w:hAnsi="Arial" w:cs="Arial"/>
              </w:rPr>
              <w:t>4</w:t>
            </w:r>
            <w:r w:rsidRPr="007E0EC9">
              <w:rPr>
                <w:rFonts w:ascii="Arial" w:hAnsi="Arial" w:cs="Arial"/>
              </w:rPr>
              <w:t>. Finalisation and approval of the Tobacco Regulations and the Food Bill</w:t>
            </w:r>
          </w:p>
        </w:tc>
        <w:tc>
          <w:tcPr>
            <w:tcW w:w="2802" w:type="dxa"/>
            <w:tcBorders>
              <w:top w:val="nil"/>
              <w:left w:val="single" w:sz="4" w:space="0" w:color="auto"/>
              <w:bottom w:val="single" w:sz="4" w:space="0" w:color="auto"/>
              <w:right w:val="single" w:sz="4" w:space="0" w:color="auto"/>
            </w:tcBorders>
            <w:shd w:val="clear" w:color="auto" w:fill="FFFFFF" w:themeFill="background1"/>
            <w:vAlign w:val="center"/>
          </w:tcPr>
          <w:p w:rsidR="007E0EC9" w:rsidRPr="008D1CED" w:rsidRDefault="007E0EC9" w:rsidP="0050083C">
            <w:pPr>
              <w:spacing w:after="0" w:line="240" w:lineRule="auto"/>
              <w:rPr>
                <w:rFonts w:ascii="Arial" w:hAnsi="Arial" w:cs="Arial"/>
              </w:rPr>
            </w:pPr>
            <w:r>
              <w:rPr>
                <w:rFonts w:ascii="Arial" w:hAnsi="Arial" w:cs="Arial"/>
              </w:rPr>
              <w:t xml:space="preserve">Unapproved </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7E0EC9" w:rsidRPr="008D1CED" w:rsidRDefault="007E0EC9" w:rsidP="0050083C">
            <w:pPr>
              <w:spacing w:after="0" w:line="240" w:lineRule="auto"/>
              <w:jc w:val="center"/>
              <w:rPr>
                <w:rFonts w:ascii="Arial" w:hAnsi="Arial" w:cs="Arial"/>
              </w:rPr>
            </w:pPr>
            <w:r>
              <w:rPr>
                <w:rFonts w:ascii="Arial" w:hAnsi="Arial" w:cs="Arial"/>
              </w:rPr>
              <w:t>-</w:t>
            </w:r>
          </w:p>
        </w:tc>
      </w:tr>
    </w:tbl>
    <w:p w:rsidR="008D1CED" w:rsidRPr="008D1CED" w:rsidRDefault="008D1CED" w:rsidP="00852237">
      <w:pPr>
        <w:spacing w:before="40" w:after="40" w:line="240" w:lineRule="auto"/>
        <w:jc w:val="center"/>
        <w:rPr>
          <w:rFonts w:ascii="Arial" w:hAnsi="Arial" w:cs="Arial"/>
          <w:b/>
          <w:sz w:val="24"/>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8D1CED" w:rsidTr="00C519A7">
        <w:trPr>
          <w:trHeight w:val="340"/>
        </w:trPr>
        <w:tc>
          <w:tcPr>
            <w:tcW w:w="3936" w:type="dxa"/>
            <w:tcBorders>
              <w:bottom w:val="single" w:sz="4" w:space="0" w:color="auto"/>
            </w:tcBorders>
            <w:shd w:val="clear" w:color="auto" w:fill="DBE5F1"/>
            <w:vAlign w:val="center"/>
          </w:tcPr>
          <w:p w:rsidR="00E1504C" w:rsidRPr="008D1CED" w:rsidRDefault="00E1504C" w:rsidP="00C519A7">
            <w:pPr>
              <w:spacing w:after="0" w:line="240" w:lineRule="auto"/>
              <w:rPr>
                <w:rFonts w:ascii="Arial" w:hAnsi="Arial" w:cs="Arial"/>
              </w:rPr>
            </w:pPr>
            <w:r w:rsidRPr="008D1CED">
              <w:rPr>
                <w:rFonts w:ascii="Arial" w:hAnsi="Arial" w:cs="Arial"/>
                <w:sz w:val="18"/>
                <w:szCs w:val="18"/>
              </w:rPr>
              <w:t xml:space="preserve">Partnership </w:t>
            </w:r>
            <w:r w:rsidRPr="008D1CED">
              <w:rPr>
                <w:rFonts w:ascii="Arial" w:hAnsi="Arial" w:cs="Arial"/>
                <w:b/>
                <w:sz w:val="18"/>
                <w:szCs w:val="18"/>
              </w:rPr>
              <w:t>outputs</w:t>
            </w:r>
            <w:r w:rsidRPr="008D1CED">
              <w:rPr>
                <w:rFonts w:ascii="Arial" w:hAnsi="Arial" w:cs="Arial"/>
                <w:sz w:val="18"/>
                <w:szCs w:val="18"/>
              </w:rPr>
              <w:t xml:space="preserve"> for 201</w:t>
            </w:r>
            <w:r w:rsidR="001E055B" w:rsidRPr="008D1CED">
              <w:rPr>
                <w:rFonts w:ascii="Arial" w:hAnsi="Arial" w:cs="Arial"/>
                <w:sz w:val="18"/>
                <w:szCs w:val="18"/>
              </w:rPr>
              <w:t>2-13</w:t>
            </w:r>
          </w:p>
        </w:tc>
        <w:tc>
          <w:tcPr>
            <w:tcW w:w="850" w:type="dxa"/>
            <w:vMerge w:val="restart"/>
            <w:tcBorders>
              <w:top w:val="nil"/>
            </w:tcBorders>
            <w:vAlign w:val="center"/>
          </w:tcPr>
          <w:p w:rsidR="00E1504C" w:rsidRPr="008D1CED" w:rsidRDefault="004155EF" w:rsidP="00C519A7">
            <w:pPr>
              <w:spacing w:after="0" w:line="240" w:lineRule="auto"/>
              <w:rPr>
                <w:rFonts w:ascii="Arial" w:hAnsi="Arial" w:cs="Arial"/>
              </w:rPr>
            </w:pPr>
            <w:r>
              <w:rPr>
                <w:rFonts w:ascii="Arial" w:hAnsi="Arial" w:cs="Arial"/>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bottom w:val="single" w:sz="4" w:space="0" w:color="auto"/>
            </w:tcBorders>
            <w:shd w:val="clear" w:color="auto" w:fill="DBE5F1"/>
            <w:vAlign w:val="center"/>
          </w:tcPr>
          <w:p w:rsidR="00E1504C" w:rsidRPr="008D1CED" w:rsidRDefault="00E1504C" w:rsidP="00C519A7">
            <w:pPr>
              <w:spacing w:after="0" w:line="240" w:lineRule="auto"/>
              <w:rPr>
                <w:rFonts w:ascii="Arial" w:hAnsi="Arial" w:cs="Arial"/>
              </w:rPr>
            </w:pPr>
            <w:r w:rsidRPr="008D1CED">
              <w:rPr>
                <w:rFonts w:ascii="Arial" w:hAnsi="Arial" w:cs="Arial"/>
                <w:b/>
                <w:sz w:val="18"/>
                <w:szCs w:val="18"/>
              </w:rPr>
              <w:t>Assumptions</w:t>
            </w:r>
          </w:p>
        </w:tc>
        <w:tc>
          <w:tcPr>
            <w:tcW w:w="851" w:type="dxa"/>
            <w:vMerge w:val="restart"/>
            <w:tcBorders>
              <w:top w:val="nil"/>
            </w:tcBorders>
            <w:vAlign w:val="center"/>
          </w:tcPr>
          <w:p w:rsidR="00E1504C" w:rsidRPr="008D1CED" w:rsidRDefault="004155EF" w:rsidP="00C519A7">
            <w:pPr>
              <w:spacing w:after="0" w:line="240" w:lineRule="auto"/>
              <w:rPr>
                <w:rFonts w:ascii="Arial" w:hAnsi="Arial" w:cs="Arial"/>
              </w:rPr>
            </w:pPr>
            <w:r>
              <w:rPr>
                <w:rFonts w:ascii="Arial" w:hAnsi="Arial" w:cs="Arial"/>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bottom w:val="single" w:sz="4" w:space="0" w:color="auto"/>
            </w:tcBorders>
            <w:shd w:val="clear" w:color="auto" w:fill="DBE5F1"/>
            <w:vAlign w:val="center"/>
          </w:tcPr>
          <w:p w:rsidR="00E1504C" w:rsidRPr="008D1CED" w:rsidRDefault="00E1504C" w:rsidP="00C519A7">
            <w:pPr>
              <w:keepNext/>
              <w:spacing w:before="40" w:after="40" w:line="240" w:lineRule="auto"/>
              <w:rPr>
                <w:rFonts w:ascii="Arial" w:hAnsi="Arial" w:cs="Arial"/>
                <w:sz w:val="18"/>
                <w:szCs w:val="18"/>
              </w:rPr>
            </w:pPr>
            <w:r w:rsidRPr="008D1CED">
              <w:rPr>
                <w:rFonts w:ascii="Arial" w:hAnsi="Arial" w:cs="Arial"/>
                <w:sz w:val="18"/>
                <w:szCs w:val="18"/>
              </w:rPr>
              <w:t xml:space="preserve">Planned </w:t>
            </w:r>
            <w:r w:rsidRPr="008D1CED">
              <w:rPr>
                <w:rFonts w:ascii="Arial" w:hAnsi="Arial" w:cs="Arial"/>
                <w:b/>
                <w:sz w:val="18"/>
                <w:szCs w:val="18"/>
              </w:rPr>
              <w:t xml:space="preserve">Outcomes </w:t>
            </w:r>
            <w:r w:rsidR="00390D5A" w:rsidRPr="008D1CED">
              <w:rPr>
                <w:rFonts w:ascii="Arial" w:hAnsi="Arial" w:cs="Arial"/>
                <w:sz w:val="18"/>
                <w:szCs w:val="18"/>
              </w:rPr>
              <w:t>for 2012-13</w:t>
            </w:r>
          </w:p>
        </w:tc>
        <w:tc>
          <w:tcPr>
            <w:tcW w:w="2552" w:type="dxa"/>
            <w:tcBorders>
              <w:bottom w:val="single" w:sz="4" w:space="0" w:color="auto"/>
            </w:tcBorders>
            <w:shd w:val="clear" w:color="auto" w:fill="DBE5F1"/>
            <w:vAlign w:val="center"/>
          </w:tcPr>
          <w:p w:rsidR="00E1504C" w:rsidRPr="008D1CED" w:rsidRDefault="00E1504C" w:rsidP="00C519A7">
            <w:pPr>
              <w:keepNext/>
              <w:spacing w:before="40" w:after="40" w:line="240" w:lineRule="auto"/>
              <w:rPr>
                <w:rFonts w:ascii="Arial" w:hAnsi="Arial" w:cs="Arial"/>
                <w:b/>
                <w:sz w:val="18"/>
                <w:szCs w:val="18"/>
              </w:rPr>
            </w:pPr>
            <w:r w:rsidRPr="008D1CED">
              <w:rPr>
                <w:rFonts w:ascii="Arial" w:hAnsi="Arial" w:cs="Arial"/>
                <w:sz w:val="18"/>
                <w:szCs w:val="18"/>
              </w:rPr>
              <w:t xml:space="preserve">Source of </w:t>
            </w:r>
            <w:r w:rsidRPr="008D1CED">
              <w:rPr>
                <w:rFonts w:ascii="Arial" w:hAnsi="Arial" w:cs="Arial"/>
                <w:b/>
                <w:sz w:val="18"/>
                <w:szCs w:val="18"/>
              </w:rPr>
              <w:t>Verification</w:t>
            </w:r>
          </w:p>
        </w:tc>
      </w:tr>
      <w:tr w:rsidR="008D1CED" w:rsidRPr="008D1CED" w:rsidTr="00C519A7">
        <w:trPr>
          <w:trHeight w:val="340"/>
        </w:trPr>
        <w:tc>
          <w:tcPr>
            <w:tcW w:w="3936" w:type="dxa"/>
            <w:tcBorders>
              <w:top w:val="single" w:sz="4" w:space="0" w:color="auto"/>
              <w:left w:val="single" w:sz="4" w:space="0" w:color="auto"/>
              <w:bottom w:val="nil"/>
              <w:right w:val="single" w:sz="4" w:space="0" w:color="auto"/>
            </w:tcBorders>
            <w:vAlign w:val="center"/>
          </w:tcPr>
          <w:p w:rsidR="008D1CED" w:rsidRDefault="008D1CED" w:rsidP="008D1CED">
            <w:pPr>
              <w:spacing w:after="0" w:line="240" w:lineRule="auto"/>
              <w:rPr>
                <w:rFonts w:ascii="Arial" w:hAnsi="Arial" w:cs="Arial"/>
                <w:sz w:val="18"/>
                <w:szCs w:val="18"/>
              </w:rPr>
            </w:pPr>
            <w:r w:rsidRPr="004C1FDF">
              <w:rPr>
                <w:rFonts w:ascii="Arial" w:hAnsi="Arial" w:cs="Arial"/>
                <w:sz w:val="18"/>
                <w:szCs w:val="18"/>
              </w:rPr>
              <w:t xml:space="preserve">Implementation of all </w:t>
            </w:r>
            <w:proofErr w:type="spellStart"/>
            <w:r w:rsidRPr="004C1FDF">
              <w:rPr>
                <w:rFonts w:ascii="Arial" w:hAnsi="Arial" w:cs="Arial"/>
                <w:sz w:val="18"/>
                <w:szCs w:val="18"/>
              </w:rPr>
              <w:t>SWAp</w:t>
            </w:r>
            <w:proofErr w:type="spellEnd"/>
            <w:r w:rsidRPr="004C1FDF">
              <w:rPr>
                <w:rFonts w:ascii="Arial" w:hAnsi="Arial" w:cs="Arial"/>
                <w:sz w:val="18"/>
                <w:szCs w:val="18"/>
              </w:rPr>
              <w:t xml:space="preserve"> funded activities outlined in </w:t>
            </w:r>
            <w:r>
              <w:rPr>
                <w:rFonts w:ascii="Arial" w:hAnsi="Arial" w:cs="Arial"/>
                <w:sz w:val="18"/>
                <w:szCs w:val="18"/>
              </w:rPr>
              <w:t xml:space="preserve">Program of Work, including: </w:t>
            </w:r>
          </w:p>
          <w:p w:rsidR="008D1CED" w:rsidRPr="00015501" w:rsidRDefault="008D1CED" w:rsidP="008D1CED">
            <w:pPr>
              <w:numPr>
                <w:ilvl w:val="0"/>
                <w:numId w:val="3"/>
              </w:numPr>
              <w:spacing w:after="0" w:line="240" w:lineRule="auto"/>
              <w:rPr>
                <w:rFonts w:ascii="Arial" w:hAnsi="Arial" w:cs="Arial"/>
                <w:sz w:val="18"/>
                <w:szCs w:val="18"/>
              </w:rPr>
            </w:pPr>
            <w:r w:rsidRPr="00015501">
              <w:rPr>
                <w:rFonts w:ascii="Arial" w:hAnsi="Arial" w:cs="Arial"/>
                <w:sz w:val="18"/>
                <w:szCs w:val="18"/>
              </w:rPr>
              <w:t>Health Promotion Foundation</w:t>
            </w:r>
          </w:p>
          <w:p w:rsidR="008D1CED" w:rsidRPr="00015501" w:rsidRDefault="008D1CED" w:rsidP="008D1CED">
            <w:pPr>
              <w:numPr>
                <w:ilvl w:val="0"/>
                <w:numId w:val="3"/>
              </w:numPr>
              <w:spacing w:after="0" w:line="240" w:lineRule="auto"/>
              <w:rPr>
                <w:rFonts w:ascii="Arial" w:hAnsi="Arial" w:cs="Arial"/>
                <w:sz w:val="18"/>
                <w:szCs w:val="18"/>
              </w:rPr>
            </w:pPr>
            <w:r w:rsidRPr="00015501">
              <w:rPr>
                <w:rFonts w:ascii="Arial" w:hAnsi="Arial" w:cs="Arial"/>
                <w:sz w:val="18"/>
                <w:szCs w:val="18"/>
              </w:rPr>
              <w:t>Phase 1 and 2 HIS</w:t>
            </w:r>
          </w:p>
          <w:p w:rsidR="008D1CED" w:rsidRPr="00015501" w:rsidRDefault="008D1CED" w:rsidP="008D1CED">
            <w:pPr>
              <w:numPr>
                <w:ilvl w:val="0"/>
                <w:numId w:val="3"/>
              </w:numPr>
              <w:spacing w:after="0" w:line="240" w:lineRule="auto"/>
              <w:rPr>
                <w:rFonts w:ascii="Arial" w:hAnsi="Arial" w:cs="Arial"/>
                <w:sz w:val="18"/>
                <w:szCs w:val="18"/>
              </w:rPr>
            </w:pPr>
            <w:r w:rsidRPr="00015501">
              <w:rPr>
                <w:rFonts w:ascii="Arial" w:hAnsi="Arial" w:cs="Arial"/>
                <w:sz w:val="18"/>
                <w:szCs w:val="18"/>
              </w:rPr>
              <w:t>3 static dental clinics</w:t>
            </w:r>
          </w:p>
          <w:p w:rsidR="008D1CED" w:rsidRPr="00015501" w:rsidRDefault="008D1CED" w:rsidP="008D1CED">
            <w:pPr>
              <w:numPr>
                <w:ilvl w:val="0"/>
                <w:numId w:val="3"/>
              </w:numPr>
              <w:spacing w:after="0" w:line="240" w:lineRule="auto"/>
              <w:rPr>
                <w:rFonts w:ascii="Arial" w:hAnsi="Arial" w:cs="Arial"/>
                <w:sz w:val="18"/>
                <w:szCs w:val="18"/>
              </w:rPr>
            </w:pPr>
            <w:r w:rsidRPr="00015501">
              <w:rPr>
                <w:rFonts w:ascii="Arial" w:hAnsi="Arial" w:cs="Arial"/>
                <w:sz w:val="18"/>
                <w:szCs w:val="18"/>
              </w:rPr>
              <w:t>Nurses hostel and lab</w:t>
            </w:r>
          </w:p>
          <w:p w:rsidR="008D1CED" w:rsidRPr="00015501" w:rsidRDefault="004155EF" w:rsidP="008D1CED">
            <w:pPr>
              <w:numPr>
                <w:ilvl w:val="0"/>
                <w:numId w:val="3"/>
              </w:numPr>
              <w:spacing w:after="0" w:line="240" w:lineRule="auto"/>
              <w:rPr>
                <w:rFonts w:ascii="Arial" w:hAnsi="Arial" w:cs="Arial"/>
                <w:sz w:val="18"/>
                <w:szCs w:val="18"/>
              </w:rPr>
            </w:pPr>
            <w:r>
              <w:rPr>
                <w:rFonts w:ascii="Arial" w:hAnsi="Arial" w:cs="Arial"/>
                <w:sz w:val="18"/>
                <w:szCs w:val="18"/>
              </w:rPr>
              <w:t xml:space="preserve">Nurses living quarters </w:t>
            </w:r>
            <w:proofErr w:type="spellStart"/>
            <w:r>
              <w:rPr>
                <w:rFonts w:ascii="Arial" w:hAnsi="Arial" w:cs="Arial"/>
                <w:sz w:val="18"/>
                <w:szCs w:val="18"/>
              </w:rPr>
              <w:t>LufiLu</w:t>
            </w:r>
            <w:r w:rsidR="008D1CED" w:rsidRPr="00015501">
              <w:rPr>
                <w:rFonts w:ascii="Arial" w:hAnsi="Arial" w:cs="Arial"/>
                <w:sz w:val="18"/>
                <w:szCs w:val="18"/>
              </w:rPr>
              <w:t>fi</w:t>
            </w:r>
            <w:proofErr w:type="spellEnd"/>
          </w:p>
          <w:p w:rsidR="008D1CED" w:rsidRPr="00015501" w:rsidRDefault="008D1CED" w:rsidP="008D1CED">
            <w:pPr>
              <w:numPr>
                <w:ilvl w:val="0"/>
                <w:numId w:val="3"/>
              </w:numPr>
              <w:spacing w:after="0" w:line="240" w:lineRule="auto"/>
              <w:rPr>
                <w:rFonts w:ascii="Arial" w:hAnsi="Arial" w:cs="Arial"/>
                <w:sz w:val="18"/>
                <w:szCs w:val="18"/>
              </w:rPr>
            </w:pPr>
            <w:r w:rsidRPr="00015501">
              <w:rPr>
                <w:rFonts w:ascii="Arial" w:hAnsi="Arial" w:cs="Arial"/>
                <w:sz w:val="18"/>
                <w:szCs w:val="18"/>
              </w:rPr>
              <w:t>Pharmaceutical warehouse</w:t>
            </w:r>
          </w:p>
          <w:p w:rsidR="008D1CED" w:rsidRPr="005E46C1" w:rsidRDefault="008D1CED" w:rsidP="008D1CED">
            <w:pPr>
              <w:numPr>
                <w:ilvl w:val="0"/>
                <w:numId w:val="3"/>
              </w:numPr>
              <w:spacing w:after="0" w:line="240" w:lineRule="auto"/>
              <w:rPr>
                <w:rFonts w:ascii="Arial" w:hAnsi="Arial" w:cs="Arial"/>
                <w:sz w:val="18"/>
                <w:szCs w:val="18"/>
              </w:rPr>
            </w:pPr>
            <w:r w:rsidRPr="005E46C1">
              <w:rPr>
                <w:rFonts w:ascii="Arial" w:hAnsi="Arial" w:cs="Arial"/>
                <w:sz w:val="18"/>
                <w:szCs w:val="18"/>
              </w:rPr>
              <w:t xml:space="preserve">PHC </w:t>
            </w:r>
            <w:r w:rsidR="005E46C1" w:rsidRPr="005E46C1">
              <w:rPr>
                <w:rFonts w:ascii="Arial" w:hAnsi="Arial" w:cs="Arial"/>
                <w:sz w:val="18"/>
                <w:szCs w:val="18"/>
              </w:rPr>
              <w:t>and</w:t>
            </w:r>
            <w:r w:rsidR="005E46C1">
              <w:rPr>
                <w:rFonts w:ascii="Arial" w:hAnsi="Arial" w:cs="Arial"/>
                <w:sz w:val="18"/>
                <w:szCs w:val="18"/>
              </w:rPr>
              <w:t xml:space="preserve"> </w:t>
            </w:r>
            <w:r w:rsidRPr="005E46C1">
              <w:rPr>
                <w:rFonts w:ascii="Arial" w:hAnsi="Arial" w:cs="Arial"/>
                <w:sz w:val="18"/>
                <w:szCs w:val="18"/>
              </w:rPr>
              <w:t>Orthotics building</w:t>
            </w:r>
            <w:bookmarkStart w:id="0" w:name="_GoBack"/>
            <w:bookmarkEnd w:id="0"/>
          </w:p>
          <w:p w:rsidR="008D1CED" w:rsidRPr="004C1FDF" w:rsidRDefault="008D1CED" w:rsidP="008D1CED">
            <w:pPr>
              <w:numPr>
                <w:ilvl w:val="0"/>
                <w:numId w:val="3"/>
              </w:numPr>
              <w:spacing w:after="0" w:line="240" w:lineRule="auto"/>
              <w:rPr>
                <w:rFonts w:ascii="Arial" w:hAnsi="Arial" w:cs="Arial"/>
                <w:sz w:val="18"/>
                <w:szCs w:val="18"/>
              </w:rPr>
            </w:pPr>
            <w:r w:rsidRPr="00015501">
              <w:rPr>
                <w:rFonts w:ascii="Arial" w:hAnsi="Arial" w:cs="Arial"/>
                <w:sz w:val="18"/>
                <w:szCs w:val="18"/>
              </w:rPr>
              <w:t>MTII Hospital extension</w:t>
            </w:r>
          </w:p>
        </w:tc>
        <w:tc>
          <w:tcPr>
            <w:tcW w:w="850"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 xml:space="preserve">All parties continue to provide maximum input into the </w:t>
            </w:r>
            <w:proofErr w:type="spellStart"/>
            <w:r w:rsidRPr="004C1FDF">
              <w:rPr>
                <w:rFonts w:ascii="Arial" w:hAnsi="Arial" w:cs="Arial"/>
                <w:sz w:val="18"/>
                <w:szCs w:val="18"/>
              </w:rPr>
              <w:t>SWAp</w:t>
            </w:r>
            <w:proofErr w:type="spellEnd"/>
            <w:r w:rsidRPr="004C1FDF">
              <w:rPr>
                <w:rFonts w:ascii="Arial" w:hAnsi="Arial" w:cs="Arial"/>
                <w:sz w:val="18"/>
                <w:szCs w:val="18"/>
              </w:rPr>
              <w:br/>
            </w:r>
            <w:r w:rsidR="004675CF">
              <w:rPr>
                <w:rFonts w:ascii="Arial" w:hAnsi="Arial" w:cs="Arial"/>
                <w:sz w:val="18"/>
                <w:szCs w:val="18"/>
              </w:rPr>
              <w:t xml:space="preserve">coincidence </w:t>
            </w:r>
          </w:p>
        </w:tc>
        <w:tc>
          <w:tcPr>
            <w:tcW w:w="851"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8D1CED" w:rsidRPr="00015501" w:rsidRDefault="008D1CED" w:rsidP="008D1CED">
            <w:pPr>
              <w:spacing w:after="0" w:line="240" w:lineRule="auto"/>
              <w:rPr>
                <w:rFonts w:ascii="Arial" w:hAnsi="Arial" w:cs="Arial"/>
                <w:sz w:val="18"/>
                <w:szCs w:val="18"/>
              </w:rPr>
            </w:pPr>
            <w:r w:rsidRPr="00015501">
              <w:rPr>
                <w:rFonts w:ascii="Arial" w:hAnsi="Arial" w:cs="Arial"/>
                <w:sz w:val="18"/>
                <w:szCs w:val="18"/>
              </w:rPr>
              <w:t xml:space="preserve">All </w:t>
            </w:r>
            <w:proofErr w:type="spellStart"/>
            <w:r w:rsidRPr="00015501">
              <w:rPr>
                <w:rFonts w:ascii="Arial" w:hAnsi="Arial" w:cs="Arial"/>
                <w:sz w:val="18"/>
                <w:szCs w:val="18"/>
              </w:rPr>
              <w:t>SWAp</w:t>
            </w:r>
            <w:proofErr w:type="spellEnd"/>
            <w:r w:rsidRPr="00015501">
              <w:rPr>
                <w:rFonts w:ascii="Arial" w:hAnsi="Arial" w:cs="Arial"/>
                <w:sz w:val="18"/>
                <w:szCs w:val="18"/>
              </w:rPr>
              <w:t xml:space="preserve"> activities </w:t>
            </w:r>
            <w:r>
              <w:rPr>
                <w:rFonts w:ascii="Arial" w:hAnsi="Arial" w:cs="Arial"/>
                <w:sz w:val="18"/>
                <w:szCs w:val="18"/>
              </w:rPr>
              <w:t xml:space="preserve">completed, providing improved infrastructure and services </w:t>
            </w:r>
            <w:proofErr w:type="spellStart"/>
            <w:r>
              <w:rPr>
                <w:rFonts w:ascii="Arial" w:hAnsi="Arial" w:cs="Arial"/>
                <w:sz w:val="18"/>
                <w:szCs w:val="18"/>
              </w:rPr>
              <w:t>fro</w:t>
            </w:r>
            <w:proofErr w:type="spellEnd"/>
            <w:r>
              <w:rPr>
                <w:rFonts w:ascii="Arial" w:hAnsi="Arial" w:cs="Arial"/>
                <w:sz w:val="18"/>
                <w:szCs w:val="18"/>
              </w:rPr>
              <w:t xml:space="preserve"> the people of Samoa</w:t>
            </w:r>
          </w:p>
        </w:tc>
        <w:tc>
          <w:tcPr>
            <w:tcW w:w="2552" w:type="dxa"/>
            <w:tcBorders>
              <w:top w:val="single" w:sz="4" w:space="0" w:color="auto"/>
              <w:left w:val="single" w:sz="4" w:space="0" w:color="auto"/>
              <w:bottom w:val="nil"/>
              <w:right w:val="single" w:sz="4" w:space="0" w:color="auto"/>
            </w:tcBorders>
            <w:vAlign w:val="center"/>
          </w:tcPr>
          <w:p w:rsidR="008D1CED" w:rsidRPr="00015501" w:rsidRDefault="008D1CED" w:rsidP="0050083C">
            <w:pPr>
              <w:spacing w:after="0" w:line="240" w:lineRule="auto"/>
              <w:rPr>
                <w:rFonts w:ascii="Arial" w:hAnsi="Arial" w:cs="Arial"/>
                <w:sz w:val="18"/>
                <w:szCs w:val="18"/>
              </w:rPr>
            </w:pPr>
            <w:proofErr w:type="spellStart"/>
            <w:r w:rsidRPr="00015501">
              <w:rPr>
                <w:rFonts w:ascii="Arial" w:hAnsi="Arial" w:cs="Arial"/>
                <w:sz w:val="18"/>
                <w:szCs w:val="18"/>
              </w:rPr>
              <w:t>SWAp</w:t>
            </w:r>
            <w:proofErr w:type="spellEnd"/>
            <w:r w:rsidRPr="00015501">
              <w:rPr>
                <w:rFonts w:ascii="Arial" w:hAnsi="Arial" w:cs="Arial"/>
                <w:sz w:val="18"/>
                <w:szCs w:val="18"/>
              </w:rPr>
              <w:t xml:space="preserve"> progress and procurement reports.</w:t>
            </w:r>
          </w:p>
        </w:tc>
      </w:tr>
      <w:tr w:rsidR="008D1CED" w:rsidRPr="008D1CED"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 xml:space="preserve">Delivery and evaluation of the Revitalisation of Primary Health Care- Phase 2 </w:t>
            </w:r>
          </w:p>
        </w:tc>
        <w:tc>
          <w:tcPr>
            <w:tcW w:w="850"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Program contract completed and participation in baseline and follow up evaluation</w:t>
            </w:r>
          </w:p>
        </w:tc>
        <w:tc>
          <w:tcPr>
            <w:tcW w:w="851"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 xml:space="preserve">Improved coverage of PHC interventions, particularly for NCD </w:t>
            </w:r>
            <w:r w:rsidR="0050083C">
              <w:rPr>
                <w:rFonts w:ascii="Arial" w:hAnsi="Arial" w:cs="Arial"/>
                <w:sz w:val="18"/>
                <w:szCs w:val="18"/>
              </w:rPr>
              <w:t xml:space="preserve">follow up and </w:t>
            </w:r>
            <w:r w:rsidRPr="00015501">
              <w:rPr>
                <w:rFonts w:ascii="Arial" w:hAnsi="Arial" w:cs="Arial"/>
                <w:sz w:val="18"/>
                <w:szCs w:val="18"/>
              </w:rPr>
              <w:t>case management</w:t>
            </w:r>
            <w:r w:rsidR="0050083C">
              <w:rPr>
                <w:rFonts w:ascii="Arial" w:hAnsi="Arial" w:cs="Arial"/>
                <w:sz w:val="18"/>
                <w:szCs w:val="18"/>
              </w:rPr>
              <w:t>.</w:t>
            </w:r>
          </w:p>
        </w:tc>
        <w:tc>
          <w:tcPr>
            <w:tcW w:w="2552" w:type="dxa"/>
            <w:tcBorders>
              <w:top w:val="nil"/>
              <w:left w:val="single" w:sz="4" w:space="0" w:color="auto"/>
              <w:bottom w:val="nil"/>
              <w:right w:val="single" w:sz="4" w:space="0" w:color="auto"/>
            </w:tcBorders>
            <w:shd w:val="clear" w:color="auto" w:fill="D9D9D9"/>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End of program Monitoring and Evaluation report.</w:t>
            </w:r>
          </w:p>
        </w:tc>
      </w:tr>
      <w:tr w:rsidR="008D1CED" w:rsidRPr="008D1CED" w:rsidTr="00C519A7">
        <w:trPr>
          <w:trHeight w:val="340"/>
        </w:trPr>
        <w:tc>
          <w:tcPr>
            <w:tcW w:w="3936" w:type="dxa"/>
            <w:tcBorders>
              <w:top w:val="nil"/>
              <w:left w:val="single" w:sz="4" w:space="0" w:color="auto"/>
              <w:bottom w:val="nil"/>
              <w:right w:val="single" w:sz="4" w:space="0" w:color="auto"/>
            </w:tcBorders>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Technical assistance and training of medical staff through RACS program</w:t>
            </w:r>
          </w:p>
        </w:tc>
        <w:tc>
          <w:tcPr>
            <w:tcW w:w="850"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Staff available to learn from visiting MD and visits coordinated to avoid overlap with other donor teams</w:t>
            </w:r>
          </w:p>
        </w:tc>
        <w:tc>
          <w:tcPr>
            <w:tcW w:w="851"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Improved access to specialist services and training for local medical staff</w:t>
            </w:r>
          </w:p>
        </w:tc>
        <w:tc>
          <w:tcPr>
            <w:tcW w:w="2552" w:type="dxa"/>
            <w:tcBorders>
              <w:top w:val="nil"/>
              <w:left w:val="single" w:sz="4" w:space="0" w:color="auto"/>
              <w:bottom w:val="nil"/>
              <w:right w:val="single" w:sz="4" w:space="0" w:color="auto"/>
            </w:tcBorders>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 xml:space="preserve">RACS reports </w:t>
            </w:r>
          </w:p>
        </w:tc>
      </w:tr>
      <w:tr w:rsidR="008D1CED" w:rsidRPr="008D1CED"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 xml:space="preserve">Purchase of medical equipment for the new TTM Hospital </w:t>
            </w:r>
          </w:p>
        </w:tc>
        <w:tc>
          <w:tcPr>
            <w:tcW w:w="850"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proofErr w:type="spellStart"/>
            <w:r w:rsidRPr="004C1FDF">
              <w:rPr>
                <w:rFonts w:ascii="Arial" w:hAnsi="Arial" w:cs="Arial"/>
                <w:sz w:val="18"/>
                <w:szCs w:val="18"/>
              </w:rPr>
              <w:t>SWAp</w:t>
            </w:r>
            <w:proofErr w:type="spellEnd"/>
            <w:r w:rsidRPr="004C1FDF">
              <w:rPr>
                <w:rFonts w:ascii="Arial" w:hAnsi="Arial" w:cs="Arial"/>
                <w:sz w:val="18"/>
                <w:szCs w:val="18"/>
              </w:rPr>
              <w:t xml:space="preserve"> can manage procurement of additional items</w:t>
            </w:r>
          </w:p>
        </w:tc>
        <w:tc>
          <w:tcPr>
            <w:tcW w:w="851"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 xml:space="preserve">Design and update hospital </w:t>
            </w:r>
            <w:proofErr w:type="spellStart"/>
            <w:r w:rsidRPr="00015501">
              <w:rPr>
                <w:rFonts w:ascii="Arial" w:hAnsi="Arial" w:cs="Arial"/>
                <w:sz w:val="18"/>
                <w:szCs w:val="18"/>
              </w:rPr>
              <w:t>asses</w:t>
            </w:r>
            <w:r>
              <w:rPr>
                <w:rFonts w:ascii="Arial" w:hAnsi="Arial" w:cs="Arial"/>
                <w:sz w:val="18"/>
                <w:szCs w:val="18"/>
              </w:rPr>
              <w:t>t</w:t>
            </w:r>
            <w:proofErr w:type="spellEnd"/>
            <w:r w:rsidRPr="00015501">
              <w:rPr>
                <w:rFonts w:ascii="Arial" w:hAnsi="Arial" w:cs="Arial"/>
                <w:sz w:val="18"/>
                <w:szCs w:val="18"/>
              </w:rPr>
              <w:t xml:space="preserve"> register,  clearly articulated equipment needs, procurement of equipment</w:t>
            </w:r>
          </w:p>
        </w:tc>
        <w:tc>
          <w:tcPr>
            <w:tcW w:w="2552" w:type="dxa"/>
            <w:tcBorders>
              <w:top w:val="nil"/>
              <w:left w:val="single" w:sz="4" w:space="0" w:color="auto"/>
              <w:bottom w:val="nil"/>
              <w:right w:val="single" w:sz="4" w:space="0" w:color="auto"/>
            </w:tcBorders>
            <w:shd w:val="clear" w:color="auto" w:fill="D9D9D9"/>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 xml:space="preserve">Reports from BEMI and </w:t>
            </w:r>
            <w:proofErr w:type="spellStart"/>
            <w:r w:rsidRPr="00015501">
              <w:rPr>
                <w:rFonts w:ascii="Arial" w:hAnsi="Arial" w:cs="Arial"/>
                <w:sz w:val="18"/>
                <w:szCs w:val="18"/>
              </w:rPr>
              <w:t>SWAp</w:t>
            </w:r>
            <w:proofErr w:type="spellEnd"/>
          </w:p>
        </w:tc>
      </w:tr>
      <w:tr w:rsidR="008D1CED" w:rsidRPr="008D1CED" w:rsidTr="00C519A7">
        <w:trPr>
          <w:trHeight w:val="340"/>
        </w:trPr>
        <w:tc>
          <w:tcPr>
            <w:tcW w:w="3936" w:type="dxa"/>
            <w:tcBorders>
              <w:top w:val="nil"/>
              <w:left w:val="single" w:sz="4" w:space="0" w:color="auto"/>
              <w:bottom w:val="nil"/>
              <w:right w:val="single" w:sz="4" w:space="0" w:color="auto"/>
            </w:tcBorders>
            <w:vAlign w:val="center"/>
          </w:tcPr>
          <w:p w:rsidR="008D1CED" w:rsidRPr="004C1FDF" w:rsidRDefault="008D1CED" w:rsidP="008D1CED">
            <w:pPr>
              <w:spacing w:after="0" w:line="240" w:lineRule="auto"/>
              <w:rPr>
                <w:rFonts w:ascii="Arial" w:hAnsi="Arial" w:cs="Arial"/>
                <w:sz w:val="18"/>
                <w:szCs w:val="18"/>
              </w:rPr>
            </w:pPr>
            <w:r w:rsidRPr="004C1FDF">
              <w:rPr>
                <w:rFonts w:ascii="Arial" w:hAnsi="Arial" w:cs="Arial"/>
                <w:sz w:val="18"/>
                <w:szCs w:val="18"/>
              </w:rPr>
              <w:t xml:space="preserve">Design and implementation of a comprehensive Health Information System suiting the needs of the Health Sector </w:t>
            </w:r>
          </w:p>
        </w:tc>
        <w:tc>
          <w:tcPr>
            <w:tcW w:w="850"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Phase 1 and 2 of HIS plan are complete</w:t>
            </w:r>
          </w:p>
        </w:tc>
        <w:tc>
          <w:tcPr>
            <w:tcW w:w="851" w:type="dxa"/>
            <w:vMerge/>
            <w:tcBorders>
              <w:left w:val="single" w:sz="4" w:space="0" w:color="auto"/>
              <w:right w:val="single" w:sz="4" w:space="0" w:color="auto"/>
            </w:tcBorders>
            <w:vAlign w:val="center"/>
          </w:tcPr>
          <w:p w:rsidR="008D1CED" w:rsidRPr="008D1CED" w:rsidRDefault="008D1CED"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HIS system design completed and mortality registration and tracking possible.</w:t>
            </w:r>
          </w:p>
        </w:tc>
        <w:tc>
          <w:tcPr>
            <w:tcW w:w="2552" w:type="dxa"/>
            <w:tcBorders>
              <w:top w:val="nil"/>
              <w:left w:val="single" w:sz="4" w:space="0" w:color="auto"/>
              <w:bottom w:val="nil"/>
              <w:right w:val="single" w:sz="4" w:space="0" w:color="auto"/>
            </w:tcBorders>
            <w:vAlign w:val="center"/>
          </w:tcPr>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HIS Scoping report</w:t>
            </w:r>
          </w:p>
          <w:p w:rsidR="008D1CED" w:rsidRPr="00015501" w:rsidRDefault="008D1CED" w:rsidP="0050083C">
            <w:pPr>
              <w:spacing w:after="0" w:line="240" w:lineRule="auto"/>
              <w:rPr>
                <w:rFonts w:ascii="Arial" w:hAnsi="Arial" w:cs="Arial"/>
                <w:sz w:val="18"/>
                <w:szCs w:val="18"/>
              </w:rPr>
            </w:pPr>
            <w:r w:rsidRPr="00015501">
              <w:rPr>
                <w:rFonts w:ascii="Arial" w:hAnsi="Arial" w:cs="Arial"/>
                <w:sz w:val="18"/>
                <w:szCs w:val="18"/>
              </w:rPr>
              <w:t>SWAP Progress Reports</w:t>
            </w:r>
          </w:p>
        </w:tc>
      </w:tr>
      <w:tr w:rsidR="008D1CED" w:rsidRPr="008D1CED" w:rsidTr="00C519A7">
        <w:trPr>
          <w:trHeight w:val="340"/>
        </w:trPr>
        <w:tc>
          <w:tcPr>
            <w:tcW w:w="3936" w:type="dxa"/>
            <w:tcBorders>
              <w:top w:val="nil"/>
              <w:left w:val="single" w:sz="4" w:space="0" w:color="auto"/>
              <w:bottom w:val="single" w:sz="4" w:space="0" w:color="auto"/>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 xml:space="preserve">Health Financing </w:t>
            </w:r>
            <w:r>
              <w:rPr>
                <w:rFonts w:ascii="Arial" w:hAnsi="Arial" w:cs="Arial"/>
                <w:sz w:val="18"/>
                <w:szCs w:val="18"/>
              </w:rPr>
              <w:t xml:space="preserve">Analysis </w:t>
            </w:r>
          </w:p>
        </w:tc>
        <w:tc>
          <w:tcPr>
            <w:tcW w:w="850" w:type="dxa"/>
            <w:vMerge/>
            <w:tcBorders>
              <w:left w:val="single" w:sz="4" w:space="0" w:color="auto"/>
              <w:bottom w:val="nil"/>
              <w:right w:val="single" w:sz="4" w:space="0" w:color="auto"/>
            </w:tcBorders>
            <w:vAlign w:val="center"/>
          </w:tcPr>
          <w:p w:rsidR="008D1CED" w:rsidRPr="008D1CED" w:rsidRDefault="008D1CED"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GoS support</w:t>
            </w:r>
            <w:r>
              <w:rPr>
                <w:rFonts w:ascii="Arial" w:hAnsi="Arial" w:cs="Arial"/>
                <w:sz w:val="18"/>
                <w:szCs w:val="18"/>
              </w:rPr>
              <w:t xml:space="preserve"> progression of</w:t>
            </w:r>
            <w:r w:rsidRPr="004C1FDF">
              <w:rPr>
                <w:rFonts w:ascii="Arial" w:hAnsi="Arial" w:cs="Arial"/>
                <w:sz w:val="18"/>
                <w:szCs w:val="18"/>
              </w:rPr>
              <w:t xml:space="preserve"> financing study</w:t>
            </w:r>
          </w:p>
        </w:tc>
        <w:tc>
          <w:tcPr>
            <w:tcW w:w="851" w:type="dxa"/>
            <w:vMerge/>
            <w:tcBorders>
              <w:left w:val="single" w:sz="4" w:space="0" w:color="auto"/>
              <w:bottom w:val="nil"/>
              <w:right w:val="single" w:sz="4" w:space="0" w:color="auto"/>
            </w:tcBorders>
            <w:vAlign w:val="center"/>
          </w:tcPr>
          <w:p w:rsidR="008D1CED" w:rsidRPr="008D1CED" w:rsidRDefault="008D1CED"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 xml:space="preserve">Endorsement and release of </w:t>
            </w:r>
            <w:r>
              <w:rPr>
                <w:rFonts w:ascii="Arial" w:hAnsi="Arial" w:cs="Arial"/>
                <w:sz w:val="18"/>
                <w:szCs w:val="18"/>
              </w:rPr>
              <w:t xml:space="preserve">a </w:t>
            </w:r>
            <w:r w:rsidRPr="004C1FDF">
              <w:rPr>
                <w:rFonts w:ascii="Arial" w:hAnsi="Arial" w:cs="Arial"/>
                <w:sz w:val="18"/>
                <w:szCs w:val="18"/>
              </w:rPr>
              <w:t>health financing options paper by GoS</w:t>
            </w:r>
          </w:p>
        </w:tc>
        <w:tc>
          <w:tcPr>
            <w:tcW w:w="2552" w:type="dxa"/>
            <w:tcBorders>
              <w:top w:val="nil"/>
              <w:left w:val="single" w:sz="4" w:space="0" w:color="auto"/>
              <w:bottom w:val="single" w:sz="4" w:space="0" w:color="auto"/>
              <w:right w:val="single" w:sz="4" w:space="0" w:color="auto"/>
            </w:tcBorders>
            <w:shd w:val="clear" w:color="auto" w:fill="D9D9D9"/>
            <w:vAlign w:val="center"/>
          </w:tcPr>
          <w:p w:rsidR="008D1CED" w:rsidRPr="004C1FDF" w:rsidRDefault="008D1CED" w:rsidP="0050083C">
            <w:pPr>
              <w:spacing w:after="0" w:line="240" w:lineRule="auto"/>
              <w:rPr>
                <w:rFonts w:ascii="Arial" w:hAnsi="Arial" w:cs="Arial"/>
                <w:sz w:val="18"/>
                <w:szCs w:val="18"/>
              </w:rPr>
            </w:pPr>
            <w:r w:rsidRPr="004C1FDF">
              <w:rPr>
                <w:rFonts w:ascii="Arial" w:hAnsi="Arial" w:cs="Arial"/>
                <w:sz w:val="18"/>
                <w:szCs w:val="18"/>
              </w:rPr>
              <w:t xml:space="preserve">Health Financing Report </w:t>
            </w:r>
          </w:p>
        </w:tc>
      </w:tr>
    </w:tbl>
    <w:p w:rsidR="00E1504C" w:rsidRPr="008D1CED" w:rsidRDefault="00E1504C">
      <w:pPr>
        <w:rPr>
          <w:rFonts w:ascii="Arial" w:hAnsi="Arial" w:cs="Arial"/>
        </w:rPr>
      </w:pPr>
    </w:p>
    <w:tbl>
      <w:tblPr>
        <w:tblW w:w="4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439"/>
        <w:gridCol w:w="3544"/>
        <w:gridCol w:w="3435"/>
        <w:gridCol w:w="2693"/>
      </w:tblGrid>
      <w:tr w:rsidR="002A01A9" w:rsidRPr="008D1CED" w:rsidTr="002A01A9">
        <w:tc>
          <w:tcPr>
            <w:tcW w:w="13182" w:type="dxa"/>
            <w:gridSpan w:val="5"/>
            <w:shd w:val="clear" w:color="auto" w:fill="B8CCE4"/>
            <w:vAlign w:val="center"/>
          </w:tcPr>
          <w:p w:rsidR="002A01A9" w:rsidRPr="008D1CED" w:rsidRDefault="002A01A9" w:rsidP="00353A73">
            <w:pPr>
              <w:keepNext/>
              <w:spacing w:before="40" w:after="40" w:line="240" w:lineRule="auto"/>
              <w:rPr>
                <w:rFonts w:ascii="Arial" w:hAnsi="Arial" w:cs="Arial"/>
                <w:sz w:val="24"/>
                <w:szCs w:val="16"/>
              </w:rPr>
            </w:pPr>
            <w:r w:rsidRPr="008D1CED">
              <w:rPr>
                <w:rFonts w:ascii="Arial" w:hAnsi="Arial" w:cs="Arial"/>
                <w:sz w:val="24"/>
                <w:szCs w:val="16"/>
              </w:rPr>
              <w:t>Commitments:</w:t>
            </w:r>
          </w:p>
        </w:tc>
      </w:tr>
      <w:tr w:rsidR="002A01A9" w:rsidRPr="008D1CED" w:rsidTr="002A01A9">
        <w:trPr>
          <w:trHeight w:val="460"/>
        </w:trPr>
        <w:tc>
          <w:tcPr>
            <w:tcW w:w="3510" w:type="dxa"/>
            <w:gridSpan w:val="2"/>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Year:</w:t>
            </w:r>
          </w:p>
        </w:tc>
        <w:tc>
          <w:tcPr>
            <w:tcW w:w="3544" w:type="dxa"/>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FY 2012-13</w:t>
            </w:r>
          </w:p>
        </w:tc>
        <w:tc>
          <w:tcPr>
            <w:tcW w:w="3435" w:type="dxa"/>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FY 2013-14</w:t>
            </w:r>
          </w:p>
        </w:tc>
        <w:tc>
          <w:tcPr>
            <w:tcW w:w="2693" w:type="dxa"/>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FY 2014-15</w:t>
            </w:r>
          </w:p>
        </w:tc>
      </w:tr>
      <w:tr w:rsidR="002A01A9" w:rsidRPr="008D1CED" w:rsidTr="002A01A9">
        <w:trPr>
          <w:trHeight w:val="320"/>
        </w:trPr>
        <w:tc>
          <w:tcPr>
            <w:tcW w:w="2071" w:type="dxa"/>
            <w:vMerge w:val="restart"/>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Government of Australia Commitments:</w:t>
            </w:r>
          </w:p>
        </w:tc>
        <w:tc>
          <w:tcPr>
            <w:tcW w:w="1439" w:type="dxa"/>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Grant</w:t>
            </w:r>
          </w:p>
        </w:tc>
        <w:tc>
          <w:tcPr>
            <w:tcW w:w="3544" w:type="dxa"/>
            <w:shd w:val="clear" w:color="auto" w:fill="FFFFFF"/>
            <w:vAlign w:val="center"/>
          </w:tcPr>
          <w:p w:rsidR="002A01A9" w:rsidRPr="00606048" w:rsidRDefault="002A01A9" w:rsidP="002A01A9">
            <w:pPr>
              <w:spacing w:before="40" w:after="40"/>
              <w:rPr>
                <w:rFonts w:ascii="Arial" w:hAnsi="Arial" w:cs="Arial"/>
                <w:sz w:val="18"/>
                <w:szCs w:val="18"/>
              </w:rPr>
            </w:pPr>
            <w:proofErr w:type="spellStart"/>
            <w:r>
              <w:rPr>
                <w:rFonts w:ascii="Arial" w:hAnsi="Arial" w:cs="Arial"/>
                <w:sz w:val="18"/>
                <w:szCs w:val="18"/>
              </w:rPr>
              <w:t>SWAp</w:t>
            </w:r>
            <w:proofErr w:type="spellEnd"/>
            <w:r>
              <w:rPr>
                <w:rFonts w:ascii="Arial" w:hAnsi="Arial" w:cs="Arial"/>
                <w:sz w:val="18"/>
                <w:szCs w:val="18"/>
              </w:rPr>
              <w:t xml:space="preserve"> A</w:t>
            </w:r>
            <w:r w:rsidRPr="00606048">
              <w:rPr>
                <w:rFonts w:ascii="Arial" w:hAnsi="Arial" w:cs="Arial"/>
                <w:sz w:val="18"/>
                <w:szCs w:val="18"/>
              </w:rPr>
              <w:t>$4.8m</w:t>
            </w:r>
            <w:r>
              <w:rPr>
                <w:rFonts w:ascii="Arial" w:hAnsi="Arial" w:cs="Arial"/>
                <w:sz w:val="18"/>
                <w:szCs w:val="18"/>
              </w:rPr>
              <w:t xml:space="preserve"> (approx.)</w:t>
            </w:r>
          </w:p>
          <w:p w:rsidR="002A01A9" w:rsidRPr="00606048" w:rsidRDefault="002A01A9" w:rsidP="002A01A9">
            <w:pPr>
              <w:spacing w:before="40" w:after="40"/>
              <w:rPr>
                <w:rFonts w:ascii="Arial" w:hAnsi="Arial" w:cs="Arial"/>
                <w:sz w:val="18"/>
                <w:szCs w:val="18"/>
              </w:rPr>
            </w:pPr>
            <w:r w:rsidRPr="00606048">
              <w:rPr>
                <w:rFonts w:ascii="Arial" w:hAnsi="Arial" w:cs="Arial"/>
                <w:sz w:val="18"/>
                <w:szCs w:val="18"/>
              </w:rPr>
              <w:t xml:space="preserve">Medical Equipment </w:t>
            </w:r>
            <w:r>
              <w:rPr>
                <w:rFonts w:ascii="Arial" w:hAnsi="Arial" w:cs="Arial"/>
                <w:sz w:val="18"/>
                <w:szCs w:val="18"/>
              </w:rPr>
              <w:t>A$3</w:t>
            </w:r>
            <w:r w:rsidRPr="00606048">
              <w:rPr>
                <w:rFonts w:ascii="Arial" w:hAnsi="Arial" w:cs="Arial"/>
                <w:sz w:val="18"/>
                <w:szCs w:val="18"/>
              </w:rPr>
              <w:t>m</w:t>
            </w:r>
          </w:p>
          <w:p w:rsidR="002A01A9" w:rsidRPr="008D1CED" w:rsidRDefault="002A01A9" w:rsidP="002A01A9">
            <w:pPr>
              <w:spacing w:before="40" w:after="40"/>
              <w:rPr>
                <w:rFonts w:ascii="Arial" w:hAnsi="Arial" w:cs="Arial"/>
                <w:sz w:val="16"/>
                <w:szCs w:val="16"/>
              </w:rPr>
            </w:pPr>
            <w:r>
              <w:rPr>
                <w:rFonts w:ascii="Arial" w:hAnsi="Arial" w:cs="Arial"/>
                <w:sz w:val="18"/>
                <w:szCs w:val="18"/>
              </w:rPr>
              <w:t>Primary Health Care Program A$180,0</w:t>
            </w:r>
            <w:r w:rsidR="0050083C">
              <w:rPr>
                <w:rFonts w:ascii="Arial" w:hAnsi="Arial" w:cs="Arial"/>
                <w:sz w:val="18"/>
                <w:szCs w:val="18"/>
              </w:rPr>
              <w:t>0</w:t>
            </w:r>
            <w:r>
              <w:rPr>
                <w:rFonts w:ascii="Arial" w:hAnsi="Arial" w:cs="Arial"/>
                <w:sz w:val="18"/>
                <w:szCs w:val="18"/>
              </w:rPr>
              <w:t>0</w:t>
            </w:r>
          </w:p>
        </w:tc>
        <w:tc>
          <w:tcPr>
            <w:tcW w:w="3435" w:type="dxa"/>
            <w:shd w:val="clear" w:color="auto" w:fill="FFFFFF"/>
            <w:vAlign w:val="center"/>
          </w:tcPr>
          <w:p w:rsidR="002A01A9" w:rsidRPr="008D1CED" w:rsidRDefault="002A01A9" w:rsidP="00353A73">
            <w:pPr>
              <w:spacing w:before="40" w:after="40"/>
              <w:rPr>
                <w:rFonts w:ascii="Arial" w:hAnsi="Arial" w:cs="Arial"/>
                <w:sz w:val="16"/>
                <w:szCs w:val="16"/>
              </w:rPr>
            </w:pPr>
          </w:p>
        </w:tc>
        <w:tc>
          <w:tcPr>
            <w:tcW w:w="2693" w:type="dxa"/>
            <w:shd w:val="clear" w:color="auto" w:fill="FFFFFF"/>
            <w:vAlign w:val="center"/>
          </w:tcPr>
          <w:p w:rsidR="002A01A9" w:rsidRPr="008D1CED" w:rsidRDefault="002A01A9" w:rsidP="00353A73">
            <w:pPr>
              <w:spacing w:before="40" w:after="40"/>
              <w:rPr>
                <w:rFonts w:ascii="Arial" w:hAnsi="Arial" w:cs="Arial"/>
                <w:sz w:val="16"/>
                <w:szCs w:val="16"/>
              </w:rPr>
            </w:pPr>
          </w:p>
        </w:tc>
      </w:tr>
      <w:tr w:rsidR="002A01A9" w:rsidRPr="008D1CED" w:rsidTr="002A01A9">
        <w:trPr>
          <w:trHeight w:val="320"/>
        </w:trPr>
        <w:tc>
          <w:tcPr>
            <w:tcW w:w="2071" w:type="dxa"/>
            <w:vMerge/>
            <w:shd w:val="clear" w:color="auto" w:fill="DBE5F1"/>
            <w:vAlign w:val="center"/>
          </w:tcPr>
          <w:p w:rsidR="002A01A9" w:rsidRPr="008D1CED" w:rsidRDefault="002A01A9" w:rsidP="00353A73">
            <w:pPr>
              <w:spacing w:before="40" w:after="40"/>
              <w:rPr>
                <w:rFonts w:ascii="Arial" w:hAnsi="Arial" w:cs="Arial"/>
                <w:sz w:val="18"/>
                <w:szCs w:val="18"/>
              </w:rPr>
            </w:pPr>
          </w:p>
        </w:tc>
        <w:tc>
          <w:tcPr>
            <w:tcW w:w="1439" w:type="dxa"/>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In-kind</w:t>
            </w:r>
          </w:p>
        </w:tc>
        <w:tc>
          <w:tcPr>
            <w:tcW w:w="3544" w:type="dxa"/>
            <w:shd w:val="clear" w:color="auto" w:fill="FFFFFF"/>
            <w:vAlign w:val="center"/>
          </w:tcPr>
          <w:p w:rsidR="002A01A9" w:rsidRPr="00606048" w:rsidRDefault="002A01A9" w:rsidP="002A01A9">
            <w:pPr>
              <w:spacing w:before="40" w:after="40"/>
              <w:rPr>
                <w:rFonts w:ascii="Arial" w:hAnsi="Arial" w:cs="Arial"/>
                <w:sz w:val="18"/>
                <w:szCs w:val="18"/>
              </w:rPr>
            </w:pPr>
            <w:r w:rsidRPr="00606048">
              <w:rPr>
                <w:rFonts w:ascii="Arial" w:hAnsi="Arial" w:cs="Arial"/>
                <w:sz w:val="18"/>
                <w:szCs w:val="18"/>
              </w:rPr>
              <w:t>RACS surg</w:t>
            </w:r>
            <w:r>
              <w:rPr>
                <w:rFonts w:ascii="Arial" w:hAnsi="Arial" w:cs="Arial"/>
                <w:sz w:val="18"/>
                <w:szCs w:val="18"/>
              </w:rPr>
              <w:t>ical</w:t>
            </w:r>
            <w:r w:rsidRPr="00606048">
              <w:rPr>
                <w:rFonts w:ascii="Arial" w:hAnsi="Arial" w:cs="Arial"/>
                <w:sz w:val="18"/>
                <w:szCs w:val="18"/>
              </w:rPr>
              <w:t xml:space="preserve"> visits</w:t>
            </w:r>
          </w:p>
          <w:p w:rsidR="002A01A9" w:rsidRPr="008D1CED" w:rsidRDefault="002A01A9" w:rsidP="002A01A9">
            <w:pPr>
              <w:spacing w:before="40" w:after="40"/>
              <w:rPr>
                <w:rFonts w:ascii="Arial" w:hAnsi="Arial" w:cs="Arial"/>
                <w:sz w:val="16"/>
                <w:szCs w:val="16"/>
              </w:rPr>
            </w:pPr>
            <w:r w:rsidRPr="00606048">
              <w:rPr>
                <w:rFonts w:ascii="Arial" w:hAnsi="Arial" w:cs="Arial"/>
                <w:sz w:val="18"/>
                <w:szCs w:val="18"/>
              </w:rPr>
              <w:t>Regional health initiatives</w:t>
            </w:r>
          </w:p>
        </w:tc>
        <w:tc>
          <w:tcPr>
            <w:tcW w:w="3435" w:type="dxa"/>
            <w:shd w:val="clear" w:color="auto" w:fill="FFFFFF"/>
            <w:vAlign w:val="center"/>
          </w:tcPr>
          <w:p w:rsidR="002A01A9" w:rsidRPr="008D1CED" w:rsidRDefault="002A01A9" w:rsidP="00353A73">
            <w:pPr>
              <w:spacing w:before="40" w:after="40"/>
              <w:rPr>
                <w:rFonts w:ascii="Arial" w:hAnsi="Arial" w:cs="Arial"/>
                <w:sz w:val="16"/>
                <w:szCs w:val="16"/>
              </w:rPr>
            </w:pPr>
          </w:p>
        </w:tc>
        <w:tc>
          <w:tcPr>
            <w:tcW w:w="2693" w:type="dxa"/>
            <w:shd w:val="clear" w:color="auto" w:fill="FFFFFF"/>
            <w:vAlign w:val="center"/>
          </w:tcPr>
          <w:p w:rsidR="002A01A9" w:rsidRPr="008D1CED" w:rsidRDefault="002A01A9" w:rsidP="00353A73">
            <w:pPr>
              <w:spacing w:before="40" w:after="40"/>
              <w:rPr>
                <w:rFonts w:ascii="Arial" w:hAnsi="Arial" w:cs="Arial"/>
                <w:sz w:val="16"/>
                <w:szCs w:val="16"/>
              </w:rPr>
            </w:pPr>
          </w:p>
        </w:tc>
      </w:tr>
      <w:tr w:rsidR="002A01A9" w:rsidRPr="008D1CED" w:rsidTr="002A01A9">
        <w:trPr>
          <w:trHeight w:val="460"/>
        </w:trPr>
        <w:tc>
          <w:tcPr>
            <w:tcW w:w="3510" w:type="dxa"/>
            <w:gridSpan w:val="2"/>
            <w:shd w:val="clear" w:color="auto" w:fill="DBE5F1"/>
            <w:vAlign w:val="center"/>
          </w:tcPr>
          <w:p w:rsidR="002A01A9" w:rsidRPr="008D1CED" w:rsidRDefault="002A01A9" w:rsidP="00353A73">
            <w:pPr>
              <w:spacing w:before="40" w:after="40"/>
              <w:rPr>
                <w:rFonts w:ascii="Arial" w:hAnsi="Arial" w:cs="Arial"/>
                <w:sz w:val="18"/>
                <w:szCs w:val="18"/>
              </w:rPr>
            </w:pPr>
            <w:r w:rsidRPr="008D1CED">
              <w:rPr>
                <w:rFonts w:ascii="Arial" w:hAnsi="Arial" w:cs="Arial"/>
                <w:sz w:val="18"/>
                <w:szCs w:val="18"/>
              </w:rPr>
              <w:t>Government of Samoa Commitments:</w:t>
            </w:r>
          </w:p>
        </w:tc>
        <w:tc>
          <w:tcPr>
            <w:tcW w:w="3544" w:type="dxa"/>
            <w:shd w:val="clear" w:color="auto" w:fill="FFFFFF"/>
            <w:vAlign w:val="center"/>
          </w:tcPr>
          <w:p w:rsidR="002A01A9" w:rsidRPr="008D1CED" w:rsidRDefault="002A01A9" w:rsidP="00353A73">
            <w:pPr>
              <w:spacing w:before="40" w:after="40"/>
              <w:rPr>
                <w:rFonts w:ascii="Arial" w:hAnsi="Arial" w:cs="Arial"/>
                <w:sz w:val="16"/>
                <w:szCs w:val="16"/>
              </w:rPr>
            </w:pPr>
          </w:p>
        </w:tc>
        <w:tc>
          <w:tcPr>
            <w:tcW w:w="3435" w:type="dxa"/>
            <w:shd w:val="clear" w:color="auto" w:fill="FFFFFF"/>
            <w:vAlign w:val="center"/>
          </w:tcPr>
          <w:p w:rsidR="002A01A9" w:rsidRPr="008D1CED" w:rsidRDefault="002A01A9" w:rsidP="00353A73">
            <w:pPr>
              <w:spacing w:before="40" w:after="40"/>
              <w:rPr>
                <w:rFonts w:ascii="Arial" w:hAnsi="Arial" w:cs="Arial"/>
                <w:sz w:val="16"/>
                <w:szCs w:val="16"/>
              </w:rPr>
            </w:pPr>
          </w:p>
        </w:tc>
        <w:tc>
          <w:tcPr>
            <w:tcW w:w="2693" w:type="dxa"/>
            <w:shd w:val="clear" w:color="auto" w:fill="FFFFFF"/>
            <w:vAlign w:val="center"/>
          </w:tcPr>
          <w:p w:rsidR="002A01A9" w:rsidRPr="008D1CED" w:rsidRDefault="002A01A9" w:rsidP="00353A73">
            <w:pPr>
              <w:spacing w:before="40" w:after="40"/>
              <w:rPr>
                <w:rFonts w:ascii="Arial" w:hAnsi="Arial" w:cs="Arial"/>
                <w:sz w:val="16"/>
                <w:szCs w:val="16"/>
              </w:rPr>
            </w:pPr>
          </w:p>
        </w:tc>
      </w:tr>
    </w:tbl>
    <w:p w:rsidR="00E1504C" w:rsidRPr="008D1CED" w:rsidRDefault="00E150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9072"/>
      </w:tblGrid>
      <w:tr w:rsidR="00213339" w:rsidRPr="008D1CED" w:rsidTr="002A01A9">
        <w:tc>
          <w:tcPr>
            <w:tcW w:w="6204" w:type="dxa"/>
            <w:tcBorders>
              <w:bottom w:val="single" w:sz="4" w:space="0" w:color="auto"/>
            </w:tcBorders>
            <w:shd w:val="clear" w:color="auto" w:fill="BCC9E6"/>
            <w:vAlign w:val="center"/>
          </w:tcPr>
          <w:p w:rsidR="00213339" w:rsidRPr="008D1CED" w:rsidRDefault="00213339" w:rsidP="001E055B">
            <w:pPr>
              <w:spacing w:before="40" w:after="40" w:line="240" w:lineRule="auto"/>
              <w:rPr>
                <w:rFonts w:ascii="Arial" w:hAnsi="Arial" w:cs="Arial"/>
              </w:rPr>
            </w:pPr>
            <w:r w:rsidRPr="008D1CED">
              <w:rPr>
                <w:rFonts w:ascii="Arial" w:hAnsi="Arial" w:cs="Arial"/>
                <w:sz w:val="24"/>
                <w:szCs w:val="24"/>
              </w:rPr>
              <w:t>Key Risks</w:t>
            </w:r>
          </w:p>
        </w:tc>
        <w:tc>
          <w:tcPr>
            <w:tcW w:w="9072" w:type="dxa"/>
            <w:tcBorders>
              <w:bottom w:val="single" w:sz="4" w:space="0" w:color="auto"/>
            </w:tcBorders>
            <w:shd w:val="clear" w:color="auto" w:fill="BCC9E6"/>
            <w:vAlign w:val="center"/>
          </w:tcPr>
          <w:p w:rsidR="00213339" w:rsidRPr="008D1CED" w:rsidRDefault="00213339" w:rsidP="001E055B">
            <w:pPr>
              <w:spacing w:before="40" w:after="40" w:line="240" w:lineRule="auto"/>
              <w:rPr>
                <w:rFonts w:ascii="Arial" w:hAnsi="Arial" w:cs="Arial"/>
              </w:rPr>
            </w:pPr>
            <w:r w:rsidRPr="008D1CED">
              <w:rPr>
                <w:rFonts w:ascii="Arial" w:hAnsi="Arial" w:cs="Arial"/>
                <w:sz w:val="24"/>
                <w:szCs w:val="24"/>
              </w:rPr>
              <w:t>Management Plan</w:t>
            </w:r>
          </w:p>
        </w:tc>
      </w:tr>
      <w:tr w:rsidR="00213339" w:rsidRPr="008D1CED" w:rsidTr="002A01A9">
        <w:tc>
          <w:tcPr>
            <w:tcW w:w="6204" w:type="dxa"/>
            <w:tcBorders>
              <w:top w:val="single" w:sz="4" w:space="0" w:color="auto"/>
              <w:left w:val="single" w:sz="4" w:space="0" w:color="auto"/>
              <w:bottom w:val="nil"/>
              <w:right w:val="single" w:sz="4" w:space="0" w:color="auto"/>
            </w:tcBorders>
            <w:vAlign w:val="center"/>
          </w:tcPr>
          <w:p w:rsidR="00213339" w:rsidRPr="008D1CED" w:rsidRDefault="002A01A9" w:rsidP="001E055B">
            <w:pPr>
              <w:spacing w:before="40" w:after="40" w:line="240" w:lineRule="auto"/>
              <w:rPr>
                <w:rFonts w:ascii="Arial" w:hAnsi="Arial" w:cs="Arial"/>
              </w:rPr>
            </w:pPr>
            <w:r>
              <w:rPr>
                <w:rFonts w:ascii="Arial" w:hAnsi="Arial" w:cs="Arial"/>
                <w:sz w:val="18"/>
              </w:rPr>
              <w:t xml:space="preserve">Inability to procure and spend all </w:t>
            </w:r>
            <w:proofErr w:type="spellStart"/>
            <w:r>
              <w:rPr>
                <w:rFonts w:ascii="Arial" w:hAnsi="Arial" w:cs="Arial"/>
                <w:sz w:val="18"/>
              </w:rPr>
              <w:t>SWAp</w:t>
            </w:r>
            <w:proofErr w:type="spellEnd"/>
            <w:r>
              <w:rPr>
                <w:rFonts w:ascii="Arial" w:hAnsi="Arial" w:cs="Arial"/>
                <w:sz w:val="18"/>
              </w:rPr>
              <w:t xml:space="preserve"> funds</w:t>
            </w:r>
          </w:p>
        </w:tc>
        <w:tc>
          <w:tcPr>
            <w:tcW w:w="9072" w:type="dxa"/>
            <w:tcBorders>
              <w:top w:val="single" w:sz="4" w:space="0" w:color="auto"/>
              <w:left w:val="single" w:sz="4" w:space="0" w:color="auto"/>
              <w:bottom w:val="nil"/>
              <w:right w:val="single" w:sz="4" w:space="0" w:color="auto"/>
            </w:tcBorders>
            <w:vAlign w:val="center"/>
          </w:tcPr>
          <w:p w:rsidR="00213339" w:rsidRPr="008D1CED" w:rsidRDefault="002A01A9" w:rsidP="002A01A9">
            <w:pPr>
              <w:spacing w:before="40" w:after="40" w:line="240" w:lineRule="auto"/>
              <w:rPr>
                <w:rFonts w:ascii="Arial" w:hAnsi="Arial" w:cs="Arial"/>
              </w:rPr>
            </w:pPr>
            <w:r>
              <w:rPr>
                <w:rFonts w:ascii="Arial" w:hAnsi="Arial" w:cs="Arial"/>
                <w:sz w:val="18"/>
                <w:szCs w:val="18"/>
              </w:rPr>
              <w:t xml:space="preserve">All parties consider a 12 month extension to the </w:t>
            </w:r>
            <w:proofErr w:type="spellStart"/>
            <w:r>
              <w:rPr>
                <w:rFonts w:ascii="Arial" w:hAnsi="Arial" w:cs="Arial"/>
                <w:sz w:val="18"/>
                <w:szCs w:val="18"/>
              </w:rPr>
              <w:t>SWAp</w:t>
            </w:r>
            <w:proofErr w:type="spellEnd"/>
            <w:r>
              <w:rPr>
                <w:rFonts w:ascii="Arial" w:hAnsi="Arial" w:cs="Arial"/>
                <w:sz w:val="18"/>
                <w:szCs w:val="18"/>
              </w:rPr>
              <w:t xml:space="preserve"> to allow time for the implementation of all activities.</w:t>
            </w:r>
          </w:p>
        </w:tc>
      </w:tr>
      <w:tr w:rsidR="00213339" w:rsidRPr="008D1CED" w:rsidTr="002A01A9">
        <w:tc>
          <w:tcPr>
            <w:tcW w:w="62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13339" w:rsidRPr="008D1CED" w:rsidRDefault="002A01A9" w:rsidP="001E055B">
            <w:pPr>
              <w:spacing w:before="40" w:after="40" w:line="240" w:lineRule="auto"/>
              <w:rPr>
                <w:rFonts w:ascii="Arial" w:hAnsi="Arial" w:cs="Arial"/>
              </w:rPr>
            </w:pPr>
            <w:r>
              <w:rPr>
                <w:rFonts w:ascii="Arial" w:hAnsi="Arial" w:cs="Arial"/>
                <w:sz w:val="18"/>
              </w:rPr>
              <w:t>Pipeline planning and design may delay new Initiative start</w:t>
            </w:r>
          </w:p>
        </w:tc>
        <w:tc>
          <w:tcPr>
            <w:tcW w:w="907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13339" w:rsidRPr="008D1CED" w:rsidRDefault="002A01A9" w:rsidP="002A01A9">
            <w:pPr>
              <w:spacing w:before="40" w:after="40" w:line="240" w:lineRule="auto"/>
              <w:rPr>
                <w:rFonts w:ascii="Arial" w:hAnsi="Arial" w:cs="Arial"/>
              </w:rPr>
            </w:pPr>
            <w:r>
              <w:rPr>
                <w:rFonts w:ascii="Arial" w:hAnsi="Arial" w:cs="Arial"/>
                <w:sz w:val="18"/>
                <w:szCs w:val="18"/>
              </w:rPr>
              <w:t xml:space="preserve">All parties consider a 12 month extension to the </w:t>
            </w:r>
            <w:proofErr w:type="spellStart"/>
            <w:r>
              <w:rPr>
                <w:rFonts w:ascii="Arial" w:hAnsi="Arial" w:cs="Arial"/>
                <w:sz w:val="18"/>
                <w:szCs w:val="18"/>
              </w:rPr>
              <w:t>SWAp</w:t>
            </w:r>
            <w:proofErr w:type="spellEnd"/>
            <w:r>
              <w:rPr>
                <w:rFonts w:ascii="Arial" w:hAnsi="Arial" w:cs="Arial"/>
                <w:sz w:val="18"/>
                <w:szCs w:val="18"/>
              </w:rPr>
              <w:t xml:space="preserve"> to allow time for necessary review and design processes.</w:t>
            </w:r>
          </w:p>
        </w:tc>
      </w:tr>
    </w:tbl>
    <w:p w:rsidR="001E055B" w:rsidRPr="008D1CED" w:rsidRDefault="001E05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gridCol w:w="5358"/>
      </w:tblGrid>
      <w:tr w:rsidR="00390D5A" w:rsidRPr="008D1CED" w:rsidTr="00213339">
        <w:tc>
          <w:tcPr>
            <w:tcW w:w="4959" w:type="dxa"/>
            <w:shd w:val="clear" w:color="auto" w:fill="BCC9E6"/>
            <w:vAlign w:val="center"/>
          </w:tcPr>
          <w:p w:rsidR="00390D5A" w:rsidRPr="008D1CED" w:rsidRDefault="00390D5A" w:rsidP="00213339">
            <w:pPr>
              <w:spacing w:before="40" w:after="40" w:line="240" w:lineRule="auto"/>
              <w:rPr>
                <w:rFonts w:ascii="Arial" w:hAnsi="Arial" w:cs="Arial"/>
              </w:rPr>
            </w:pPr>
            <w:r w:rsidRPr="008D1CED">
              <w:rPr>
                <w:rFonts w:ascii="Arial" w:hAnsi="Arial" w:cs="Arial"/>
                <w:sz w:val="24"/>
                <w:szCs w:val="24"/>
              </w:rPr>
              <w:t>Supporting information</w:t>
            </w:r>
          </w:p>
        </w:tc>
        <w:tc>
          <w:tcPr>
            <w:tcW w:w="4959" w:type="dxa"/>
            <w:shd w:val="clear" w:color="auto" w:fill="BCC9E6"/>
            <w:vAlign w:val="center"/>
          </w:tcPr>
          <w:p w:rsidR="00390D5A" w:rsidRPr="008D1CED" w:rsidRDefault="00DE0AFA" w:rsidP="00213339">
            <w:pPr>
              <w:spacing w:before="40" w:after="40" w:line="240" w:lineRule="auto"/>
              <w:rPr>
                <w:rFonts w:ascii="Arial" w:hAnsi="Arial" w:cs="Arial"/>
              </w:rPr>
            </w:pPr>
            <w:r w:rsidRPr="008D1CED">
              <w:rPr>
                <w:rFonts w:ascii="Arial" w:hAnsi="Arial" w:cs="Arial"/>
                <w:sz w:val="24"/>
                <w:szCs w:val="24"/>
              </w:rPr>
              <w:t>Sector</w:t>
            </w:r>
            <w:r w:rsidR="00390D5A" w:rsidRPr="008D1CED">
              <w:rPr>
                <w:rFonts w:ascii="Arial" w:hAnsi="Arial" w:cs="Arial"/>
                <w:sz w:val="24"/>
                <w:szCs w:val="24"/>
              </w:rPr>
              <w:t xml:space="preserve"> Issues</w:t>
            </w:r>
          </w:p>
        </w:tc>
        <w:tc>
          <w:tcPr>
            <w:tcW w:w="5358" w:type="dxa"/>
            <w:shd w:val="clear" w:color="auto" w:fill="BCC9E6"/>
            <w:vAlign w:val="center"/>
          </w:tcPr>
          <w:p w:rsidR="00390D5A" w:rsidRPr="008D1CED" w:rsidRDefault="00390D5A" w:rsidP="00213339">
            <w:pPr>
              <w:spacing w:before="40" w:after="40" w:line="240" w:lineRule="auto"/>
              <w:rPr>
                <w:rFonts w:ascii="Arial" w:hAnsi="Arial" w:cs="Arial"/>
                <w:sz w:val="24"/>
                <w:szCs w:val="24"/>
              </w:rPr>
            </w:pPr>
            <w:r w:rsidRPr="008D1CED">
              <w:rPr>
                <w:rFonts w:ascii="Arial" w:hAnsi="Arial" w:cs="Arial"/>
                <w:sz w:val="24"/>
                <w:szCs w:val="24"/>
              </w:rPr>
              <w:t>Programs</w:t>
            </w:r>
          </w:p>
        </w:tc>
      </w:tr>
      <w:tr w:rsidR="00390D5A" w:rsidRPr="008D1CED" w:rsidTr="00213339">
        <w:tc>
          <w:tcPr>
            <w:tcW w:w="4959" w:type="dxa"/>
            <w:vAlign w:val="center"/>
          </w:tcPr>
          <w:p w:rsidR="002A01A9" w:rsidRPr="004C1FDF" w:rsidRDefault="002A01A9" w:rsidP="002A01A9">
            <w:pPr>
              <w:numPr>
                <w:ilvl w:val="0"/>
                <w:numId w:val="1"/>
              </w:numPr>
              <w:spacing w:before="40" w:after="40" w:line="240" w:lineRule="auto"/>
              <w:ind w:left="357" w:hanging="357"/>
              <w:rPr>
                <w:rFonts w:ascii="Arial" w:hAnsi="Arial" w:cs="Arial"/>
                <w:sz w:val="18"/>
                <w:szCs w:val="18"/>
              </w:rPr>
            </w:pPr>
            <w:r w:rsidRPr="004C1FDF">
              <w:rPr>
                <w:rFonts w:ascii="Arial" w:hAnsi="Arial" w:cs="Arial"/>
                <w:sz w:val="18"/>
                <w:szCs w:val="18"/>
              </w:rPr>
              <w:t xml:space="preserve">Key sector coordinating mechanisms: health Sector Advisory Committee, Heath Summit  </w:t>
            </w:r>
          </w:p>
          <w:p w:rsidR="002A01A9" w:rsidRPr="004C1FDF" w:rsidRDefault="002A01A9" w:rsidP="002A01A9">
            <w:pPr>
              <w:numPr>
                <w:ilvl w:val="0"/>
                <w:numId w:val="1"/>
              </w:numPr>
              <w:spacing w:before="40" w:after="40" w:line="240" w:lineRule="auto"/>
              <w:ind w:left="357" w:hanging="357"/>
              <w:rPr>
                <w:rFonts w:ascii="Arial" w:hAnsi="Arial" w:cs="Arial"/>
                <w:sz w:val="18"/>
                <w:szCs w:val="18"/>
              </w:rPr>
            </w:pPr>
            <w:r w:rsidRPr="004C1FDF">
              <w:rPr>
                <w:rFonts w:ascii="Arial" w:hAnsi="Arial" w:cs="Arial"/>
                <w:sz w:val="18"/>
                <w:szCs w:val="18"/>
              </w:rPr>
              <w:t>Joint development partners: New Zealand,  World Bank, UN</w:t>
            </w:r>
          </w:p>
          <w:p w:rsidR="00390D5A" w:rsidRPr="008D1CED" w:rsidRDefault="00390D5A" w:rsidP="00213339">
            <w:pPr>
              <w:spacing w:before="40" w:after="40" w:line="240" w:lineRule="auto"/>
              <w:rPr>
                <w:rFonts w:ascii="Arial" w:hAnsi="Arial" w:cs="Arial"/>
              </w:rPr>
            </w:pPr>
          </w:p>
        </w:tc>
        <w:tc>
          <w:tcPr>
            <w:tcW w:w="4959" w:type="dxa"/>
            <w:vAlign w:val="center"/>
          </w:tcPr>
          <w:p w:rsidR="002A01A9" w:rsidRPr="004C1FDF" w:rsidRDefault="002A01A9" w:rsidP="002A01A9">
            <w:pPr>
              <w:spacing w:after="0" w:line="240" w:lineRule="auto"/>
              <w:rPr>
                <w:rFonts w:ascii="Arial" w:hAnsi="Arial" w:cs="Arial"/>
                <w:sz w:val="18"/>
                <w:szCs w:val="18"/>
              </w:rPr>
            </w:pPr>
            <w:r w:rsidRPr="004C1FDF">
              <w:rPr>
                <w:rFonts w:ascii="Arial" w:hAnsi="Arial" w:cs="Arial"/>
                <w:sz w:val="18"/>
                <w:szCs w:val="18"/>
              </w:rPr>
              <w:t>Participation in processes related to the design of the future health program, with adequate against deadlines</w:t>
            </w:r>
          </w:p>
          <w:p w:rsidR="002A01A9" w:rsidRPr="004C1FDF" w:rsidRDefault="002A01A9" w:rsidP="002A01A9">
            <w:pPr>
              <w:spacing w:after="0" w:line="240" w:lineRule="auto"/>
              <w:rPr>
                <w:rFonts w:ascii="Arial" w:hAnsi="Arial" w:cs="Arial"/>
                <w:sz w:val="18"/>
                <w:szCs w:val="18"/>
              </w:rPr>
            </w:pPr>
            <w:r w:rsidRPr="004C1FDF">
              <w:rPr>
                <w:rFonts w:ascii="Arial" w:hAnsi="Arial" w:cs="Arial"/>
                <w:sz w:val="18"/>
                <w:szCs w:val="18"/>
              </w:rPr>
              <w:t>Completion of:</w:t>
            </w:r>
          </w:p>
          <w:p w:rsidR="002A01A9" w:rsidRPr="004C1FDF" w:rsidRDefault="002A01A9" w:rsidP="002A01A9">
            <w:pPr>
              <w:numPr>
                <w:ilvl w:val="0"/>
                <w:numId w:val="2"/>
              </w:numPr>
              <w:spacing w:after="0" w:line="240" w:lineRule="auto"/>
              <w:rPr>
                <w:rFonts w:ascii="Arial" w:hAnsi="Arial" w:cs="Arial"/>
                <w:sz w:val="18"/>
                <w:szCs w:val="18"/>
              </w:rPr>
            </w:pPr>
            <w:r w:rsidRPr="004C1FDF">
              <w:rPr>
                <w:rFonts w:ascii="Arial" w:hAnsi="Arial" w:cs="Arial"/>
                <w:sz w:val="18"/>
                <w:szCs w:val="18"/>
              </w:rPr>
              <w:t>Health Sector Plan Review</w:t>
            </w:r>
          </w:p>
          <w:p w:rsidR="002A01A9" w:rsidRPr="004C1FDF" w:rsidRDefault="002A01A9" w:rsidP="002A01A9">
            <w:pPr>
              <w:numPr>
                <w:ilvl w:val="0"/>
                <w:numId w:val="2"/>
              </w:numPr>
              <w:spacing w:after="0" w:line="240" w:lineRule="auto"/>
              <w:rPr>
                <w:rFonts w:ascii="Arial" w:hAnsi="Arial" w:cs="Arial"/>
                <w:sz w:val="18"/>
                <w:szCs w:val="18"/>
              </w:rPr>
            </w:pPr>
            <w:r w:rsidRPr="004C1FDF">
              <w:rPr>
                <w:rFonts w:ascii="Arial" w:hAnsi="Arial" w:cs="Arial"/>
                <w:sz w:val="18"/>
                <w:szCs w:val="18"/>
              </w:rPr>
              <w:t xml:space="preserve">Evaluation of the </w:t>
            </w:r>
            <w:proofErr w:type="spellStart"/>
            <w:r w:rsidRPr="004C1FDF">
              <w:rPr>
                <w:rFonts w:ascii="Arial" w:hAnsi="Arial" w:cs="Arial"/>
                <w:sz w:val="18"/>
                <w:szCs w:val="18"/>
              </w:rPr>
              <w:t>SWAp</w:t>
            </w:r>
            <w:proofErr w:type="spellEnd"/>
            <w:r w:rsidRPr="004C1FDF">
              <w:rPr>
                <w:rFonts w:ascii="Arial" w:hAnsi="Arial" w:cs="Arial"/>
                <w:sz w:val="18"/>
                <w:szCs w:val="18"/>
              </w:rPr>
              <w:t xml:space="preserve"> program</w:t>
            </w:r>
          </w:p>
          <w:p w:rsidR="002A01A9" w:rsidRPr="004C1FDF" w:rsidRDefault="002A01A9" w:rsidP="002A01A9">
            <w:pPr>
              <w:numPr>
                <w:ilvl w:val="0"/>
                <w:numId w:val="2"/>
              </w:numPr>
              <w:spacing w:after="0" w:line="240" w:lineRule="auto"/>
              <w:rPr>
                <w:rFonts w:ascii="Arial" w:hAnsi="Arial" w:cs="Arial"/>
                <w:sz w:val="18"/>
                <w:szCs w:val="18"/>
              </w:rPr>
            </w:pPr>
            <w:r w:rsidRPr="004C1FDF">
              <w:rPr>
                <w:rFonts w:ascii="Arial" w:hAnsi="Arial" w:cs="Arial"/>
                <w:sz w:val="18"/>
                <w:szCs w:val="18"/>
              </w:rPr>
              <w:t>A Theory of Chance process undertaken</w:t>
            </w:r>
          </w:p>
          <w:p w:rsidR="002A01A9" w:rsidRPr="004C1FDF" w:rsidRDefault="002A01A9" w:rsidP="002A01A9">
            <w:pPr>
              <w:numPr>
                <w:ilvl w:val="0"/>
                <w:numId w:val="2"/>
              </w:numPr>
              <w:spacing w:after="0" w:line="240" w:lineRule="auto"/>
              <w:rPr>
                <w:rFonts w:ascii="Arial" w:hAnsi="Arial" w:cs="Arial"/>
                <w:sz w:val="18"/>
                <w:szCs w:val="18"/>
              </w:rPr>
            </w:pPr>
            <w:r>
              <w:rPr>
                <w:rFonts w:ascii="Arial" w:hAnsi="Arial" w:cs="Arial"/>
                <w:sz w:val="18"/>
                <w:szCs w:val="18"/>
              </w:rPr>
              <w:t>Relevant PFM and procurement assessments</w:t>
            </w:r>
          </w:p>
          <w:p w:rsidR="00390D5A" w:rsidRPr="002A01A9" w:rsidRDefault="002A01A9" w:rsidP="002A01A9">
            <w:pPr>
              <w:numPr>
                <w:ilvl w:val="0"/>
                <w:numId w:val="2"/>
              </w:numPr>
              <w:spacing w:after="0" w:line="240" w:lineRule="auto"/>
              <w:rPr>
                <w:rFonts w:ascii="Arial" w:hAnsi="Arial" w:cs="Arial"/>
                <w:sz w:val="18"/>
                <w:szCs w:val="18"/>
              </w:rPr>
            </w:pPr>
            <w:r w:rsidRPr="004C1FDF">
              <w:rPr>
                <w:rFonts w:ascii="Arial" w:hAnsi="Arial" w:cs="Arial"/>
                <w:sz w:val="18"/>
                <w:szCs w:val="18"/>
              </w:rPr>
              <w:t>First draft of new design</w:t>
            </w:r>
          </w:p>
        </w:tc>
        <w:tc>
          <w:tcPr>
            <w:tcW w:w="5358" w:type="dxa"/>
            <w:vAlign w:val="center"/>
          </w:tcPr>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Samoa Health Sector Program (</w:t>
            </w:r>
            <w:proofErr w:type="spellStart"/>
            <w:r w:rsidRPr="004C1FDF">
              <w:rPr>
                <w:rFonts w:ascii="Arial" w:hAnsi="Arial" w:cs="Arial"/>
                <w:sz w:val="18"/>
                <w:szCs w:val="18"/>
              </w:rPr>
              <w:t>SWAp</w:t>
            </w:r>
            <w:proofErr w:type="spellEnd"/>
            <w:r w:rsidRPr="004C1FDF">
              <w:rPr>
                <w:rFonts w:ascii="Arial" w:hAnsi="Arial" w:cs="Arial"/>
                <w:sz w:val="18"/>
                <w:szCs w:val="18"/>
              </w:rPr>
              <w:t>)</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Revitalising Primary Health Care</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Royal Australia College of Surgeons Pacific Islands Program</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Australian Sports Outreach Program</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Pacific Sports Development Grants</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Biomedical equipment Maintenance Program</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Pacific Sexual and Reproductive Health Program</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Strengthening Clinical Services in the Pacific Initiative</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Pacific Regional HIV and STI Response Fund</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Pacific Regional Non Communicable Disease Program</w:t>
            </w:r>
          </w:p>
          <w:p w:rsidR="002A01A9" w:rsidRPr="004C1FDF" w:rsidRDefault="002A01A9" w:rsidP="002A01A9">
            <w:pPr>
              <w:numPr>
                <w:ilvl w:val="0"/>
                <w:numId w:val="2"/>
              </w:numPr>
              <w:spacing w:before="40" w:after="40" w:line="240" w:lineRule="auto"/>
              <w:rPr>
                <w:rFonts w:ascii="Arial" w:hAnsi="Arial" w:cs="Arial"/>
                <w:sz w:val="18"/>
                <w:szCs w:val="18"/>
              </w:rPr>
            </w:pPr>
            <w:r w:rsidRPr="004C1FDF">
              <w:rPr>
                <w:rFonts w:ascii="Arial" w:hAnsi="Arial" w:cs="Arial"/>
                <w:sz w:val="18"/>
                <w:szCs w:val="18"/>
              </w:rPr>
              <w:t>Pacific Human Resources for Health Alliance</w:t>
            </w:r>
          </w:p>
          <w:p w:rsidR="00390D5A" w:rsidRPr="008D1CED" w:rsidRDefault="002A01A9" w:rsidP="002A01A9">
            <w:pPr>
              <w:pStyle w:val="ListParagraph"/>
              <w:numPr>
                <w:ilvl w:val="0"/>
                <w:numId w:val="2"/>
              </w:numPr>
              <w:spacing w:before="40" w:after="40" w:line="240" w:lineRule="auto"/>
              <w:rPr>
                <w:rFonts w:ascii="Arial" w:hAnsi="Arial" w:cs="Arial"/>
              </w:rPr>
            </w:pPr>
            <w:r w:rsidRPr="004C1FDF">
              <w:rPr>
                <w:rFonts w:ascii="Arial" w:hAnsi="Arial" w:cs="Arial"/>
                <w:sz w:val="18"/>
                <w:szCs w:val="18"/>
              </w:rPr>
              <w:t>UNICEF Pacific Program (for immunisation)</w:t>
            </w:r>
          </w:p>
        </w:tc>
      </w:tr>
    </w:tbl>
    <w:p w:rsidR="001E055B" w:rsidRPr="008D1CED" w:rsidRDefault="001E055B">
      <w:pPr>
        <w:rPr>
          <w:rFonts w:ascii="Arial" w:hAnsi="Arial" w:cs="Arial"/>
        </w:rPr>
      </w:pPr>
    </w:p>
    <w:p w:rsidR="00E1504C" w:rsidRPr="008D1CED" w:rsidRDefault="00E1504C">
      <w:pPr>
        <w:rPr>
          <w:rFonts w:ascii="Arial" w:hAnsi="Arial" w:cs="Arial"/>
        </w:rPr>
      </w:pPr>
    </w:p>
    <w:tbl>
      <w:tblPr>
        <w:tblW w:w="0" w:type="auto"/>
        <w:tblLook w:val="00A0" w:firstRow="1" w:lastRow="0" w:firstColumn="1" w:lastColumn="0" w:noHBand="0" w:noVBand="0"/>
      </w:tblPr>
      <w:tblGrid>
        <w:gridCol w:w="7220"/>
        <w:gridCol w:w="711"/>
        <w:gridCol w:w="7395"/>
      </w:tblGrid>
      <w:tr w:rsidR="00E1504C" w:rsidRPr="008D1CED" w:rsidTr="001E055B">
        <w:trPr>
          <w:trHeight w:val="1355"/>
        </w:trPr>
        <w:tc>
          <w:tcPr>
            <w:tcW w:w="7220" w:type="dxa"/>
            <w:shd w:val="clear" w:color="auto" w:fill="F2F2F2"/>
          </w:tcPr>
          <w:p w:rsidR="00E1504C" w:rsidRPr="008D1CED" w:rsidRDefault="00E1504C" w:rsidP="00D24D80">
            <w:pPr>
              <w:keepNext/>
              <w:keepLines/>
              <w:spacing w:before="40" w:after="40" w:line="240" w:lineRule="auto"/>
              <w:rPr>
                <w:rFonts w:ascii="Arial" w:hAnsi="Arial" w:cs="Arial"/>
                <w:b/>
                <w:sz w:val="24"/>
                <w:szCs w:val="16"/>
              </w:rPr>
            </w:pPr>
            <w:r w:rsidRPr="008D1CED">
              <w:rPr>
                <w:rFonts w:ascii="Arial" w:hAnsi="Arial" w:cs="Arial"/>
                <w:b/>
                <w:sz w:val="24"/>
                <w:szCs w:val="16"/>
              </w:rPr>
              <w:t>Signed</w:t>
            </w:r>
          </w:p>
          <w:p w:rsidR="00E1504C" w:rsidRPr="008D1CED" w:rsidRDefault="00E1504C" w:rsidP="00D24D80">
            <w:pPr>
              <w:spacing w:after="0" w:line="240" w:lineRule="auto"/>
              <w:rPr>
                <w:rFonts w:ascii="Arial" w:hAnsi="Arial" w:cs="Arial"/>
                <w:b/>
                <w:sz w:val="16"/>
                <w:szCs w:val="16"/>
              </w:rPr>
            </w:pPr>
            <w:r w:rsidRPr="008D1CED">
              <w:rPr>
                <w:rFonts w:ascii="Arial" w:hAnsi="Arial" w:cs="Arial"/>
                <w:b/>
                <w:sz w:val="16"/>
                <w:szCs w:val="16"/>
              </w:rPr>
              <w:t>for the Government of Samoa</w:t>
            </w:r>
          </w:p>
          <w:p w:rsidR="00E1504C" w:rsidRPr="008D1CED" w:rsidRDefault="00E1504C" w:rsidP="00D24D80">
            <w:pPr>
              <w:spacing w:after="0" w:line="240" w:lineRule="auto"/>
              <w:rPr>
                <w:rFonts w:ascii="Arial" w:hAnsi="Arial" w:cs="Arial"/>
                <w:b/>
                <w:sz w:val="16"/>
                <w:szCs w:val="16"/>
              </w:rPr>
            </w:pPr>
          </w:p>
          <w:p w:rsidR="00E1504C" w:rsidRPr="008D1CED" w:rsidRDefault="00E1504C" w:rsidP="00D24D80">
            <w:pPr>
              <w:spacing w:after="0" w:line="240" w:lineRule="auto"/>
              <w:rPr>
                <w:rFonts w:ascii="Arial" w:hAnsi="Arial" w:cs="Arial"/>
                <w:b/>
                <w:sz w:val="16"/>
                <w:szCs w:val="16"/>
              </w:rPr>
            </w:pPr>
          </w:p>
          <w:p w:rsidR="00E1504C" w:rsidRPr="008D1CED" w:rsidRDefault="00E1504C" w:rsidP="00D24D80">
            <w:pPr>
              <w:spacing w:after="0" w:line="240" w:lineRule="auto"/>
              <w:rPr>
                <w:rFonts w:ascii="Arial" w:hAnsi="Arial" w:cs="Arial"/>
                <w:b/>
                <w:sz w:val="16"/>
                <w:szCs w:val="16"/>
              </w:rPr>
            </w:pPr>
          </w:p>
          <w:p w:rsidR="00E1504C" w:rsidRPr="008D1CED" w:rsidRDefault="00E1504C" w:rsidP="00D24D80">
            <w:pPr>
              <w:spacing w:after="0" w:line="240" w:lineRule="auto"/>
              <w:rPr>
                <w:rFonts w:ascii="Arial" w:hAnsi="Arial" w:cs="Arial"/>
                <w:b/>
                <w:sz w:val="16"/>
                <w:szCs w:val="16"/>
              </w:rPr>
            </w:pPr>
          </w:p>
          <w:p w:rsidR="00E1504C" w:rsidRPr="008D1CED" w:rsidRDefault="00E1504C" w:rsidP="00D24D80">
            <w:pPr>
              <w:spacing w:after="0" w:line="240" w:lineRule="auto"/>
              <w:rPr>
                <w:rFonts w:ascii="Arial" w:hAnsi="Arial" w:cs="Arial"/>
              </w:rPr>
            </w:pPr>
          </w:p>
        </w:tc>
        <w:tc>
          <w:tcPr>
            <w:tcW w:w="711" w:type="dxa"/>
            <w:vMerge w:val="restart"/>
          </w:tcPr>
          <w:p w:rsidR="00E1504C" w:rsidRPr="008D1CED" w:rsidRDefault="00E1504C" w:rsidP="00D24D80">
            <w:pPr>
              <w:spacing w:after="0" w:line="240" w:lineRule="auto"/>
              <w:rPr>
                <w:rFonts w:ascii="Arial" w:hAnsi="Arial" w:cs="Arial"/>
              </w:rPr>
            </w:pPr>
          </w:p>
        </w:tc>
        <w:tc>
          <w:tcPr>
            <w:tcW w:w="7395" w:type="dxa"/>
            <w:shd w:val="clear" w:color="auto" w:fill="F2F2F2"/>
          </w:tcPr>
          <w:p w:rsidR="00E1504C" w:rsidRPr="008D1CED" w:rsidRDefault="00E1504C" w:rsidP="00D24D80">
            <w:pPr>
              <w:keepNext/>
              <w:keepLines/>
              <w:spacing w:before="40" w:after="40" w:line="240" w:lineRule="auto"/>
              <w:rPr>
                <w:rFonts w:ascii="Arial" w:hAnsi="Arial" w:cs="Arial"/>
                <w:b/>
                <w:sz w:val="24"/>
                <w:szCs w:val="16"/>
              </w:rPr>
            </w:pPr>
            <w:r w:rsidRPr="008D1CED">
              <w:rPr>
                <w:rFonts w:ascii="Arial" w:hAnsi="Arial" w:cs="Arial"/>
                <w:b/>
                <w:sz w:val="24"/>
                <w:szCs w:val="16"/>
              </w:rPr>
              <w:t>Signed</w:t>
            </w:r>
          </w:p>
          <w:p w:rsidR="00E1504C" w:rsidRPr="008D1CED" w:rsidRDefault="00E1504C" w:rsidP="00D24D80">
            <w:pPr>
              <w:spacing w:after="0" w:line="240" w:lineRule="auto"/>
              <w:rPr>
                <w:rFonts w:ascii="Arial" w:hAnsi="Arial" w:cs="Arial"/>
                <w:b/>
                <w:sz w:val="16"/>
                <w:szCs w:val="16"/>
              </w:rPr>
            </w:pPr>
            <w:r w:rsidRPr="008D1CED">
              <w:rPr>
                <w:rFonts w:ascii="Arial" w:hAnsi="Arial" w:cs="Arial"/>
                <w:b/>
                <w:sz w:val="16"/>
                <w:szCs w:val="16"/>
              </w:rPr>
              <w:t>for the Government of Australia</w:t>
            </w:r>
          </w:p>
          <w:p w:rsidR="00E1504C" w:rsidRPr="008D1CED" w:rsidRDefault="00E1504C" w:rsidP="00D24D80">
            <w:pPr>
              <w:spacing w:after="0" w:line="240" w:lineRule="auto"/>
              <w:rPr>
                <w:rFonts w:ascii="Arial" w:hAnsi="Arial" w:cs="Arial"/>
              </w:rPr>
            </w:pPr>
          </w:p>
        </w:tc>
      </w:tr>
      <w:tr w:rsidR="00E1504C" w:rsidRPr="008D1CED" w:rsidTr="001E055B">
        <w:trPr>
          <w:trHeight w:val="709"/>
        </w:trPr>
        <w:tc>
          <w:tcPr>
            <w:tcW w:w="7220" w:type="dxa"/>
            <w:shd w:val="clear" w:color="auto" w:fill="F2F2F2"/>
          </w:tcPr>
          <w:p w:rsidR="00E1504C" w:rsidRPr="008D1CED" w:rsidRDefault="00E1504C" w:rsidP="00D24D80">
            <w:pPr>
              <w:keepNext/>
              <w:keepLines/>
              <w:spacing w:before="40" w:after="40" w:line="240" w:lineRule="auto"/>
              <w:rPr>
                <w:rFonts w:ascii="Arial" w:hAnsi="Arial" w:cs="Arial"/>
                <w:sz w:val="16"/>
                <w:szCs w:val="16"/>
              </w:rPr>
            </w:pPr>
            <w:r w:rsidRPr="008D1CED">
              <w:rPr>
                <w:rFonts w:ascii="Arial" w:hAnsi="Arial" w:cs="Arial"/>
                <w:sz w:val="16"/>
                <w:szCs w:val="16"/>
              </w:rPr>
              <w:t>Name:</w:t>
            </w:r>
          </w:p>
          <w:p w:rsidR="00E1504C" w:rsidRPr="008D1CED" w:rsidRDefault="00E1504C" w:rsidP="00D24D80">
            <w:pPr>
              <w:keepNext/>
              <w:keepLines/>
              <w:spacing w:before="40" w:after="40" w:line="240" w:lineRule="auto"/>
              <w:rPr>
                <w:rFonts w:ascii="Arial" w:hAnsi="Arial" w:cs="Arial"/>
                <w:sz w:val="16"/>
                <w:szCs w:val="16"/>
              </w:rPr>
            </w:pPr>
          </w:p>
          <w:p w:rsidR="00E1504C" w:rsidRPr="008D1CED" w:rsidRDefault="00E1504C" w:rsidP="001E055B">
            <w:pPr>
              <w:keepNext/>
              <w:keepLines/>
              <w:spacing w:before="40" w:after="40" w:line="240" w:lineRule="auto"/>
              <w:rPr>
                <w:rFonts w:ascii="Arial" w:hAnsi="Arial" w:cs="Arial"/>
                <w:sz w:val="16"/>
                <w:szCs w:val="16"/>
              </w:rPr>
            </w:pPr>
            <w:r w:rsidRPr="008D1CED">
              <w:rPr>
                <w:rFonts w:ascii="Arial" w:hAnsi="Arial" w:cs="Arial"/>
                <w:sz w:val="16"/>
                <w:szCs w:val="16"/>
              </w:rPr>
              <w:t>Title:</w:t>
            </w:r>
          </w:p>
          <w:p w:rsidR="001E055B" w:rsidRPr="008D1CED" w:rsidRDefault="001E055B" w:rsidP="001E055B">
            <w:pPr>
              <w:keepNext/>
              <w:keepLines/>
              <w:spacing w:before="40" w:after="40" w:line="240" w:lineRule="auto"/>
              <w:rPr>
                <w:rFonts w:ascii="Arial" w:hAnsi="Arial" w:cs="Arial"/>
                <w:sz w:val="16"/>
                <w:szCs w:val="16"/>
              </w:rPr>
            </w:pPr>
          </w:p>
          <w:p w:rsidR="001E055B" w:rsidRPr="008D1CED" w:rsidRDefault="001E055B" w:rsidP="001E055B">
            <w:pPr>
              <w:keepNext/>
              <w:keepLines/>
              <w:spacing w:before="40" w:after="40" w:line="240" w:lineRule="auto"/>
              <w:rPr>
                <w:rFonts w:ascii="Arial" w:hAnsi="Arial" w:cs="Arial"/>
                <w:sz w:val="16"/>
                <w:szCs w:val="16"/>
              </w:rPr>
            </w:pPr>
            <w:r w:rsidRPr="008D1CED">
              <w:rPr>
                <w:rFonts w:ascii="Arial" w:hAnsi="Arial" w:cs="Arial"/>
                <w:sz w:val="16"/>
                <w:szCs w:val="16"/>
              </w:rPr>
              <w:t>Date:</w:t>
            </w:r>
          </w:p>
        </w:tc>
        <w:tc>
          <w:tcPr>
            <w:tcW w:w="711" w:type="dxa"/>
            <w:vMerge/>
          </w:tcPr>
          <w:p w:rsidR="00E1504C" w:rsidRPr="008D1CED" w:rsidRDefault="00E1504C" w:rsidP="00D24D80">
            <w:pPr>
              <w:spacing w:after="0" w:line="240" w:lineRule="auto"/>
              <w:rPr>
                <w:rFonts w:ascii="Arial" w:hAnsi="Arial" w:cs="Arial"/>
              </w:rPr>
            </w:pPr>
          </w:p>
        </w:tc>
        <w:tc>
          <w:tcPr>
            <w:tcW w:w="7395" w:type="dxa"/>
            <w:shd w:val="clear" w:color="auto" w:fill="F2F2F2"/>
          </w:tcPr>
          <w:p w:rsidR="00E1504C" w:rsidRPr="008D1CED" w:rsidRDefault="00E1504C" w:rsidP="00D24D80">
            <w:pPr>
              <w:keepNext/>
              <w:keepLines/>
              <w:spacing w:before="40" w:after="40" w:line="240" w:lineRule="auto"/>
              <w:rPr>
                <w:rFonts w:ascii="Arial" w:hAnsi="Arial" w:cs="Arial"/>
                <w:sz w:val="16"/>
                <w:szCs w:val="16"/>
              </w:rPr>
            </w:pPr>
            <w:r w:rsidRPr="008D1CED">
              <w:rPr>
                <w:rFonts w:ascii="Arial" w:hAnsi="Arial" w:cs="Arial"/>
                <w:sz w:val="16"/>
                <w:szCs w:val="16"/>
              </w:rPr>
              <w:t>Name:</w:t>
            </w:r>
          </w:p>
          <w:p w:rsidR="00E1504C" w:rsidRPr="008D1CED" w:rsidRDefault="00E1504C" w:rsidP="00D24D80">
            <w:pPr>
              <w:keepNext/>
              <w:keepLines/>
              <w:spacing w:before="40" w:after="40" w:line="240" w:lineRule="auto"/>
              <w:rPr>
                <w:rFonts w:ascii="Arial" w:hAnsi="Arial" w:cs="Arial"/>
                <w:sz w:val="16"/>
                <w:szCs w:val="16"/>
              </w:rPr>
            </w:pPr>
          </w:p>
          <w:p w:rsidR="00E1504C" w:rsidRPr="008D1CED" w:rsidRDefault="00E1504C" w:rsidP="001E055B">
            <w:pPr>
              <w:keepNext/>
              <w:keepLines/>
              <w:spacing w:before="40" w:after="40" w:line="240" w:lineRule="auto"/>
              <w:rPr>
                <w:rFonts w:ascii="Arial" w:hAnsi="Arial" w:cs="Arial"/>
                <w:sz w:val="16"/>
                <w:szCs w:val="16"/>
              </w:rPr>
            </w:pPr>
            <w:r w:rsidRPr="008D1CED">
              <w:rPr>
                <w:rFonts w:ascii="Arial" w:hAnsi="Arial" w:cs="Arial"/>
                <w:sz w:val="16"/>
                <w:szCs w:val="16"/>
              </w:rPr>
              <w:t>Title:</w:t>
            </w:r>
          </w:p>
          <w:p w:rsidR="001E055B" w:rsidRPr="008D1CED" w:rsidRDefault="001E055B" w:rsidP="001E055B">
            <w:pPr>
              <w:keepNext/>
              <w:keepLines/>
              <w:spacing w:before="40" w:after="40" w:line="240" w:lineRule="auto"/>
              <w:rPr>
                <w:rFonts w:ascii="Arial" w:hAnsi="Arial" w:cs="Arial"/>
                <w:sz w:val="16"/>
                <w:szCs w:val="16"/>
              </w:rPr>
            </w:pPr>
          </w:p>
          <w:p w:rsidR="001E055B" w:rsidRPr="008D1CED" w:rsidRDefault="001E055B" w:rsidP="001E055B">
            <w:pPr>
              <w:keepNext/>
              <w:keepLines/>
              <w:spacing w:before="40" w:after="40" w:line="240" w:lineRule="auto"/>
              <w:rPr>
                <w:rFonts w:ascii="Arial" w:hAnsi="Arial" w:cs="Arial"/>
                <w:sz w:val="16"/>
                <w:szCs w:val="16"/>
              </w:rPr>
            </w:pPr>
            <w:r w:rsidRPr="008D1CED">
              <w:rPr>
                <w:rFonts w:ascii="Arial" w:hAnsi="Arial" w:cs="Arial"/>
                <w:sz w:val="16"/>
                <w:szCs w:val="16"/>
              </w:rPr>
              <w:t>Date:</w:t>
            </w:r>
          </w:p>
        </w:tc>
      </w:tr>
    </w:tbl>
    <w:p w:rsidR="00E1504C" w:rsidRPr="008D1CED" w:rsidRDefault="00E1504C" w:rsidP="005F18A2">
      <w:pPr>
        <w:rPr>
          <w:rFonts w:ascii="Arial" w:hAnsi="Arial" w:cs="Arial"/>
        </w:rPr>
      </w:pPr>
    </w:p>
    <w:sectPr w:rsidR="00E1504C" w:rsidRPr="008D1CED"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CF" w:rsidRDefault="004675CF" w:rsidP="006D4AB1">
      <w:pPr>
        <w:spacing w:after="0" w:line="240" w:lineRule="auto"/>
      </w:pPr>
      <w:r>
        <w:separator/>
      </w:r>
    </w:p>
  </w:endnote>
  <w:endnote w:type="continuationSeparator" w:id="0">
    <w:p w:rsidR="004675CF" w:rsidRDefault="004675CF"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CF" w:rsidRDefault="00467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CF" w:rsidRDefault="00467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CF" w:rsidRDefault="00467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CF" w:rsidRDefault="004675CF" w:rsidP="006D4AB1">
      <w:pPr>
        <w:spacing w:after="0" w:line="240" w:lineRule="auto"/>
      </w:pPr>
      <w:r>
        <w:separator/>
      </w:r>
    </w:p>
  </w:footnote>
  <w:footnote w:type="continuationSeparator" w:id="0">
    <w:p w:rsidR="004675CF" w:rsidRDefault="004675CF" w:rsidP="006D4AB1">
      <w:pPr>
        <w:spacing w:after="0" w:line="240" w:lineRule="auto"/>
      </w:pPr>
      <w:r>
        <w:continuationSeparator/>
      </w:r>
    </w:p>
  </w:footnote>
  <w:footnote w:id="1">
    <w:p w:rsidR="004675CF" w:rsidRPr="00360C5F" w:rsidRDefault="004675CF" w:rsidP="008D1CED">
      <w:pPr>
        <w:pStyle w:val="FootnoteText"/>
        <w:spacing w:after="0" w:line="240" w:lineRule="auto"/>
        <w:rPr>
          <w:sz w:val="16"/>
          <w:szCs w:val="16"/>
          <w:lang w:val="en-AU"/>
        </w:rPr>
      </w:pPr>
      <w:r>
        <w:rPr>
          <w:rStyle w:val="FootnoteReference"/>
        </w:rPr>
        <w:footnoteRef/>
      </w:r>
      <w:r>
        <w:t xml:space="preserve"> </w:t>
      </w:r>
      <w:r w:rsidRPr="008F42E0">
        <w:rPr>
          <w:sz w:val="16"/>
          <w:szCs w:val="16"/>
          <w:lang w:val="en-AU"/>
        </w:rPr>
        <w:t xml:space="preserve">As per the </w:t>
      </w:r>
      <w:hyperlink r:id="rId1" w:history="1">
        <w:r w:rsidRPr="00C64495">
          <w:rPr>
            <w:rStyle w:val="Hyperlink"/>
            <w:sz w:val="16"/>
            <w:szCs w:val="16"/>
            <w:lang w:val="en-AU"/>
          </w:rPr>
          <w:t>AusAID Samoa Annual Program Performance Report 2011</w:t>
        </w:r>
      </w:hyperlink>
      <w:r w:rsidR="00360C5F">
        <w:rPr>
          <w:rStyle w:val="Hyperlink"/>
          <w:sz w:val="16"/>
          <w:szCs w:val="16"/>
          <w:lang w:val="en-AU"/>
        </w:rPr>
        <w:t>.</w:t>
      </w:r>
      <w:r w:rsidR="00360C5F">
        <w:rPr>
          <w:rStyle w:val="Hyperlink"/>
          <w:color w:val="auto"/>
          <w:sz w:val="16"/>
          <w:szCs w:val="16"/>
          <w:u w:val="none"/>
          <w:lang w:val="en-AU"/>
        </w:rPr>
        <w:t xml:space="preserve"> The APPR recommended that new targets be selected for the health sector. Progress will be assessed against </w:t>
      </w:r>
      <w:proofErr w:type="gramStart"/>
      <w:r w:rsidR="00360C5F">
        <w:rPr>
          <w:rStyle w:val="Hyperlink"/>
          <w:color w:val="auto"/>
          <w:sz w:val="16"/>
          <w:szCs w:val="16"/>
          <w:u w:val="none"/>
          <w:lang w:val="en-AU"/>
        </w:rPr>
        <w:t>these next year</w:t>
      </w:r>
      <w:proofErr w:type="gramEnd"/>
      <w:r w:rsidR="00360C5F">
        <w:rPr>
          <w:rStyle w:val="Hyperlink"/>
          <w:color w:val="auto"/>
          <w:sz w:val="16"/>
          <w:szCs w:val="16"/>
          <w:u w:val="none"/>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CF" w:rsidRDefault="00467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CF" w:rsidRDefault="00467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CF" w:rsidRDefault="00467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629"/>
    <w:multiLevelType w:val="hybridMultilevel"/>
    <w:tmpl w:val="F84E84A8"/>
    <w:lvl w:ilvl="0" w:tplc="8E76E85E">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E360D"/>
    <w:rsid w:val="001415A7"/>
    <w:rsid w:val="00160BFF"/>
    <w:rsid w:val="001E055B"/>
    <w:rsid w:val="00213339"/>
    <w:rsid w:val="002A01A9"/>
    <w:rsid w:val="002F799E"/>
    <w:rsid w:val="00353A73"/>
    <w:rsid w:val="00360C5F"/>
    <w:rsid w:val="00382E24"/>
    <w:rsid w:val="00390D5A"/>
    <w:rsid w:val="003E6EAF"/>
    <w:rsid w:val="00400A38"/>
    <w:rsid w:val="004155EF"/>
    <w:rsid w:val="004675CF"/>
    <w:rsid w:val="004C1FDF"/>
    <w:rsid w:val="0050083C"/>
    <w:rsid w:val="005E46C1"/>
    <w:rsid w:val="005F18A2"/>
    <w:rsid w:val="005F788C"/>
    <w:rsid w:val="0068494A"/>
    <w:rsid w:val="006D4AB1"/>
    <w:rsid w:val="007B69AA"/>
    <w:rsid w:val="007E0EC9"/>
    <w:rsid w:val="007E5B07"/>
    <w:rsid w:val="00812E8D"/>
    <w:rsid w:val="0082137A"/>
    <w:rsid w:val="00852237"/>
    <w:rsid w:val="008A56A7"/>
    <w:rsid w:val="008C2EC3"/>
    <w:rsid w:val="008C48D5"/>
    <w:rsid w:val="008D1CED"/>
    <w:rsid w:val="00940A8F"/>
    <w:rsid w:val="009650A4"/>
    <w:rsid w:val="009977A3"/>
    <w:rsid w:val="00A31DDC"/>
    <w:rsid w:val="00A5517F"/>
    <w:rsid w:val="00A619B1"/>
    <w:rsid w:val="00A70824"/>
    <w:rsid w:val="00AD3EAF"/>
    <w:rsid w:val="00C519A7"/>
    <w:rsid w:val="00C546F2"/>
    <w:rsid w:val="00C5499B"/>
    <w:rsid w:val="00C910CE"/>
    <w:rsid w:val="00D24D80"/>
    <w:rsid w:val="00D735E2"/>
    <w:rsid w:val="00DE0AFA"/>
    <w:rsid w:val="00DF5793"/>
    <w:rsid w:val="00E1504C"/>
    <w:rsid w:val="00E72C5C"/>
    <w:rsid w:val="00F2508D"/>
    <w:rsid w:val="00F4088B"/>
    <w:rsid w:val="00F7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Hyperlink">
    <w:name w:val="Hyperlink"/>
    <w:uiPriority w:val="99"/>
    <w:unhideWhenUsed/>
    <w:rsid w:val="008D1CED"/>
    <w:rPr>
      <w:color w:val="0000FF"/>
      <w:u w:val="single"/>
    </w:rPr>
  </w:style>
  <w:style w:type="paragraph" w:styleId="BalloonText">
    <w:name w:val="Balloon Text"/>
    <w:basedOn w:val="Normal"/>
    <w:link w:val="BalloonTextChar"/>
    <w:uiPriority w:val="99"/>
    <w:semiHidden/>
    <w:unhideWhenUsed/>
    <w:rsid w:val="00500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3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aid.gov.au/Publications/Pages/Samoa-Annual-Program-Performance-Report-20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3B374D-8F6C-4DCE-8F74-C3E5D2333881}"/>
</file>

<file path=customXml/itemProps2.xml><?xml version="1.0" encoding="utf-8"?>
<ds:datastoreItem xmlns:ds="http://schemas.openxmlformats.org/officeDocument/2006/customXml" ds:itemID="{10CA87CE-9B20-4400-85EF-75BFDDD66AA6}"/>
</file>

<file path=customXml/itemProps3.xml><?xml version="1.0" encoding="utf-8"?>
<ds:datastoreItem xmlns:ds="http://schemas.openxmlformats.org/officeDocument/2006/customXml" ds:itemID="{C4748C87-9CDE-414C-8D43-B2BF88F4F5FC}"/>
</file>

<file path=customXml/itemProps4.xml><?xml version="1.0" encoding="utf-8"?>
<ds:datastoreItem xmlns:ds="http://schemas.openxmlformats.org/officeDocument/2006/customXml" ds:itemID="{84B55C86-7FE4-4B8C-9E88-40723D9F8667}"/>
</file>

<file path=docProps/app.xml><?xml version="1.0" encoding="utf-8"?>
<Properties xmlns="http://schemas.openxmlformats.org/officeDocument/2006/extended-properties" xmlns:vt="http://schemas.openxmlformats.org/officeDocument/2006/docPropsVTypes">
  <Template>Normal.dotm</Template>
  <TotalTime>90</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Samoa – Australia Partnership for Development</vt:lpstr>
    </vt:vector>
  </TitlesOfParts>
  <Company>Toshiba</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 Australia Partnership for Development</dc:title>
  <dc:creator>Owen Martin</dc:creator>
  <cp:lastModifiedBy>Frances Sutherland</cp:lastModifiedBy>
  <cp:revision>10</cp:revision>
  <cp:lastPrinted>2012-09-10T18:55:00Z</cp:lastPrinted>
  <dcterms:created xsi:type="dcterms:W3CDTF">2012-09-08T17:48:00Z</dcterms:created>
  <dcterms:modified xsi:type="dcterms:W3CDTF">2012-09-11T04:38:00Z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9100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