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D4" w:rsidRPr="004737DE" w:rsidRDefault="00496308" w:rsidP="0028596C">
      <w:pPr>
        <w:pStyle w:val="Title"/>
        <w:spacing w:before="480"/>
        <w:ind w:right="-576"/>
        <w:rPr>
          <w:sz w:val="45"/>
          <w:szCs w:val="45"/>
        </w:rPr>
      </w:pPr>
      <w:r>
        <w:rPr>
          <w:rFonts w:ascii="Arial" w:hAnsi="Arial"/>
          <w:noProof/>
          <w:sz w:val="45"/>
          <w:szCs w:val="45"/>
          <w:lang w:val="en-US" w:eastAsia="en-US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align>center</wp:align>
            </wp:positionH>
            <wp:positionV relativeFrom="page">
              <wp:posOffset>-356235</wp:posOffset>
            </wp:positionV>
            <wp:extent cx="7560310" cy="3000375"/>
            <wp:effectExtent l="0" t="0" r="2540" b="9525"/>
            <wp:wrapNone/>
            <wp:docPr id="21" name="Picture 2" descr="AusAID graphics pacific factsheet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AID graphics pacific factsheet head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45"/>
          <w:szCs w:val="45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350010"/>
                <wp:effectExtent l="0" t="0" r="2540" b="2540"/>
                <wp:wrapNone/>
                <wp:docPr id="20" name="Rectangle 3" descr="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alt="." style="position:absolute;margin-left:0;margin-top:0;width:595.3pt;height:10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" stroked="f">
                <w10:wrap anchorx="page" anchory="page"/>
              </v:rect>
            </w:pict>
          </mc:Fallback>
        </mc:AlternateContent>
      </w:r>
      <w:r w:rsidR="003533D4" w:rsidRPr="004737DE">
        <w:rPr>
          <w:sz w:val="45"/>
          <w:szCs w:val="45"/>
        </w:rPr>
        <w:t>Samoa</w:t>
      </w:r>
      <w:r w:rsidR="00333FF0">
        <w:rPr>
          <w:sz w:val="45"/>
          <w:szCs w:val="45"/>
        </w:rPr>
        <w:t xml:space="preserve"> – </w:t>
      </w:r>
      <w:r w:rsidR="003533D4" w:rsidRPr="004737DE">
        <w:rPr>
          <w:sz w:val="45"/>
          <w:szCs w:val="45"/>
        </w:rPr>
        <w:t>Australia Partnership for Development report 20</w:t>
      </w:r>
      <w:r w:rsidR="003F076D">
        <w:rPr>
          <w:sz w:val="45"/>
          <w:szCs w:val="45"/>
        </w:rPr>
        <w:t>10</w:t>
      </w:r>
      <w:r w:rsidR="005063CB">
        <w:rPr>
          <w:sz w:val="45"/>
          <w:szCs w:val="45"/>
        </w:rPr>
        <w:t>–1</w:t>
      </w:r>
      <w:r w:rsidR="00C14D9B">
        <w:rPr>
          <w:sz w:val="45"/>
          <w:szCs w:val="45"/>
        </w:rPr>
        <w:t>1</w:t>
      </w:r>
    </w:p>
    <w:p w:rsidR="00496308" w:rsidRDefault="00A73795" w:rsidP="004737DE">
      <w:pPr>
        <w:pStyle w:val="Date"/>
        <w:spacing w:after="800"/>
      </w:pPr>
      <w:r>
        <w:t>October</w:t>
      </w:r>
      <w:r w:rsidR="00C14D9B">
        <w:t xml:space="preserve"> 2011</w:t>
      </w:r>
    </w:p>
    <w:p w:rsidR="003533D4" w:rsidRPr="00BD1E79" w:rsidRDefault="003533D4" w:rsidP="00496308">
      <w:pPr>
        <w:pStyle w:val="Subtitle"/>
      </w:pPr>
    </w:p>
    <w:p w:rsidR="00512105" w:rsidRPr="00EC4949" w:rsidRDefault="00512105" w:rsidP="00EC4949">
      <w:pPr>
        <w:pStyle w:val="Heading1"/>
      </w:pPr>
      <w:bookmarkStart w:id="0" w:name="Context"/>
      <w:bookmarkEnd w:id="0"/>
      <w:r w:rsidRPr="00EC4949">
        <w:t>Contents</w:t>
      </w:r>
    </w:p>
    <w:p w:rsidR="00835061" w:rsidRDefault="00512105" w:rsidP="00BD39E2">
      <w:pPr>
        <w:pStyle w:val="TOC1"/>
        <w:rPr>
          <w:rFonts w:ascii="Calibri" w:hAnsi="Calibri"/>
          <w:noProof/>
          <w:color w:val="auto"/>
        </w:rPr>
      </w:pPr>
      <w:r w:rsidRPr="00DC005A">
        <w:fldChar w:fldCharType="begin"/>
      </w:r>
      <w:r>
        <w:instrText xml:space="preserve"> TOC \o "1-2" \t </w:instrText>
      </w:r>
      <w:r w:rsidRPr="00DC005A">
        <w:fldChar w:fldCharType="separate"/>
      </w:r>
      <w:r w:rsidR="00835061">
        <w:rPr>
          <w:noProof/>
        </w:rPr>
        <w:t>Introduction</w:t>
      </w:r>
      <w:r w:rsidR="00835061">
        <w:rPr>
          <w:noProof/>
        </w:rPr>
        <w:tab/>
      </w:r>
      <w:r w:rsidR="00835061">
        <w:rPr>
          <w:noProof/>
        </w:rPr>
        <w:fldChar w:fldCharType="begin"/>
      </w:r>
      <w:r w:rsidR="00835061">
        <w:rPr>
          <w:noProof/>
        </w:rPr>
        <w:instrText xml:space="preserve"> PAGEREF _Toc306264786 \h </w:instrText>
      </w:r>
      <w:r w:rsidR="00835061">
        <w:rPr>
          <w:noProof/>
        </w:rPr>
      </w:r>
      <w:r w:rsidR="00835061">
        <w:rPr>
          <w:noProof/>
        </w:rPr>
        <w:fldChar w:fldCharType="separate"/>
      </w:r>
      <w:r w:rsidR="00835061">
        <w:rPr>
          <w:noProof/>
        </w:rPr>
        <w:t>2</w:t>
      </w:r>
      <w:r w:rsidR="00835061">
        <w:rPr>
          <w:noProof/>
        </w:rPr>
        <w:fldChar w:fldCharType="end"/>
      </w:r>
    </w:p>
    <w:p w:rsidR="00835061" w:rsidRDefault="00835061" w:rsidP="00BD39E2">
      <w:pPr>
        <w:pStyle w:val="TOC1"/>
        <w:rPr>
          <w:rFonts w:ascii="Calibri" w:hAnsi="Calibri"/>
          <w:noProof/>
          <w:color w:val="auto"/>
        </w:rPr>
      </w:pPr>
      <w:r>
        <w:rPr>
          <w:noProof/>
        </w:rPr>
        <w:t>Context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_Toc306264787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35061" w:rsidRDefault="00835061" w:rsidP="00BD39E2">
      <w:pPr>
        <w:pStyle w:val="TOC2"/>
        <w:rPr>
          <w:rFonts w:ascii="Calibri" w:hAnsi="Calibri"/>
          <w:noProof/>
          <w:color w:val="auto"/>
          <w:sz w:val="22"/>
          <w:szCs w:val="22"/>
        </w:rPr>
      </w:pPr>
      <w:r>
        <w:rPr>
          <w:noProof/>
        </w:rPr>
        <w:t>The economy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_Toc306264788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35061" w:rsidRDefault="00835061" w:rsidP="00BD39E2">
      <w:pPr>
        <w:pStyle w:val="TOC2"/>
        <w:rPr>
          <w:rFonts w:ascii="Calibri" w:hAnsi="Calibri"/>
          <w:noProof/>
          <w:color w:val="auto"/>
          <w:sz w:val="22"/>
          <w:szCs w:val="22"/>
        </w:rPr>
      </w:pPr>
      <w:r>
        <w:rPr>
          <w:noProof/>
        </w:rPr>
        <w:t>Development Cooperation Policy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_Toc306264789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35061" w:rsidRDefault="00835061" w:rsidP="00BD39E2">
      <w:pPr>
        <w:pStyle w:val="TOC2"/>
        <w:rPr>
          <w:rFonts w:ascii="Calibri" w:hAnsi="Calibri"/>
          <w:noProof/>
          <w:color w:val="auto"/>
          <w:sz w:val="22"/>
          <w:szCs w:val="22"/>
        </w:rPr>
      </w:pPr>
      <w:r>
        <w:rPr>
          <w:noProof/>
        </w:rPr>
        <w:t>Development partners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_Toc306264790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35061" w:rsidRDefault="00835061" w:rsidP="00BD39E2">
      <w:pPr>
        <w:pStyle w:val="TOC1"/>
        <w:rPr>
          <w:rFonts w:ascii="Calibri" w:hAnsi="Calibri"/>
          <w:noProof/>
          <w:color w:val="auto"/>
        </w:rPr>
      </w:pPr>
      <w:r>
        <w:rPr>
          <w:noProof/>
        </w:rPr>
        <w:t>Progress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_Toc306264791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35061" w:rsidRDefault="00835061" w:rsidP="00BD39E2">
      <w:pPr>
        <w:pStyle w:val="TOC2"/>
        <w:rPr>
          <w:rFonts w:ascii="Calibri" w:hAnsi="Calibri"/>
          <w:noProof/>
          <w:color w:val="auto"/>
          <w:sz w:val="22"/>
          <w:szCs w:val="22"/>
        </w:rPr>
      </w:pPr>
      <w:r>
        <w:rPr>
          <w:noProof/>
        </w:rPr>
        <w:t>Partnership Priority Outcome 1: Private sector growth and employment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_Toc306264792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35061" w:rsidRDefault="00835061" w:rsidP="00BD39E2">
      <w:pPr>
        <w:pStyle w:val="TOC2"/>
        <w:rPr>
          <w:rFonts w:ascii="Calibri" w:hAnsi="Calibri"/>
          <w:noProof/>
          <w:color w:val="auto"/>
          <w:sz w:val="22"/>
          <w:szCs w:val="22"/>
        </w:rPr>
      </w:pPr>
      <w:r>
        <w:rPr>
          <w:noProof/>
        </w:rPr>
        <w:t>Partnership Priority Outcome 2: Improved health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_Toc306264793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35061" w:rsidRDefault="00835061" w:rsidP="00BD39E2">
      <w:pPr>
        <w:pStyle w:val="TOC2"/>
        <w:rPr>
          <w:rFonts w:ascii="Calibri" w:hAnsi="Calibri"/>
          <w:noProof/>
          <w:color w:val="auto"/>
          <w:sz w:val="22"/>
          <w:szCs w:val="22"/>
        </w:rPr>
      </w:pPr>
      <w:r>
        <w:rPr>
          <w:noProof/>
        </w:rPr>
        <w:t>Partnership Priority Outcome 3: Improved education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_Toc306264794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835061" w:rsidRDefault="00835061" w:rsidP="00BD39E2">
      <w:pPr>
        <w:pStyle w:val="TOC2"/>
        <w:rPr>
          <w:rFonts w:ascii="Calibri" w:hAnsi="Calibri"/>
          <w:noProof/>
          <w:color w:val="auto"/>
          <w:sz w:val="22"/>
          <w:szCs w:val="22"/>
        </w:rPr>
      </w:pPr>
      <w:r>
        <w:rPr>
          <w:noProof/>
        </w:rPr>
        <w:t>Partnership Priority Outcome 4a: Improved governance—law and justice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_Toc306264795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835061" w:rsidRDefault="00835061" w:rsidP="00BD39E2">
      <w:pPr>
        <w:pStyle w:val="TOC2"/>
        <w:rPr>
          <w:rFonts w:ascii="Calibri" w:hAnsi="Calibri"/>
          <w:noProof/>
          <w:color w:val="auto"/>
          <w:sz w:val="22"/>
          <w:szCs w:val="22"/>
        </w:rPr>
      </w:pPr>
      <w:r>
        <w:rPr>
          <w:noProof/>
        </w:rPr>
        <w:t>Partnership Priority Outcome 4b: Improved governance—public sector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_Toc306264796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835061" w:rsidRDefault="00835061" w:rsidP="00BD39E2">
      <w:pPr>
        <w:pStyle w:val="TOC2"/>
        <w:rPr>
          <w:rFonts w:ascii="Calibri" w:hAnsi="Calibri"/>
          <w:noProof/>
          <w:color w:val="auto"/>
          <w:sz w:val="22"/>
          <w:szCs w:val="22"/>
        </w:rPr>
      </w:pPr>
      <w:r>
        <w:rPr>
          <w:noProof/>
        </w:rPr>
        <w:t>Partnership Priority Outcome 5: Climate change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_Toc306264797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835061" w:rsidRDefault="00835061" w:rsidP="00BD39E2">
      <w:pPr>
        <w:pStyle w:val="TOC1"/>
        <w:rPr>
          <w:rFonts w:ascii="Calibri" w:hAnsi="Calibri"/>
          <w:noProof/>
          <w:color w:val="auto"/>
        </w:rPr>
      </w:pPr>
      <w:r>
        <w:rPr>
          <w:noProof/>
        </w:rPr>
        <w:t>Looking ahead to 2011–12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_Toc306264798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1B656A" w:rsidRDefault="00512105" w:rsidP="00EC4949">
      <w:pPr>
        <w:pStyle w:val="Heading1"/>
      </w:pPr>
      <w:r>
        <w:fldChar w:fldCharType="end"/>
      </w:r>
      <w:r>
        <w:br w:type="page"/>
      </w:r>
      <w:bookmarkStart w:id="1" w:name="_Toc306264786"/>
      <w:r w:rsidR="001B656A">
        <w:lastRenderedPageBreak/>
        <w:t>Introduction</w:t>
      </w:r>
      <w:bookmarkEnd w:id="1"/>
    </w:p>
    <w:p w:rsidR="00333FF0" w:rsidRDefault="001C3DAE" w:rsidP="00BD39E2">
      <w:pPr>
        <w:pStyle w:val="BodyText"/>
      </w:pPr>
      <w:r>
        <w:t>The Samoa</w:t>
      </w:r>
      <w:r w:rsidR="00333FF0">
        <w:t xml:space="preserve"> – </w:t>
      </w:r>
      <w:r>
        <w:t xml:space="preserve">Australia Partnership </w:t>
      </w:r>
      <w:r w:rsidRPr="008225A7">
        <w:t xml:space="preserve">for Development (the </w:t>
      </w:r>
      <w:r w:rsidR="006C5E57">
        <w:t>p</w:t>
      </w:r>
      <w:r w:rsidRPr="008225A7">
        <w:t xml:space="preserve">artnership) was signed by the Prime Ministers of Samoa and </w:t>
      </w:r>
      <w:smartTag w:uri="urn:schemas-microsoft-com:office:smarttags" w:element="country-region">
        <w:smartTag w:uri="urn:schemas-microsoft-com:office:smarttags" w:element="place">
          <w:r w:rsidRPr="008225A7">
            <w:t>Australia</w:t>
          </w:r>
        </w:smartTag>
      </w:smartTag>
      <w:r w:rsidRPr="008225A7">
        <w:t xml:space="preserve"> in August 2008</w:t>
      </w:r>
      <w:r w:rsidR="006C5E57">
        <w:t>. The p</w:t>
      </w:r>
      <w:r w:rsidRPr="008225A7">
        <w:t xml:space="preserve">artnership sets out </w:t>
      </w:r>
      <w:r w:rsidR="00333FF0">
        <w:t>the</w:t>
      </w:r>
      <w:r w:rsidRPr="008225A7">
        <w:t xml:space="preserve"> shared vision </w:t>
      </w:r>
      <w:r w:rsidR="00333FF0">
        <w:t>of</w:t>
      </w:r>
      <w:r w:rsidR="00333FF0" w:rsidRPr="008225A7">
        <w:t xml:space="preserve"> </w:t>
      </w:r>
      <w:r w:rsidRPr="008225A7">
        <w:t>the two countries to work together to meet common challenges and raise the</w:t>
      </w:r>
      <w:r w:rsidR="007712D4" w:rsidRPr="008225A7">
        <w:t xml:space="preserve"> standard of living</w:t>
      </w:r>
      <w:r w:rsidRPr="008225A7">
        <w:t xml:space="preserve"> for the Samoan people</w:t>
      </w:r>
      <w:r w:rsidR="007712D4" w:rsidRPr="008225A7">
        <w:t xml:space="preserve">. It aims to advance progress by 2015 to </w:t>
      </w:r>
      <w:smartTag w:uri="urn:schemas-microsoft-com:office:smarttags" w:element="place">
        <w:r w:rsidR="007712D4" w:rsidRPr="008225A7">
          <w:t>Samoa</w:t>
        </w:r>
      </w:smartTag>
      <w:r w:rsidR="007712D4" w:rsidRPr="008225A7">
        <w:t xml:space="preserve">’s development vision of </w:t>
      </w:r>
      <w:r w:rsidR="005063CB">
        <w:t>‘</w:t>
      </w:r>
      <w:r w:rsidR="007712D4" w:rsidRPr="008225A7">
        <w:t>improved quality of life for all</w:t>
      </w:r>
      <w:r w:rsidR="005063CB">
        <w:t>’</w:t>
      </w:r>
      <w:r w:rsidR="00333FF0">
        <w:t>,</w:t>
      </w:r>
      <w:r w:rsidR="007712D4" w:rsidRPr="008225A7">
        <w:t xml:space="preserve"> as expressed in the </w:t>
      </w:r>
      <w:r w:rsidR="007712D4" w:rsidRPr="008225A7">
        <w:rPr>
          <w:i/>
        </w:rPr>
        <w:t>Strategy for the Development of Samoa 2008</w:t>
      </w:r>
      <w:r w:rsidR="004B33E6">
        <w:rPr>
          <w:i/>
        </w:rPr>
        <w:t>–</w:t>
      </w:r>
      <w:r w:rsidR="007712D4" w:rsidRPr="008225A7">
        <w:rPr>
          <w:i/>
        </w:rPr>
        <w:t>12</w:t>
      </w:r>
      <w:r w:rsidRPr="008225A7">
        <w:t>. Founded on the principles of mutual respect and mutual responsibility</w:t>
      </w:r>
      <w:r w:rsidR="004454B0" w:rsidRPr="008225A7">
        <w:t>,</w:t>
      </w:r>
      <w:r w:rsidR="006C5E57">
        <w:t xml:space="preserve"> the p</w:t>
      </w:r>
      <w:r w:rsidRPr="008225A7">
        <w:t xml:space="preserve">artnership commits </w:t>
      </w:r>
      <w:smartTag w:uri="urn:schemas-microsoft-com:office:smarttags" w:element="country-region">
        <w:r w:rsidRPr="008225A7">
          <w:t>Australia</w:t>
        </w:r>
      </w:smartTag>
      <w:r w:rsidRPr="008225A7">
        <w:t xml:space="preserve"> to increase its assistance and deliver a jointly-agreed program </w:t>
      </w:r>
      <w:r w:rsidR="004454B0" w:rsidRPr="008225A7">
        <w:t>to achieve</w:t>
      </w:r>
      <w:r w:rsidR="00747123" w:rsidRPr="008225A7">
        <w:t xml:space="preserve"> </w:t>
      </w:r>
      <w:smartTag w:uri="urn:schemas-microsoft-com:office:smarttags" w:element="place">
        <w:r w:rsidR="00747123" w:rsidRPr="008225A7">
          <w:t>Samoa</w:t>
        </w:r>
      </w:smartTag>
      <w:r w:rsidR="00747123" w:rsidRPr="008225A7">
        <w:t>’s</w:t>
      </w:r>
      <w:r w:rsidR="00747123">
        <w:t xml:space="preserve"> national </w:t>
      </w:r>
      <w:r w:rsidR="007712D4">
        <w:t>development priorities</w:t>
      </w:r>
      <w:r w:rsidR="00747123">
        <w:t>.</w:t>
      </w:r>
      <w:r>
        <w:t xml:space="preserve"> At its </w:t>
      </w:r>
      <w:r w:rsidR="00333FF0">
        <w:t xml:space="preserve">start, </w:t>
      </w:r>
      <w:r w:rsidR="006C5E57">
        <w:t>the p</w:t>
      </w:r>
      <w:r>
        <w:t>artnership adopted five priority outcomes: P</w:t>
      </w:r>
      <w:r w:rsidR="006C5E57">
        <w:t>rivate s</w:t>
      </w:r>
      <w:r>
        <w:t xml:space="preserve">ector </w:t>
      </w:r>
      <w:r w:rsidR="006C5E57">
        <w:t>g</w:t>
      </w:r>
      <w:r>
        <w:t xml:space="preserve">rowth and </w:t>
      </w:r>
      <w:r w:rsidR="006C5E57">
        <w:t>e</w:t>
      </w:r>
      <w:r>
        <w:t xml:space="preserve">mployment; Improved </w:t>
      </w:r>
      <w:r w:rsidR="006C5E57">
        <w:t>h</w:t>
      </w:r>
      <w:r>
        <w:t xml:space="preserve">ealth; Improved </w:t>
      </w:r>
      <w:r w:rsidR="006C5E57">
        <w:t>e</w:t>
      </w:r>
      <w:r>
        <w:t xml:space="preserve">ducation; Improved </w:t>
      </w:r>
      <w:r w:rsidR="006C5E57">
        <w:t>g</w:t>
      </w:r>
      <w:r>
        <w:t xml:space="preserve">overnance </w:t>
      </w:r>
      <w:r w:rsidR="004454B0">
        <w:t>(</w:t>
      </w:r>
      <w:r w:rsidR="006C5E57">
        <w:t>l</w:t>
      </w:r>
      <w:r>
        <w:t xml:space="preserve">aw </w:t>
      </w:r>
      <w:r w:rsidR="005063CB">
        <w:t>and</w:t>
      </w:r>
      <w:r>
        <w:t xml:space="preserve"> </w:t>
      </w:r>
      <w:r w:rsidR="006C5E57">
        <w:t>j</w:t>
      </w:r>
      <w:r>
        <w:t>ustice</w:t>
      </w:r>
      <w:r w:rsidR="004454B0">
        <w:t xml:space="preserve"> and </w:t>
      </w:r>
      <w:r w:rsidR="006C5E57">
        <w:t>p</w:t>
      </w:r>
      <w:r w:rsidR="004454B0">
        <w:t xml:space="preserve">ublic </w:t>
      </w:r>
      <w:r w:rsidR="006C5E57">
        <w:t>s</w:t>
      </w:r>
      <w:r w:rsidR="004454B0">
        <w:t>ector</w:t>
      </w:r>
      <w:r w:rsidR="00C11549">
        <w:t>)</w:t>
      </w:r>
      <w:r>
        <w:t xml:space="preserve">; and Climate </w:t>
      </w:r>
      <w:r w:rsidR="006C5E57">
        <w:t>c</w:t>
      </w:r>
      <w:r>
        <w:t xml:space="preserve">hange. </w:t>
      </w:r>
    </w:p>
    <w:p w:rsidR="001C3DAE" w:rsidRDefault="001C3DAE" w:rsidP="00BD39E2">
      <w:pPr>
        <w:pStyle w:val="BodyText"/>
      </w:pPr>
      <w:r>
        <w:t>This report re</w:t>
      </w:r>
      <w:r w:rsidR="006C5E57">
        <w:t>views the progress made by the p</w:t>
      </w:r>
      <w:r>
        <w:t>artnership and it</w:t>
      </w:r>
      <w:r w:rsidR="003F076D">
        <w:t>s priority outcomes during 2010</w:t>
      </w:r>
      <w:r w:rsidR="004B33E6">
        <w:t>–</w:t>
      </w:r>
      <w:r>
        <w:t>11.</w:t>
      </w:r>
    </w:p>
    <w:p w:rsidR="001C3DAE" w:rsidRDefault="001C3DAE" w:rsidP="00EC4949">
      <w:pPr>
        <w:pStyle w:val="Heading1"/>
        <w:spacing w:before="480"/>
      </w:pPr>
      <w:bookmarkStart w:id="2" w:name="_Toc306264787"/>
      <w:r>
        <w:t>Context</w:t>
      </w:r>
      <w:bookmarkEnd w:id="2"/>
      <w:r>
        <w:t xml:space="preserve"> </w:t>
      </w:r>
    </w:p>
    <w:p w:rsidR="001C3DAE" w:rsidRPr="00B11C66" w:rsidRDefault="001C3DAE" w:rsidP="00EC4949">
      <w:pPr>
        <w:pStyle w:val="Heading2"/>
        <w:spacing w:before="240"/>
      </w:pPr>
      <w:bookmarkStart w:id="3" w:name="_Toc306264788"/>
      <w:r w:rsidRPr="00B11C66">
        <w:t xml:space="preserve">The </w:t>
      </w:r>
      <w:r w:rsidR="00343A2F">
        <w:t>e</w:t>
      </w:r>
      <w:r w:rsidRPr="00B11C66">
        <w:t>conomy</w:t>
      </w:r>
      <w:bookmarkEnd w:id="3"/>
    </w:p>
    <w:p w:rsidR="00D707EE" w:rsidRDefault="002D3E5F" w:rsidP="00BD39E2">
      <w:pPr>
        <w:pStyle w:val="BodyText"/>
      </w:pPr>
      <w:r>
        <w:t xml:space="preserve">In </w:t>
      </w:r>
      <w:r w:rsidRPr="008225A7">
        <w:t xml:space="preserve">recent years </w:t>
      </w:r>
      <w:smartTag w:uri="urn:schemas-microsoft-com:office:smarttags" w:element="place">
        <w:r w:rsidRPr="008225A7">
          <w:t>Samoa</w:t>
        </w:r>
      </w:smartTag>
      <w:r w:rsidR="00D707EE" w:rsidRPr="008225A7">
        <w:t xml:space="preserve"> </w:t>
      </w:r>
      <w:r w:rsidR="002E6305" w:rsidRPr="008225A7">
        <w:t xml:space="preserve">has </w:t>
      </w:r>
      <w:r w:rsidR="00170E3F" w:rsidRPr="008225A7">
        <w:t xml:space="preserve">experienced </w:t>
      </w:r>
      <w:r w:rsidRPr="008225A7">
        <w:t>multiple economic shocks</w:t>
      </w:r>
      <w:r w:rsidR="002E6305" w:rsidRPr="008225A7">
        <w:t>:</w:t>
      </w:r>
      <w:r w:rsidRPr="008225A7">
        <w:t xml:space="preserve"> </w:t>
      </w:r>
      <w:r w:rsidR="001C3DAE" w:rsidRPr="008225A7">
        <w:t>the global financial crisis</w:t>
      </w:r>
      <w:r w:rsidR="00437A77" w:rsidRPr="008225A7">
        <w:t>, food and fuel crises</w:t>
      </w:r>
      <w:r w:rsidR="001C3DAE" w:rsidRPr="008225A7">
        <w:t xml:space="preserve"> and the September 2009 tsunami</w:t>
      </w:r>
      <w:r w:rsidR="009C2AF4" w:rsidRPr="008225A7">
        <w:t>. The</w:t>
      </w:r>
      <w:r w:rsidR="00437A77" w:rsidRPr="008225A7">
        <w:t xml:space="preserve"> economy contract</w:t>
      </w:r>
      <w:r w:rsidR="009C2AF4" w:rsidRPr="008225A7">
        <w:t>ed</w:t>
      </w:r>
      <w:r w:rsidR="00437A77" w:rsidRPr="008225A7">
        <w:t xml:space="preserve"> by </w:t>
      </w:r>
      <w:r w:rsidR="003F076D" w:rsidRPr="008225A7">
        <w:t>5.1 per cent in 2008</w:t>
      </w:r>
      <w:r w:rsidR="004B33E6">
        <w:t>–</w:t>
      </w:r>
      <w:r w:rsidR="001C3DAE" w:rsidRPr="008225A7">
        <w:t>09 and</w:t>
      </w:r>
      <w:r w:rsidR="003F076D" w:rsidRPr="008225A7">
        <w:t xml:space="preserve"> a further 0.2 per cent in 2009</w:t>
      </w:r>
      <w:r w:rsidR="004B33E6">
        <w:t>–</w:t>
      </w:r>
      <w:r w:rsidR="003F076D" w:rsidRPr="008225A7">
        <w:t>10</w:t>
      </w:r>
      <w:r w:rsidR="00437A77" w:rsidRPr="008225A7">
        <w:t xml:space="preserve">. In </w:t>
      </w:r>
      <w:r w:rsidRPr="008225A7">
        <w:t xml:space="preserve">response to the global financial crisis, </w:t>
      </w:r>
      <w:r w:rsidR="00437A77" w:rsidRPr="008225A7">
        <w:rPr>
          <w:rFonts w:cs="Courier New"/>
        </w:rPr>
        <w:t>t</w:t>
      </w:r>
      <w:r w:rsidR="00437A77" w:rsidRPr="008225A7">
        <w:t>he Government of Samoa</w:t>
      </w:r>
      <w:r w:rsidR="00333FF0">
        <w:t>, in 2008–09,</w:t>
      </w:r>
      <w:r w:rsidR="00437A77" w:rsidRPr="008225A7">
        <w:t xml:space="preserve"> delivered a major fiscal stimulus package target</w:t>
      </w:r>
      <w:r w:rsidR="009C2AF4" w:rsidRPr="008225A7">
        <w:t>ing</w:t>
      </w:r>
      <w:r w:rsidR="00437A77" w:rsidRPr="008225A7">
        <w:t xml:space="preserve"> infrastructure</w:t>
      </w:r>
      <w:r w:rsidR="00437A77">
        <w:t xml:space="preserve"> investment to boost economic activity and create employment.</w:t>
      </w:r>
      <w:r w:rsidR="003F076D">
        <w:t xml:space="preserve"> </w:t>
      </w:r>
      <w:r>
        <w:t>The tsunami</w:t>
      </w:r>
      <w:r w:rsidR="004B33E6">
        <w:t>—</w:t>
      </w:r>
      <w:r>
        <w:t xml:space="preserve">the worst natural disaster to have struck Samoa since </w:t>
      </w:r>
      <w:r w:rsidR="00F11793">
        <w:t>I</w:t>
      </w:r>
      <w:r>
        <w:t>ndependence in 1962</w:t>
      </w:r>
      <w:r w:rsidR="004B33E6">
        <w:t>—</w:t>
      </w:r>
      <w:r>
        <w:t xml:space="preserve">placed further strain on the economy. </w:t>
      </w:r>
      <w:r w:rsidR="00170E3F">
        <w:t>Responding quickly</w:t>
      </w:r>
      <w:r w:rsidR="000F7E7E">
        <w:t>,</w:t>
      </w:r>
      <w:r w:rsidR="00170E3F">
        <w:t xml:space="preserve"> the government implemented a recovery program </w:t>
      </w:r>
      <w:r w:rsidR="00333FF0">
        <w:t>to</w:t>
      </w:r>
      <w:r w:rsidR="00170E3F">
        <w:t xml:space="preserve"> restor</w:t>
      </w:r>
      <w:r w:rsidR="00333FF0">
        <w:t>e</w:t>
      </w:r>
      <w:r w:rsidR="00170E3F">
        <w:t xml:space="preserve"> essential services and </w:t>
      </w:r>
      <w:r w:rsidR="006C5E57">
        <w:t xml:space="preserve">protect </w:t>
      </w:r>
      <w:r w:rsidR="00333FF0">
        <w:t xml:space="preserve">the </w:t>
      </w:r>
      <w:r w:rsidR="00170E3F">
        <w:t xml:space="preserve">livelihoods </w:t>
      </w:r>
      <w:r w:rsidR="00333FF0">
        <w:t xml:space="preserve">of </w:t>
      </w:r>
      <w:r w:rsidR="00170E3F">
        <w:t xml:space="preserve">those worst affected. </w:t>
      </w:r>
    </w:p>
    <w:p w:rsidR="001C3DAE" w:rsidRDefault="00170E3F" w:rsidP="00BD39E2">
      <w:pPr>
        <w:pStyle w:val="BodyText"/>
      </w:pPr>
      <w:smartTag w:uri="urn:schemas-microsoft-com:office:smarttags" w:element="place">
        <w:r>
          <w:t>Samoa</w:t>
        </w:r>
      </w:smartTag>
      <w:r>
        <w:t xml:space="preserve"> continue</w:t>
      </w:r>
      <w:r w:rsidR="00464D9A">
        <w:t>d</w:t>
      </w:r>
      <w:r>
        <w:t xml:space="preserve"> </w:t>
      </w:r>
      <w:r w:rsidR="00464D9A">
        <w:t>its</w:t>
      </w:r>
      <w:r>
        <w:t xml:space="preserve"> stead</w:t>
      </w:r>
      <w:r w:rsidR="00464D9A">
        <w:t>y recovery</w:t>
      </w:r>
      <w:r>
        <w:t xml:space="preserve"> from these shocks. </w:t>
      </w:r>
      <w:r w:rsidR="00464D9A">
        <w:t>During</w:t>
      </w:r>
      <w:r w:rsidR="00F11793">
        <w:t xml:space="preserve"> 2010–11 </w:t>
      </w:r>
      <w:r w:rsidR="00464D9A">
        <w:t>t</w:t>
      </w:r>
      <w:r w:rsidR="00F11793">
        <w:t xml:space="preserve">he </w:t>
      </w:r>
      <w:r w:rsidR="001C3DAE">
        <w:t xml:space="preserve">economy is expected to return to growth, estimated </w:t>
      </w:r>
      <w:r w:rsidR="00464D9A">
        <w:t>at</w:t>
      </w:r>
      <w:r w:rsidR="001C3DAE">
        <w:t xml:space="preserve"> between 2.5 to 3 per cent.</w:t>
      </w:r>
      <w:r w:rsidR="001C3DAE">
        <w:rPr>
          <w:rStyle w:val="FootnoteReference"/>
        </w:rPr>
        <w:footnoteReference w:id="2"/>
      </w:r>
      <w:r w:rsidR="001C3DAE">
        <w:t xml:space="preserve"> </w:t>
      </w:r>
      <w:r w:rsidR="00333FF0">
        <w:t>E</w:t>
      </w:r>
      <w:r w:rsidR="001A0850">
        <w:t xml:space="preserve">conomic </w:t>
      </w:r>
      <w:r w:rsidR="001C3DAE">
        <w:t xml:space="preserve">growth </w:t>
      </w:r>
      <w:r w:rsidR="009C2AF4">
        <w:t>has been</w:t>
      </w:r>
      <w:r w:rsidR="00333FF0">
        <w:t xml:space="preserve"> driven by</w:t>
      </w:r>
      <w:r w:rsidR="00BD0CDF">
        <w:t xml:space="preserve"> improvements</w:t>
      </w:r>
      <w:r w:rsidR="001C3DAE">
        <w:t xml:space="preserve"> in the transport, communication, tourism and manufacturing sectors, </w:t>
      </w:r>
      <w:r w:rsidR="00333FF0">
        <w:t>as well as</w:t>
      </w:r>
      <w:r w:rsidR="001C3DAE">
        <w:t xml:space="preserve"> the recovery of remittance flows. However, the agricultural sector, upon which most of </w:t>
      </w:r>
      <w:smartTag w:uri="urn:schemas-microsoft-com:office:smarttags" w:element="place">
        <w:r w:rsidR="001C3DAE">
          <w:t>Samoa</w:t>
        </w:r>
      </w:smartTag>
      <w:r w:rsidR="001C3DAE">
        <w:t xml:space="preserve">’s </w:t>
      </w:r>
      <w:r w:rsidR="00B42801">
        <w:t>most vulnerable</w:t>
      </w:r>
      <w:r w:rsidR="001C3DAE">
        <w:t xml:space="preserve"> rely, </w:t>
      </w:r>
      <w:r w:rsidR="005265C4">
        <w:t xml:space="preserve">remains </w:t>
      </w:r>
      <w:r w:rsidR="00D707EE" w:rsidRPr="008225A7">
        <w:t>depressed</w:t>
      </w:r>
      <w:r w:rsidR="001C3DAE">
        <w:t>.</w:t>
      </w:r>
    </w:p>
    <w:p w:rsidR="001C3DAE" w:rsidRDefault="009B674A" w:rsidP="00EC4949">
      <w:pPr>
        <w:pStyle w:val="Heading2"/>
        <w:spacing w:before="240"/>
      </w:pPr>
      <w:bookmarkStart w:id="4" w:name="_Toc306264789"/>
      <w:r>
        <w:t xml:space="preserve">Development </w:t>
      </w:r>
      <w:r w:rsidR="00F26ACF">
        <w:t>C</w:t>
      </w:r>
      <w:r>
        <w:t>ooperation</w:t>
      </w:r>
      <w:r w:rsidR="001C3DAE">
        <w:t xml:space="preserve"> </w:t>
      </w:r>
      <w:r w:rsidR="00F26ACF">
        <w:t>P</w:t>
      </w:r>
      <w:r w:rsidR="001C3DAE">
        <w:t>olicy</w:t>
      </w:r>
      <w:bookmarkEnd w:id="4"/>
    </w:p>
    <w:p w:rsidR="001C3DAE" w:rsidRDefault="001C3DAE" w:rsidP="00BD39E2">
      <w:pPr>
        <w:pStyle w:val="BodyText"/>
      </w:pPr>
      <w:r>
        <w:t xml:space="preserve">The </w:t>
      </w:r>
      <w:r w:rsidRPr="000A4E32">
        <w:t>G</w:t>
      </w:r>
      <w:r w:rsidR="00C17876">
        <w:t>overnment of Samoa</w:t>
      </w:r>
      <w:r w:rsidRPr="000A4E32">
        <w:t xml:space="preserve"> </w:t>
      </w:r>
      <w:r w:rsidR="009B674A">
        <w:t xml:space="preserve">has a clear vision for </w:t>
      </w:r>
      <w:smartTag w:uri="urn:schemas-microsoft-com:office:smarttags" w:element="place">
        <w:r w:rsidR="009B674A">
          <w:t>Samoa</w:t>
        </w:r>
      </w:smartTag>
      <w:r w:rsidR="009B674A">
        <w:t>’s national development</w:t>
      </w:r>
      <w:r w:rsidRPr="000A4E32">
        <w:t xml:space="preserve">. </w:t>
      </w:r>
      <w:r>
        <w:t xml:space="preserve">In December 2010 the </w:t>
      </w:r>
      <w:r w:rsidR="00FC26CF" w:rsidRPr="008225A7">
        <w:t>government</w:t>
      </w:r>
      <w:r w:rsidR="00FC26CF">
        <w:t xml:space="preserve"> </w:t>
      </w:r>
      <w:r>
        <w:t xml:space="preserve">published its </w:t>
      </w:r>
      <w:r w:rsidR="00F26ACF">
        <w:t>d</w:t>
      </w:r>
      <w:r>
        <w:t xml:space="preserve">evelopment </w:t>
      </w:r>
      <w:r w:rsidR="00F26ACF">
        <w:t>c</w:t>
      </w:r>
      <w:r>
        <w:t xml:space="preserve">ooperation </w:t>
      </w:r>
      <w:r w:rsidR="00F26ACF">
        <w:t>p</w:t>
      </w:r>
      <w:r>
        <w:t>olicy</w:t>
      </w:r>
      <w:r w:rsidR="00333FF0">
        <w:t>—</w:t>
      </w:r>
      <w:r w:rsidRPr="00172293">
        <w:rPr>
          <w:i/>
        </w:rPr>
        <w:t>Partners in Development: promoting aid effectiveness</w:t>
      </w:r>
      <w:r>
        <w:t xml:space="preserve">. Consistent with the </w:t>
      </w:r>
      <w:smartTag w:uri="urn:schemas-microsoft-com:office:smarttags" w:element="place">
        <w:r>
          <w:t>Samoa</w:t>
        </w:r>
      </w:smartTag>
      <w:r w:rsidR="00333FF0">
        <w:t xml:space="preserve"> – </w:t>
      </w:r>
      <w:r>
        <w:t>Australia Partnership, the policy reaffirms the central role of the government in setting</w:t>
      </w:r>
      <w:r w:rsidR="00333FF0">
        <w:t xml:space="preserve"> its</w:t>
      </w:r>
      <w:r>
        <w:t xml:space="preserve"> national development priorities. The policy commits the </w:t>
      </w:r>
      <w:r w:rsidR="00333FF0">
        <w:t>g</w:t>
      </w:r>
      <w:r w:rsidR="00FC26CF">
        <w:t>overnment</w:t>
      </w:r>
      <w:r>
        <w:t xml:space="preserve"> to work with </w:t>
      </w:r>
      <w:r w:rsidR="00BA7E95">
        <w:t>d</w:t>
      </w:r>
      <w:r w:rsidR="009B674A">
        <w:t>evelopment partners</w:t>
      </w:r>
      <w:r>
        <w:t xml:space="preserve"> to maximise the impact of aid by improving how aid funds are coordinated and managed. The policy </w:t>
      </w:r>
      <w:r w:rsidR="005E30CE">
        <w:t>proposes</w:t>
      </w:r>
      <w:r>
        <w:t xml:space="preserve"> strengthening of </w:t>
      </w:r>
      <w:r w:rsidR="00FC26CF">
        <w:t>government</w:t>
      </w:r>
      <w:r>
        <w:t xml:space="preserve"> systems and procedures with the expectation that </w:t>
      </w:r>
      <w:r w:rsidR="009B674A">
        <w:t>development partners</w:t>
      </w:r>
      <w:r>
        <w:t xml:space="preserve"> will increasingly provide funds through </w:t>
      </w:r>
      <w:r w:rsidR="00FC26CF">
        <w:t>government</w:t>
      </w:r>
      <w:r>
        <w:t xml:space="preserve"> systems and ultimately by direct budget support. </w:t>
      </w:r>
      <w:smartTag w:uri="urn:schemas-microsoft-com:office:smarttags" w:element="country-region">
        <w:smartTag w:uri="urn:schemas-microsoft-com:office:smarttags" w:element="place">
          <w:r w:rsidR="0032102B">
            <w:t>Australia</w:t>
          </w:r>
        </w:smartTag>
      </w:smartTag>
      <w:r w:rsidR="0032102B">
        <w:t xml:space="preserve"> </w:t>
      </w:r>
      <w:r w:rsidR="000F7E7E">
        <w:t>is</w:t>
      </w:r>
      <w:r w:rsidR="0008100E">
        <w:t xml:space="preserve"> committed to </w:t>
      </w:r>
      <w:r w:rsidR="005379E3">
        <w:t>policy dialogue</w:t>
      </w:r>
      <w:r w:rsidR="0032102B">
        <w:t>.</w:t>
      </w:r>
    </w:p>
    <w:p w:rsidR="001C3DAE" w:rsidRDefault="001B656A" w:rsidP="00EC4949">
      <w:pPr>
        <w:pStyle w:val="Heading2"/>
        <w:spacing w:before="240"/>
      </w:pPr>
      <w:bookmarkStart w:id="5" w:name="_Toc306264790"/>
      <w:r>
        <w:t xml:space="preserve">Development </w:t>
      </w:r>
      <w:r w:rsidR="00343A2F">
        <w:t>p</w:t>
      </w:r>
      <w:r>
        <w:t>artners</w:t>
      </w:r>
      <w:bookmarkEnd w:id="5"/>
    </w:p>
    <w:p w:rsidR="00440D26" w:rsidRDefault="001C3DAE" w:rsidP="00BD39E2">
      <w:pPr>
        <w:pStyle w:val="BodyText"/>
      </w:pPr>
      <w:r>
        <w:lastRenderedPageBreak/>
        <w:t xml:space="preserve">Official Development Assistance to </w:t>
      </w:r>
      <w:smartTag w:uri="urn:schemas-microsoft-com:office:smarttags" w:element="place">
        <w:r>
          <w:t>Samoa</w:t>
        </w:r>
      </w:smartTag>
      <w:r>
        <w:t xml:space="preserve"> has </w:t>
      </w:r>
      <w:r w:rsidR="00FA2259">
        <w:t xml:space="preserve">grown </w:t>
      </w:r>
      <w:r w:rsidR="00FA2259" w:rsidRPr="008225A7">
        <w:t xml:space="preserve">strongly over the past </w:t>
      </w:r>
      <w:r w:rsidRPr="008225A7">
        <w:t xml:space="preserve">five years, </w:t>
      </w:r>
      <w:r w:rsidR="00FA2259" w:rsidRPr="008225A7">
        <w:t>and</w:t>
      </w:r>
      <w:r w:rsidRPr="008225A7">
        <w:t xml:space="preserve"> total grant and loan disbursements </w:t>
      </w:r>
      <w:r w:rsidR="00FA2259" w:rsidRPr="008225A7">
        <w:t xml:space="preserve">are </w:t>
      </w:r>
      <w:r w:rsidRPr="008225A7">
        <w:t xml:space="preserve">expected to be </w:t>
      </w:r>
      <w:r w:rsidR="00440D26">
        <w:t>more than</w:t>
      </w:r>
      <w:r w:rsidR="00315A8F" w:rsidRPr="001A004E">
        <w:t xml:space="preserve"> </w:t>
      </w:r>
      <w:r w:rsidRPr="001A004E">
        <w:t>SAT27</w:t>
      </w:r>
      <w:r w:rsidR="00440D26" w:rsidRPr="001A004E">
        <w:t>3</w:t>
      </w:r>
      <w:r w:rsidR="00F14AB7">
        <w:t> </w:t>
      </w:r>
      <w:r w:rsidRPr="001A004E">
        <w:t>million (A</w:t>
      </w:r>
      <w:r w:rsidR="008E2187">
        <w:t>U</w:t>
      </w:r>
      <w:r w:rsidRPr="001A004E">
        <w:t>$114</w:t>
      </w:r>
      <w:r w:rsidR="00F14AB7">
        <w:t> </w:t>
      </w:r>
      <w:r w:rsidRPr="001A004E">
        <w:t xml:space="preserve">million) </w:t>
      </w:r>
      <w:r w:rsidR="003F076D" w:rsidRPr="001A004E">
        <w:t>in 2010</w:t>
      </w:r>
      <w:r w:rsidR="004B33E6" w:rsidRPr="001A004E">
        <w:t>–</w:t>
      </w:r>
      <w:r w:rsidRPr="001A004E">
        <w:t>11.</w:t>
      </w:r>
      <w:r w:rsidR="00B65FBD" w:rsidRPr="001A004E">
        <w:rPr>
          <w:rStyle w:val="FootnoteReference"/>
        </w:rPr>
        <w:footnoteReference w:id="3"/>
      </w:r>
      <w:r w:rsidRPr="001A004E">
        <w:t xml:space="preserve"> Notwithstanding one-off funding received in response</w:t>
      </w:r>
      <w:r w:rsidRPr="008225A7">
        <w:t xml:space="preserve"> to the tsunami</w:t>
      </w:r>
      <w:r w:rsidR="00AF786A" w:rsidRPr="008225A7">
        <w:t>,</w:t>
      </w:r>
      <w:r w:rsidR="00FA2259" w:rsidRPr="008225A7">
        <w:t xml:space="preserve"> the</w:t>
      </w:r>
      <w:r w:rsidRPr="008225A7">
        <w:t xml:space="preserve"> increase is </w:t>
      </w:r>
      <w:r w:rsidR="008225A7" w:rsidRPr="008225A7">
        <w:t xml:space="preserve">mainly </w:t>
      </w:r>
      <w:r w:rsidRPr="008225A7">
        <w:t xml:space="preserve">due to loan funding from </w:t>
      </w:r>
      <w:smartTag w:uri="urn:schemas-microsoft-com:office:smarttags" w:element="country-region">
        <w:smartTag w:uri="urn:schemas-microsoft-com:office:smarttags" w:element="place">
          <w:r w:rsidRPr="008225A7">
            <w:t>China</w:t>
          </w:r>
        </w:smartTag>
      </w:smartTag>
      <w:r w:rsidRPr="008225A7">
        <w:t xml:space="preserve">, the World </w:t>
      </w:r>
      <w:r w:rsidRPr="007C72D7">
        <w:t>Bank and</w:t>
      </w:r>
      <w:r w:rsidRPr="008225A7">
        <w:t xml:space="preserve"> Asian </w:t>
      </w:r>
      <w:r w:rsidR="0056417D" w:rsidRPr="008225A7">
        <w:t>Development Bank</w:t>
      </w:r>
      <w:r w:rsidR="0021209B">
        <w:t xml:space="preserve"> (ADB)</w:t>
      </w:r>
      <w:r w:rsidR="0056417D" w:rsidRPr="008225A7">
        <w:t>.</w:t>
      </w:r>
      <w:r w:rsidR="001B656A" w:rsidRPr="008225A7">
        <w:t xml:space="preserve"> </w:t>
      </w:r>
    </w:p>
    <w:p w:rsidR="001C3DAE" w:rsidRDefault="001C3DAE" w:rsidP="00BD39E2">
      <w:pPr>
        <w:pStyle w:val="BodyText"/>
      </w:pPr>
      <w:r>
        <w:t>Australia is the largest</w:t>
      </w:r>
      <w:r w:rsidR="008225A7">
        <w:t xml:space="preserve"> </w:t>
      </w:r>
      <w:r w:rsidR="009B674A" w:rsidRPr="008225A7">
        <w:t>development partner</w:t>
      </w:r>
      <w:r w:rsidRPr="008225A7">
        <w:t xml:space="preserve"> to Samoa, </w:t>
      </w:r>
      <w:r w:rsidRPr="00440D26">
        <w:t>allocatin</w:t>
      </w:r>
      <w:r w:rsidR="003F076D" w:rsidRPr="00440D26">
        <w:t xml:space="preserve">g </w:t>
      </w:r>
      <w:r w:rsidR="0092171C">
        <w:t>A</w:t>
      </w:r>
      <w:r w:rsidR="008E2187">
        <w:t>U</w:t>
      </w:r>
      <w:r w:rsidR="003F076D" w:rsidRPr="00440D26">
        <w:t>$39.8</w:t>
      </w:r>
      <w:r w:rsidR="00F14AB7">
        <w:t> </w:t>
      </w:r>
      <w:r w:rsidR="003F076D" w:rsidRPr="008225A7">
        <w:t xml:space="preserve">million in </w:t>
      </w:r>
      <w:r w:rsidR="007C72D7" w:rsidRPr="007C72D7">
        <w:t xml:space="preserve">Official Development Assistance </w:t>
      </w:r>
      <w:r w:rsidR="003F076D" w:rsidRPr="008225A7">
        <w:t>in 2010</w:t>
      </w:r>
      <w:r w:rsidR="004B33E6">
        <w:t>–</w:t>
      </w:r>
      <w:r w:rsidRPr="008225A7">
        <w:t>11</w:t>
      </w:r>
      <w:r w:rsidR="003A3B6F" w:rsidRPr="008225A7">
        <w:t xml:space="preserve">. </w:t>
      </w:r>
    </w:p>
    <w:p w:rsidR="001C3DAE" w:rsidRDefault="001C3DAE" w:rsidP="00EC4949">
      <w:pPr>
        <w:pStyle w:val="Heading1"/>
        <w:spacing w:before="360"/>
      </w:pPr>
      <w:bookmarkStart w:id="6" w:name="_Toc306264791"/>
      <w:r w:rsidRPr="00123DEF">
        <w:t>Progress</w:t>
      </w:r>
      <w:bookmarkEnd w:id="6"/>
    </w:p>
    <w:p w:rsidR="001C3DAE" w:rsidRDefault="001C3DAE" w:rsidP="00BD39E2">
      <w:pPr>
        <w:pStyle w:val="BodyText"/>
      </w:pPr>
      <w:r>
        <w:t xml:space="preserve">Now in its third year, the </w:t>
      </w:r>
      <w:r w:rsidR="00F54854">
        <w:t>p</w:t>
      </w:r>
      <w:r w:rsidRPr="000A4E32">
        <w:t xml:space="preserve">artnership has transformed </w:t>
      </w:r>
      <w:r>
        <w:t xml:space="preserve">how </w:t>
      </w:r>
      <w:smartTag w:uri="urn:schemas-microsoft-com:office:smarttags" w:element="country-region">
        <w:r w:rsidRPr="000A4E32">
          <w:t>Australia</w:t>
        </w:r>
      </w:smartTag>
      <w:r w:rsidRPr="000A4E32">
        <w:t xml:space="preserve"> and </w:t>
      </w:r>
      <w:smartTag w:uri="urn:schemas-microsoft-com:office:smarttags" w:element="place">
        <w:r w:rsidRPr="000A4E32">
          <w:t>Samoa</w:t>
        </w:r>
      </w:smartTag>
      <w:r w:rsidRPr="000A4E32">
        <w:t xml:space="preserve"> </w:t>
      </w:r>
      <w:r>
        <w:t>work together to</w:t>
      </w:r>
      <w:r w:rsidRPr="000A4E32">
        <w:t xml:space="preserve"> plan, deliver and monitor </w:t>
      </w:r>
      <w:r>
        <w:t>the aid program</w:t>
      </w:r>
      <w:r w:rsidRPr="000A4E32">
        <w:t>.</w:t>
      </w:r>
      <w:r>
        <w:t xml:space="preserve"> The relationsh</w:t>
      </w:r>
      <w:r w:rsidR="00FA2259">
        <w:t xml:space="preserve">ip is marked by </w:t>
      </w:r>
      <w:r>
        <w:t xml:space="preserve">confidence, trust and mutual respect. </w:t>
      </w:r>
      <w:r w:rsidR="0092171C">
        <w:t>Its s</w:t>
      </w:r>
      <w:r>
        <w:t xml:space="preserve">uccess </w:t>
      </w:r>
      <w:r w:rsidR="003E2278">
        <w:t>is</w:t>
      </w:r>
      <w:r>
        <w:t xml:space="preserve"> supported by the </w:t>
      </w:r>
      <w:r w:rsidRPr="0093254E">
        <w:t>G</w:t>
      </w:r>
      <w:r w:rsidR="00C17876">
        <w:t>overnment of Samoa’s</w:t>
      </w:r>
      <w:r w:rsidRPr="0093254E">
        <w:t xml:space="preserve"> commitment to development and reform and </w:t>
      </w:r>
      <w:smartTag w:uri="urn:schemas-microsoft-com:office:smarttags" w:element="place">
        <w:smartTag w:uri="urn:schemas-microsoft-com:office:smarttags" w:element="country-region">
          <w:r w:rsidRPr="0093254E">
            <w:t>Aus</w:t>
          </w:r>
          <w:r>
            <w:t>tralia</w:t>
          </w:r>
        </w:smartTag>
      </w:smartTag>
      <w:r w:rsidRPr="0093254E">
        <w:t xml:space="preserve">’s </w:t>
      </w:r>
      <w:r>
        <w:t xml:space="preserve">strong </w:t>
      </w:r>
      <w:r w:rsidRPr="0093254E">
        <w:t>application of the Paris</w:t>
      </w:r>
      <w:r w:rsidR="00F14AB7">
        <w:t> </w:t>
      </w:r>
      <w:r w:rsidRPr="0093254E">
        <w:t>Declaratio</w:t>
      </w:r>
      <w:r>
        <w:t>n and Cairns Compact principles</w:t>
      </w:r>
      <w:r w:rsidRPr="0093254E">
        <w:t>.</w:t>
      </w:r>
      <w:r>
        <w:t xml:space="preserve"> </w:t>
      </w:r>
      <w:r w:rsidR="003E2278">
        <w:t xml:space="preserve">The Government of Samoa leads the process for determining priorities for </w:t>
      </w:r>
      <w:smartTag w:uri="urn:schemas-microsoft-com:office:smarttags" w:element="country-region">
        <w:r w:rsidR="003E2278">
          <w:t>Australia</w:t>
        </w:r>
      </w:smartTag>
      <w:r w:rsidR="003E2278">
        <w:t>’s assistance, and</w:t>
      </w:r>
      <w:r>
        <w:t xml:space="preserve"> </w:t>
      </w:r>
      <w:smartTag w:uri="urn:schemas-microsoft-com:office:smarttags" w:element="place">
        <w:smartTag w:uri="urn:schemas-microsoft-com:office:smarttags" w:element="country-region">
          <w:r w:rsidRPr="00990623">
            <w:t>Aus</w:t>
          </w:r>
          <w:r w:rsidR="00AF786A">
            <w:t>tralia</w:t>
          </w:r>
        </w:smartTag>
      </w:smartTag>
      <w:r w:rsidR="003900EB">
        <w:t xml:space="preserve"> </w:t>
      </w:r>
      <w:r>
        <w:t xml:space="preserve">now directs </w:t>
      </w:r>
      <w:r w:rsidR="006B5E06">
        <w:t>the majority</w:t>
      </w:r>
      <w:r>
        <w:t xml:space="preserve"> of its </w:t>
      </w:r>
      <w:r w:rsidR="00AF786A">
        <w:t xml:space="preserve">bilateral </w:t>
      </w:r>
      <w:r>
        <w:t>assistance through G</w:t>
      </w:r>
      <w:r w:rsidR="00C17876">
        <w:t>overnment of Samoa</w:t>
      </w:r>
      <w:r>
        <w:t xml:space="preserve"> systems. Due in large part to the effectiv</w:t>
      </w:r>
      <w:r w:rsidR="004A7F14">
        <w:t>e relationship built under the p</w:t>
      </w:r>
      <w:r>
        <w:t>artnership</w:t>
      </w:r>
      <w:r w:rsidR="006B5E06">
        <w:t>,</w:t>
      </w:r>
      <w:r>
        <w:t xml:space="preserve"> </w:t>
      </w:r>
      <w:r w:rsidR="00C17876">
        <w:t xml:space="preserve">the Government of </w:t>
      </w:r>
      <w:r>
        <w:t xml:space="preserve">Samoa recently described </w:t>
      </w: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  <w:r>
        <w:t xml:space="preserve"> as its most influential </w:t>
      </w:r>
      <w:r w:rsidR="009B674A">
        <w:t>development partner</w:t>
      </w:r>
      <w:r>
        <w:t>.</w:t>
      </w:r>
      <w:r>
        <w:rPr>
          <w:rStyle w:val="FootnoteReference"/>
        </w:rPr>
        <w:footnoteReference w:id="4"/>
      </w:r>
      <w:r>
        <w:t xml:space="preserve"> </w:t>
      </w:r>
    </w:p>
    <w:p w:rsidR="001C3DAE" w:rsidRDefault="00B01EBF" w:rsidP="00BD39E2">
      <w:pPr>
        <w:pStyle w:val="BodyText"/>
      </w:pPr>
      <w:r>
        <w:t>In 2010</w:t>
      </w:r>
      <w:r w:rsidR="004B33E6">
        <w:t>–</w:t>
      </w:r>
      <w:r w:rsidR="001C3DAE">
        <w:t xml:space="preserve">11 the </w:t>
      </w:r>
      <w:r w:rsidR="00F54854">
        <w:t>p</w:t>
      </w:r>
      <w:r w:rsidR="001C3DAE">
        <w:t>artne</w:t>
      </w:r>
      <w:r w:rsidR="003E2278">
        <w:t>rship made good</w:t>
      </w:r>
      <w:r w:rsidR="001C3DAE">
        <w:t xml:space="preserve"> progress towards meeting many of </w:t>
      </w:r>
      <w:r w:rsidR="00F14AB7">
        <w:t>it</w:t>
      </w:r>
      <w:r w:rsidR="00577D8F">
        <w:t xml:space="preserve">s </w:t>
      </w:r>
      <w:r w:rsidR="003A3B6F">
        <w:t>priority outcomes</w:t>
      </w:r>
      <w:r w:rsidR="005063CB">
        <w:t xml:space="preserve">. </w:t>
      </w:r>
      <w:r w:rsidR="003A3B6F">
        <w:t>Table 2</w:t>
      </w:r>
      <w:r w:rsidR="001C3DAE">
        <w:t xml:space="preserve"> rates overall progress</w:t>
      </w:r>
      <w:r w:rsidR="005063CB">
        <w:t xml:space="preserve">. </w:t>
      </w:r>
      <w:r w:rsidR="009E7B20">
        <w:t>The p</w:t>
      </w:r>
      <w:r w:rsidR="001C3DAE">
        <w:t>artnership’s performance in</w:t>
      </w:r>
      <w:r w:rsidR="001C3DAE" w:rsidRPr="000A4E32">
        <w:t xml:space="preserve"> public sector reform</w:t>
      </w:r>
      <w:r w:rsidR="001C3DAE">
        <w:t xml:space="preserve"> and</w:t>
      </w:r>
      <w:r w:rsidR="001C3DAE" w:rsidRPr="000A4E32">
        <w:t xml:space="preserve"> law and justice </w:t>
      </w:r>
      <w:r w:rsidR="001C3DAE">
        <w:t>has been</w:t>
      </w:r>
      <w:r w:rsidR="003E2278">
        <w:t xml:space="preserve"> very good</w:t>
      </w:r>
      <w:r w:rsidR="001C3DAE" w:rsidRPr="000A4E32">
        <w:t xml:space="preserve">. </w:t>
      </w:r>
      <w:r w:rsidR="001A0850">
        <w:t>The private sector also made g</w:t>
      </w:r>
      <w:r w:rsidR="001C3DAE">
        <w:t>ood progress. While health and climate change</w:t>
      </w:r>
      <w:r w:rsidR="00616C4B">
        <w:t xml:space="preserve"> have made progress,</w:t>
      </w:r>
      <w:r w:rsidR="001C3DAE">
        <w:t xml:space="preserve"> they are not currently on track to fully achieve their priority outcom</w:t>
      </w:r>
      <w:r w:rsidR="009E7B20">
        <w:t>es within the timeframe of the p</w:t>
      </w:r>
      <w:r w:rsidR="001C3DAE">
        <w:t>artnership</w:t>
      </w:r>
      <w:r w:rsidR="001C3DAE" w:rsidRPr="000A4E32">
        <w:t>.</w:t>
      </w:r>
      <w:r w:rsidR="00A70634">
        <w:t xml:space="preserve"> Management actions to address issues in these sectors are outlined under the relevant outcome areas.</w:t>
      </w:r>
    </w:p>
    <w:p w:rsidR="001C3DAE" w:rsidRDefault="001C3DAE" w:rsidP="001C3DAE">
      <w:pPr>
        <w:pStyle w:val="Caption"/>
      </w:pPr>
      <w:r>
        <w:t xml:space="preserve">Table </w:t>
      </w:r>
      <w:r w:rsidR="003A3B6F">
        <w:t>2</w:t>
      </w:r>
      <w:r w:rsidR="00B01EBF">
        <w:t>: Ratings of progress in 2010</w:t>
      </w:r>
      <w:r w:rsidR="004B33E6">
        <w:t>–</w:t>
      </w:r>
      <w:r>
        <w:t>11</w:t>
      </w:r>
    </w:p>
    <w:tbl>
      <w:tblPr>
        <w:tblW w:w="6663" w:type="dxa"/>
        <w:tblInd w:w="57" w:type="dxa"/>
        <w:tblLook w:val="01E0" w:firstRow="1" w:lastRow="1" w:firstColumn="1" w:lastColumn="1" w:noHBand="0" w:noVBand="0"/>
      </w:tblPr>
      <w:tblGrid>
        <w:gridCol w:w="3023"/>
        <w:gridCol w:w="1372"/>
        <w:gridCol w:w="2268"/>
      </w:tblGrid>
      <w:tr w:rsidR="00AF786A" w:rsidRPr="00D81B5B" w:rsidTr="00EC4949">
        <w:trPr>
          <w:cantSplit/>
          <w:tblHeader/>
        </w:trPr>
        <w:tc>
          <w:tcPr>
            <w:tcW w:w="30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786A" w:rsidRPr="00D81B5B" w:rsidRDefault="009E7B20" w:rsidP="009E7B20">
            <w:pPr>
              <w:pStyle w:val="TableTextColumnHeading"/>
            </w:pPr>
            <w:r>
              <w:t>Partnership Priority Outcome</w:t>
            </w:r>
          </w:p>
        </w:tc>
        <w:tc>
          <w:tcPr>
            <w:tcW w:w="137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786A" w:rsidRDefault="006F2D22" w:rsidP="006F2D22">
            <w:pPr>
              <w:pStyle w:val="TableTextColumnHeading"/>
            </w:pPr>
            <w:r>
              <w:t>R</w:t>
            </w:r>
            <w:r w:rsidR="00AF786A">
              <w:t>ating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AF786A" w:rsidRDefault="007761ED" w:rsidP="006F2D22">
            <w:pPr>
              <w:pStyle w:val="TableTextColumnHeading"/>
            </w:pPr>
            <w:r>
              <w:t xml:space="preserve">Relative to </w:t>
            </w:r>
            <w:r w:rsidR="006F2D22">
              <w:t>p</w:t>
            </w:r>
            <w:r w:rsidR="00AF786A">
              <w:t xml:space="preserve">revious </w:t>
            </w:r>
            <w:r w:rsidR="006F2D22">
              <w:t>r</w:t>
            </w:r>
            <w:r w:rsidR="00AF786A">
              <w:t>ating</w:t>
            </w:r>
          </w:p>
        </w:tc>
      </w:tr>
      <w:tr w:rsidR="007761ED" w:rsidRPr="00D81B5B" w:rsidTr="007761ED">
        <w:trPr>
          <w:cantSplit/>
        </w:trPr>
        <w:tc>
          <w:tcPr>
            <w:tcW w:w="3023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61ED" w:rsidRPr="0058729F" w:rsidRDefault="007761ED" w:rsidP="003849D8">
            <w:pPr>
              <w:pStyle w:val="TableTextEntries"/>
            </w:pPr>
            <w:r>
              <w:t xml:space="preserve">Private </w:t>
            </w:r>
            <w:r w:rsidR="003849D8">
              <w:t>s</w:t>
            </w:r>
            <w:r>
              <w:t xml:space="preserve">ector </w:t>
            </w:r>
            <w:r w:rsidR="003849D8">
              <w:t>growth and e</w:t>
            </w:r>
            <w:r>
              <w:t>mployment</w:t>
            </w:r>
          </w:p>
        </w:tc>
        <w:tc>
          <w:tcPr>
            <w:tcW w:w="1372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61ED" w:rsidRPr="0058729F" w:rsidRDefault="00496308" w:rsidP="00473D05">
            <w:pPr>
              <w:pStyle w:val="Ratingbullet"/>
            </w:pPr>
            <w:r>
              <w:rPr>
                <w:noProof/>
                <w:color w:val="FF9900"/>
                <w:sz w:val="18"/>
                <w:szCs w:val="18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167640" cy="171450"/>
                      <wp:effectExtent l="0" t="0" r="0" b="635"/>
                      <wp:docPr id="19" name="Rectangle 12" descr="Gree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2" o:spid="_x0000_s1026" alt="Green" style="width:13.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" fillcolor="#92d050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761ED" w:rsidRPr="0058729F" w:rsidRDefault="007761ED" w:rsidP="00473D05">
            <w:pPr>
              <w:pStyle w:val="TableTextEntries"/>
              <w:jc w:val="center"/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AUTOTEXTLIST  \s "Table Text Entries"\t "Right click to choose a response" \* MERGEFORMAT </w:instrText>
            </w:r>
            <w:r>
              <w:rPr>
                <w:bCs/>
              </w:rPr>
              <w:fldChar w:fldCharType="separate"/>
            </w:r>
            <w:r w:rsidRPr="003E14E0">
              <w:rPr>
                <w:bCs/>
              </w:rPr>
              <w:t>Unchanged</w:t>
            </w:r>
            <w:r>
              <w:rPr>
                <w:bCs/>
              </w:rPr>
              <w:fldChar w:fldCharType="end"/>
            </w:r>
          </w:p>
        </w:tc>
      </w:tr>
      <w:tr w:rsidR="007761ED" w:rsidRPr="00D81B5B" w:rsidTr="007761ED">
        <w:trPr>
          <w:cantSplit/>
        </w:trPr>
        <w:tc>
          <w:tcPr>
            <w:tcW w:w="3023" w:type="dxa"/>
            <w:tcMar>
              <w:left w:w="57" w:type="dxa"/>
              <w:right w:w="57" w:type="dxa"/>
            </w:tcMar>
            <w:vAlign w:val="center"/>
          </w:tcPr>
          <w:p w:rsidR="007761ED" w:rsidRPr="0058729F" w:rsidRDefault="007761ED" w:rsidP="006F2D22">
            <w:pPr>
              <w:pStyle w:val="TableTextEntries"/>
            </w:pPr>
            <w:r>
              <w:t xml:space="preserve">Improved </w:t>
            </w:r>
            <w:r w:rsidR="003849D8">
              <w:t>h</w:t>
            </w:r>
            <w:r>
              <w:t>ealth</w:t>
            </w:r>
          </w:p>
        </w:tc>
        <w:tc>
          <w:tcPr>
            <w:tcW w:w="13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61ED" w:rsidRPr="006938C6" w:rsidRDefault="00496308" w:rsidP="00473D05">
            <w:pPr>
              <w:pStyle w:val="Ratingbullet"/>
              <w:rPr>
                <w:color w:val="FF0000"/>
              </w:rPr>
            </w:pPr>
            <w:r>
              <w:rPr>
                <w:noProof/>
                <w:color w:val="FF9900"/>
                <w:sz w:val="18"/>
                <w:szCs w:val="18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167640" cy="171450"/>
                      <wp:effectExtent l="0" t="3175" r="0" b="0"/>
                      <wp:docPr id="18" name="Rectangle 11" descr="Re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1" o:spid="_x0000_s1026" alt="Red" style="width:13.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" fillcolor="red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1ED" w:rsidRPr="0058729F" w:rsidRDefault="007761ED" w:rsidP="00473D05">
            <w:pPr>
              <w:pStyle w:val="TableTextEntries"/>
              <w:jc w:val="center"/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AUTOTEXTLIST  \s "Table Text Entries"\t "Right click to choose a response" \* MERGEFORMAT </w:instrText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Declined</w:t>
            </w:r>
            <w:r>
              <w:rPr>
                <w:bCs/>
              </w:rPr>
              <w:fldChar w:fldCharType="end"/>
            </w:r>
          </w:p>
        </w:tc>
      </w:tr>
      <w:tr w:rsidR="007761ED" w:rsidRPr="00D81B5B" w:rsidTr="007761ED">
        <w:trPr>
          <w:cantSplit/>
        </w:trPr>
        <w:tc>
          <w:tcPr>
            <w:tcW w:w="3023" w:type="dxa"/>
            <w:tcMar>
              <w:left w:w="57" w:type="dxa"/>
              <w:right w:w="57" w:type="dxa"/>
            </w:tcMar>
            <w:vAlign w:val="center"/>
          </w:tcPr>
          <w:p w:rsidR="007761ED" w:rsidRDefault="007761ED" w:rsidP="006F2D22">
            <w:pPr>
              <w:pStyle w:val="TableTextEntries"/>
            </w:pPr>
            <w:r>
              <w:t xml:space="preserve">Improved </w:t>
            </w:r>
            <w:r w:rsidR="003849D8">
              <w:t>e</w:t>
            </w:r>
            <w:r>
              <w:t>ducation</w:t>
            </w:r>
          </w:p>
        </w:tc>
        <w:tc>
          <w:tcPr>
            <w:tcW w:w="13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61ED" w:rsidRDefault="00496308" w:rsidP="00473D05">
            <w:pPr>
              <w:pStyle w:val="Ratingbullet"/>
            </w:pPr>
            <w:r>
              <w:rPr>
                <w:noProof/>
                <w:color w:val="FF9900"/>
                <w:sz w:val="18"/>
                <w:szCs w:val="18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167640" cy="171450"/>
                      <wp:effectExtent l="0" t="0" r="0" b="635"/>
                      <wp:docPr id="17" name="Rectangle 13" descr="Gree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3" o:spid="_x0000_s1026" alt="Green" style="width:13.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" fillcolor="#92d050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1ED" w:rsidRDefault="007761ED" w:rsidP="00473D05">
            <w:pPr>
              <w:pStyle w:val="TableTextEntries"/>
              <w:jc w:val="center"/>
              <w:rPr>
                <w:bCs/>
              </w:rPr>
            </w:pPr>
            <w:r>
              <w:rPr>
                <w:bCs/>
              </w:rPr>
              <w:t>Unchanged</w:t>
            </w:r>
          </w:p>
        </w:tc>
      </w:tr>
      <w:tr w:rsidR="007761ED" w:rsidRPr="00D81B5B" w:rsidTr="007761ED">
        <w:trPr>
          <w:cantSplit/>
        </w:trPr>
        <w:tc>
          <w:tcPr>
            <w:tcW w:w="3023" w:type="dxa"/>
            <w:tcMar>
              <w:left w:w="57" w:type="dxa"/>
              <w:right w:w="57" w:type="dxa"/>
            </w:tcMar>
            <w:vAlign w:val="center"/>
          </w:tcPr>
          <w:p w:rsidR="007761ED" w:rsidRDefault="007761ED" w:rsidP="003849D8">
            <w:pPr>
              <w:pStyle w:val="TableTextEntries"/>
            </w:pPr>
            <w:r>
              <w:t xml:space="preserve">Improved </w:t>
            </w:r>
            <w:r w:rsidR="003849D8">
              <w:t>g</w:t>
            </w:r>
            <w:r>
              <w:t>overnance</w:t>
            </w:r>
            <w:r w:rsidR="003849D8">
              <w:t xml:space="preserve"> </w:t>
            </w:r>
            <w:r w:rsidR="004B33E6">
              <w:t>—</w:t>
            </w:r>
            <w:r w:rsidR="003849D8">
              <w:t xml:space="preserve"> l</w:t>
            </w:r>
            <w:r>
              <w:t xml:space="preserve">aw </w:t>
            </w:r>
            <w:r w:rsidR="005063CB">
              <w:t>and</w:t>
            </w:r>
            <w:r>
              <w:t xml:space="preserve"> </w:t>
            </w:r>
            <w:r w:rsidR="003849D8">
              <w:t>j</w:t>
            </w:r>
            <w:r>
              <w:t>ustice</w:t>
            </w:r>
          </w:p>
        </w:tc>
        <w:tc>
          <w:tcPr>
            <w:tcW w:w="13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61ED" w:rsidRDefault="00496308" w:rsidP="00473D05">
            <w:pPr>
              <w:pStyle w:val="Ratingbullet"/>
            </w:pPr>
            <w:r>
              <w:rPr>
                <w:noProof/>
                <w:color w:val="FF9900"/>
                <w:sz w:val="18"/>
                <w:szCs w:val="18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167640" cy="171450"/>
                      <wp:effectExtent l="0" t="0" r="0" b="635"/>
                      <wp:docPr id="16" name="Rectangle 14" descr="Gree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" o:spid="_x0000_s1026" alt="Green" style="width:13.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" fillcolor="#92d050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1ED" w:rsidRDefault="007761ED" w:rsidP="00473D05">
            <w:pPr>
              <w:pStyle w:val="TableTextEntries"/>
              <w:jc w:val="center"/>
              <w:rPr>
                <w:bCs/>
              </w:rPr>
            </w:pPr>
            <w:r>
              <w:rPr>
                <w:bCs/>
              </w:rPr>
              <w:t>Unchanged</w:t>
            </w:r>
          </w:p>
        </w:tc>
      </w:tr>
      <w:tr w:rsidR="007761ED" w:rsidRPr="00D81B5B" w:rsidTr="007761ED">
        <w:trPr>
          <w:cantSplit/>
        </w:trPr>
        <w:tc>
          <w:tcPr>
            <w:tcW w:w="3023" w:type="dxa"/>
            <w:tcMar>
              <w:left w:w="57" w:type="dxa"/>
              <w:right w:w="57" w:type="dxa"/>
            </w:tcMar>
            <w:vAlign w:val="center"/>
          </w:tcPr>
          <w:p w:rsidR="007761ED" w:rsidRPr="0058729F" w:rsidRDefault="007761ED" w:rsidP="003849D8">
            <w:pPr>
              <w:pStyle w:val="TableTextEntries"/>
            </w:pPr>
            <w:r>
              <w:t xml:space="preserve">Improved </w:t>
            </w:r>
            <w:r w:rsidR="003849D8">
              <w:t>g</w:t>
            </w:r>
            <w:r>
              <w:t>overnance</w:t>
            </w:r>
            <w:r w:rsidR="003849D8">
              <w:t xml:space="preserve"> </w:t>
            </w:r>
            <w:r w:rsidR="004B33E6">
              <w:t>—</w:t>
            </w:r>
            <w:r w:rsidR="003849D8">
              <w:t>p</w:t>
            </w:r>
            <w:r>
              <w:t xml:space="preserve">ublic </w:t>
            </w:r>
            <w:r w:rsidR="003849D8">
              <w:t>s</w:t>
            </w:r>
            <w:r>
              <w:t>ector</w:t>
            </w:r>
          </w:p>
        </w:tc>
        <w:tc>
          <w:tcPr>
            <w:tcW w:w="13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61ED" w:rsidRPr="0058729F" w:rsidRDefault="00496308" w:rsidP="00473D05">
            <w:pPr>
              <w:pStyle w:val="Ratingbullet"/>
            </w:pPr>
            <w:r>
              <w:rPr>
                <w:noProof/>
                <w:color w:val="FF9900"/>
                <w:sz w:val="18"/>
                <w:szCs w:val="18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167640" cy="171450"/>
                      <wp:effectExtent l="0" t="0" r="0" b="635"/>
                      <wp:docPr id="15" name="Rectangle 15" descr="Gree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5" o:spid="_x0000_s1026" alt="Green" style="width:13.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" fillcolor="#92d050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1ED" w:rsidRPr="0058729F" w:rsidRDefault="007761ED" w:rsidP="00473D05">
            <w:pPr>
              <w:pStyle w:val="TableTextEntries"/>
              <w:jc w:val="center"/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AUTOTEXTLIST  \s "Table Text Entries"\t "Right click to choose a response" \* MERGEFORMAT </w:instrText>
            </w:r>
            <w:r>
              <w:rPr>
                <w:bCs/>
              </w:rPr>
              <w:fldChar w:fldCharType="separate"/>
            </w:r>
            <w:r w:rsidRPr="003E14E0">
              <w:rPr>
                <w:bCs/>
              </w:rPr>
              <w:t>Improved</w:t>
            </w:r>
            <w:r>
              <w:rPr>
                <w:bCs/>
              </w:rPr>
              <w:fldChar w:fldCharType="end"/>
            </w:r>
          </w:p>
        </w:tc>
      </w:tr>
      <w:tr w:rsidR="007761ED" w:rsidRPr="00D81B5B" w:rsidTr="007761ED">
        <w:trPr>
          <w:cantSplit/>
        </w:trPr>
        <w:tc>
          <w:tcPr>
            <w:tcW w:w="302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61ED" w:rsidRPr="00D81B5B" w:rsidRDefault="007761ED" w:rsidP="006F2D22">
            <w:pPr>
              <w:pStyle w:val="TableTextEntries"/>
            </w:pPr>
            <w:r>
              <w:t>Climate</w:t>
            </w:r>
            <w:r w:rsidR="003849D8">
              <w:t xml:space="preserve"> c</w:t>
            </w:r>
            <w:r>
              <w:t>hange</w:t>
            </w:r>
          </w:p>
        </w:tc>
        <w:tc>
          <w:tcPr>
            <w:tcW w:w="137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61ED" w:rsidRPr="0058729F" w:rsidRDefault="00496308" w:rsidP="00473D05">
            <w:pPr>
              <w:pStyle w:val="Ratingbullet"/>
            </w:pPr>
            <w:r>
              <w:rPr>
                <w:noProof/>
                <w:color w:val="FF9900"/>
                <w:sz w:val="18"/>
                <w:szCs w:val="18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167640" cy="171450"/>
                      <wp:effectExtent l="0" t="635" r="3810" b="0"/>
                      <wp:docPr id="14" name="Rectangle 7" descr="Amb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26" alt="Amber" style="width:13.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" fillcolor="#f79646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61ED" w:rsidRPr="0058729F" w:rsidRDefault="007761ED" w:rsidP="00473D05">
            <w:pPr>
              <w:pStyle w:val="TableTextEntries"/>
              <w:jc w:val="center"/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AUTOTEXTLIST  \s "Table Text Entries"\t "Right click to choose a response" \* MERGEFORMAT </w:instrText>
            </w:r>
            <w:r>
              <w:rPr>
                <w:bCs/>
              </w:rPr>
              <w:fldChar w:fldCharType="separate"/>
            </w:r>
            <w:r w:rsidRPr="003E14E0">
              <w:rPr>
                <w:bCs/>
              </w:rPr>
              <w:t>Declined</w:t>
            </w:r>
            <w:r>
              <w:rPr>
                <w:bCs/>
              </w:rPr>
              <w:fldChar w:fldCharType="end"/>
            </w:r>
          </w:p>
        </w:tc>
      </w:tr>
    </w:tbl>
    <w:p w:rsidR="001C3DAE" w:rsidRDefault="001C3DAE" w:rsidP="001C3DAE">
      <w:pPr>
        <w:pStyle w:val="Note"/>
      </w:pPr>
      <w:r w:rsidRPr="00D33DDE">
        <w:t xml:space="preserve">Note: </w:t>
      </w:r>
      <w:bookmarkStart w:id="7" w:name="_GoBack"/>
      <w:bookmarkEnd w:id="7"/>
    </w:p>
    <w:p w:rsidR="001C3DAE" w:rsidRPr="006D2818" w:rsidRDefault="00496308" w:rsidP="001C3DAE">
      <w:pPr>
        <w:pStyle w:val="Note"/>
      </w:pPr>
      <w:r>
        <w:rPr>
          <w:noProof/>
          <w:color w:val="99CC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7620</wp:posOffset>
                </wp:positionV>
                <wp:extent cx="124460" cy="124460"/>
                <wp:effectExtent l="3175" t="0" r="0" b="2540"/>
                <wp:wrapNone/>
                <wp:docPr id="13" name="Rectangle 4" descr="Gre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alt="Green" style="position:absolute;margin-left:.3pt;margin-top:.6pt;width:9.8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" fillcolor="#92d050" stroked="f"/>
            </w:pict>
          </mc:Fallback>
        </mc:AlternateContent>
      </w:r>
      <w:r w:rsidR="001C3DAE" w:rsidRPr="00DF1246">
        <w:rPr>
          <w:color w:val="99CC00"/>
          <w:sz w:val="18"/>
          <w:szCs w:val="18"/>
        </w:rPr>
        <w:sym w:font="Webdings" w:char="F067"/>
      </w:r>
      <w:r w:rsidR="001C3DAE">
        <w:rPr>
          <w:rFonts w:ascii="Arial Unicode MS" w:eastAsia="Arial Unicode MS" w:hAnsi="Arial Unicode MS" w:cs="Arial Unicode MS"/>
        </w:rPr>
        <w:t> </w:t>
      </w:r>
      <w:r w:rsidR="001C3DAE" w:rsidRPr="006D2818">
        <w:t>The o</w:t>
      </w:r>
      <w:r w:rsidR="009E7B20">
        <w:t>utcome</w:t>
      </w:r>
      <w:r w:rsidR="001C3DAE" w:rsidRPr="006D2818">
        <w:t xml:space="preserve"> will be fully achieved within the timeframe of the </w:t>
      </w:r>
      <w:r w:rsidR="009E7B20">
        <w:t>partnership</w:t>
      </w:r>
      <w:r w:rsidR="001C3DAE" w:rsidRPr="006D2818">
        <w:t>.</w:t>
      </w:r>
    </w:p>
    <w:p w:rsidR="001C3DAE" w:rsidRDefault="00496308" w:rsidP="00496308">
      <w:pPr>
        <w:pStyle w:val="Note"/>
      </w:pPr>
      <w:r>
        <w:rPr>
          <w:noProof/>
          <w:color w:val="FF9900"/>
          <w:sz w:val="18"/>
          <w:szCs w:val="18"/>
          <w:lang w:val="en-US"/>
        </w:rPr>
        <mc:AlternateContent>
          <mc:Choice Requires="wps">
            <w:drawing>
              <wp:inline distT="0" distB="0" distL="0" distR="0">
                <wp:extent cx="124460" cy="124460"/>
                <wp:effectExtent l="0" t="1905" r="0" b="0"/>
                <wp:docPr id="12" name="Rectangle 5" descr="A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alt="Amber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" fillcolor="#f79646 [3209]" stroked="f">
                <w10:anchorlock/>
              </v:rect>
            </w:pict>
          </mc:Fallback>
        </mc:AlternateContent>
      </w:r>
      <w:r w:rsidR="001C3DAE">
        <w:rPr>
          <w:rFonts w:ascii="Arial Unicode MS" w:eastAsia="Arial Unicode MS" w:hAnsi="Arial Unicode MS" w:cs="Arial Unicode MS"/>
        </w:rPr>
        <w:t> </w:t>
      </w:r>
      <w:r w:rsidR="009E7B20">
        <w:t>The outcome</w:t>
      </w:r>
      <w:r w:rsidR="001C3DAE" w:rsidRPr="006D2818">
        <w:t xml:space="preserve"> will be partly achieved with</w:t>
      </w:r>
      <w:r w:rsidR="009E7B20">
        <w:t>in the timeframe of the partnership</w:t>
      </w:r>
      <w:r w:rsidR="001C3DAE" w:rsidRPr="006D2818">
        <w:t>.</w:t>
      </w:r>
    </w:p>
    <w:p w:rsidR="001C3DAE" w:rsidRPr="006D2818" w:rsidRDefault="00496308" w:rsidP="00496308">
      <w:pPr>
        <w:pStyle w:val="Note"/>
      </w:pPr>
      <w:r>
        <w:rPr>
          <w:noProof/>
          <w:color w:val="FF0000"/>
          <w:sz w:val="18"/>
          <w:szCs w:val="18"/>
          <w:lang w:val="en-US"/>
        </w:rPr>
        <mc:AlternateContent>
          <mc:Choice Requires="wps">
            <w:drawing>
              <wp:inline distT="0" distB="0" distL="0" distR="0">
                <wp:extent cx="124460" cy="124460"/>
                <wp:effectExtent l="0" t="0" r="0" b="3175"/>
                <wp:docPr id="11" name="Rectangle 6" descr="R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alt="Red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" fillcolor="red" stroked="f">
                <w10:anchorlock/>
              </v:rect>
            </w:pict>
          </mc:Fallback>
        </mc:AlternateContent>
      </w:r>
      <w:r w:rsidR="001C3DAE">
        <w:rPr>
          <w:rFonts w:ascii="Arial Unicode MS" w:eastAsia="Arial Unicode MS" w:hAnsi="Arial Unicode MS" w:cs="Arial Unicode MS"/>
        </w:rPr>
        <w:t> </w:t>
      </w:r>
      <w:r w:rsidR="009E7B20">
        <w:t>The outcome</w:t>
      </w:r>
      <w:r w:rsidR="001C3DAE" w:rsidRPr="006D2818">
        <w:t xml:space="preserve"> is unlikely to be achieved with</w:t>
      </w:r>
      <w:r w:rsidR="009E7B20">
        <w:t>in the timeframe of the partnership</w:t>
      </w:r>
      <w:r w:rsidR="001C3DAE" w:rsidRPr="006D2818">
        <w:t>.</w:t>
      </w:r>
    </w:p>
    <w:p w:rsidR="001C3DAE" w:rsidRDefault="001C3DAE" w:rsidP="00EC4949">
      <w:pPr>
        <w:pStyle w:val="Heading2"/>
        <w:spacing w:before="240"/>
      </w:pPr>
      <w:bookmarkStart w:id="8" w:name="_Toc306264792"/>
      <w:r>
        <w:t xml:space="preserve">Partnership </w:t>
      </w:r>
      <w:r w:rsidR="0061485C">
        <w:t>P</w:t>
      </w:r>
      <w:r>
        <w:t xml:space="preserve">riority </w:t>
      </w:r>
      <w:r w:rsidR="0061485C">
        <w:t>O</w:t>
      </w:r>
      <w:r>
        <w:t xml:space="preserve">utcome 1: Private </w:t>
      </w:r>
      <w:r w:rsidR="00343A2F">
        <w:t>s</w:t>
      </w:r>
      <w:r>
        <w:t xml:space="preserve">ector </w:t>
      </w:r>
      <w:r w:rsidR="00343A2F">
        <w:t>g</w:t>
      </w:r>
      <w:r>
        <w:t xml:space="preserve">rowth </w:t>
      </w:r>
      <w:r w:rsidR="005063CB">
        <w:t>and</w:t>
      </w:r>
      <w:r>
        <w:t xml:space="preserve"> </w:t>
      </w:r>
      <w:r w:rsidR="00343A2F">
        <w:t>e</w:t>
      </w:r>
      <w:r>
        <w:t>mployment</w:t>
      </w:r>
      <w:bookmarkEnd w:id="8"/>
    </w:p>
    <w:p w:rsidR="001C3DAE" w:rsidRPr="002C5E0C" w:rsidRDefault="001C3DAE" w:rsidP="00EC4949">
      <w:pPr>
        <w:pStyle w:val="Heading3"/>
      </w:pPr>
      <w:r>
        <w:t>Rating and assessment</w:t>
      </w:r>
    </w:p>
    <w:p w:rsidR="001C3DAE" w:rsidRPr="002C5E0C" w:rsidRDefault="00496308" w:rsidP="00496308">
      <w:pPr>
        <w:pStyle w:val="BodyText"/>
      </w:pPr>
      <w:r>
        <w:rPr>
          <w:noProof/>
          <w:color w:val="FF9900"/>
          <w:sz w:val="18"/>
          <w:szCs w:val="18"/>
          <w:lang w:val="en-US" w:eastAsia="en-US"/>
        </w:rPr>
        <mc:AlternateContent>
          <mc:Choice Requires="wps">
            <w:drawing>
              <wp:inline distT="0" distB="0" distL="0" distR="0">
                <wp:extent cx="167640" cy="171450"/>
                <wp:effectExtent l="0" t="0" r="0" b="635"/>
                <wp:docPr id="10" name="Rectangle 16" descr="Gre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714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" o:spid="_x0000_s1026" alt="Green" style="width:13.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" fillcolor="#92d050" stroked="f">
                <w10:anchorlock/>
              </v:rect>
            </w:pict>
          </mc:Fallback>
        </mc:AlternateContent>
      </w:r>
      <w:r w:rsidR="001C3DAE">
        <w:rPr>
          <w:rFonts w:eastAsia="Arial Unicode MS"/>
        </w:rPr>
        <w:t> </w:t>
      </w:r>
      <w:r w:rsidR="001C3DAE" w:rsidRPr="00230BD1">
        <w:t>The o</w:t>
      </w:r>
      <w:r w:rsidR="009E7B20">
        <w:t>utcome</w:t>
      </w:r>
      <w:r w:rsidR="001C3DAE" w:rsidRPr="00230BD1">
        <w:t xml:space="preserve"> will be </w:t>
      </w:r>
      <w:r w:rsidR="001C3DAE">
        <w:t>fully</w:t>
      </w:r>
      <w:r w:rsidR="001C3DAE" w:rsidRPr="00230BD1">
        <w:t xml:space="preserve"> achieved within the timeframe of the </w:t>
      </w:r>
      <w:r w:rsidR="0061485C">
        <w:t>p</w:t>
      </w:r>
      <w:r w:rsidR="001C3DAE">
        <w:t>artnership</w:t>
      </w:r>
      <w:r w:rsidR="001C3DAE" w:rsidRPr="00230BD1">
        <w:t>.</w:t>
      </w:r>
    </w:p>
    <w:p w:rsidR="001C3DAE" w:rsidRDefault="001C3DAE" w:rsidP="001C3DAE">
      <w:pPr>
        <w:pStyle w:val="Caption"/>
      </w:pPr>
      <w:r>
        <w:lastRenderedPageBreak/>
        <w:t xml:space="preserve">Table </w:t>
      </w:r>
      <w:r w:rsidR="003A3B6F">
        <w:t>3</w:t>
      </w:r>
      <w:r>
        <w:t>: Priority Outcome</w:t>
      </w:r>
      <w:r w:rsidR="00B01EBF">
        <w:t xml:space="preserve"> 1 </w:t>
      </w:r>
      <w:r w:rsidR="00343A2F">
        <w:t>t</w:t>
      </w:r>
      <w:r w:rsidR="00B01EBF">
        <w:t xml:space="preserve">argets and </w:t>
      </w:r>
      <w:r w:rsidR="00343A2F">
        <w:t>e</w:t>
      </w:r>
      <w:r w:rsidR="00B01EBF">
        <w:t>xpenditure 2010</w:t>
      </w:r>
      <w:r w:rsidR="004B33E6">
        <w:t>–</w:t>
      </w:r>
      <w:r>
        <w:t>11</w:t>
      </w: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2410"/>
        <w:gridCol w:w="1134"/>
        <w:gridCol w:w="1399"/>
      </w:tblGrid>
      <w:tr w:rsidR="001C3DAE" w:rsidTr="00EC4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DAE" w:rsidRPr="00E845BE" w:rsidRDefault="001C3DAE" w:rsidP="006F2D22">
            <w:pPr>
              <w:pStyle w:val="TableTextEntries"/>
              <w:rPr>
                <w:lang w:val="en-GB"/>
              </w:rPr>
            </w:pPr>
            <w:r w:rsidRPr="006B5E06">
              <w:rPr>
                <w:b/>
              </w:rPr>
              <w:t xml:space="preserve">Joint </w:t>
            </w:r>
            <w:r w:rsidR="00343A2F">
              <w:rPr>
                <w:b/>
              </w:rPr>
              <w:t>c</w:t>
            </w:r>
            <w:r w:rsidRPr="006B5E06">
              <w:rPr>
                <w:b/>
              </w:rPr>
              <w:t>ommitments</w:t>
            </w:r>
            <w:r>
              <w:t xml:space="preserve">: </w:t>
            </w:r>
            <w:r w:rsidR="0061485C">
              <w:t>The p</w:t>
            </w:r>
            <w:r w:rsidR="006B5E06">
              <w:t>artnership will provide support for analysis and sector planning with an emphasis on: private sector development with a focus on the agriculture and fisheries sector; promotion of regional economic integration and trade liberalisation; improved economic infrastructure and lower cost of doing business; and, labour market assistance</w:t>
            </w:r>
            <w:r w:rsidR="005E2D0B">
              <w:t>.</w:t>
            </w:r>
          </w:p>
        </w:tc>
      </w:tr>
      <w:tr w:rsidR="006B5E06" w:rsidTr="00EC4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5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5E06" w:rsidRPr="006B5E06" w:rsidRDefault="006B5E06" w:rsidP="00E1546E">
            <w:pPr>
              <w:pStyle w:val="TableTextEntries"/>
              <w:rPr>
                <w:b/>
              </w:rPr>
            </w:pPr>
            <w:r w:rsidRPr="006B5E06">
              <w:rPr>
                <w:b/>
                <w:lang w:val="en-GB"/>
              </w:rPr>
              <w:t xml:space="preserve">Partnership </w:t>
            </w:r>
            <w:r w:rsidR="00343A2F">
              <w:rPr>
                <w:b/>
                <w:lang w:val="en-GB"/>
              </w:rPr>
              <w:t>t</w:t>
            </w:r>
            <w:r w:rsidRPr="006B5E06">
              <w:rPr>
                <w:b/>
                <w:lang w:val="en-GB"/>
              </w:rPr>
              <w:t xml:space="preserve">arget </w:t>
            </w:r>
            <w:r w:rsidR="00343A2F">
              <w:rPr>
                <w:b/>
                <w:lang w:val="en-GB"/>
              </w:rPr>
              <w:t>r</w:t>
            </w:r>
            <w:r w:rsidRPr="006B5E06">
              <w:rPr>
                <w:b/>
                <w:lang w:val="en-GB"/>
              </w:rPr>
              <w:t>esults</w:t>
            </w:r>
            <w:r>
              <w:rPr>
                <w:b/>
                <w:lang w:val="en-GB"/>
              </w:rPr>
              <w:t>:</w:t>
            </w:r>
          </w:p>
          <w:p w:rsidR="006B5E06" w:rsidRPr="00E845BE" w:rsidRDefault="006B5E06" w:rsidP="003849D8">
            <w:pPr>
              <w:pStyle w:val="TableTextEntries"/>
              <w:rPr>
                <w:color w:val="99CC00"/>
              </w:rPr>
            </w:pPr>
            <w:r>
              <w:t xml:space="preserve">- </w:t>
            </w:r>
            <w:r w:rsidRPr="002C5E0C">
              <w:t>Positive and sus</w:t>
            </w:r>
            <w:r>
              <w:t xml:space="preserve">tained real </w:t>
            </w:r>
            <w:r w:rsidR="0021209B" w:rsidRPr="0021209B">
              <w:t xml:space="preserve">gross domestic product </w:t>
            </w:r>
            <w:r w:rsidR="0021209B">
              <w:t>(</w:t>
            </w:r>
            <w:r>
              <w:t>GDP</w:t>
            </w:r>
            <w:r w:rsidR="0021209B">
              <w:t>)</w:t>
            </w:r>
            <w:r>
              <w:t xml:space="preserve"> growth, including an increasing contribution by the agricultural sector to national income, contributing to the </w:t>
            </w:r>
            <w:r w:rsidRPr="003849D8">
              <w:rPr>
                <w:i/>
              </w:rPr>
              <w:t>S</w:t>
            </w:r>
            <w:r w:rsidR="003849D8" w:rsidRPr="003849D8">
              <w:rPr>
                <w:i/>
              </w:rPr>
              <w:t>trategy for the Development of Samoa</w:t>
            </w:r>
            <w:r w:rsidR="003849D8">
              <w:t xml:space="preserve"> g</w:t>
            </w:r>
            <w:r>
              <w:t>oal of Private Sector Led Growth.</w:t>
            </w:r>
          </w:p>
        </w:tc>
      </w:tr>
      <w:tr w:rsidR="006B5E06" w:rsidTr="00EC4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5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5E06" w:rsidRPr="00E845BE" w:rsidRDefault="006B5E06" w:rsidP="006F2D22">
            <w:pPr>
              <w:pStyle w:val="TableDataEntries"/>
              <w:jc w:val="left"/>
              <w:rPr>
                <w:color w:val="FF9900"/>
              </w:rPr>
            </w:pPr>
            <w:r>
              <w:t>- Improved service and lower costs of utility services, assessed through a locally developed framework of measures, comparable to the W</w:t>
            </w:r>
            <w:r w:rsidR="006F2D22">
              <w:t xml:space="preserve">orld Bank’s </w:t>
            </w:r>
            <w:r>
              <w:t>Cost of Doing Business and Regulatory Quality indicators.</w:t>
            </w:r>
          </w:p>
        </w:tc>
      </w:tr>
      <w:tr w:rsidR="000D0838" w:rsidTr="00EC4949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838" w:rsidRPr="006B5E06" w:rsidRDefault="000D0838" w:rsidP="004B33E6">
            <w:pPr>
              <w:pStyle w:val="TableTextEntries"/>
              <w:rPr>
                <w:b/>
              </w:rPr>
            </w:pPr>
            <w:r w:rsidRPr="006B5E06">
              <w:rPr>
                <w:b/>
              </w:rPr>
              <w:t>Expenditure</w:t>
            </w:r>
            <w:r w:rsidR="00B01EBF">
              <w:rPr>
                <w:b/>
              </w:rPr>
              <w:t xml:space="preserve"> in 2010</w:t>
            </w:r>
            <w:r w:rsidR="004B33E6">
              <w:rPr>
                <w:b/>
              </w:rPr>
              <w:t>–</w:t>
            </w:r>
            <w:r>
              <w:rPr>
                <w:b/>
              </w:rPr>
              <w:t>11: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0D0838" w:rsidRPr="00581FB7" w:rsidRDefault="000D0838" w:rsidP="00E1546E">
            <w:pPr>
              <w:pStyle w:val="TableTextEntries"/>
            </w:pPr>
            <w:smartTag w:uri="urn:schemas-microsoft-com:office:smarttags" w:element="place">
              <w:smartTag w:uri="urn:schemas-microsoft-com:office:smarttags" w:element="country-region">
                <w:r w:rsidRPr="00581FB7">
                  <w:rPr>
                    <w:b/>
                  </w:rPr>
                  <w:t>Australia</w:t>
                </w:r>
              </w:smartTag>
            </w:smartTag>
          </w:p>
        </w:tc>
        <w:tc>
          <w:tcPr>
            <w:tcW w:w="24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0D0838" w:rsidRPr="00581FB7" w:rsidRDefault="005063CB" w:rsidP="00E1546E">
            <w:pPr>
              <w:pStyle w:val="TableTextEntries"/>
            </w:pPr>
            <w:r>
              <w:t>AU</w:t>
            </w:r>
            <w:r w:rsidR="000D0838">
              <w:t>$2.6 million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D0838" w:rsidRPr="00581FB7" w:rsidRDefault="000D0838" w:rsidP="003B0317">
            <w:pPr>
              <w:pStyle w:val="TableDataEntries"/>
              <w:jc w:val="left"/>
            </w:pPr>
          </w:p>
        </w:tc>
        <w:tc>
          <w:tcPr>
            <w:tcW w:w="1399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838" w:rsidRDefault="000D0838" w:rsidP="006B5E06">
            <w:pPr>
              <w:pStyle w:val="TableDataEntries"/>
              <w:jc w:val="left"/>
            </w:pPr>
          </w:p>
        </w:tc>
      </w:tr>
      <w:tr w:rsidR="000D0838" w:rsidTr="00EC4949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838" w:rsidRPr="006B5E06" w:rsidRDefault="000D0838" w:rsidP="00E1546E">
            <w:pPr>
              <w:pStyle w:val="TableTextEntries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0D0838" w:rsidRPr="006B5E06" w:rsidRDefault="000D0838" w:rsidP="00E1546E">
            <w:pPr>
              <w:pStyle w:val="TableTextEntries"/>
              <w:rPr>
                <w:b/>
              </w:rPr>
            </w:pPr>
            <w:smartTag w:uri="urn:schemas-microsoft-com:office:smarttags" w:element="place">
              <w:r>
                <w:rPr>
                  <w:b/>
                </w:rPr>
                <w:t>Samoa</w:t>
              </w:r>
            </w:smartTag>
            <w:r>
              <w:rPr>
                <w:b/>
              </w:rPr>
              <w:t xml:space="preserve">      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0D0838" w:rsidRPr="006B5E06" w:rsidRDefault="000D0838" w:rsidP="00E1546E">
            <w:pPr>
              <w:pStyle w:val="TableTextEntries"/>
              <w:rPr>
                <w:b/>
              </w:rPr>
            </w:pPr>
            <w:r>
              <w:t>SAT43.1 million (projected)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D0838" w:rsidRPr="00954351" w:rsidRDefault="000D0838" w:rsidP="00473D05">
            <w:pPr>
              <w:pStyle w:val="TableTextEntries"/>
            </w:pPr>
          </w:p>
        </w:tc>
        <w:tc>
          <w:tcPr>
            <w:tcW w:w="1399" w:type="dxa"/>
            <w:vMerge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838" w:rsidRPr="00954351" w:rsidRDefault="000D0838" w:rsidP="006B5E06">
            <w:pPr>
              <w:pStyle w:val="TableDataColumnHeading"/>
              <w:jc w:val="left"/>
            </w:pPr>
          </w:p>
        </w:tc>
      </w:tr>
    </w:tbl>
    <w:p w:rsidR="001C3DAE" w:rsidRDefault="001C3DAE" w:rsidP="001C3DAE">
      <w:pPr>
        <w:pStyle w:val="Note"/>
      </w:pPr>
      <w:r>
        <w:t>Note</w:t>
      </w:r>
      <w:r w:rsidR="00FC26CF">
        <w:t xml:space="preserve">: </w:t>
      </w:r>
      <w:smartTag w:uri="urn:schemas-microsoft-com:office:smarttags" w:element="place">
        <w:r w:rsidR="00FC26CF">
          <w:t>Samoa</w:t>
        </w:r>
      </w:smartTag>
      <w:r w:rsidR="00FC26CF">
        <w:t xml:space="preserve"> expenditure</w:t>
      </w:r>
      <w:r>
        <w:t xml:space="preserve"> includes </w:t>
      </w:r>
      <w:r w:rsidR="004F6199">
        <w:t xml:space="preserve">projected </w:t>
      </w:r>
      <w:r>
        <w:t xml:space="preserve">budget spending </w:t>
      </w:r>
      <w:r w:rsidR="004F6199">
        <w:t>for</w:t>
      </w:r>
      <w:r>
        <w:t xml:space="preserve"> </w:t>
      </w:r>
      <w:r w:rsidR="006B5E06">
        <w:t xml:space="preserve">agriculture, </w:t>
      </w:r>
      <w:r>
        <w:t>energy, trade, communications and tourism</w:t>
      </w:r>
      <w:r w:rsidR="002B43BB">
        <w:t>.</w:t>
      </w:r>
    </w:p>
    <w:p w:rsidR="001C3DAE" w:rsidRDefault="001C3DAE" w:rsidP="001C3DAE">
      <w:pPr>
        <w:pStyle w:val="Source"/>
      </w:pPr>
      <w:r w:rsidRPr="00C05EB3">
        <w:t xml:space="preserve">Source: </w:t>
      </w:r>
      <w:r>
        <w:t xml:space="preserve">Data for this and all other expenditure tables are taken from </w:t>
      </w:r>
      <w:r w:rsidR="0021209B" w:rsidRPr="0021209B">
        <w:t>Australian Agency for International Development (</w:t>
      </w:r>
      <w:r w:rsidRPr="0021209B">
        <w:t>AusAID</w:t>
      </w:r>
      <w:r w:rsidR="0021209B">
        <w:t>)</w:t>
      </w:r>
      <w:r>
        <w:t xml:space="preserve"> financial systems and Government of Samoa budget estimates.</w:t>
      </w:r>
    </w:p>
    <w:p w:rsidR="00902D6A" w:rsidRDefault="00902D6A" w:rsidP="00BD39E2">
      <w:pPr>
        <w:pStyle w:val="BodyText"/>
      </w:pPr>
      <w:smartTag w:uri="urn:schemas-microsoft-com:office:smarttags" w:element="place">
        <w:r>
          <w:t>Samoa</w:t>
        </w:r>
      </w:smartTag>
      <w:r>
        <w:t xml:space="preserve">’s </w:t>
      </w:r>
      <w:r w:rsidR="006F2D22">
        <w:t>p</w:t>
      </w:r>
      <w:r>
        <w:t xml:space="preserve">rivate </w:t>
      </w:r>
      <w:r w:rsidR="006F2D22">
        <w:t>s</w:t>
      </w:r>
      <w:r>
        <w:t xml:space="preserve">ector experienced mixed progress in 2010. </w:t>
      </w:r>
      <w:smartTag w:uri="urn:schemas-microsoft-com:office:smarttags" w:element="place">
        <w:r>
          <w:t>Samoa</w:t>
        </w:r>
      </w:smartTag>
      <w:r>
        <w:t xml:space="preserve"> ranked 61</w:t>
      </w:r>
      <w:r w:rsidRPr="00C40F15">
        <w:rPr>
          <w:vertAlign w:val="superscript"/>
        </w:rPr>
        <w:t>st</w:t>
      </w:r>
      <w:r>
        <w:t xml:space="preserve"> in the </w:t>
      </w:r>
      <w:r w:rsidR="003605A9">
        <w:t xml:space="preserve">World Bank’s </w:t>
      </w:r>
      <w:r>
        <w:t xml:space="preserve">2011 </w:t>
      </w:r>
      <w:r w:rsidRPr="00902D6A">
        <w:t>Doing Business report</w:t>
      </w:r>
      <w:r>
        <w:t>, an improvement from 67</w:t>
      </w:r>
      <w:r w:rsidRPr="005658C0">
        <w:rPr>
          <w:vertAlign w:val="superscript"/>
        </w:rPr>
        <w:t>th</w:t>
      </w:r>
      <w:r>
        <w:t xml:space="preserve"> in 2010. </w:t>
      </w:r>
      <w:r w:rsidR="006F2D22">
        <w:t>W</w:t>
      </w:r>
      <w:r>
        <w:t xml:space="preserve">hile the country recovered from </w:t>
      </w:r>
      <w:r w:rsidRPr="0021209B">
        <w:t>previous GDP contractions, the</w:t>
      </w:r>
      <w:r>
        <w:t xml:space="preserve"> agriculture sectors’ contribution to GDP declined by 0.7 per cent overall in 2009</w:t>
      </w:r>
      <w:r w:rsidR="004B33E6">
        <w:t>–</w:t>
      </w:r>
      <w:r>
        <w:t>10</w:t>
      </w:r>
      <w:r w:rsidR="004B33E6">
        <w:t>.</w:t>
      </w:r>
      <w:r>
        <w:rPr>
          <w:rStyle w:val="FootnoteReference"/>
        </w:rPr>
        <w:footnoteReference w:id="5"/>
      </w:r>
    </w:p>
    <w:p w:rsidR="001C3DAE" w:rsidRPr="009B2FDA" w:rsidRDefault="002B43BB" w:rsidP="00BD39E2">
      <w:pPr>
        <w:pStyle w:val="BodyText"/>
      </w:pPr>
      <w:r>
        <w:t>In 2010</w:t>
      </w:r>
      <w:r w:rsidR="001C3DAE">
        <w:t xml:space="preserve"> the </w:t>
      </w:r>
      <w:r w:rsidR="001C3DAE" w:rsidRPr="00F40D96">
        <w:t>Power Sector Expansion Project</w:t>
      </w:r>
      <w:r w:rsidR="001C3DAE" w:rsidRPr="0064263D">
        <w:t xml:space="preserve">, funded jointly </w:t>
      </w:r>
      <w:r w:rsidR="001C3DAE" w:rsidRPr="0021209B">
        <w:t>with the ADB, progressed</w:t>
      </w:r>
      <w:r w:rsidR="001C3DAE">
        <w:t xml:space="preserve"> steadily towards meeting its objective of </w:t>
      </w:r>
      <w:r w:rsidR="001C3DAE" w:rsidRPr="00160F2B">
        <w:t>providing reliable and affordable electricity services to all consumers</w:t>
      </w:r>
      <w:r w:rsidR="001C3DAE">
        <w:t xml:space="preserve">. </w:t>
      </w:r>
      <w:r w:rsidR="00EA6379">
        <w:t>For example,</w:t>
      </w:r>
      <w:r w:rsidR="001C3DAE">
        <w:t xml:space="preserve"> 61 per cent of the Electric Power Corporation’s </w:t>
      </w:r>
      <w:r w:rsidR="001C3DAE" w:rsidRPr="009B2FDA">
        <w:t xml:space="preserve">customers </w:t>
      </w:r>
      <w:r w:rsidR="00EA6379" w:rsidRPr="009B2FDA">
        <w:t xml:space="preserve">are </w:t>
      </w:r>
      <w:r w:rsidR="001C3DAE" w:rsidRPr="009B2FDA">
        <w:t xml:space="preserve">now using pre-paid meters, on track for the target of 75 per cent by December 2012. Debt collection has also improved. With more stable and predictable finances the </w:t>
      </w:r>
      <w:r w:rsidR="0021209B">
        <w:t>Electric Power Corporation</w:t>
      </w:r>
      <w:r w:rsidR="001C3DAE" w:rsidRPr="009B2FDA">
        <w:t xml:space="preserve"> now has the</w:t>
      </w:r>
      <w:r w:rsidR="00BF0CAB" w:rsidRPr="009B2FDA">
        <w:t xml:space="preserve"> foundation</w:t>
      </w:r>
      <w:r w:rsidR="001C3DAE" w:rsidRPr="009B2FDA">
        <w:t xml:space="preserve"> on which to </w:t>
      </w:r>
      <w:r w:rsidR="00BF0CAB" w:rsidRPr="009B2FDA">
        <w:t>build</w:t>
      </w:r>
      <w:r w:rsidR="001C3DAE" w:rsidRPr="009B2FDA">
        <w:t xml:space="preserve"> effective long</w:t>
      </w:r>
      <w:r w:rsidR="001A004E">
        <w:t>-</w:t>
      </w:r>
      <w:r w:rsidR="001C3DAE" w:rsidRPr="009B2FDA">
        <w:t>term operational planning.</w:t>
      </w:r>
    </w:p>
    <w:p w:rsidR="001C3DAE" w:rsidRPr="009B2FDA" w:rsidRDefault="002B43BB" w:rsidP="00BD39E2">
      <w:pPr>
        <w:pStyle w:val="BodyText"/>
      </w:pPr>
      <w:r w:rsidRPr="009B2FDA">
        <w:t>In December 2010 the Samoan Parliament passed the Electricity Act</w:t>
      </w:r>
      <w:r w:rsidR="001C3DAE" w:rsidRPr="009B2FDA">
        <w:t>. The Act creates an independent regulator to oversee the electric sector, while promoting competition and use of new technologies by service providers.</w:t>
      </w:r>
    </w:p>
    <w:p w:rsidR="009B2FDA" w:rsidRPr="00BD39E2" w:rsidRDefault="00E45963" w:rsidP="00BD39E2">
      <w:pPr>
        <w:pStyle w:val="BodyText"/>
      </w:pPr>
      <w:r w:rsidRPr="00BD39E2">
        <w:t>The</w:t>
      </w:r>
      <w:r w:rsidR="008225A7" w:rsidRPr="00BD39E2">
        <w:t xml:space="preserve"> Australian-funded</w:t>
      </w:r>
      <w:r w:rsidRPr="00BD39E2">
        <w:t xml:space="preserve"> Agriculture Sector Plan was finalised and adopted during the year. </w:t>
      </w:r>
      <w:r w:rsidR="009B2FDA" w:rsidRPr="00BD39E2">
        <w:t xml:space="preserve">The plan will be critical in guiding government, private sector, civil society and development partner involvement in the sector. </w:t>
      </w:r>
    </w:p>
    <w:p w:rsidR="001C3DAE" w:rsidRDefault="00B01EBF" w:rsidP="00BD39E2">
      <w:pPr>
        <w:pStyle w:val="BodyText"/>
      </w:pPr>
      <w:r w:rsidRPr="009B2FDA">
        <w:t>During 2010</w:t>
      </w:r>
      <w:r w:rsidR="000D4398">
        <w:t>–</w:t>
      </w:r>
      <w:r w:rsidR="001C3DAE" w:rsidRPr="009B2FDA">
        <w:t>11 other d</w:t>
      </w:r>
      <w:r w:rsidR="000D0838" w:rsidRPr="009B2FDA">
        <w:t>evelopment partners</w:t>
      </w:r>
      <w:r w:rsidR="001C3DAE" w:rsidRPr="009B2FDA">
        <w:t xml:space="preserve"> announced significant commitments to </w:t>
      </w:r>
      <w:smartTag w:uri="urn:schemas-microsoft-com:office:smarttags" w:element="place">
        <w:r w:rsidR="001C3DAE" w:rsidRPr="009B2FDA">
          <w:t>Samoa</w:t>
        </w:r>
      </w:smartTag>
      <w:r w:rsidR="001C3DAE" w:rsidRPr="009B2FDA">
        <w:t>’s private sector. In January 2011 the W</w:t>
      </w:r>
      <w:r w:rsidR="000D4398">
        <w:t>orld Bank</w:t>
      </w:r>
      <w:r w:rsidR="007C72D7">
        <w:t xml:space="preserve"> </w:t>
      </w:r>
      <w:r w:rsidR="001C3DAE" w:rsidRPr="009B2FDA">
        <w:t xml:space="preserve">confirmed </w:t>
      </w:r>
      <w:r w:rsidR="000D4398">
        <w:t>it</w:t>
      </w:r>
      <w:r w:rsidR="001C3DAE" w:rsidRPr="009B2FDA">
        <w:t xml:space="preserve"> will provide US$8</w:t>
      </w:r>
      <w:r w:rsidR="000D4398">
        <w:t> </w:t>
      </w:r>
      <w:r w:rsidR="001C3DAE" w:rsidRPr="009B2FDA">
        <w:t xml:space="preserve">million for agriculture over five years. </w:t>
      </w:r>
      <w:r w:rsidR="00FE46BE">
        <w:t>In its Joint Commitment for Development t</w:t>
      </w:r>
      <w:r w:rsidR="001C3DAE" w:rsidRPr="009B2FDA">
        <w:t xml:space="preserve">he New Zealand Aid </w:t>
      </w:r>
      <w:r w:rsidR="001C3DAE" w:rsidRPr="0021209B">
        <w:t>Program</w:t>
      </w:r>
      <w:r w:rsidR="000D4398">
        <w:t>me</w:t>
      </w:r>
      <w:r w:rsidR="001C3DAE" w:rsidRPr="0021209B">
        <w:t xml:space="preserve"> </w:t>
      </w:r>
      <w:r w:rsidR="000D0838" w:rsidRPr="0021209B">
        <w:t>(</w:t>
      </w:r>
      <w:r w:rsidR="001C3DAE" w:rsidRPr="0021209B">
        <w:t>NZAP) indicated</w:t>
      </w:r>
      <w:r w:rsidR="001C3DAE" w:rsidRPr="009B2FDA">
        <w:t xml:space="preserve"> </w:t>
      </w:r>
      <w:r w:rsidR="000D4398">
        <w:t>it</w:t>
      </w:r>
      <w:r w:rsidR="001C3DAE" w:rsidRPr="009B2FDA">
        <w:t xml:space="preserve"> will </w:t>
      </w:r>
      <w:r w:rsidR="000D4398">
        <w:t>sharpen its</w:t>
      </w:r>
      <w:r w:rsidR="001C3DAE" w:rsidRPr="008225A7">
        <w:t xml:space="preserve"> focus on the private sector,</w:t>
      </w:r>
      <w:r w:rsidR="00B649A9">
        <w:t xml:space="preserve"> particularly</w:t>
      </w:r>
      <w:r w:rsidR="000D4398">
        <w:t xml:space="preserve"> in</w:t>
      </w:r>
      <w:r w:rsidR="00B649A9">
        <w:t xml:space="preserve"> tourism</w:t>
      </w:r>
      <w:r w:rsidR="00FE46BE">
        <w:t>.</w:t>
      </w:r>
      <w:r w:rsidR="001C3DAE" w:rsidRPr="009B2FDA">
        <w:t xml:space="preserve"> In light of these commitments </w:t>
      </w:r>
      <w:smartTag w:uri="urn:schemas-microsoft-com:office:smarttags" w:element="country-region">
        <w:r w:rsidR="001C3DAE" w:rsidRPr="009B2FDA">
          <w:t>Australia</w:t>
        </w:r>
      </w:smartTag>
      <w:r w:rsidR="001C3DAE" w:rsidRPr="009B2FDA">
        <w:t xml:space="preserve"> and </w:t>
      </w:r>
      <w:smartTag w:uri="urn:schemas-microsoft-com:office:smarttags" w:element="place">
        <w:r w:rsidR="001C3DAE" w:rsidRPr="00DA386A">
          <w:t>Samoa</w:t>
        </w:r>
      </w:smartTag>
      <w:r w:rsidR="001C3DAE" w:rsidRPr="00DA386A">
        <w:t xml:space="preserve"> </w:t>
      </w:r>
      <w:r w:rsidR="00BF0CAB" w:rsidRPr="00DA386A">
        <w:t>agreed that</w:t>
      </w:r>
      <w:r w:rsidR="00BF0CAB" w:rsidRPr="009B2FDA">
        <w:t xml:space="preserve"> </w:t>
      </w:r>
      <w:r w:rsidRPr="009B2FDA">
        <w:t>from 2011</w:t>
      </w:r>
      <w:r w:rsidR="004B33E6">
        <w:t>–</w:t>
      </w:r>
      <w:r w:rsidR="004A7F14">
        <w:t>12 the p</w:t>
      </w:r>
      <w:r w:rsidR="001F6F4A" w:rsidRPr="009B2FDA">
        <w:t xml:space="preserve">artnership will not include private sector growth as a priority outcome. </w:t>
      </w:r>
      <w:r w:rsidR="00577D8F">
        <w:t>Pa</w:t>
      </w:r>
      <w:r w:rsidR="00A70634">
        <w:t xml:space="preserve">rtnership targets and implementation schedule for this outcome will be reviewed </w:t>
      </w:r>
      <w:r w:rsidR="000D4398">
        <w:t xml:space="preserve">in </w:t>
      </w:r>
      <w:r w:rsidR="00A70634">
        <w:t>2011</w:t>
      </w:r>
      <w:r w:rsidR="004B33E6">
        <w:t>–</w:t>
      </w:r>
      <w:r w:rsidR="00A70634">
        <w:t>12 to reflect this change.</w:t>
      </w:r>
      <w:r w:rsidR="00E204E6">
        <w:t xml:space="preserve"> </w:t>
      </w:r>
      <w:r w:rsidR="000D0838" w:rsidRPr="009B2FDA">
        <w:t>Regional assistance will continue</w:t>
      </w:r>
      <w:r w:rsidR="00D75569">
        <w:t xml:space="preserve"> (</w:t>
      </w:r>
      <w:smartTag w:uri="urn:schemas-microsoft-com:office:smarttags" w:element="address">
        <w:smartTag w:uri="urn:schemas-microsoft-com:office:smarttags" w:element="Street">
          <w:r w:rsidR="00D75569">
            <w:t>Box</w:t>
          </w:r>
        </w:smartTag>
        <w:r w:rsidR="00D75569">
          <w:t xml:space="preserve"> 1</w:t>
        </w:r>
      </w:smartTag>
      <w:r w:rsidR="00D75569">
        <w:t xml:space="preserve">: Access to </w:t>
      </w:r>
      <w:r w:rsidR="00DE063E">
        <w:t>r</w:t>
      </w:r>
      <w:r w:rsidR="00D75569">
        <w:t xml:space="preserve">egional </w:t>
      </w:r>
      <w:r w:rsidR="00DE063E">
        <w:t>t</w:t>
      </w:r>
      <w:r w:rsidR="00D75569">
        <w:t>rade)</w:t>
      </w:r>
      <w:r w:rsidR="000D0838" w:rsidRPr="009B2FDA">
        <w:t>, while e</w:t>
      </w:r>
      <w:r w:rsidR="000D0838">
        <w:t xml:space="preserve">xisting programs will be completed as planned. </w:t>
      </w:r>
    </w:p>
    <w:p w:rsidR="00794F9C" w:rsidRDefault="00794F9C" w:rsidP="00BD39E2">
      <w:pPr>
        <w:pStyle w:val="BodyText"/>
      </w:pPr>
    </w:p>
    <w:tbl>
      <w:tblPr>
        <w:tblpPr w:leftFromText="180" w:rightFromText="180" w:vertAnchor="text" w:horzAnchor="margin" w:tblpY="-114"/>
        <w:tblW w:w="79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38"/>
      </w:tblGrid>
      <w:tr w:rsidR="00AF379D" w:rsidRPr="006C6761" w:rsidTr="00AF3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38" w:type="dxa"/>
            <w:tcBorders>
              <w:bottom w:val="single" w:sz="12" w:space="0" w:color="auto"/>
            </w:tcBorders>
            <w:shd w:val="clear" w:color="auto" w:fill="F5F1CC"/>
            <w:tcMar>
              <w:top w:w="0" w:type="dxa"/>
            </w:tcMar>
          </w:tcPr>
          <w:p w:rsidR="00AF379D" w:rsidRPr="00D17936" w:rsidRDefault="00AF379D" w:rsidP="00DE063E">
            <w:pPr>
              <w:pStyle w:val="Caption"/>
              <w:keepNext w:val="0"/>
              <w:spacing w:before="80" w:line="280" w:lineRule="atLeast"/>
            </w:pPr>
            <w:smartTag w:uri="urn:schemas-microsoft-com:office:smarttags" w:element="address">
              <w:smartTag w:uri="urn:schemas-microsoft-com:office:smarttags" w:element="Street">
                <w:r w:rsidRPr="00B047B9">
                  <w:t>Box</w:t>
                </w:r>
              </w:smartTag>
              <w:r w:rsidRPr="00B047B9">
                <w:t xml:space="preserve"> </w:t>
              </w:r>
              <w:r w:rsidRPr="00B047B9">
                <w:fldChar w:fldCharType="begin"/>
              </w:r>
              <w:r w:rsidRPr="00B047B9">
                <w:instrText xml:space="preserve"> SEQ Box \* ARABIC </w:instrText>
              </w:r>
              <w:r w:rsidRPr="00B047B9">
                <w:fldChar w:fldCharType="separate"/>
              </w:r>
              <w:r w:rsidR="00835061">
                <w:rPr>
                  <w:noProof/>
                </w:rPr>
                <w:t>1</w:t>
              </w:r>
            </w:smartTag>
            <w:r w:rsidRPr="00B047B9">
              <w:fldChar w:fldCharType="end"/>
            </w:r>
            <w:r w:rsidRPr="00B047B9">
              <w:t xml:space="preserve">: </w:t>
            </w:r>
            <w:r w:rsidR="00DE063E">
              <w:t>Access to r</w:t>
            </w:r>
            <w:r>
              <w:t xml:space="preserve">egional </w:t>
            </w:r>
            <w:r w:rsidR="00DE063E">
              <w:t>t</w:t>
            </w:r>
            <w:r>
              <w:t>rade</w:t>
            </w:r>
          </w:p>
        </w:tc>
      </w:tr>
      <w:tr w:rsidR="00AF379D" w:rsidTr="00AF3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5F1CC"/>
          </w:tcPr>
          <w:p w:rsidR="000A1D12" w:rsidRPr="004F4F95" w:rsidRDefault="00AF379D" w:rsidP="00BD39E2">
            <w:pPr>
              <w:pStyle w:val="BodyText"/>
              <w:rPr>
                <w:lang w:val="en-US" w:eastAsia="en-US"/>
              </w:rPr>
            </w:pPr>
            <w:smartTag w:uri="urn:schemas-microsoft-com:office:smarttags" w:element="country-region">
              <w:r w:rsidRPr="004F4F95">
                <w:rPr>
                  <w:lang w:val="en-US" w:eastAsia="en-US"/>
                </w:rPr>
                <w:lastRenderedPageBreak/>
                <w:t>Australia</w:t>
              </w:r>
            </w:smartTag>
            <w:r w:rsidRPr="004F4F95">
              <w:rPr>
                <w:lang w:val="en-US" w:eastAsia="en-US"/>
              </w:rPr>
              <w:t xml:space="preserve"> assists </w:t>
            </w:r>
            <w:smartTag w:uri="urn:schemas-microsoft-com:office:smarttags" w:element="place">
              <w:r w:rsidRPr="004F4F95">
                <w:rPr>
                  <w:lang w:val="en-US" w:eastAsia="en-US"/>
                </w:rPr>
                <w:t>Samoa</w:t>
              </w:r>
            </w:smartTag>
            <w:r w:rsidRPr="004F4F95">
              <w:rPr>
                <w:lang w:val="en-US" w:eastAsia="en-US"/>
              </w:rPr>
              <w:t xml:space="preserve"> to increase its access to trade through regional trade programs such as the new Pacific Horticultural and Agricultural Market Access program (PHAMA).</w:t>
            </w:r>
            <w:r w:rsidR="000F7E7E" w:rsidRPr="004F4F95">
              <w:rPr>
                <w:lang w:val="en-US" w:eastAsia="en-US"/>
              </w:rPr>
              <w:t xml:space="preserve"> </w:t>
            </w:r>
            <w:r w:rsidRPr="004F4F95">
              <w:rPr>
                <w:lang w:val="en-US" w:eastAsia="en-US"/>
              </w:rPr>
              <w:t>PHAMA w</w:t>
            </w:r>
            <w:r w:rsidR="00AF4605" w:rsidRPr="004F4F95">
              <w:rPr>
                <w:lang w:val="en-US" w:eastAsia="en-US"/>
              </w:rPr>
              <w:t xml:space="preserve">ill </w:t>
            </w:r>
            <w:r w:rsidR="00652579" w:rsidRPr="004F4F95">
              <w:rPr>
                <w:lang w:val="en-US" w:eastAsia="en-US"/>
              </w:rPr>
              <w:t xml:space="preserve">help </w:t>
            </w:r>
            <w:smartTag w:uri="urn:schemas-microsoft-com:office:smarttags" w:element="place">
              <w:r w:rsidR="00AF4605" w:rsidRPr="004F4F95">
                <w:rPr>
                  <w:lang w:val="en-US" w:eastAsia="en-US"/>
                </w:rPr>
                <w:t>Samoa</w:t>
              </w:r>
            </w:smartTag>
            <w:r w:rsidR="00AF4605" w:rsidRPr="004F4F95">
              <w:rPr>
                <w:lang w:val="en-US" w:eastAsia="en-US"/>
              </w:rPr>
              <w:t xml:space="preserve"> maintain and</w:t>
            </w:r>
            <w:r w:rsidRPr="004F4F95">
              <w:rPr>
                <w:lang w:val="en-US" w:eastAsia="en-US"/>
              </w:rPr>
              <w:t xml:space="preserve"> improve market access </w:t>
            </w:r>
            <w:r w:rsidR="00AF4605" w:rsidRPr="004F4F95">
              <w:rPr>
                <w:lang w:val="en-US" w:eastAsia="en-US"/>
              </w:rPr>
              <w:t xml:space="preserve">and seek access to new markets </w:t>
            </w:r>
            <w:r w:rsidRPr="004F4F95">
              <w:rPr>
                <w:lang w:val="en-US" w:eastAsia="en-US"/>
              </w:rPr>
              <w:t xml:space="preserve">for </w:t>
            </w:r>
            <w:r w:rsidR="00AF4605" w:rsidRPr="004F4F95">
              <w:rPr>
                <w:lang w:val="en-US" w:eastAsia="en-US"/>
              </w:rPr>
              <w:t xml:space="preserve">existing and new </w:t>
            </w:r>
            <w:r w:rsidR="000A1D12" w:rsidRPr="004F4F95">
              <w:rPr>
                <w:lang w:val="en-US" w:eastAsia="en-US"/>
              </w:rPr>
              <w:t>primary produce exports</w:t>
            </w:r>
            <w:r w:rsidR="00AF4605" w:rsidRPr="004F4F95">
              <w:rPr>
                <w:lang w:val="en-US" w:eastAsia="en-US"/>
              </w:rPr>
              <w:t>. The program will</w:t>
            </w:r>
            <w:r w:rsidRPr="004F4F95">
              <w:rPr>
                <w:lang w:val="en-US" w:eastAsia="en-US"/>
              </w:rPr>
              <w:t xml:space="preserve"> provid</w:t>
            </w:r>
            <w:r w:rsidR="00AF4605" w:rsidRPr="004F4F95">
              <w:rPr>
                <w:lang w:val="en-US" w:eastAsia="en-US"/>
              </w:rPr>
              <w:t>e</w:t>
            </w:r>
            <w:r w:rsidRPr="004F4F95">
              <w:rPr>
                <w:lang w:val="en-US" w:eastAsia="en-US"/>
              </w:rPr>
              <w:t xml:space="preserve"> practical and targeted assistance to resolve technical or regulatory market access issues</w:t>
            </w:r>
            <w:r w:rsidR="00AF4605" w:rsidRPr="004F4F95">
              <w:rPr>
                <w:lang w:val="en-US" w:eastAsia="en-US"/>
              </w:rPr>
              <w:t>.</w:t>
            </w:r>
          </w:p>
          <w:p w:rsidR="00AF379D" w:rsidRPr="004F4F95" w:rsidRDefault="000F7E7E" w:rsidP="00BD39E2">
            <w:pPr>
              <w:pStyle w:val="BodyText"/>
              <w:rPr>
                <w:lang w:val="en-US" w:eastAsia="en-US"/>
              </w:rPr>
            </w:pPr>
            <w:r w:rsidRPr="004F4F95">
              <w:rPr>
                <w:lang w:val="en-US" w:eastAsia="en-US"/>
              </w:rPr>
              <w:t>P</w:t>
            </w:r>
            <w:r w:rsidR="00AF379D" w:rsidRPr="004F4F95">
              <w:rPr>
                <w:lang w:val="en-US" w:eastAsia="en-US"/>
              </w:rPr>
              <w:t xml:space="preserve">HAMA will focus on high-value agricultural and horticultural produce, </w:t>
            </w:r>
            <w:r w:rsidRPr="004F4F95">
              <w:rPr>
                <w:lang w:val="en-US" w:eastAsia="en-US"/>
              </w:rPr>
              <w:t>fresh and processed</w:t>
            </w:r>
            <w:r w:rsidR="00652579" w:rsidRPr="004F4F95">
              <w:rPr>
                <w:lang w:val="en-US" w:eastAsia="en-US"/>
              </w:rPr>
              <w:t>. It</w:t>
            </w:r>
            <w:r w:rsidRPr="004F4F95">
              <w:rPr>
                <w:lang w:val="en-US" w:eastAsia="en-US"/>
              </w:rPr>
              <w:t xml:space="preserve"> </w:t>
            </w:r>
            <w:r w:rsidR="00AF379D" w:rsidRPr="004F4F95">
              <w:rPr>
                <w:lang w:val="en-US" w:eastAsia="en-US"/>
              </w:rPr>
              <w:t>has the potential to assist with market access for fish and forest products. PHAMA’s first strategic plan prioritised the i</w:t>
            </w:r>
            <w:r w:rsidR="00AF379D" w:rsidRPr="004F4F95">
              <w:rPr>
                <w:rFonts w:cs="Arial"/>
                <w:lang w:val="en-US" w:eastAsia="en-US"/>
              </w:rPr>
              <w:t xml:space="preserve">nvestigation of quarantine and non-quarantine issues related to the export of taro to </w:t>
            </w:r>
            <w:smartTag w:uri="urn:schemas-microsoft-com:office:smarttags" w:element="country-region">
              <w:r w:rsidR="00AF379D" w:rsidRPr="004F4F95">
                <w:rPr>
                  <w:rFonts w:cs="Arial"/>
                  <w:lang w:val="en-US" w:eastAsia="en-US"/>
                </w:rPr>
                <w:t>Australia</w:t>
              </w:r>
            </w:smartTag>
            <w:r w:rsidR="00AF379D" w:rsidRPr="004F4F95">
              <w:rPr>
                <w:rFonts w:cs="Arial"/>
                <w:lang w:val="en-US" w:eastAsia="en-US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="00AF379D" w:rsidRPr="004F4F95">
                  <w:rPr>
                    <w:rFonts w:cs="Arial"/>
                    <w:lang w:val="en-US" w:eastAsia="en-US"/>
                  </w:rPr>
                  <w:t>New Zealand</w:t>
                </w:r>
              </w:smartTag>
            </w:smartTag>
            <w:r w:rsidR="00AF379D" w:rsidRPr="004F4F95">
              <w:rPr>
                <w:rFonts w:cs="Arial"/>
                <w:lang w:val="en-US" w:eastAsia="en-US"/>
              </w:rPr>
              <w:t>.</w:t>
            </w:r>
            <w:r w:rsidRPr="004F4F95">
              <w:rPr>
                <w:rFonts w:cs="Arial"/>
                <w:lang w:val="en-US" w:eastAsia="en-US"/>
              </w:rPr>
              <w:t xml:space="preserve"> </w:t>
            </w:r>
            <w:r w:rsidR="00AF379D" w:rsidRPr="004F4F95">
              <w:rPr>
                <w:lang w:val="en-US" w:eastAsia="en-US"/>
              </w:rPr>
              <w:t xml:space="preserve">While </w:t>
            </w:r>
            <w:smartTag w:uri="urn:schemas-microsoft-com:office:smarttags" w:element="country-region">
              <w:r w:rsidR="00AF379D" w:rsidRPr="004F4F95">
                <w:rPr>
                  <w:lang w:val="en-US" w:eastAsia="en-US"/>
                </w:rPr>
                <w:t>Australia</w:t>
              </w:r>
            </w:smartTag>
            <w:r w:rsidR="00AF379D" w:rsidRPr="004F4F95">
              <w:rPr>
                <w:lang w:val="en-US" w:eastAsia="en-US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="00AF379D" w:rsidRPr="004F4F95">
                  <w:rPr>
                    <w:lang w:val="en-US" w:eastAsia="en-US"/>
                  </w:rPr>
                  <w:t>New Zealand</w:t>
                </w:r>
              </w:smartTag>
            </w:smartTag>
            <w:r w:rsidR="00AF379D" w:rsidRPr="004F4F95">
              <w:rPr>
                <w:lang w:val="en-US" w:eastAsia="en-US"/>
              </w:rPr>
              <w:t xml:space="preserve"> will be major markets of interest, PHAMA can also address market access issues to promote increased trade between </w:t>
            </w:r>
            <w:r w:rsidR="008225A7" w:rsidRPr="004F4F95">
              <w:rPr>
                <w:lang w:val="en-US" w:eastAsia="en-US"/>
              </w:rPr>
              <w:t>P</w:t>
            </w:r>
            <w:r w:rsidR="00AF379D" w:rsidRPr="004F4F95">
              <w:rPr>
                <w:lang w:val="en-US" w:eastAsia="en-US"/>
              </w:rPr>
              <w:t>acific island</w:t>
            </w:r>
            <w:r w:rsidR="00902D6A" w:rsidRPr="004F4F95">
              <w:rPr>
                <w:lang w:val="en-US" w:eastAsia="en-US"/>
              </w:rPr>
              <w:t>s.</w:t>
            </w:r>
            <w:r w:rsidR="00AF379D" w:rsidRPr="004F4F95">
              <w:rPr>
                <w:lang w:val="en-US" w:eastAsia="en-US"/>
              </w:rPr>
              <w:t xml:space="preserve"> </w:t>
            </w:r>
          </w:p>
          <w:p w:rsidR="00781F9D" w:rsidRPr="004F4F95" w:rsidRDefault="00496308" w:rsidP="00BD39E2">
            <w:pPr>
              <w:pStyle w:val="BodyText"/>
              <w:jc w:val="center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200400" cy="2136140"/>
                  <wp:effectExtent l="0" t="0" r="0" b="0"/>
                  <wp:docPr id="4" name="Picture 1" descr="Organic markets 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ganic markets 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13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717" w:rsidRPr="004F4F95" w:rsidRDefault="00716717" w:rsidP="00BD39E2">
            <w:pPr>
              <w:pStyle w:val="BodyText"/>
              <w:jc w:val="center"/>
              <w:rPr>
                <w:sz w:val="18"/>
                <w:szCs w:val="18"/>
                <w:lang w:val="en-US" w:eastAsia="en-US"/>
              </w:rPr>
            </w:pPr>
            <w:r w:rsidRPr="004F4F95">
              <w:rPr>
                <w:lang w:val="en-US" w:eastAsia="en-US"/>
              </w:rPr>
              <w:t xml:space="preserve">Taro and other agricultural produce for sale in </w:t>
            </w:r>
            <w:smartTag w:uri="urn:schemas-microsoft-com:office:smarttags" w:element="City">
              <w:smartTag w:uri="urn:schemas-microsoft-com:office:smarttags" w:element="place">
                <w:r w:rsidRPr="004F4F95">
                  <w:rPr>
                    <w:lang w:val="en-US" w:eastAsia="en-US"/>
                  </w:rPr>
                  <w:t>Apia</w:t>
                </w:r>
              </w:smartTag>
            </w:smartTag>
            <w:r w:rsidRPr="004F4F95">
              <w:rPr>
                <w:lang w:val="en-US" w:eastAsia="en-US"/>
              </w:rPr>
              <w:t>.</w:t>
            </w:r>
          </w:p>
        </w:tc>
      </w:tr>
    </w:tbl>
    <w:p w:rsidR="001C3DAE" w:rsidRDefault="001C3DAE" w:rsidP="00BD39E2">
      <w:pPr>
        <w:pStyle w:val="Heading2"/>
        <w:spacing w:before="140"/>
      </w:pPr>
      <w:bookmarkStart w:id="9" w:name="_Toc306264793"/>
      <w:r>
        <w:t xml:space="preserve">Partnership Priority Outcome 2: Improved </w:t>
      </w:r>
      <w:r w:rsidR="00343A2F">
        <w:t>h</w:t>
      </w:r>
      <w:r>
        <w:t>ealth</w:t>
      </w:r>
      <w:bookmarkEnd w:id="9"/>
    </w:p>
    <w:p w:rsidR="001C3DAE" w:rsidRDefault="001C3DAE" w:rsidP="00EC4949">
      <w:pPr>
        <w:pStyle w:val="Heading3"/>
      </w:pPr>
      <w:r>
        <w:t>Rating and assessment</w:t>
      </w:r>
    </w:p>
    <w:p w:rsidR="001C3DAE" w:rsidRDefault="00496308" w:rsidP="00BD39E2">
      <w:pPr>
        <w:pStyle w:val="BodyText"/>
      </w:pPr>
      <w:r>
        <w:rPr>
          <w:noProof/>
          <w:color w:val="FF9900"/>
          <w:sz w:val="18"/>
          <w:szCs w:val="18"/>
          <w:lang w:val="en-US" w:eastAsia="en-US"/>
        </w:rPr>
        <mc:AlternateContent>
          <mc:Choice Requires="wps">
            <w:drawing>
              <wp:inline distT="0" distB="0" distL="0" distR="0">
                <wp:extent cx="167640" cy="171450"/>
                <wp:effectExtent l="0" t="0" r="4445" b="0"/>
                <wp:docPr id="9" name="Rectangle 17" descr="R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71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" o:spid="_x0000_s1026" alt="Red" style="width:13.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" fillcolor="red" stroked="f">
                <w10:anchorlock/>
              </v:rect>
            </w:pict>
          </mc:Fallback>
        </mc:AlternateContent>
      </w:r>
      <w:r w:rsidR="001C3DAE">
        <w:t> </w:t>
      </w:r>
      <w:r w:rsidR="001C3DAE" w:rsidRPr="008041F5">
        <w:t>The o</w:t>
      </w:r>
      <w:r w:rsidR="0061485C">
        <w:t>utcome</w:t>
      </w:r>
      <w:r w:rsidR="001C3DAE" w:rsidRPr="008041F5">
        <w:t xml:space="preserve"> </w:t>
      </w:r>
      <w:r w:rsidR="001C3DAE">
        <w:t>is unlikely to be</w:t>
      </w:r>
      <w:r w:rsidR="001C3DAE" w:rsidRPr="008041F5">
        <w:t xml:space="preserve"> achieved within the timeframe of the </w:t>
      </w:r>
      <w:r w:rsidR="0061485C">
        <w:t>p</w:t>
      </w:r>
      <w:r w:rsidR="001C3DAE">
        <w:t>artnership</w:t>
      </w:r>
      <w:r w:rsidR="001C3DAE" w:rsidRPr="008041F5">
        <w:t>.</w:t>
      </w:r>
    </w:p>
    <w:p w:rsidR="001C3DAE" w:rsidRDefault="003A3B6F" w:rsidP="001C3DAE">
      <w:pPr>
        <w:pStyle w:val="Caption"/>
      </w:pPr>
      <w:r>
        <w:t>Table 4</w:t>
      </w:r>
      <w:r w:rsidR="001C3DAE">
        <w:t>: Priority Outcome</w:t>
      </w:r>
      <w:r w:rsidR="00B01EBF">
        <w:t xml:space="preserve"> 2 </w:t>
      </w:r>
      <w:r w:rsidR="00343A2F">
        <w:t>t</w:t>
      </w:r>
      <w:r w:rsidR="00B01EBF">
        <w:t xml:space="preserve">argets and </w:t>
      </w:r>
      <w:r w:rsidR="00343A2F">
        <w:t>e</w:t>
      </w:r>
      <w:r w:rsidR="00B01EBF">
        <w:t>xpenditure 2010</w:t>
      </w:r>
      <w:r w:rsidR="004B33E6">
        <w:t>–</w:t>
      </w:r>
      <w:r w:rsidR="001C3DAE">
        <w:t>11</w:t>
      </w: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2693"/>
        <w:gridCol w:w="851"/>
        <w:gridCol w:w="1399"/>
      </w:tblGrid>
      <w:tr w:rsidR="001C3DAE" w:rsidTr="00BD39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DAE" w:rsidRPr="00E845BE" w:rsidRDefault="001C3DAE" w:rsidP="00343A2F">
            <w:pPr>
              <w:pStyle w:val="TableTextEntries"/>
              <w:rPr>
                <w:lang w:val="en-GB"/>
              </w:rPr>
            </w:pPr>
            <w:r>
              <w:rPr>
                <w:b/>
              </w:rPr>
              <w:t xml:space="preserve">Joint </w:t>
            </w:r>
            <w:r w:rsidR="00343A2F">
              <w:rPr>
                <w:b/>
              </w:rPr>
              <w:t>c</w:t>
            </w:r>
            <w:r>
              <w:rPr>
                <w:b/>
              </w:rPr>
              <w:t xml:space="preserve">ommitments: </w:t>
            </w:r>
            <w:r w:rsidR="004A7F14">
              <w:rPr>
                <w:lang w:val="en-GB"/>
              </w:rPr>
              <w:t>The p</w:t>
            </w:r>
            <w:r w:rsidRPr="00487CCF">
              <w:rPr>
                <w:lang w:val="en-GB"/>
              </w:rPr>
              <w:t>artnership will complement continuing Australian assistance through Samoa’s Health Sector Program for health promotion, quality of health care services and health policy, with new support addressing</w:t>
            </w:r>
            <w:r>
              <w:rPr>
                <w:b/>
                <w:lang w:val="en-GB"/>
              </w:rPr>
              <w:t xml:space="preserve">: </w:t>
            </w:r>
            <w:r w:rsidRPr="00487CCF">
              <w:rPr>
                <w:lang w:val="en-GB"/>
              </w:rPr>
              <w:t>non-communicable diseases</w:t>
            </w:r>
            <w:r>
              <w:rPr>
                <w:lang w:val="en-GB"/>
              </w:rPr>
              <w:t>; workforce development in the health sector; and, improved governance</w:t>
            </w:r>
            <w:r w:rsidR="005E2D0B">
              <w:rPr>
                <w:lang w:val="en-GB"/>
              </w:rPr>
              <w:t>.</w:t>
            </w:r>
          </w:p>
        </w:tc>
      </w:tr>
      <w:tr w:rsidR="006B5E06" w:rsidTr="00BD39E2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7920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5E06" w:rsidRPr="006B5E06" w:rsidRDefault="006B5E06" w:rsidP="00E1546E">
            <w:pPr>
              <w:pStyle w:val="TableTextEntries"/>
              <w:rPr>
                <w:b/>
              </w:rPr>
            </w:pPr>
            <w:r w:rsidRPr="006B5E06">
              <w:rPr>
                <w:b/>
                <w:lang w:val="en-GB"/>
              </w:rPr>
              <w:t xml:space="preserve">Partnership </w:t>
            </w:r>
            <w:r w:rsidR="00343A2F">
              <w:rPr>
                <w:b/>
                <w:lang w:val="en-GB"/>
              </w:rPr>
              <w:t>t</w:t>
            </w:r>
            <w:r w:rsidRPr="006B5E06">
              <w:rPr>
                <w:b/>
                <w:lang w:val="en-GB"/>
              </w:rPr>
              <w:t xml:space="preserve">arget </w:t>
            </w:r>
            <w:r w:rsidR="00343A2F">
              <w:rPr>
                <w:b/>
                <w:lang w:val="en-GB"/>
              </w:rPr>
              <w:t>r</w:t>
            </w:r>
            <w:r w:rsidRPr="006B5E06">
              <w:rPr>
                <w:b/>
                <w:lang w:val="en-GB"/>
              </w:rPr>
              <w:t>esults</w:t>
            </w:r>
            <w:r w:rsidR="00E77906">
              <w:rPr>
                <w:b/>
                <w:lang w:val="en-GB"/>
              </w:rPr>
              <w:t>:</w:t>
            </w:r>
          </w:p>
          <w:p w:rsidR="006B5E06" w:rsidRPr="00E845BE" w:rsidRDefault="006B5E06" w:rsidP="00E1546E">
            <w:pPr>
              <w:pStyle w:val="TableTextEntries"/>
            </w:pPr>
            <w:r>
              <w:t xml:space="preserve">- </w:t>
            </w:r>
            <w:r w:rsidRPr="00E845BE">
              <w:t xml:space="preserve">Reduced prevalence of non-communicable disease in </w:t>
            </w:r>
            <w:smartTag w:uri="urn:schemas-microsoft-com:office:smarttags" w:element="place">
              <w:smartTag w:uri="urn:schemas-microsoft-com:office:smarttags" w:element="PersonName">
                <w:r w:rsidRPr="00E845BE">
                  <w:t>Sam</w:t>
                </w:r>
              </w:smartTag>
              <w:r w:rsidRPr="00E845BE">
                <w:t>oa</w:t>
              </w:r>
            </w:smartTag>
            <w:r w:rsidRPr="00E845BE">
              <w:t xml:space="preserve"> by 2015</w:t>
            </w:r>
          </w:p>
          <w:p w:rsidR="006B5E06" w:rsidRPr="00E845BE" w:rsidRDefault="006B5E06" w:rsidP="006B5E06">
            <w:pPr>
              <w:pStyle w:val="TableDataEntries"/>
              <w:jc w:val="left"/>
              <w:rPr>
                <w:color w:val="99CC00"/>
              </w:rPr>
            </w:pPr>
            <w:r>
              <w:t xml:space="preserve">- </w:t>
            </w:r>
            <w:r w:rsidRPr="00E845BE">
              <w:t>Increased staff numbers in all health disciplines</w:t>
            </w:r>
          </w:p>
        </w:tc>
      </w:tr>
      <w:tr w:rsidR="00492902" w:rsidTr="00BD39E2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2902" w:rsidRPr="00E77906" w:rsidRDefault="00492902" w:rsidP="004B33E6">
            <w:pPr>
              <w:pStyle w:val="TableTextEntries"/>
              <w:rPr>
                <w:b/>
              </w:rPr>
            </w:pPr>
            <w:r w:rsidRPr="00E77906">
              <w:rPr>
                <w:b/>
              </w:rPr>
              <w:t>Expenditure</w:t>
            </w:r>
            <w:r w:rsidR="00B01EBF">
              <w:rPr>
                <w:b/>
              </w:rPr>
              <w:t xml:space="preserve"> in 2010</w:t>
            </w:r>
            <w:r w:rsidR="004B33E6">
              <w:rPr>
                <w:b/>
              </w:rPr>
              <w:t>–</w:t>
            </w:r>
            <w:r>
              <w:rPr>
                <w:b/>
              </w:rPr>
              <w:t>11: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92902" w:rsidRPr="00954351" w:rsidRDefault="00492902" w:rsidP="00492902">
            <w:pPr>
              <w:pStyle w:val="TableDataColumnHeading"/>
              <w:jc w:val="left"/>
            </w:pPr>
            <w:smartTag w:uri="urn:schemas-microsoft-com:office:smarttags" w:element="place">
              <w:smartTag w:uri="urn:schemas-microsoft-com:office:smarttags" w:element="country-region">
                <w:r>
                  <w:t>Australia</w:t>
                </w:r>
              </w:smartTag>
            </w:smartTag>
          </w:p>
        </w:tc>
        <w:tc>
          <w:tcPr>
            <w:tcW w:w="269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492902" w:rsidRPr="000F5034" w:rsidRDefault="00492902" w:rsidP="00E1546E">
            <w:pPr>
              <w:pStyle w:val="TableTextEntries"/>
            </w:pPr>
            <w:r>
              <w:t>A</w:t>
            </w:r>
            <w:r w:rsidR="004B33E6">
              <w:t>U</w:t>
            </w:r>
            <w:r>
              <w:t>$1.0 million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92902" w:rsidRDefault="00492902" w:rsidP="00E77906">
            <w:pPr>
              <w:pStyle w:val="TableDataEntries"/>
              <w:jc w:val="left"/>
            </w:pPr>
          </w:p>
        </w:tc>
        <w:tc>
          <w:tcPr>
            <w:tcW w:w="1399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2902" w:rsidRDefault="00492902" w:rsidP="00E77906">
            <w:pPr>
              <w:pStyle w:val="TableDataEntries"/>
              <w:jc w:val="left"/>
            </w:pPr>
          </w:p>
        </w:tc>
      </w:tr>
      <w:tr w:rsidR="00492902" w:rsidTr="00BD39E2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2902" w:rsidRPr="00E77906" w:rsidRDefault="00492902" w:rsidP="00E1546E">
            <w:pPr>
              <w:pStyle w:val="TableTextEntries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92902" w:rsidRPr="00954351" w:rsidRDefault="00492902" w:rsidP="00492902">
            <w:pPr>
              <w:pStyle w:val="TableDataColumnHeading"/>
              <w:jc w:val="left"/>
            </w:pPr>
            <w:smartTag w:uri="urn:schemas-microsoft-com:office:smarttags" w:element="place">
              <w:r>
                <w:t>Samoa</w:t>
              </w:r>
            </w:smartTag>
          </w:p>
        </w:tc>
        <w:tc>
          <w:tcPr>
            <w:tcW w:w="269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92902" w:rsidRPr="000F5034" w:rsidRDefault="00492902" w:rsidP="00E1546E">
            <w:pPr>
              <w:pStyle w:val="TableTextEntries"/>
            </w:pPr>
            <w:r>
              <w:t>SAT64.9 million (projected)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92902" w:rsidRDefault="00492902" w:rsidP="00E77906">
            <w:pPr>
              <w:pStyle w:val="TableDataEntries"/>
              <w:jc w:val="left"/>
            </w:pPr>
          </w:p>
        </w:tc>
        <w:tc>
          <w:tcPr>
            <w:tcW w:w="1399" w:type="dxa"/>
            <w:vMerge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2902" w:rsidRDefault="00492902" w:rsidP="00E77906">
            <w:pPr>
              <w:pStyle w:val="TableDataEntries"/>
              <w:jc w:val="left"/>
            </w:pPr>
          </w:p>
        </w:tc>
      </w:tr>
    </w:tbl>
    <w:p w:rsidR="001C3DAE" w:rsidRDefault="00FC26CF" w:rsidP="00BD39E2">
      <w:pPr>
        <w:pStyle w:val="BodyText"/>
      </w:pPr>
      <w:r w:rsidRPr="00BD39E2">
        <w:rPr>
          <w:rFonts w:ascii="Franklin Gothic Book" w:hAnsi="Franklin Gothic Book"/>
          <w:sz w:val="14"/>
          <w:szCs w:val="14"/>
        </w:rPr>
        <w:t>Note:  Samoa</w:t>
      </w:r>
      <w:r w:rsidR="004F6199" w:rsidRPr="00BD39E2">
        <w:rPr>
          <w:rFonts w:ascii="Franklin Gothic Book" w:hAnsi="Franklin Gothic Book"/>
          <w:sz w:val="14"/>
          <w:szCs w:val="14"/>
        </w:rPr>
        <w:t xml:space="preserve"> expenditure is projected budget spending</w:t>
      </w:r>
      <w:r w:rsidR="0061485C" w:rsidRPr="00BD39E2">
        <w:rPr>
          <w:rFonts w:ascii="Franklin Gothic Book" w:hAnsi="Franklin Gothic Book"/>
          <w:sz w:val="14"/>
          <w:szCs w:val="14"/>
        </w:rPr>
        <w:t xml:space="preserve"> for h</w:t>
      </w:r>
      <w:r w:rsidR="004F6199" w:rsidRPr="00BD39E2">
        <w:rPr>
          <w:rFonts w:ascii="Franklin Gothic Book" w:hAnsi="Franklin Gothic Book"/>
          <w:sz w:val="14"/>
          <w:szCs w:val="14"/>
        </w:rPr>
        <w:t>ealth.</w:t>
      </w:r>
      <w:r w:rsidR="001C3DAE">
        <w:t xml:space="preserve">Overall, progress in </w:t>
      </w:r>
      <w:r w:rsidR="001E69B9">
        <w:t>h</w:t>
      </w:r>
      <w:r w:rsidR="001C3DAE">
        <w:t xml:space="preserve">ealth has </w:t>
      </w:r>
      <w:r w:rsidR="003E2278">
        <w:t>been slow.</w:t>
      </w:r>
      <w:r w:rsidR="001C3DAE">
        <w:t xml:space="preserve"> Available data </w:t>
      </w:r>
      <w:r w:rsidR="003E2278">
        <w:t>shows no decrease</w:t>
      </w:r>
      <w:r w:rsidR="001C3DAE">
        <w:t xml:space="preserve"> in rates of </w:t>
      </w:r>
      <w:r w:rsidR="001E69B9">
        <w:t>n</w:t>
      </w:r>
      <w:r w:rsidR="001C3DAE">
        <w:t>on-</w:t>
      </w:r>
      <w:r w:rsidR="001E69B9">
        <w:t>c</w:t>
      </w:r>
      <w:r w:rsidR="001C3DAE">
        <w:t xml:space="preserve">ommunicable </w:t>
      </w:r>
      <w:r w:rsidR="001E69B9">
        <w:t>d</w:t>
      </w:r>
      <w:r w:rsidR="001C3DAE">
        <w:t>iseases such as diabe</w:t>
      </w:r>
      <w:r w:rsidR="00FE46BE">
        <w:t>tes and hypertension. P</w:t>
      </w:r>
      <w:r w:rsidR="001C3DAE">
        <w:t>r</w:t>
      </w:r>
      <w:r w:rsidR="004A7F14">
        <w:t>ograms outlined in the p</w:t>
      </w:r>
      <w:r w:rsidR="001C3DAE">
        <w:t xml:space="preserve">artnership to improve health staff numbers have yet to commence. </w:t>
      </w:r>
    </w:p>
    <w:p w:rsidR="004E4FC6" w:rsidRPr="00B628F4" w:rsidRDefault="003C7017" w:rsidP="00BD39E2">
      <w:pPr>
        <w:pStyle w:val="BodyText"/>
      </w:pPr>
      <w:r>
        <w:t>A</w:t>
      </w:r>
      <w:r w:rsidR="009567D9" w:rsidRPr="00B628F4">
        <w:t xml:space="preserve"> key achievement for the </w:t>
      </w:r>
      <w:r w:rsidR="004A7F14">
        <w:t>p</w:t>
      </w:r>
      <w:r w:rsidR="009567D9" w:rsidRPr="00B628F4">
        <w:t>artnership in 2010</w:t>
      </w:r>
      <w:r w:rsidR="00B628F4" w:rsidRPr="00B628F4">
        <w:t>–</w:t>
      </w:r>
      <w:r w:rsidR="009567D9" w:rsidRPr="00B628F4">
        <w:t>11 was the nation-wide program of village health fairs</w:t>
      </w:r>
      <w:r w:rsidR="005063CB">
        <w:t xml:space="preserve">. </w:t>
      </w:r>
      <w:r w:rsidR="009567D9" w:rsidRPr="00B628F4">
        <w:t>These fairs, conducted by the Ministry of Health and the National Health Service, provided health screening, childhood vaccinations and healthy lifestyle promotion to more than 10</w:t>
      </w:r>
      <w:r w:rsidR="001A004E">
        <w:t> </w:t>
      </w:r>
      <w:r w:rsidR="009567D9" w:rsidRPr="00B628F4">
        <w:t xml:space="preserve">000 people in 52 villages. </w:t>
      </w:r>
      <w:r w:rsidRPr="00B628F4">
        <w:t>Th</w:t>
      </w:r>
      <w:r>
        <w:t>ey</w:t>
      </w:r>
      <w:r w:rsidR="009567D9" w:rsidRPr="00B628F4">
        <w:t xml:space="preserve"> focused on young mothers and elderly people and </w:t>
      </w:r>
      <w:r w:rsidR="009567D9" w:rsidRPr="00B628F4">
        <w:lastRenderedPageBreak/>
        <w:t>collect</w:t>
      </w:r>
      <w:r>
        <w:t>ed</w:t>
      </w:r>
      <w:r w:rsidR="009567D9" w:rsidRPr="00B628F4">
        <w:t xml:space="preserve"> valuable baseline health data that will be used to plan better health services, especially for rural areas.</w:t>
      </w:r>
    </w:p>
    <w:p w:rsidR="001C3DAE" w:rsidRDefault="001C3DAE" w:rsidP="00BD39E2">
      <w:pPr>
        <w:pStyle w:val="BodyText"/>
      </w:pPr>
      <w:r>
        <w:t>The multi-</w:t>
      </w:r>
      <w:r w:rsidR="009B674A">
        <w:t>partner</w:t>
      </w:r>
      <w:r>
        <w:t xml:space="preserve"> Health Sector Wide </w:t>
      </w:r>
      <w:r w:rsidRPr="0021209B">
        <w:t>Approach (SWAp) has</w:t>
      </w:r>
      <w:r>
        <w:t xml:space="preserve"> had some success, notably its </w:t>
      </w:r>
      <w:r w:rsidR="008225A7">
        <w:t>publication</w:t>
      </w:r>
      <w:r>
        <w:t xml:space="preserve"> of the first ever Samoa-wide </w:t>
      </w:r>
      <w:r w:rsidR="003C7017">
        <w:t>d</w:t>
      </w:r>
      <w:r>
        <w:t xml:space="preserve">emographic and </w:t>
      </w:r>
      <w:r w:rsidR="003C7017">
        <w:t>h</w:t>
      </w:r>
      <w:r>
        <w:t xml:space="preserve">ealth </w:t>
      </w:r>
      <w:r w:rsidR="003C7017">
        <w:t>s</w:t>
      </w:r>
      <w:r>
        <w:t xml:space="preserve">urvey. The survey focused on household composition, education, maternal, child and reproductive health. </w:t>
      </w:r>
      <w:r w:rsidR="003C7017">
        <w:t>S</w:t>
      </w:r>
      <w:r>
        <w:t>urvey</w:t>
      </w:r>
      <w:r w:rsidR="003C7017">
        <w:t xml:space="preserve"> results have given</w:t>
      </w:r>
      <w:r>
        <w:t xml:space="preserve"> the </w:t>
      </w:r>
      <w:r w:rsidR="004E4FC6">
        <w:t>G</w:t>
      </w:r>
      <w:r w:rsidR="00C17876">
        <w:t xml:space="preserve">overnment of </w:t>
      </w:r>
      <w:r w:rsidR="007428A1">
        <w:t>Samoa a</w:t>
      </w:r>
      <w:r>
        <w:t xml:space="preserve"> rich </w:t>
      </w:r>
      <w:r w:rsidR="003C7017">
        <w:t xml:space="preserve">source of </w:t>
      </w:r>
      <w:r>
        <w:t xml:space="preserve">demographic data with which to make informed health policy </w:t>
      </w:r>
      <w:r w:rsidRPr="008225A7">
        <w:t>decisions. Already the</w:t>
      </w:r>
      <w:r>
        <w:t xml:space="preserve"> survey has </w:t>
      </w:r>
      <w:r w:rsidR="003C7017">
        <w:t>influenced</w:t>
      </w:r>
      <w:r>
        <w:t xml:space="preserve"> policy thinking. </w:t>
      </w:r>
    </w:p>
    <w:p w:rsidR="00C15D55" w:rsidRDefault="00E45963" w:rsidP="00BD39E2">
      <w:pPr>
        <w:pStyle w:val="BodyText"/>
      </w:pPr>
      <w:r>
        <w:t>The SWAp is lagging o</w:t>
      </w:r>
      <w:r w:rsidR="001C3DAE">
        <w:t>n achiev</w:t>
      </w:r>
      <w:r w:rsidR="003C7017">
        <w:t>ing</w:t>
      </w:r>
      <w:r w:rsidR="001C3DAE">
        <w:t xml:space="preserve"> overall objectives</w:t>
      </w:r>
      <w:r w:rsidR="003C7017">
        <w:t xml:space="preserve">, in part because of </w:t>
      </w:r>
      <w:r w:rsidR="007428A1">
        <w:t>its</w:t>
      </w:r>
      <w:r w:rsidR="003C7017">
        <w:t xml:space="preserve"> </w:t>
      </w:r>
      <w:r w:rsidR="001C3DAE">
        <w:t>complexity. In April 2011 a review team recommended specific measures to make the SWAp more efficient and responsive to health</w:t>
      </w:r>
      <w:r w:rsidR="003C7017">
        <w:t>-</w:t>
      </w:r>
      <w:r w:rsidR="001C3DAE">
        <w:t xml:space="preserve">sector demands. </w:t>
      </w:r>
      <w:r w:rsidR="009546A6">
        <w:t xml:space="preserve">AusAID will work closely with health sector counterparts and other </w:t>
      </w:r>
      <w:r w:rsidR="007428A1">
        <w:t>partners</w:t>
      </w:r>
      <w:r w:rsidR="009546A6">
        <w:t xml:space="preserve"> to </w:t>
      </w:r>
      <w:r w:rsidR="003C7017">
        <w:t xml:space="preserve">improve </w:t>
      </w:r>
      <w:r w:rsidR="009546A6">
        <w:t>the program</w:t>
      </w:r>
      <w:r w:rsidR="005063CB">
        <w:t xml:space="preserve">. </w:t>
      </w:r>
    </w:p>
    <w:p w:rsidR="001C3DAE" w:rsidRDefault="001C3DAE" w:rsidP="00EC4949">
      <w:pPr>
        <w:pStyle w:val="Heading2"/>
      </w:pPr>
      <w:bookmarkStart w:id="10" w:name="_Toc306264794"/>
      <w:r>
        <w:t xml:space="preserve">Partnership Priority Outcome 3: Improved </w:t>
      </w:r>
      <w:r w:rsidR="00343A2F">
        <w:t>e</w:t>
      </w:r>
      <w:r>
        <w:t>ducation</w:t>
      </w:r>
      <w:bookmarkEnd w:id="10"/>
    </w:p>
    <w:p w:rsidR="001C3DAE" w:rsidRDefault="001C3DAE" w:rsidP="00EC4949">
      <w:pPr>
        <w:pStyle w:val="Heading3"/>
      </w:pPr>
      <w:r>
        <w:t>Rating and assessment</w:t>
      </w:r>
    </w:p>
    <w:p w:rsidR="001C3DAE" w:rsidRPr="0020036B" w:rsidRDefault="00496308" w:rsidP="00BD39E2">
      <w:pPr>
        <w:pStyle w:val="BodyText"/>
      </w:pPr>
      <w:r>
        <w:rPr>
          <w:noProof/>
          <w:color w:val="FF9900"/>
          <w:sz w:val="18"/>
          <w:szCs w:val="18"/>
          <w:lang w:val="en-US" w:eastAsia="en-US"/>
        </w:rPr>
        <mc:AlternateContent>
          <mc:Choice Requires="wps">
            <w:drawing>
              <wp:inline distT="0" distB="0" distL="0" distR="0">
                <wp:extent cx="167640" cy="171450"/>
                <wp:effectExtent l="0" t="1905" r="4445" b="0"/>
                <wp:docPr id="8" name="Rectangle 18" descr="Gre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714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" o:spid="_x0000_s1026" alt="Green" style="width:13.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" fillcolor="#92d050" stroked="f">
                <w10:anchorlock/>
              </v:rect>
            </w:pict>
          </mc:Fallback>
        </mc:AlternateContent>
      </w:r>
      <w:r w:rsidR="001C3DAE">
        <w:rPr>
          <w:rFonts w:eastAsia="Arial Unicode MS"/>
        </w:rPr>
        <w:t> </w:t>
      </w:r>
      <w:r w:rsidR="001C3DAE" w:rsidRPr="00230BD1">
        <w:t xml:space="preserve">The </w:t>
      </w:r>
      <w:r w:rsidR="0061485C">
        <w:t>outcome</w:t>
      </w:r>
      <w:r w:rsidR="001C3DAE" w:rsidRPr="00230BD1">
        <w:t xml:space="preserve"> will be </w:t>
      </w:r>
      <w:r w:rsidR="001C3DAE">
        <w:t>fully</w:t>
      </w:r>
      <w:r w:rsidR="001C3DAE" w:rsidRPr="00230BD1">
        <w:t xml:space="preserve"> achieved within the timeframe of the </w:t>
      </w:r>
      <w:r w:rsidR="009E7B20">
        <w:t>p</w:t>
      </w:r>
      <w:r w:rsidR="001C3DAE">
        <w:t>artnership</w:t>
      </w:r>
      <w:r w:rsidR="001C3DAE" w:rsidRPr="00230BD1">
        <w:t>.</w:t>
      </w:r>
    </w:p>
    <w:p w:rsidR="001C3DAE" w:rsidRPr="00B91B48" w:rsidRDefault="003A3B6F" w:rsidP="001C3DAE">
      <w:pPr>
        <w:pStyle w:val="Caption"/>
      </w:pPr>
      <w:r>
        <w:t>Table 5</w:t>
      </w:r>
      <w:r w:rsidR="001C3DAE">
        <w:t>: Priority Outcome</w:t>
      </w:r>
      <w:r w:rsidR="00B01EBF">
        <w:t xml:space="preserve"> 3 </w:t>
      </w:r>
      <w:r w:rsidR="00343A2F">
        <w:t>t</w:t>
      </w:r>
      <w:r w:rsidR="00B01EBF">
        <w:t xml:space="preserve">argets and </w:t>
      </w:r>
      <w:r w:rsidR="00343A2F">
        <w:t>e</w:t>
      </w:r>
      <w:r w:rsidR="00B01EBF">
        <w:t>xpenditure 2010</w:t>
      </w:r>
      <w:r w:rsidR="00B628F4">
        <w:t>–</w:t>
      </w:r>
      <w:r w:rsidR="001C3DAE">
        <w:t>11</w:t>
      </w: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2410"/>
        <w:gridCol w:w="2533"/>
      </w:tblGrid>
      <w:tr w:rsidR="001C3DAE" w:rsidTr="004627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DAE" w:rsidRPr="00E845BE" w:rsidRDefault="001C3DAE" w:rsidP="0061485C">
            <w:pPr>
              <w:pStyle w:val="TableTextEntries"/>
              <w:rPr>
                <w:lang w:val="en-GB"/>
              </w:rPr>
            </w:pPr>
            <w:r>
              <w:rPr>
                <w:b/>
              </w:rPr>
              <w:t xml:space="preserve">Joint </w:t>
            </w:r>
            <w:r w:rsidR="00343A2F">
              <w:rPr>
                <w:b/>
              </w:rPr>
              <w:t>c</w:t>
            </w:r>
            <w:r>
              <w:rPr>
                <w:b/>
              </w:rPr>
              <w:t xml:space="preserve">ommitments: </w:t>
            </w:r>
            <w:r w:rsidRPr="003F02FE">
              <w:rPr>
                <w:lang w:val="en-GB"/>
              </w:rPr>
              <w:t xml:space="preserve">The </w:t>
            </w:r>
            <w:r w:rsidR="0061485C">
              <w:rPr>
                <w:lang w:val="en-GB"/>
              </w:rPr>
              <w:t>p</w:t>
            </w:r>
            <w:r w:rsidRPr="003F02FE">
              <w:rPr>
                <w:lang w:val="en-GB"/>
              </w:rPr>
              <w:t xml:space="preserve">artnership will build on current assistance for Samoa’s Education Sector Program and support </w:t>
            </w:r>
            <w:smartTag w:uri="urn:schemas-microsoft-com:office:smarttags" w:element="place">
              <w:r w:rsidRPr="003F02FE">
                <w:rPr>
                  <w:lang w:val="en-GB"/>
                </w:rPr>
                <w:t>Samoa</w:t>
              </w:r>
            </w:smartTag>
            <w:r w:rsidRPr="003F02FE">
              <w:rPr>
                <w:lang w:val="en-GB"/>
              </w:rPr>
              <w:t>’s ambition to move beyond</w:t>
            </w:r>
            <w:r w:rsidR="0021209B" w:rsidRPr="0021209B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21209B" w:rsidRPr="0021209B">
              <w:t>Millennium Development Goals</w:t>
            </w:r>
            <w:r w:rsidRPr="003F02FE">
              <w:rPr>
                <w:lang w:val="en-GB"/>
              </w:rPr>
              <w:t xml:space="preserve"> </w:t>
            </w:r>
            <w:r w:rsidR="0021209B">
              <w:rPr>
                <w:lang w:val="en-GB"/>
              </w:rPr>
              <w:t>(</w:t>
            </w:r>
            <w:r w:rsidRPr="003F02FE">
              <w:rPr>
                <w:lang w:val="en-GB"/>
              </w:rPr>
              <w:t>MDG</w:t>
            </w:r>
            <w:r w:rsidR="0021209B">
              <w:rPr>
                <w:lang w:val="en-GB"/>
              </w:rPr>
              <w:t>)</w:t>
            </w:r>
            <w:r w:rsidRPr="003F02FE">
              <w:rPr>
                <w:lang w:val="en-GB"/>
              </w:rPr>
              <w:t xml:space="preserve"> targets to address better quality and more equitable education for boys and girls, with new support addressing: reduced rates of children dropping out of school</w:t>
            </w:r>
            <w:r>
              <w:rPr>
                <w:lang w:val="en-GB"/>
              </w:rPr>
              <w:t>; and, teacher retention</w:t>
            </w:r>
            <w:r w:rsidR="005E2D0B">
              <w:rPr>
                <w:lang w:val="en-GB"/>
              </w:rPr>
              <w:t>.</w:t>
            </w:r>
          </w:p>
        </w:tc>
      </w:tr>
      <w:tr w:rsidR="00E77906" w:rsidTr="00462747">
        <w:tblPrEx>
          <w:tblCellMar>
            <w:top w:w="0" w:type="dxa"/>
            <w:bottom w:w="0" w:type="dxa"/>
          </w:tblCellMar>
        </w:tblPrEx>
        <w:trPr>
          <w:cantSplit/>
          <w:trHeight w:val="1405"/>
        </w:trPr>
        <w:tc>
          <w:tcPr>
            <w:tcW w:w="7920" w:type="dxa"/>
            <w:gridSpan w:val="4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7906" w:rsidRPr="00E77906" w:rsidRDefault="00E77906" w:rsidP="00E1546E">
            <w:pPr>
              <w:pStyle w:val="TableTextEntries"/>
              <w:rPr>
                <w:b/>
              </w:rPr>
            </w:pPr>
            <w:r w:rsidRPr="00E77906">
              <w:rPr>
                <w:b/>
                <w:lang w:val="en-GB"/>
              </w:rPr>
              <w:t xml:space="preserve">Partnership </w:t>
            </w:r>
            <w:r w:rsidR="00343A2F">
              <w:rPr>
                <w:b/>
                <w:lang w:val="en-GB"/>
              </w:rPr>
              <w:t>t</w:t>
            </w:r>
            <w:r w:rsidRPr="00E77906">
              <w:rPr>
                <w:b/>
                <w:lang w:val="en-GB"/>
              </w:rPr>
              <w:t xml:space="preserve">arget </w:t>
            </w:r>
            <w:r w:rsidR="00343A2F">
              <w:rPr>
                <w:b/>
                <w:lang w:val="en-GB"/>
              </w:rPr>
              <w:t>r</w:t>
            </w:r>
            <w:r w:rsidRPr="00E77906">
              <w:rPr>
                <w:b/>
                <w:lang w:val="en-GB"/>
              </w:rPr>
              <w:t>esults</w:t>
            </w:r>
            <w:r>
              <w:rPr>
                <w:b/>
                <w:lang w:val="en-GB"/>
              </w:rPr>
              <w:t>:</w:t>
            </w:r>
          </w:p>
          <w:p w:rsidR="00E77906" w:rsidRPr="00E845BE" w:rsidRDefault="00E77906" w:rsidP="00E1546E">
            <w:pPr>
              <w:pStyle w:val="TableTextEntries"/>
            </w:pPr>
            <w:r>
              <w:t xml:space="preserve">- </w:t>
            </w:r>
            <w:r w:rsidRPr="00E845BE">
              <w:t>Increasing primary net enrolment ratio over 2008</w:t>
            </w:r>
            <w:r w:rsidR="00B628F4">
              <w:t>–</w:t>
            </w:r>
            <w:r w:rsidRPr="00E845BE">
              <w:t>12</w:t>
            </w:r>
            <w:r w:rsidR="005E2D0B">
              <w:t>.</w:t>
            </w:r>
            <w:r w:rsidRPr="00E845BE">
              <w:t xml:space="preserve"> </w:t>
            </w:r>
          </w:p>
          <w:p w:rsidR="00E77906" w:rsidRPr="00E845BE" w:rsidRDefault="00E77906" w:rsidP="00E1546E">
            <w:pPr>
              <w:pStyle w:val="TableTextEntries"/>
            </w:pPr>
            <w:r>
              <w:t xml:space="preserve">- </w:t>
            </w:r>
            <w:r w:rsidRPr="00E845BE">
              <w:t>Increasing proportion of pupils commencing Year 1 and reaching Year 8</w:t>
            </w:r>
            <w:r w:rsidR="005E2D0B">
              <w:t>.</w:t>
            </w:r>
            <w:r w:rsidRPr="00E845BE">
              <w:t xml:space="preserve"> </w:t>
            </w:r>
          </w:p>
          <w:p w:rsidR="00E77906" w:rsidRPr="00E845BE" w:rsidRDefault="00E77906" w:rsidP="00E1546E">
            <w:pPr>
              <w:pStyle w:val="TableTextEntries"/>
            </w:pPr>
            <w:r>
              <w:t xml:space="preserve">- </w:t>
            </w:r>
            <w:r w:rsidRPr="00E845BE">
              <w:t>Reduced dropout rate between years 8 and 9 (primary-secondary transition)</w:t>
            </w:r>
            <w:r w:rsidR="005E2D0B">
              <w:t>.</w:t>
            </w:r>
          </w:p>
          <w:p w:rsidR="00E77906" w:rsidRPr="00E845BE" w:rsidRDefault="00E77906" w:rsidP="00E77906">
            <w:pPr>
              <w:pStyle w:val="TableDataEntries"/>
              <w:jc w:val="left"/>
            </w:pPr>
            <w:r>
              <w:t xml:space="preserve">- </w:t>
            </w:r>
            <w:r w:rsidRPr="00E845BE">
              <w:t>Reduced teacher turnover</w:t>
            </w:r>
            <w:r w:rsidR="005E2D0B">
              <w:t>.</w:t>
            </w:r>
          </w:p>
        </w:tc>
      </w:tr>
      <w:tr w:rsidR="00720E30" w:rsidTr="0046274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0E30" w:rsidRPr="00E77906" w:rsidRDefault="00720E30" w:rsidP="00E1546E">
            <w:pPr>
              <w:pStyle w:val="TableTextEntries"/>
              <w:rPr>
                <w:b/>
              </w:rPr>
            </w:pPr>
            <w:r w:rsidRPr="00E77906">
              <w:rPr>
                <w:b/>
              </w:rPr>
              <w:t>Expenditure</w:t>
            </w:r>
            <w:r w:rsidR="00B01EBF">
              <w:rPr>
                <w:b/>
              </w:rPr>
              <w:t xml:space="preserve"> in 2010</w:t>
            </w:r>
            <w:r w:rsidR="00B628F4">
              <w:rPr>
                <w:b/>
              </w:rPr>
              <w:t>-</w:t>
            </w:r>
            <w:r w:rsidR="004E3D87">
              <w:rPr>
                <w:b/>
              </w:rPr>
              <w:t>11:</w:t>
            </w:r>
          </w:p>
          <w:p w:rsidR="00720E30" w:rsidRDefault="00720E30" w:rsidP="00E1546E">
            <w:pPr>
              <w:pStyle w:val="TableTextEntries"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720E30" w:rsidRPr="00720E30" w:rsidRDefault="00720E30" w:rsidP="00E1546E">
            <w:pPr>
              <w:pStyle w:val="TableTextEntries"/>
              <w:rPr>
                <w:rFonts w:ascii="Franklin Gothic Medium" w:hAnsi="Franklin Gothic Medium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720E30">
                  <w:rPr>
                    <w:rFonts w:ascii="Franklin Gothic Medium" w:hAnsi="Franklin Gothic Medium"/>
                  </w:rPr>
                  <w:t>Australia</w:t>
                </w:r>
              </w:smartTag>
            </w:smartTag>
          </w:p>
        </w:tc>
        <w:tc>
          <w:tcPr>
            <w:tcW w:w="24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720E30" w:rsidRPr="000F5034" w:rsidRDefault="00720E30" w:rsidP="00E1546E">
            <w:pPr>
              <w:pStyle w:val="TableTextEntries"/>
            </w:pPr>
            <w:r>
              <w:t>A</w:t>
            </w:r>
            <w:r w:rsidR="00B628F4">
              <w:t>U</w:t>
            </w:r>
            <w:r>
              <w:t>$7.5 million</w:t>
            </w:r>
          </w:p>
        </w:tc>
        <w:tc>
          <w:tcPr>
            <w:tcW w:w="253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20E30" w:rsidRDefault="00720E30" w:rsidP="00720E30">
            <w:pPr>
              <w:pStyle w:val="TableDataEntries"/>
              <w:jc w:val="left"/>
            </w:pPr>
          </w:p>
        </w:tc>
      </w:tr>
      <w:tr w:rsidR="00720E30" w:rsidTr="00462747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0E30" w:rsidRPr="00E77906" w:rsidRDefault="00720E30" w:rsidP="00E1546E">
            <w:pPr>
              <w:pStyle w:val="TableTextEntries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720E30" w:rsidRPr="00720E30" w:rsidRDefault="00720E30" w:rsidP="00E1546E">
            <w:pPr>
              <w:pStyle w:val="TableTextEntries"/>
              <w:rPr>
                <w:rFonts w:ascii="Franklin Gothic Medium" w:hAnsi="Franklin Gothic Medium"/>
              </w:rPr>
            </w:pPr>
            <w:smartTag w:uri="urn:schemas-microsoft-com:office:smarttags" w:element="place">
              <w:r w:rsidRPr="00720E30">
                <w:rPr>
                  <w:rFonts w:ascii="Franklin Gothic Medium" w:hAnsi="Franklin Gothic Medium"/>
                </w:rPr>
                <w:t>Samoa</w:t>
              </w:r>
            </w:smartTag>
          </w:p>
        </w:tc>
        <w:tc>
          <w:tcPr>
            <w:tcW w:w="241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720E30" w:rsidRPr="000F5034" w:rsidRDefault="00720E30" w:rsidP="00E1546E">
            <w:pPr>
              <w:pStyle w:val="TableTextEntries"/>
            </w:pPr>
            <w:r>
              <w:t>SAT85.4 million (projected)</w:t>
            </w:r>
          </w:p>
        </w:tc>
        <w:tc>
          <w:tcPr>
            <w:tcW w:w="253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20E30" w:rsidRPr="00954351" w:rsidRDefault="00720E30" w:rsidP="00E77906">
            <w:pPr>
              <w:pStyle w:val="TableDataColumnHeading"/>
              <w:jc w:val="left"/>
            </w:pPr>
          </w:p>
        </w:tc>
      </w:tr>
    </w:tbl>
    <w:p w:rsidR="004F6199" w:rsidRPr="00462747" w:rsidRDefault="004F6199" w:rsidP="00462747">
      <w:pPr>
        <w:pStyle w:val="BodyText"/>
        <w:spacing w:before="40" w:after="0" w:line="180" w:lineRule="atLeast"/>
        <w:rPr>
          <w:rFonts w:ascii="Franklin Gothic Book" w:hAnsi="Franklin Gothic Book"/>
          <w:sz w:val="14"/>
          <w:szCs w:val="14"/>
        </w:rPr>
      </w:pPr>
      <w:r w:rsidRPr="00462747">
        <w:rPr>
          <w:rFonts w:ascii="Franklin Gothic Book" w:hAnsi="Franklin Gothic Book"/>
          <w:sz w:val="14"/>
          <w:szCs w:val="14"/>
        </w:rPr>
        <w:t xml:space="preserve">Note:  </w:t>
      </w:r>
      <w:r w:rsidR="00FC26CF" w:rsidRPr="00462747">
        <w:rPr>
          <w:rFonts w:ascii="Franklin Gothic Book" w:hAnsi="Franklin Gothic Book"/>
          <w:sz w:val="14"/>
          <w:szCs w:val="14"/>
        </w:rPr>
        <w:t>Samoa</w:t>
      </w:r>
      <w:r w:rsidRPr="00462747">
        <w:rPr>
          <w:rFonts w:ascii="Franklin Gothic Book" w:hAnsi="Franklin Gothic Book"/>
          <w:sz w:val="14"/>
          <w:szCs w:val="14"/>
        </w:rPr>
        <w:t xml:space="preserve"> expenditure is projected budget spending for </w:t>
      </w:r>
      <w:r w:rsidR="0061485C" w:rsidRPr="00462747">
        <w:rPr>
          <w:rFonts w:ascii="Franklin Gothic Book" w:hAnsi="Franklin Gothic Book"/>
          <w:sz w:val="14"/>
          <w:szCs w:val="14"/>
        </w:rPr>
        <w:t>e</w:t>
      </w:r>
      <w:r w:rsidRPr="00462747">
        <w:rPr>
          <w:rFonts w:ascii="Franklin Gothic Book" w:hAnsi="Franklin Gothic Book"/>
          <w:sz w:val="14"/>
          <w:szCs w:val="14"/>
        </w:rPr>
        <w:t>ducation.</w:t>
      </w:r>
    </w:p>
    <w:p w:rsidR="00560594" w:rsidRDefault="001C3DAE" w:rsidP="00496308">
      <w:pPr>
        <w:pStyle w:val="BodyText"/>
        <w:spacing w:before="240"/>
      </w:pPr>
      <w:r>
        <w:t xml:space="preserve">Education is a high priority for </w:t>
      </w:r>
      <w:smartTag w:uri="urn:schemas-microsoft-com:office:smarttags" w:element="place">
        <w:r>
          <w:t>Samoa</w:t>
        </w:r>
      </w:smartTag>
      <w:r>
        <w:t xml:space="preserve"> and the country is on track to </w:t>
      </w:r>
      <w:r w:rsidRPr="0021209B">
        <w:t xml:space="preserve">meet </w:t>
      </w:r>
      <w:r w:rsidR="007428A1">
        <w:t xml:space="preserve">education </w:t>
      </w:r>
      <w:r w:rsidRPr="0021209B">
        <w:t>MDG targets</w:t>
      </w:r>
      <w:r>
        <w:t>.</w:t>
      </w:r>
      <w:r>
        <w:rPr>
          <w:rStyle w:val="FootnoteReference"/>
        </w:rPr>
        <w:footnoteReference w:id="6"/>
      </w:r>
      <w:r w:rsidR="00C80322">
        <w:t xml:space="preserve"> Progress has also been made </w:t>
      </w:r>
      <w:r w:rsidR="007428A1">
        <w:t>towards p</w:t>
      </w:r>
      <w:r>
        <w:t>artnership targets</w:t>
      </w:r>
      <w:r w:rsidR="00B628F4">
        <w:t>—</w:t>
      </w:r>
      <w:r>
        <w:t>for example, net primary school enrolment rose to 97 per cent in 2010 from 92 per cent in 2008</w:t>
      </w:r>
      <w:r w:rsidR="00DE063E">
        <w:t>. On average girls are performing better at school than boys (</w:t>
      </w:r>
      <w:smartTag w:uri="urn:schemas-microsoft-com:office:smarttags" w:element="address">
        <w:smartTag w:uri="urn:schemas-microsoft-com:office:smarttags" w:element="Street">
          <w:r w:rsidR="00DE063E">
            <w:t>Box</w:t>
          </w:r>
        </w:smartTag>
        <w:r w:rsidR="00DE063E">
          <w:t xml:space="preserve"> 2</w:t>
        </w:r>
      </w:smartTag>
      <w:r w:rsidR="00DE063E">
        <w:t>: Achieving equality in boys’ education). S</w:t>
      </w:r>
      <w:r>
        <w:t xml:space="preserve">ome </w:t>
      </w:r>
      <w:r w:rsidR="004E4FC6">
        <w:t xml:space="preserve">of </w:t>
      </w:r>
      <w:r>
        <w:t>the data required to make a complete assessment of targets is not available</w:t>
      </w:r>
      <w:r w:rsidR="00DE063E">
        <w:t xml:space="preserve"> and</w:t>
      </w:r>
      <w:r w:rsidR="009546A6">
        <w:t xml:space="preserve"> </w:t>
      </w:r>
      <w:r w:rsidR="00DE063E">
        <w:t>w</w:t>
      </w:r>
      <w:r w:rsidR="004E4FC6">
        <w:t xml:space="preserve">ork is underway to collect </w:t>
      </w:r>
      <w:r w:rsidR="00DB44F0">
        <w:t>it</w:t>
      </w:r>
      <w:r w:rsidR="004E4FC6">
        <w:t>.</w:t>
      </w:r>
    </w:p>
    <w:p w:rsidR="00491FAB" w:rsidRDefault="0061485C" w:rsidP="00BD39E2">
      <w:pPr>
        <w:pStyle w:val="BodyText"/>
      </w:pPr>
      <w:r>
        <w:t>Leading the p</w:t>
      </w:r>
      <w:r w:rsidR="001C3DAE">
        <w:t xml:space="preserve">artnership in education is the Education Sector Program </w:t>
      </w:r>
      <w:r w:rsidR="001C3DAE" w:rsidRPr="0021209B">
        <w:t>II (ESP II),</w:t>
      </w:r>
      <w:r w:rsidR="001C3DAE">
        <w:t xml:space="preserve"> funded jointly by </w:t>
      </w:r>
      <w:smartTag w:uri="urn:schemas-microsoft-com:office:smarttags" w:element="place">
        <w:r w:rsidR="00C17876">
          <w:t>Samoa</w:t>
        </w:r>
      </w:smartTag>
      <w:r w:rsidR="001C3DAE">
        <w:t>, Au</w:t>
      </w:r>
      <w:r w:rsidR="00B01EBF">
        <w:t>sAID, NZAP and the ADB. In 2010</w:t>
      </w:r>
      <w:r w:rsidR="00B628F4">
        <w:t>–</w:t>
      </w:r>
      <w:r w:rsidR="001C3DAE">
        <w:t xml:space="preserve">11 ESP II implemented a new National Teacher Development Framework that is expected to lift the standard of teaching and education across the country. Work to improve the quality of education on the ground was </w:t>
      </w:r>
      <w:r w:rsidR="00FF7F80">
        <w:t>supported</w:t>
      </w:r>
      <w:r w:rsidR="001C3DAE">
        <w:t xml:space="preserve"> by a review and refinement of school curriculum materials. </w:t>
      </w:r>
      <w:r w:rsidR="00A03F51">
        <w:t xml:space="preserve">Another major achievement was the completion of a </w:t>
      </w:r>
      <w:r w:rsidR="007428A1">
        <w:t>s</w:t>
      </w:r>
      <w:r w:rsidR="00A03F51">
        <w:t xml:space="preserve">chool </w:t>
      </w:r>
      <w:r w:rsidR="007428A1">
        <w:t>f</w:t>
      </w:r>
      <w:r w:rsidR="00A03F51">
        <w:t xml:space="preserve">inancing </w:t>
      </w:r>
      <w:r w:rsidR="007428A1">
        <w:t>r</w:t>
      </w:r>
      <w:r w:rsidR="00A03F51">
        <w:t xml:space="preserve">eport for all schools in </w:t>
      </w:r>
      <w:smartTag w:uri="urn:schemas-microsoft-com:office:smarttags" w:element="place">
        <w:r w:rsidR="00A03F51">
          <w:t>Samoa</w:t>
        </w:r>
      </w:smartTag>
      <w:r w:rsidR="00A03F51">
        <w:t>.</w:t>
      </w:r>
      <w:r w:rsidR="001C3DAE">
        <w:t xml:space="preserve"> The report, the first of its kind in the P</w:t>
      </w:r>
      <w:r w:rsidR="002752E1">
        <w:t>acific, gives policy makers</w:t>
      </w:r>
      <w:r w:rsidR="001C3DAE">
        <w:t xml:space="preserve"> the school-level information</w:t>
      </w:r>
      <w:r w:rsidR="00B628F4">
        <w:t>—</w:t>
      </w:r>
      <w:r w:rsidR="001C3DAE">
        <w:lastRenderedPageBreak/>
        <w:t>such as resources per student and resources</w:t>
      </w:r>
      <w:r w:rsidR="007428A1">
        <w:t xml:space="preserve"> to </w:t>
      </w:r>
      <w:r w:rsidR="001C3DAE">
        <w:t>results correlation, disaggregated by region, education level and school type</w:t>
      </w:r>
      <w:r w:rsidR="00B628F4">
        <w:t>—</w:t>
      </w:r>
      <w:r w:rsidR="00DB44F0">
        <w:t>they need</w:t>
      </w:r>
      <w:r w:rsidR="001C3DAE">
        <w:t xml:space="preserve"> to make effective decisions. </w:t>
      </w:r>
    </w:p>
    <w:p w:rsidR="00532182" w:rsidRDefault="009F2615" w:rsidP="00496308">
      <w:pPr>
        <w:pStyle w:val="BodyText"/>
        <w:spacing w:after="360"/>
      </w:pPr>
      <w:r>
        <w:t>In 2</w:t>
      </w:r>
      <w:r w:rsidR="00B01EBF">
        <w:t>010</w:t>
      </w:r>
      <w:r w:rsidR="00B01EBF">
        <w:rPr>
          <w:rFonts w:ascii="Courier New" w:hAnsi="Courier New" w:cs="Courier New"/>
        </w:rPr>
        <w:t>-</w:t>
      </w:r>
      <w:r>
        <w:t>11 ESP II funded</w:t>
      </w:r>
      <w:r w:rsidR="00FF7F80">
        <w:t xml:space="preserve"> the </w:t>
      </w:r>
      <w:r w:rsidR="00FF7F80" w:rsidRPr="00F24CD9">
        <w:t xml:space="preserve">construction of </w:t>
      </w:r>
      <w:r w:rsidR="004D3349" w:rsidRPr="00F24CD9">
        <w:t>four</w:t>
      </w:r>
      <w:r w:rsidR="00FF7F80" w:rsidRPr="00F24CD9">
        <w:t xml:space="preserve"> schools</w:t>
      </w:r>
      <w:r>
        <w:t>. A</w:t>
      </w:r>
      <w:r w:rsidR="00DB44F0">
        <w:t>nother</w:t>
      </w:r>
      <w:r>
        <w:t xml:space="preserve"> highly visible achievement  was the completion and opening of the new Ministry of Education, Sports and Culture headquarters. The building’s environmental </w:t>
      </w:r>
      <w:r w:rsidR="00FF7F80">
        <w:t>sensitivity</w:t>
      </w:r>
      <w:r>
        <w:t xml:space="preserve"> </w:t>
      </w:r>
      <w:r w:rsidR="00FF7F80">
        <w:t>and culturally-appropriate design are</w:t>
      </w:r>
      <w:r>
        <w:t xml:space="preserve"> important symbol</w:t>
      </w:r>
      <w:r w:rsidR="00FF7F80">
        <w:t>s</w:t>
      </w:r>
      <w:r>
        <w:t xml:space="preserve"> of </w:t>
      </w:r>
      <w:smartTag w:uri="urn:schemas-microsoft-com:office:smarttags" w:element="place">
        <w:r>
          <w:t>Samoa</w:t>
        </w:r>
      </w:smartTag>
      <w:r>
        <w:t>’s ownership a</w:t>
      </w:r>
      <w:r w:rsidR="004A7F14">
        <w:t>nd the p</w:t>
      </w:r>
      <w:r>
        <w:t>artnership’s mutual commitment to the</w:t>
      </w:r>
      <w:r w:rsidR="00DB44F0">
        <w:t xml:space="preserve"> country’s education</w:t>
      </w:r>
      <w:r>
        <w:t xml:space="preserve"> future.</w:t>
      </w:r>
    </w:p>
    <w:tbl>
      <w:tblPr>
        <w:tblW w:w="833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37"/>
      </w:tblGrid>
      <w:tr w:rsidR="00532182" w:rsidRPr="006C6761" w:rsidTr="009B4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37" w:type="dxa"/>
            <w:tcBorders>
              <w:bottom w:val="single" w:sz="12" w:space="0" w:color="auto"/>
            </w:tcBorders>
            <w:shd w:val="clear" w:color="auto" w:fill="F5F1CC"/>
            <w:tcMar>
              <w:top w:w="0" w:type="dxa"/>
            </w:tcMar>
          </w:tcPr>
          <w:p w:rsidR="00532182" w:rsidRPr="00D17936" w:rsidRDefault="00532182" w:rsidP="00532182">
            <w:pPr>
              <w:pStyle w:val="Caption"/>
              <w:keepNext w:val="0"/>
              <w:spacing w:before="80" w:line="280" w:lineRule="atLeast"/>
            </w:pPr>
            <w:r w:rsidRPr="00B047B9">
              <w:t xml:space="preserve">Box </w:t>
            </w:r>
            <w:r>
              <w:t>2</w:t>
            </w:r>
            <w:r w:rsidRPr="00B047B9">
              <w:t xml:space="preserve">: </w:t>
            </w:r>
            <w:r>
              <w:t>Achieving equality in boys’ education</w:t>
            </w:r>
          </w:p>
        </w:tc>
      </w:tr>
      <w:tr w:rsidR="00532182" w:rsidTr="009B4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5F1CC"/>
          </w:tcPr>
          <w:p w:rsidR="00532182" w:rsidRDefault="00532182" w:rsidP="009B466C">
            <w:pPr>
              <w:pStyle w:val="BoxText"/>
            </w:pPr>
            <w:r>
              <w:t xml:space="preserve">The relative underachievement of boys at school is of increasing concern in </w:t>
            </w:r>
            <w:smartTag w:uri="urn:schemas-microsoft-com:office:smarttags" w:element="place">
              <w:r>
                <w:t>Samoa</w:t>
              </w:r>
            </w:smartTag>
            <w:r>
              <w:t>. 2009 data shows 56</w:t>
            </w:r>
            <w:r w:rsidR="00DB44F0">
              <w:t> </w:t>
            </w:r>
            <w:r>
              <w:t xml:space="preserve">per cent of primary school boys’ numeracy levels are classified as being </w:t>
            </w:r>
            <w:r w:rsidR="005063CB">
              <w:t>‘</w:t>
            </w:r>
            <w:r>
              <w:t>at risk</w:t>
            </w:r>
            <w:r w:rsidR="005063CB">
              <w:t>’</w:t>
            </w:r>
            <w:r>
              <w:t>, compared to 39 per cent of girls. In English, the rate was 71 per cent of boys at risk, compared to 41 per cent of girls. In 2010, only 40</w:t>
            </w:r>
            <w:r w:rsidR="00DB44F0">
              <w:t> </w:t>
            </w:r>
            <w:r>
              <w:t>per cent of students who reached the final year of secondary school were male</w:t>
            </w:r>
            <w:r w:rsidR="001A004E">
              <w:t>—</w:t>
            </w:r>
            <w:r>
              <w:t>down from 47 per cent in 2001</w:t>
            </w:r>
            <w:r w:rsidR="00C132FD">
              <w:t>.</w:t>
            </w:r>
            <w:r>
              <w:rPr>
                <w:rStyle w:val="FootnoteReference"/>
              </w:rPr>
              <w:footnoteReference w:id="7"/>
            </w:r>
            <w:r>
              <w:t xml:space="preserve"> </w:t>
            </w:r>
          </w:p>
          <w:p w:rsidR="00532182" w:rsidRPr="00AA34B9" w:rsidRDefault="00532182" w:rsidP="00DB44F0">
            <w:pPr>
              <w:pStyle w:val="BoxText"/>
            </w:pPr>
            <w:r>
              <w:t>Given the connection between youth unemployment and social instability th</w:t>
            </w:r>
            <w:r w:rsidR="00DB44F0">
              <w:t>is</w:t>
            </w:r>
            <w:r>
              <w:t xml:space="preserve"> issue will need to be addressed.</w:t>
            </w:r>
            <w:r>
              <w:rPr>
                <w:rStyle w:val="FootnoteReference"/>
              </w:rPr>
              <w:footnoteReference w:id="8"/>
            </w:r>
            <w:r>
              <w:t xml:space="preserve"> Alternative educational opportunities, such as technical and vocational education and training, will be an important alternative </w:t>
            </w:r>
            <w:r w:rsidR="00DB44F0">
              <w:t xml:space="preserve">for </w:t>
            </w:r>
            <w:r>
              <w:t>students struggl</w:t>
            </w:r>
            <w:r w:rsidR="00DB44F0">
              <w:t>ing</w:t>
            </w:r>
            <w:r>
              <w:t xml:space="preserve"> in the formal education system.</w:t>
            </w:r>
            <w:r>
              <w:rPr>
                <w:rStyle w:val="FootnoteReference"/>
              </w:rPr>
              <w:footnoteReference w:id="9"/>
            </w:r>
          </w:p>
        </w:tc>
      </w:tr>
    </w:tbl>
    <w:p w:rsidR="001C3DAE" w:rsidRDefault="001C3DAE" w:rsidP="00496308">
      <w:pPr>
        <w:pStyle w:val="BodyText"/>
        <w:spacing w:before="360"/>
      </w:pPr>
      <w:r>
        <w:t xml:space="preserve">The </w:t>
      </w:r>
      <w:r w:rsidRPr="001B611D">
        <w:t>School Fee Grant Scheme has</w:t>
      </w:r>
      <w:r w:rsidR="009567D9">
        <w:t xml:space="preserve"> enabled</w:t>
      </w:r>
      <w:r w:rsidR="009567D9" w:rsidRPr="00CC223B">
        <w:t xml:space="preserve">162 schools </w:t>
      </w:r>
      <w:r w:rsidR="009567D9">
        <w:t xml:space="preserve">with </w:t>
      </w:r>
      <w:r w:rsidR="009567D9" w:rsidRPr="00CC223B">
        <w:t>38 600 students to meet minimum education service standards. These grants have allowed school fees to be phased out at all government</w:t>
      </w:r>
      <w:r w:rsidR="00DB44F0">
        <w:t>-</w:t>
      </w:r>
      <w:r w:rsidR="009567D9" w:rsidRPr="00CC223B">
        <w:t xml:space="preserve">funded primary schools in </w:t>
      </w:r>
      <w:smartTag w:uri="urn:schemas-microsoft-com:office:smarttags" w:element="place">
        <w:r w:rsidR="009567D9" w:rsidRPr="00CC223B">
          <w:t>Samoa</w:t>
        </w:r>
      </w:smartTag>
      <w:r w:rsidR="005063CB">
        <w:t xml:space="preserve">. </w:t>
      </w:r>
      <w:r w:rsidR="009567D9" w:rsidRPr="00CC223B">
        <w:t>The program helped 122</w:t>
      </w:r>
      <w:r w:rsidR="00DB44F0">
        <w:t> </w:t>
      </w:r>
      <w:r w:rsidR="009567D9" w:rsidRPr="00CC223B">
        <w:t xml:space="preserve">students to attend school for the first time in 2010—some as old as 13 on their first day at school. This has been a great achievement for </w:t>
      </w:r>
      <w:smartTag w:uri="urn:schemas-microsoft-com:office:smarttags" w:element="place">
        <w:r w:rsidR="009567D9" w:rsidRPr="00CC223B">
          <w:t>Samoa</w:t>
        </w:r>
      </w:smartTag>
      <w:r w:rsidR="009567D9" w:rsidRPr="00CC223B">
        <w:t xml:space="preserve"> and a significant step towards MDG 2 and the country achieving its goal of 100 per cent school enrolment.</w:t>
      </w:r>
    </w:p>
    <w:p w:rsidR="001C3DAE" w:rsidRDefault="001C3DAE" w:rsidP="00BD39E2">
      <w:pPr>
        <w:pStyle w:val="BodyText"/>
      </w:pPr>
      <w:r>
        <w:t xml:space="preserve">The </w:t>
      </w:r>
      <w:r w:rsidRPr="008B2F3A">
        <w:t>Samoa Inclusive Education Demonstration</w:t>
      </w:r>
      <w:r>
        <w:t xml:space="preserve"> program has made it easier for students with disability to gain an education. </w:t>
      </w:r>
      <w:r w:rsidR="00A12119">
        <w:t>More than</w:t>
      </w:r>
      <w:r>
        <w:t xml:space="preserve"> 160 students with disabilit</w:t>
      </w:r>
      <w:r w:rsidR="00DB44F0">
        <w:t>y</w:t>
      </w:r>
      <w:r>
        <w:t xml:space="preserve"> </w:t>
      </w:r>
      <w:r w:rsidR="003E37E7">
        <w:t xml:space="preserve">have </w:t>
      </w:r>
      <w:r>
        <w:t>received support</w:t>
      </w:r>
      <w:r w:rsidR="003E37E7">
        <w:t>, including through early intervention</w:t>
      </w:r>
      <w:r w:rsidRPr="006938C6">
        <w:t xml:space="preserve"> </w:t>
      </w:r>
      <w:r w:rsidRPr="003B3D88">
        <w:t>and tailored</w:t>
      </w:r>
      <w:r>
        <w:t xml:space="preserve"> learning materials. Teachers have also been trained in sign language and other specialised skills.</w:t>
      </w:r>
    </w:p>
    <w:p w:rsidR="001B26D0" w:rsidRDefault="001B26D0" w:rsidP="00BD39E2">
      <w:pPr>
        <w:pStyle w:val="BodyText"/>
      </w:pPr>
      <w:r>
        <w:t xml:space="preserve">Australian scholarships </w:t>
      </w:r>
      <w:r w:rsidR="00613051">
        <w:t xml:space="preserve">continue to </w:t>
      </w:r>
      <w:r w:rsidR="00B51024">
        <w:t>support Samoans’ professional development</w:t>
      </w:r>
      <w:r w:rsidR="00613051">
        <w:t>,</w:t>
      </w:r>
      <w:r>
        <w:t xml:space="preserve"> while building personal</w:t>
      </w:r>
      <w:r w:rsidR="00417B6B">
        <w:t xml:space="preserve">, institutional and national links between </w:t>
      </w:r>
      <w:smartTag w:uri="urn:schemas-microsoft-com:office:smarttags" w:element="place">
        <w:smartTag w:uri="urn:schemas-microsoft-com:office:smarttags" w:element="City">
          <w:r w:rsidR="00417B6B">
            <w:t>Samoa</w:t>
          </w:r>
        </w:smartTag>
        <w:r w:rsidR="00417B6B">
          <w:t xml:space="preserve">, </w:t>
        </w:r>
        <w:smartTag w:uri="urn:schemas-microsoft-com:office:smarttags" w:element="country-region">
          <w:r w:rsidR="00417B6B">
            <w:t>Australia</w:t>
          </w:r>
        </w:smartTag>
      </w:smartTag>
      <w:r w:rsidR="00417B6B">
        <w:t xml:space="preserve"> and the region (</w:t>
      </w:r>
      <w:smartTag w:uri="urn:schemas-microsoft-com:office:smarttags" w:element="address">
        <w:smartTag w:uri="urn:schemas-microsoft-com:office:smarttags" w:element="Street">
          <w:r w:rsidR="00417B6B">
            <w:t>Box</w:t>
          </w:r>
        </w:smartTag>
        <w:r w:rsidR="00417B6B">
          <w:t xml:space="preserve"> 3</w:t>
        </w:r>
      </w:smartTag>
      <w:r w:rsidR="00417B6B">
        <w:t>: Scholarships).</w:t>
      </w:r>
    </w:p>
    <w:tbl>
      <w:tblPr>
        <w:tblpPr w:leftFromText="180" w:rightFromText="180" w:vertAnchor="text" w:horzAnchor="margin" w:tblpY="102"/>
        <w:tblW w:w="79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38"/>
      </w:tblGrid>
      <w:tr w:rsidR="008E593C" w:rsidRPr="006C6761" w:rsidTr="00F77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38" w:type="dxa"/>
            <w:tcBorders>
              <w:bottom w:val="single" w:sz="12" w:space="0" w:color="auto"/>
            </w:tcBorders>
            <w:shd w:val="clear" w:color="auto" w:fill="F5F1CC"/>
            <w:tcMar>
              <w:top w:w="0" w:type="dxa"/>
            </w:tcMar>
          </w:tcPr>
          <w:p w:rsidR="008E593C" w:rsidRPr="00D17936" w:rsidRDefault="008E593C" w:rsidP="00F77486">
            <w:pPr>
              <w:pStyle w:val="Caption"/>
              <w:keepNext w:val="0"/>
              <w:spacing w:before="80" w:line="280" w:lineRule="atLeast"/>
            </w:pPr>
            <w:smartTag w:uri="urn:schemas-microsoft-com:office:smarttags" w:element="address">
              <w:smartTag w:uri="urn:schemas-microsoft-com:office:smarttags" w:element="Street">
                <w:r w:rsidRPr="00B047B9">
                  <w:t>Box</w:t>
                </w:r>
              </w:smartTag>
              <w:r w:rsidRPr="00B047B9">
                <w:t xml:space="preserve"> </w:t>
              </w:r>
              <w:r w:rsidR="00560594">
                <w:t>3</w:t>
              </w:r>
            </w:smartTag>
            <w:r w:rsidRPr="00B047B9">
              <w:t xml:space="preserve">: </w:t>
            </w:r>
            <w:r>
              <w:t>Scholarships</w:t>
            </w:r>
          </w:p>
        </w:tc>
      </w:tr>
      <w:tr w:rsidR="008E593C" w:rsidTr="00F77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5F1CC"/>
          </w:tcPr>
          <w:p w:rsidR="00440D26" w:rsidRPr="004F4F95" w:rsidRDefault="008E593C" w:rsidP="00BD39E2">
            <w:pPr>
              <w:pStyle w:val="BodyText"/>
              <w:rPr>
                <w:lang w:val="en-US" w:eastAsia="en-US"/>
              </w:rPr>
            </w:pPr>
            <w:r w:rsidRPr="004F4F95">
              <w:rPr>
                <w:lang w:val="en-US" w:eastAsia="en-US"/>
              </w:rPr>
              <w:lastRenderedPageBreak/>
              <w:t>Australian funded scholarships respond to skills shortages in areas identified by the Government of Samoa</w:t>
            </w:r>
            <w:r w:rsidR="005063CB" w:rsidRPr="004F4F95">
              <w:rPr>
                <w:lang w:val="en-US" w:eastAsia="en-US"/>
              </w:rPr>
              <w:t>—</w:t>
            </w:r>
            <w:r w:rsidRPr="004F4F95">
              <w:rPr>
                <w:lang w:val="en-US" w:eastAsia="en-US"/>
              </w:rPr>
              <w:t>in medicine, engineering, commerce, telecommunications and disability</w:t>
            </w:r>
            <w:r w:rsidR="00DB44F0" w:rsidRPr="004F4F95">
              <w:rPr>
                <w:lang w:val="en-US" w:eastAsia="en-US"/>
              </w:rPr>
              <w:t>-</w:t>
            </w:r>
            <w:r w:rsidRPr="004F4F95">
              <w:rPr>
                <w:lang w:val="en-US" w:eastAsia="en-US"/>
              </w:rPr>
              <w:t>inclusive education. The scholarships are highly</w:t>
            </w:r>
            <w:r w:rsidR="00DB44F0" w:rsidRPr="004F4F95">
              <w:rPr>
                <w:lang w:val="en-US" w:eastAsia="en-US"/>
              </w:rPr>
              <w:t xml:space="preserve"> </w:t>
            </w:r>
            <w:r w:rsidRPr="004F4F95">
              <w:rPr>
                <w:lang w:val="en-US" w:eastAsia="en-US"/>
              </w:rPr>
              <w:t xml:space="preserve">valued, with </w:t>
            </w:r>
            <w:r w:rsidR="00A12119" w:rsidRPr="004F4F95">
              <w:rPr>
                <w:lang w:val="en-US" w:eastAsia="en-US"/>
              </w:rPr>
              <w:t>more than</w:t>
            </w:r>
            <w:r w:rsidRPr="004F4F95">
              <w:rPr>
                <w:lang w:val="en-US" w:eastAsia="en-US"/>
              </w:rPr>
              <w:t xml:space="preserve"> 500 applications received for scholarships in 2010. </w:t>
            </w:r>
            <w:r w:rsidR="00DB44F0" w:rsidRPr="004F4F95">
              <w:rPr>
                <w:lang w:val="en-US" w:eastAsia="en-US"/>
              </w:rPr>
              <w:t>Thirteen</w:t>
            </w:r>
            <w:r w:rsidRPr="004F4F95">
              <w:rPr>
                <w:lang w:val="en-US" w:eastAsia="en-US"/>
              </w:rPr>
              <w:t xml:space="preserve"> students graduated from Australian and regional institutions at the end of 2010, while 34 new students will </w:t>
            </w:r>
            <w:r w:rsidR="00DB44F0" w:rsidRPr="004F4F95">
              <w:rPr>
                <w:lang w:val="en-US" w:eastAsia="en-US"/>
              </w:rPr>
              <w:t>start in</w:t>
            </w:r>
            <w:r w:rsidRPr="004F4F95">
              <w:rPr>
                <w:lang w:val="en-US" w:eastAsia="en-US"/>
              </w:rPr>
              <w:t xml:space="preserve"> 2011. </w:t>
            </w:r>
            <w:r w:rsidR="005063CB" w:rsidRPr="004F4F95">
              <w:rPr>
                <w:lang w:val="en-US" w:eastAsia="en-US"/>
              </w:rPr>
              <w:t xml:space="preserve">A total of </w:t>
            </w:r>
            <w:r w:rsidRPr="004F4F95">
              <w:rPr>
                <w:lang w:val="en-US" w:eastAsia="en-US"/>
              </w:rPr>
              <w:t>102 students are currently undertaking studies.</w:t>
            </w:r>
          </w:p>
          <w:p w:rsidR="00216C2C" w:rsidRPr="004F4F95" w:rsidRDefault="00440D26" w:rsidP="00BD39E2">
            <w:pPr>
              <w:pStyle w:val="BodyText"/>
              <w:rPr>
                <w:rFonts w:ascii="Franklin Gothic Book" w:hAnsi="Franklin Gothic Book"/>
                <w:sz w:val="18"/>
                <w:szCs w:val="18"/>
                <w:lang w:val="en-US" w:eastAsia="en-US"/>
              </w:rPr>
            </w:pPr>
            <w:r w:rsidRPr="004F4F95">
              <w:rPr>
                <w:lang w:val="en-US" w:eastAsia="en-US"/>
              </w:rPr>
              <w:t xml:space="preserve">            </w:t>
            </w:r>
            <w:r w:rsidR="00A73795" w:rsidRPr="004F4F95">
              <w:rPr>
                <w:lang w:val="en-US" w:eastAsia="en-US"/>
              </w:rPr>
              <w:t xml:space="preserve">           </w:t>
            </w:r>
            <w:r w:rsidRPr="004F4F95">
              <w:rPr>
                <w:lang w:val="en-US" w:eastAsia="en-US"/>
              </w:rPr>
              <w:t xml:space="preserve">   </w:t>
            </w:r>
            <w:r w:rsidR="00496308">
              <w:rPr>
                <w:noProof/>
                <w:lang w:val="en-US" w:eastAsia="en-US"/>
              </w:rPr>
              <w:drawing>
                <wp:inline distT="0" distB="0" distL="0" distR="0">
                  <wp:extent cx="3350260" cy="1621155"/>
                  <wp:effectExtent l="0" t="0" r="2540" b="0"/>
                  <wp:docPr id="3" name="Picture 2" descr="New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0260" cy="162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93C" w:rsidRPr="004F4F95" w:rsidRDefault="00291936" w:rsidP="00496308">
            <w:pPr>
              <w:pStyle w:val="BodyText"/>
              <w:rPr>
                <w:sz w:val="16"/>
                <w:szCs w:val="16"/>
                <w:lang w:val="en-US" w:eastAsia="en-US"/>
              </w:rPr>
            </w:pPr>
            <w:r w:rsidRPr="004F4F95">
              <w:rPr>
                <w:lang w:val="en-US" w:eastAsia="en-US"/>
              </w:rPr>
              <w:t xml:space="preserve">                           </w:t>
            </w:r>
            <w:r w:rsidR="00216C2C" w:rsidRPr="004F4F95">
              <w:rPr>
                <w:lang w:val="en-US" w:eastAsia="en-US"/>
              </w:rPr>
              <w:t>Australi</w:t>
            </w:r>
            <w:r w:rsidRPr="004F4F95">
              <w:rPr>
                <w:lang w:val="en-US" w:eastAsia="en-US"/>
              </w:rPr>
              <w:t>an Leadership Award scholars</w:t>
            </w:r>
            <w:r w:rsidR="00216C2C" w:rsidRPr="004F4F95">
              <w:rPr>
                <w:lang w:val="en-US" w:eastAsia="en-US"/>
              </w:rPr>
              <w:t>: Meapelo Efi Siaana Maiai, Kovi Aiolupotea and Ainsof Soo</w:t>
            </w:r>
            <w:r w:rsidR="00216C2C" w:rsidRPr="004F4F95">
              <w:rPr>
                <w:sz w:val="16"/>
                <w:szCs w:val="16"/>
                <w:lang w:val="en-US" w:eastAsia="en-US"/>
              </w:rPr>
              <w:t>.</w:t>
            </w:r>
          </w:p>
        </w:tc>
      </w:tr>
    </w:tbl>
    <w:p w:rsidR="001C3DAE" w:rsidRDefault="001C3DAE" w:rsidP="00496308">
      <w:pPr>
        <w:pStyle w:val="Heading2"/>
        <w:spacing w:before="360"/>
      </w:pPr>
      <w:bookmarkStart w:id="11" w:name="_Toc306264795"/>
      <w:r>
        <w:t xml:space="preserve">Partnership Priority Outcome 4a: Improved </w:t>
      </w:r>
      <w:r w:rsidR="00343A2F">
        <w:t>g</w:t>
      </w:r>
      <w:r>
        <w:t>overnance</w:t>
      </w:r>
      <w:r w:rsidR="005063CB">
        <w:t>—</w:t>
      </w:r>
      <w:r w:rsidR="00343A2F">
        <w:t>l</w:t>
      </w:r>
      <w:r>
        <w:t xml:space="preserve">aw </w:t>
      </w:r>
      <w:r w:rsidR="005063CB">
        <w:t>and</w:t>
      </w:r>
      <w:r>
        <w:t xml:space="preserve"> </w:t>
      </w:r>
      <w:r w:rsidR="00343A2F">
        <w:t>j</w:t>
      </w:r>
      <w:r>
        <w:t>ustice</w:t>
      </w:r>
      <w:bookmarkEnd w:id="11"/>
    </w:p>
    <w:p w:rsidR="001C3DAE" w:rsidRDefault="001C3DAE" w:rsidP="000410FA">
      <w:pPr>
        <w:pStyle w:val="Heading3"/>
        <w:spacing w:before="200"/>
      </w:pPr>
      <w:r>
        <w:t>Rating and assessment</w:t>
      </w:r>
    </w:p>
    <w:p w:rsidR="001C3DAE" w:rsidRDefault="00496308" w:rsidP="00CF4FEC">
      <w:pPr>
        <w:pStyle w:val="BodyText"/>
        <w:spacing w:before="0"/>
      </w:pPr>
      <w:r>
        <w:rPr>
          <w:noProof/>
          <w:color w:val="FF9900"/>
          <w:sz w:val="18"/>
          <w:szCs w:val="18"/>
          <w:lang w:val="en-US" w:eastAsia="en-US"/>
        </w:rPr>
        <mc:AlternateContent>
          <mc:Choice Requires="wps">
            <w:drawing>
              <wp:inline distT="0" distB="0" distL="0" distR="0">
                <wp:extent cx="167640" cy="171450"/>
                <wp:effectExtent l="0" t="0" r="0" b="635"/>
                <wp:docPr id="7" name="Rectangle 19" descr="Gre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714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" o:spid="_x0000_s1026" alt="Green" style="width:13.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" fillcolor="#92d050" stroked="f">
                <w10:anchorlock/>
              </v:rect>
            </w:pict>
          </mc:Fallback>
        </mc:AlternateContent>
      </w:r>
      <w:r w:rsidR="001C3DAE">
        <w:rPr>
          <w:rFonts w:eastAsia="Arial Unicode MS"/>
        </w:rPr>
        <w:t> </w:t>
      </w:r>
      <w:r w:rsidR="001C3DAE" w:rsidRPr="00230BD1">
        <w:t>The o</w:t>
      </w:r>
      <w:r w:rsidR="0061485C">
        <w:t>utcome</w:t>
      </w:r>
      <w:r w:rsidR="001C3DAE" w:rsidRPr="00230BD1">
        <w:t xml:space="preserve"> will be </w:t>
      </w:r>
      <w:r w:rsidR="001C3DAE">
        <w:t>fully</w:t>
      </w:r>
      <w:r w:rsidR="001C3DAE" w:rsidRPr="00230BD1">
        <w:t xml:space="preserve"> achieved within the timeframe of the </w:t>
      </w:r>
      <w:r w:rsidR="009E7B20">
        <w:t>p</w:t>
      </w:r>
      <w:r w:rsidR="001C3DAE">
        <w:t>artnership</w:t>
      </w:r>
      <w:r w:rsidR="001C3DAE" w:rsidRPr="00230BD1">
        <w:t>.</w:t>
      </w:r>
    </w:p>
    <w:p w:rsidR="001C3DAE" w:rsidRPr="00DA1869" w:rsidRDefault="003A3B6F" w:rsidP="007D6C49">
      <w:pPr>
        <w:pStyle w:val="Caption"/>
        <w:spacing w:before="200"/>
      </w:pPr>
      <w:r>
        <w:t>Table 6</w:t>
      </w:r>
      <w:r w:rsidR="001C3DAE">
        <w:t xml:space="preserve">: Priority Outcome </w:t>
      </w:r>
      <w:r w:rsidR="00B01EBF">
        <w:t xml:space="preserve">4a </w:t>
      </w:r>
      <w:r w:rsidR="00343A2F">
        <w:t>t</w:t>
      </w:r>
      <w:r w:rsidR="00B01EBF">
        <w:t xml:space="preserve">argets and </w:t>
      </w:r>
      <w:r w:rsidR="00343A2F">
        <w:t>e</w:t>
      </w:r>
      <w:r w:rsidR="00B01EBF">
        <w:t>xpenditure 2010</w:t>
      </w:r>
      <w:r w:rsidR="005063CB">
        <w:t>–</w:t>
      </w:r>
      <w:r w:rsidR="001C3DAE">
        <w:t>11</w:t>
      </w: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2268"/>
        <w:gridCol w:w="2533"/>
      </w:tblGrid>
      <w:tr w:rsidR="001C3DAE" w:rsidTr="004627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DAE" w:rsidRPr="00E845BE" w:rsidRDefault="001C3DAE" w:rsidP="00343A2F">
            <w:pPr>
              <w:pStyle w:val="TableTextEntries"/>
              <w:rPr>
                <w:lang w:val="en-GB"/>
              </w:rPr>
            </w:pPr>
            <w:r>
              <w:rPr>
                <w:b/>
              </w:rPr>
              <w:t xml:space="preserve">Joint </w:t>
            </w:r>
            <w:r w:rsidR="00343A2F">
              <w:rPr>
                <w:b/>
              </w:rPr>
              <w:t>c</w:t>
            </w:r>
            <w:r>
              <w:rPr>
                <w:b/>
              </w:rPr>
              <w:t xml:space="preserve">ommitments: </w:t>
            </w:r>
            <w:r w:rsidRPr="00504171">
              <w:rPr>
                <w:lang w:val="en-GB"/>
              </w:rPr>
              <w:t xml:space="preserve">Noting </w:t>
            </w:r>
            <w:smartTag w:uri="urn:schemas-microsoft-com:office:smarttags" w:element="place">
              <w:r w:rsidRPr="00504171">
                <w:rPr>
                  <w:lang w:val="en-GB"/>
                </w:rPr>
                <w:t>Samoa</w:t>
              </w:r>
            </w:smartTag>
            <w:r w:rsidRPr="00504171">
              <w:rPr>
                <w:lang w:val="en-GB"/>
              </w:rPr>
              <w:t>’s strong economic a</w:t>
            </w:r>
            <w:r w:rsidR="0061485C">
              <w:rPr>
                <w:lang w:val="en-GB"/>
              </w:rPr>
              <w:t>nd governance performance, the p</w:t>
            </w:r>
            <w:r w:rsidRPr="00504171">
              <w:rPr>
                <w:lang w:val="en-GB"/>
              </w:rPr>
              <w:t>artnership will build on current Australian support for strengthening of the public sector, with new support emphasising an integrated approach to policing and law and justice sector reform</w:t>
            </w:r>
            <w:r>
              <w:rPr>
                <w:lang w:val="en-GB"/>
              </w:rPr>
              <w:t>.</w:t>
            </w:r>
          </w:p>
        </w:tc>
      </w:tr>
      <w:tr w:rsidR="00954351" w:rsidTr="004627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4351" w:rsidRPr="00954351" w:rsidRDefault="00954351" w:rsidP="00E1546E">
            <w:pPr>
              <w:pStyle w:val="TableTextEntries"/>
              <w:rPr>
                <w:b/>
              </w:rPr>
            </w:pPr>
            <w:r w:rsidRPr="00954351">
              <w:rPr>
                <w:b/>
                <w:lang w:val="en-GB"/>
              </w:rPr>
              <w:t xml:space="preserve">Partnership </w:t>
            </w:r>
            <w:r w:rsidR="00343A2F">
              <w:rPr>
                <w:b/>
                <w:lang w:val="en-GB"/>
              </w:rPr>
              <w:t>t</w:t>
            </w:r>
            <w:r w:rsidRPr="00954351">
              <w:rPr>
                <w:b/>
                <w:lang w:val="en-GB"/>
              </w:rPr>
              <w:t xml:space="preserve">arget </w:t>
            </w:r>
            <w:r w:rsidR="00343A2F">
              <w:rPr>
                <w:b/>
                <w:lang w:val="en-GB"/>
              </w:rPr>
              <w:t>r</w:t>
            </w:r>
            <w:r w:rsidRPr="00954351">
              <w:rPr>
                <w:b/>
                <w:lang w:val="en-GB"/>
              </w:rPr>
              <w:t>esults</w:t>
            </w:r>
            <w:r>
              <w:rPr>
                <w:b/>
                <w:lang w:val="en-GB"/>
              </w:rPr>
              <w:t>:</w:t>
            </w:r>
          </w:p>
          <w:p w:rsidR="00954351" w:rsidRPr="00E845BE" w:rsidRDefault="00954351" w:rsidP="0061485C">
            <w:pPr>
              <w:pStyle w:val="TableDataEntries"/>
              <w:jc w:val="left"/>
            </w:pPr>
            <w:r>
              <w:t xml:space="preserve">- </w:t>
            </w:r>
            <w:r w:rsidRPr="007846D6">
              <w:t xml:space="preserve">Improved Rule of Law Score in </w:t>
            </w:r>
            <w:r w:rsidR="0061485C">
              <w:t>the World Bank’s</w:t>
            </w:r>
            <w:r w:rsidRPr="007846D6">
              <w:t xml:space="preserve"> Governance Indicators</w:t>
            </w:r>
            <w:r w:rsidR="005E2D0B">
              <w:t>.</w:t>
            </w:r>
          </w:p>
        </w:tc>
      </w:tr>
      <w:tr w:rsidR="00B553D9" w:rsidTr="0046274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53D9" w:rsidRPr="00954351" w:rsidRDefault="00B553D9" w:rsidP="00E1546E">
            <w:pPr>
              <w:pStyle w:val="TableTextEntries"/>
              <w:rPr>
                <w:b/>
              </w:rPr>
            </w:pPr>
            <w:r w:rsidRPr="00954351">
              <w:rPr>
                <w:b/>
              </w:rPr>
              <w:t>Expenditure</w:t>
            </w:r>
            <w:r w:rsidR="00B01EBF">
              <w:rPr>
                <w:b/>
              </w:rPr>
              <w:t xml:space="preserve"> in 2010</w:t>
            </w:r>
            <w:r w:rsidR="00B01EBF">
              <w:rPr>
                <w:rFonts w:ascii="Courier New" w:hAnsi="Courier New" w:cs="Courier New"/>
                <w:b/>
              </w:rPr>
              <w:t>-</w:t>
            </w:r>
            <w:r>
              <w:rPr>
                <w:b/>
              </w:rPr>
              <w:t>11: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B553D9" w:rsidRPr="000F5034" w:rsidRDefault="00B553D9" w:rsidP="004E3D87">
            <w:pPr>
              <w:pStyle w:val="TableDataColumnHeading"/>
              <w:jc w:val="left"/>
            </w:pPr>
            <w:smartTag w:uri="urn:schemas-microsoft-com:office:smarttags" w:element="place">
              <w:smartTag w:uri="urn:schemas-microsoft-com:office:smarttags" w:element="country-region">
                <w:r>
                  <w:t>Australia</w:t>
                </w:r>
              </w:smartTag>
            </w:smartTag>
            <w: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B553D9" w:rsidRPr="000F5034" w:rsidRDefault="00B553D9" w:rsidP="00E1546E">
            <w:pPr>
              <w:pStyle w:val="TableTextEntries"/>
            </w:pPr>
            <w:r>
              <w:t>A</w:t>
            </w:r>
            <w:r w:rsidR="005063CB">
              <w:t>U</w:t>
            </w:r>
            <w:r>
              <w:t>$1.0 million</w:t>
            </w:r>
          </w:p>
        </w:tc>
        <w:tc>
          <w:tcPr>
            <w:tcW w:w="253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553D9" w:rsidRDefault="00B553D9" w:rsidP="00954351">
            <w:pPr>
              <w:pStyle w:val="TableDataEntries"/>
              <w:jc w:val="left"/>
            </w:pPr>
          </w:p>
        </w:tc>
      </w:tr>
      <w:tr w:rsidR="00B553D9" w:rsidTr="0046274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985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53D9" w:rsidRPr="00954351" w:rsidRDefault="00B553D9" w:rsidP="00E1546E">
            <w:pPr>
              <w:pStyle w:val="TableTextEntries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B553D9" w:rsidRPr="000F5034" w:rsidRDefault="00B553D9" w:rsidP="00B553D9">
            <w:pPr>
              <w:pStyle w:val="TableDataColumnHeading"/>
              <w:jc w:val="left"/>
            </w:pPr>
            <w:smartTag w:uri="urn:schemas-microsoft-com:office:smarttags" w:element="place">
              <w:r>
                <w:t>Samoa</w:t>
              </w:r>
            </w:smartTag>
          </w:p>
        </w:tc>
        <w:tc>
          <w:tcPr>
            <w:tcW w:w="226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B553D9" w:rsidRPr="000F5034" w:rsidRDefault="00B553D9" w:rsidP="00E1546E">
            <w:pPr>
              <w:pStyle w:val="TableTextEntries"/>
            </w:pPr>
            <w:r>
              <w:t>SAT29.5 million (projected)</w:t>
            </w:r>
          </w:p>
        </w:tc>
        <w:tc>
          <w:tcPr>
            <w:tcW w:w="253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553D9" w:rsidRDefault="00B553D9" w:rsidP="00954351">
            <w:pPr>
              <w:pStyle w:val="TableDataColumnHeading"/>
              <w:jc w:val="left"/>
            </w:pPr>
          </w:p>
        </w:tc>
      </w:tr>
    </w:tbl>
    <w:p w:rsidR="001C3DAE" w:rsidRDefault="001C3DAE" w:rsidP="000410FA">
      <w:pPr>
        <w:pStyle w:val="Note"/>
        <w:spacing w:before="0"/>
      </w:pPr>
      <w:r w:rsidRPr="00D33DDE">
        <w:t xml:space="preserve">Note: </w:t>
      </w:r>
      <w:r>
        <w:t xml:space="preserve"> </w:t>
      </w:r>
      <w:smartTag w:uri="urn:schemas-microsoft-com:office:smarttags" w:element="place">
        <w:r w:rsidR="00FC26CF">
          <w:t>Samoa</w:t>
        </w:r>
      </w:smartTag>
      <w:r>
        <w:t xml:space="preserve"> </w:t>
      </w:r>
      <w:r w:rsidR="004F6199">
        <w:t>expenditure</w:t>
      </w:r>
      <w:r>
        <w:t xml:space="preserve"> includes </w:t>
      </w:r>
      <w:r w:rsidR="004F6199">
        <w:t xml:space="preserve">projected </w:t>
      </w:r>
      <w:r>
        <w:t xml:space="preserve">budget spending </w:t>
      </w:r>
      <w:r w:rsidR="004F6199">
        <w:t>for</w:t>
      </w:r>
      <w:r>
        <w:t xml:space="preserve"> justice and courts administration, police and prisons. Australian </w:t>
      </w:r>
      <w:r w:rsidR="00954351">
        <w:t>expenditure</w:t>
      </w:r>
      <w:r>
        <w:t xml:space="preserve"> does not include A</w:t>
      </w:r>
      <w:r w:rsidR="0061485C">
        <w:t>ustralian Federal Police</w:t>
      </w:r>
      <w:r>
        <w:t xml:space="preserve"> expenditure.</w:t>
      </w:r>
    </w:p>
    <w:p w:rsidR="001C3DAE" w:rsidRPr="005B0B7F" w:rsidRDefault="001C3DAE" w:rsidP="00496308">
      <w:pPr>
        <w:spacing w:before="240" w:after="80" w:line="280" w:lineRule="atLeast"/>
        <w:rPr>
          <w:rFonts w:ascii="Georgia" w:hAnsi="Georgia"/>
          <w:sz w:val="19"/>
          <w:szCs w:val="19"/>
        </w:rPr>
      </w:pPr>
      <w:r w:rsidRPr="005B0B7F">
        <w:rPr>
          <w:rFonts w:ascii="Georgia" w:hAnsi="Georgia"/>
          <w:sz w:val="19"/>
          <w:szCs w:val="19"/>
        </w:rPr>
        <w:t xml:space="preserve">Samoa remains a peaceful and stable democracy. </w:t>
      </w:r>
      <w:r w:rsidR="00DB44F0">
        <w:rPr>
          <w:rFonts w:ascii="Georgia" w:hAnsi="Georgia"/>
          <w:sz w:val="19"/>
          <w:szCs w:val="19"/>
        </w:rPr>
        <w:t>The country</w:t>
      </w:r>
      <w:r w:rsidR="00DB44F0" w:rsidRPr="00902D6A">
        <w:rPr>
          <w:rFonts w:ascii="Georgia" w:hAnsi="Georgia"/>
          <w:sz w:val="19"/>
          <w:szCs w:val="19"/>
        </w:rPr>
        <w:t xml:space="preserve"> </w:t>
      </w:r>
      <w:r w:rsidR="00902D6A">
        <w:rPr>
          <w:rFonts w:ascii="Georgia" w:hAnsi="Georgia"/>
          <w:sz w:val="19"/>
          <w:szCs w:val="19"/>
        </w:rPr>
        <w:t xml:space="preserve">is currently </w:t>
      </w:r>
      <w:r w:rsidR="00902D6A" w:rsidRPr="00902D6A">
        <w:rPr>
          <w:rFonts w:ascii="Georgia" w:hAnsi="Georgia"/>
          <w:sz w:val="19"/>
          <w:szCs w:val="19"/>
        </w:rPr>
        <w:t>ranked in the 68</w:t>
      </w:r>
      <w:r w:rsidR="00902D6A" w:rsidRPr="00902D6A">
        <w:rPr>
          <w:rFonts w:ascii="Georgia" w:hAnsi="Georgia"/>
          <w:sz w:val="19"/>
          <w:szCs w:val="19"/>
          <w:vertAlign w:val="superscript"/>
        </w:rPr>
        <w:t>th</w:t>
      </w:r>
      <w:r w:rsidR="00902D6A" w:rsidRPr="00902D6A">
        <w:rPr>
          <w:rFonts w:ascii="Georgia" w:hAnsi="Georgia"/>
          <w:sz w:val="19"/>
          <w:szCs w:val="19"/>
        </w:rPr>
        <w:t xml:space="preserve"> percentile in the Rule of Law indicator of the W</w:t>
      </w:r>
      <w:r w:rsidR="00DB44F0">
        <w:rPr>
          <w:rFonts w:ascii="Georgia" w:hAnsi="Georgia"/>
          <w:sz w:val="19"/>
          <w:szCs w:val="19"/>
        </w:rPr>
        <w:t xml:space="preserve">orld </w:t>
      </w:r>
      <w:r w:rsidR="00902D6A" w:rsidRPr="00902D6A">
        <w:rPr>
          <w:rFonts w:ascii="Georgia" w:hAnsi="Georgia"/>
          <w:sz w:val="19"/>
          <w:szCs w:val="19"/>
        </w:rPr>
        <w:t>B</w:t>
      </w:r>
      <w:r w:rsidR="00DB44F0">
        <w:rPr>
          <w:rFonts w:ascii="Georgia" w:hAnsi="Georgia"/>
          <w:sz w:val="19"/>
          <w:szCs w:val="19"/>
        </w:rPr>
        <w:t>ank’s</w:t>
      </w:r>
      <w:r w:rsidR="00902D6A" w:rsidRPr="00902D6A">
        <w:rPr>
          <w:rFonts w:ascii="Georgia" w:hAnsi="Georgia"/>
          <w:sz w:val="19"/>
          <w:szCs w:val="19"/>
        </w:rPr>
        <w:t xml:space="preserve"> Worldwide Governance Indicators, down from the 75th percentile in 2008. </w:t>
      </w:r>
      <w:r w:rsidRPr="005B0B7F">
        <w:rPr>
          <w:rFonts w:ascii="Georgia" w:hAnsi="Georgia"/>
          <w:sz w:val="19"/>
          <w:szCs w:val="19"/>
        </w:rPr>
        <w:t xml:space="preserve">Improving the score is </w:t>
      </w:r>
      <w:r w:rsidR="00982D27">
        <w:rPr>
          <w:rFonts w:ascii="Georgia" w:hAnsi="Georgia"/>
          <w:sz w:val="19"/>
          <w:szCs w:val="19"/>
        </w:rPr>
        <w:t>a long</w:t>
      </w:r>
      <w:r w:rsidR="001A004E">
        <w:rPr>
          <w:rFonts w:ascii="Georgia" w:hAnsi="Georgia"/>
          <w:sz w:val="19"/>
          <w:szCs w:val="19"/>
        </w:rPr>
        <w:t>-</w:t>
      </w:r>
      <w:r w:rsidR="00982D27">
        <w:rPr>
          <w:rFonts w:ascii="Georgia" w:hAnsi="Georgia"/>
          <w:sz w:val="19"/>
          <w:szCs w:val="19"/>
        </w:rPr>
        <w:t xml:space="preserve">term objective </w:t>
      </w:r>
      <w:r w:rsidR="00DB44F0">
        <w:rPr>
          <w:rFonts w:ascii="Georgia" w:hAnsi="Georgia"/>
          <w:sz w:val="19"/>
          <w:szCs w:val="19"/>
        </w:rPr>
        <w:t xml:space="preserve">requiring </w:t>
      </w:r>
      <w:r w:rsidRPr="005B0B7F">
        <w:rPr>
          <w:rFonts w:ascii="Georgia" w:hAnsi="Georgia"/>
          <w:sz w:val="19"/>
          <w:szCs w:val="19"/>
        </w:rPr>
        <w:t>sustained commitment across the sector.</w:t>
      </w:r>
    </w:p>
    <w:p w:rsidR="00BA72C0" w:rsidRDefault="00B01EBF" w:rsidP="00BD39E2">
      <w:pPr>
        <w:pStyle w:val="BodyText"/>
      </w:pPr>
      <w:r>
        <w:t>In 2010</w:t>
      </w:r>
      <w:r>
        <w:rPr>
          <w:rFonts w:ascii="Courier New" w:hAnsi="Courier New" w:cs="Courier New"/>
        </w:rPr>
        <w:t>-</w:t>
      </w:r>
      <w:r w:rsidR="004A7F14">
        <w:t xml:space="preserve">11 </w:t>
      </w:r>
      <w:smartTag w:uri="urn:schemas-microsoft-com:office:smarttags" w:element="country-region">
        <w:smartTag w:uri="urn:schemas-microsoft-com:office:smarttags" w:element="place">
          <w:r w:rsidR="00716717">
            <w:t>Australia</w:t>
          </w:r>
        </w:smartTag>
      </w:smartTag>
      <w:r w:rsidR="00716717">
        <w:t xml:space="preserve">’s funding of the </w:t>
      </w:r>
      <w:r w:rsidR="005379E3">
        <w:t xml:space="preserve">Law and Justice Sector Steering Committee </w:t>
      </w:r>
      <w:r w:rsidR="00716717">
        <w:t xml:space="preserve">enabled it </w:t>
      </w:r>
      <w:r w:rsidR="005379E3">
        <w:t>to implement a</w:t>
      </w:r>
      <w:r w:rsidR="00DB44F0" w:rsidRPr="005B0B7F">
        <w:t xml:space="preserve"> </w:t>
      </w:r>
      <w:r w:rsidR="001C3DAE" w:rsidRPr="005B0B7F">
        <w:t xml:space="preserve">law and justice sector plan. </w:t>
      </w:r>
      <w:r w:rsidR="005379E3">
        <w:t>The committee, which was est</w:t>
      </w:r>
      <w:r w:rsidR="009E2EFB">
        <w:t>ablished with Australian support</w:t>
      </w:r>
      <w:r w:rsidR="00716717">
        <w:t>, has a</w:t>
      </w:r>
      <w:r w:rsidR="009E2EFB" w:rsidRPr="00B11C66">
        <w:t xml:space="preserve"> wide ranging, active membership from Government, civil society and the community</w:t>
      </w:r>
      <w:r w:rsidR="00716717">
        <w:t>. It</w:t>
      </w:r>
      <w:r w:rsidR="009E2EFB">
        <w:t xml:space="preserve"> is the </w:t>
      </w:r>
      <w:r w:rsidR="009E2EFB" w:rsidRPr="00B11C66">
        <w:t xml:space="preserve">first </w:t>
      </w:r>
      <w:r w:rsidR="009E2EFB" w:rsidRPr="0004419A">
        <w:t xml:space="preserve">time in </w:t>
      </w:r>
      <w:smartTag w:uri="urn:schemas-microsoft-com:office:smarttags" w:element="place">
        <w:r w:rsidR="009E2EFB" w:rsidRPr="0004419A">
          <w:t>Samoa</w:t>
        </w:r>
      </w:smartTag>
      <w:r w:rsidR="009E2EFB" w:rsidRPr="0004419A">
        <w:t xml:space="preserve"> that priorities have been coordinated at sectoral level.</w:t>
      </w:r>
      <w:r w:rsidR="00910513">
        <w:t xml:space="preserve"> </w:t>
      </w:r>
      <w:r w:rsidR="00DB44F0">
        <w:t>A</w:t>
      </w:r>
      <w:r w:rsidR="00982D27">
        <w:t>chievements</w:t>
      </w:r>
      <w:r w:rsidR="00DB44F0">
        <w:t xml:space="preserve"> in 2010</w:t>
      </w:r>
      <w:r w:rsidR="00DB44F0">
        <w:rPr>
          <w:rFonts w:ascii="Courier New" w:hAnsi="Courier New" w:cs="Courier New"/>
        </w:rPr>
        <w:t>-</w:t>
      </w:r>
      <w:r w:rsidR="00DB44F0">
        <w:t xml:space="preserve">11 </w:t>
      </w:r>
      <w:r w:rsidR="001C3DAE" w:rsidRPr="0004419A">
        <w:t>include</w:t>
      </w:r>
      <w:r w:rsidR="00CA7FF2">
        <w:t>:</w:t>
      </w:r>
      <w:r w:rsidR="001C3DAE" w:rsidRPr="0004419A">
        <w:t xml:space="preserve"> </w:t>
      </w:r>
      <w:r w:rsidR="00DB44F0">
        <w:t>starting to digitally scan</w:t>
      </w:r>
      <w:r w:rsidR="001C3DAE" w:rsidRPr="0004419A">
        <w:t xml:space="preserve"> more than 20</w:t>
      </w:r>
      <w:r w:rsidR="00DB44F0">
        <w:t> </w:t>
      </w:r>
      <w:r w:rsidR="001C3DAE" w:rsidRPr="0004419A">
        <w:t>million pages</w:t>
      </w:r>
      <w:r w:rsidR="00CA7FF2">
        <w:t xml:space="preserve"> of </w:t>
      </w:r>
      <w:r w:rsidR="00F4074F">
        <w:t>L</w:t>
      </w:r>
      <w:r w:rsidR="00CA7FF2">
        <w:t xml:space="preserve">and and </w:t>
      </w:r>
      <w:r w:rsidR="00F4074F">
        <w:t>T</w:t>
      </w:r>
      <w:r w:rsidR="00CA7FF2">
        <w:t xml:space="preserve">itles </w:t>
      </w:r>
      <w:r w:rsidR="00F4074F">
        <w:t>C</w:t>
      </w:r>
      <w:r w:rsidR="00CA7FF2">
        <w:t>ourt files;</w:t>
      </w:r>
      <w:r w:rsidR="001C3DAE" w:rsidRPr="0004419A">
        <w:t xml:space="preserve"> establishing the </w:t>
      </w:r>
      <w:r w:rsidR="001C3DAE" w:rsidRPr="00CA7FF2">
        <w:rPr>
          <w:i/>
        </w:rPr>
        <w:t>Fau Tasi</w:t>
      </w:r>
      <w:r w:rsidR="001C3DAE" w:rsidRPr="0004419A">
        <w:t xml:space="preserve"> Taskforce to further integrate customary and community-based justice</w:t>
      </w:r>
      <w:r w:rsidR="00CA7FF2">
        <w:t xml:space="preserve"> with the formal justice system;</w:t>
      </w:r>
      <w:r w:rsidR="001C3DAE" w:rsidRPr="0004419A">
        <w:t xml:space="preserve"> </w:t>
      </w:r>
      <w:r w:rsidR="00E204E6">
        <w:t xml:space="preserve">and </w:t>
      </w:r>
      <w:r w:rsidR="008F0DE4">
        <w:t>establish</w:t>
      </w:r>
      <w:r w:rsidR="00DB44F0">
        <w:t>ing</w:t>
      </w:r>
      <w:r w:rsidR="008F0DE4">
        <w:t xml:space="preserve"> a</w:t>
      </w:r>
      <w:r w:rsidR="00CA7FF2">
        <w:t xml:space="preserve"> </w:t>
      </w:r>
      <w:r w:rsidR="001C3DAE" w:rsidRPr="0004419A">
        <w:t>Criminal Deportees Taskforce</w:t>
      </w:r>
      <w:r w:rsidR="00DB44F0">
        <w:t>—</w:t>
      </w:r>
      <w:r w:rsidR="009546A6">
        <w:t xml:space="preserve">a charitable trust </w:t>
      </w:r>
      <w:r w:rsidR="001C3DAE" w:rsidRPr="0004419A">
        <w:t xml:space="preserve">to rehabilitate and reintegrate deportees from the </w:t>
      </w:r>
      <w:r w:rsidR="001C3DAE" w:rsidRPr="001A004E">
        <w:t>U</w:t>
      </w:r>
      <w:r w:rsidR="001A004E" w:rsidRPr="001A004E">
        <w:t xml:space="preserve">nited </w:t>
      </w:r>
      <w:r w:rsidR="001C3DAE" w:rsidRPr="001A004E">
        <w:t>S</w:t>
      </w:r>
      <w:r w:rsidR="001A004E" w:rsidRPr="001A004E">
        <w:t xml:space="preserve">tates </w:t>
      </w:r>
      <w:r w:rsidR="001C3DAE" w:rsidRPr="0004419A">
        <w:t xml:space="preserve">and Australia who lack family structures to </w:t>
      </w:r>
      <w:r w:rsidR="00DB44F0">
        <w:t>help</w:t>
      </w:r>
      <w:r w:rsidR="00DB44F0" w:rsidRPr="0004419A">
        <w:t xml:space="preserve"> </w:t>
      </w:r>
      <w:r w:rsidR="001C3DAE" w:rsidRPr="0004419A">
        <w:t>them return to Samoa.</w:t>
      </w:r>
      <w:bookmarkStart w:id="12" w:name="_Toc295296573"/>
    </w:p>
    <w:p w:rsidR="00C15D55" w:rsidRDefault="00442808" w:rsidP="00BD39E2">
      <w:pPr>
        <w:pStyle w:val="BodyText"/>
      </w:pPr>
      <w:r>
        <w:t xml:space="preserve">The </w:t>
      </w:r>
      <w:smartTag w:uri="urn:schemas-microsoft-com:office:smarttags" w:element="place">
        <w:r w:rsidR="001C3DAE" w:rsidRPr="0004419A">
          <w:t>Samoa</w:t>
        </w:r>
      </w:smartTag>
      <w:r w:rsidR="00DB44F0">
        <w:t xml:space="preserve"> – </w:t>
      </w:r>
      <w:r w:rsidR="001C3DAE" w:rsidRPr="0004419A">
        <w:t>Australia Police Partnership program</w:t>
      </w:r>
      <w:r>
        <w:t xml:space="preserve"> </w:t>
      </w:r>
      <w:r w:rsidRPr="000B5E5D">
        <w:t xml:space="preserve">continued to work towards its objective of </w:t>
      </w:r>
      <w:r w:rsidR="00F4074F">
        <w:t>improving</w:t>
      </w:r>
      <w:r w:rsidRPr="000B5E5D">
        <w:t xml:space="preserve"> the </w:t>
      </w:r>
      <w:r>
        <w:t xml:space="preserve">capacity and </w:t>
      </w:r>
      <w:r w:rsidRPr="000B5E5D">
        <w:t>professionalism of the Samoan Police and Prison Service</w:t>
      </w:r>
      <w:r>
        <w:t>. The</w:t>
      </w:r>
      <w:r w:rsidR="001C3DAE" w:rsidRPr="0004419A">
        <w:t xml:space="preserve"> </w:t>
      </w:r>
      <w:r w:rsidR="001C3DAE" w:rsidRPr="0004419A">
        <w:lastRenderedPageBreak/>
        <w:t>program</w:t>
      </w:r>
      <w:r>
        <w:t xml:space="preserve"> provides</w:t>
      </w:r>
      <w:r w:rsidR="001C3DAE" w:rsidRPr="0004419A">
        <w:t xml:space="preserve"> training</w:t>
      </w:r>
      <w:r w:rsidR="00982D27">
        <w:t>,</w:t>
      </w:r>
      <w:r w:rsidR="001C3DAE" w:rsidRPr="0004419A">
        <w:t xml:space="preserve"> policy development</w:t>
      </w:r>
      <w:r w:rsidR="00982D27">
        <w:t xml:space="preserve"> support</w:t>
      </w:r>
      <w:r w:rsidR="001C3DAE" w:rsidRPr="0004419A">
        <w:t xml:space="preserve"> and mentoring </w:t>
      </w:r>
      <w:r>
        <w:t xml:space="preserve">of the </w:t>
      </w:r>
      <w:r w:rsidR="001A004E" w:rsidRPr="001A004E">
        <w:t xml:space="preserve">Samoan Police and Prison Service </w:t>
      </w:r>
      <w:r w:rsidR="001C3DAE" w:rsidRPr="0004419A">
        <w:t>by A</w:t>
      </w:r>
      <w:r>
        <w:t xml:space="preserve">ustralian </w:t>
      </w:r>
      <w:r w:rsidR="001C3DAE" w:rsidRPr="0004419A">
        <w:t>F</w:t>
      </w:r>
      <w:r>
        <w:t xml:space="preserve">ederal </w:t>
      </w:r>
      <w:r w:rsidR="001C3DAE" w:rsidRPr="0004419A">
        <w:t>P</w:t>
      </w:r>
      <w:r>
        <w:t>olice</w:t>
      </w:r>
      <w:r w:rsidR="001C3DAE" w:rsidRPr="0004419A">
        <w:t xml:space="preserve"> advisers.</w:t>
      </w:r>
      <w:bookmarkEnd w:id="12"/>
      <w:r w:rsidR="001C3DAE" w:rsidRPr="00B11C66">
        <w:t xml:space="preserve"> </w:t>
      </w:r>
    </w:p>
    <w:p w:rsidR="001C3DAE" w:rsidRDefault="001C3DAE" w:rsidP="007D6C49">
      <w:pPr>
        <w:pStyle w:val="Heading2"/>
        <w:spacing w:before="360"/>
      </w:pPr>
      <w:bookmarkStart w:id="13" w:name="_Toc306264796"/>
      <w:r>
        <w:t xml:space="preserve">Partnership Priority Outcome 4b: Improved </w:t>
      </w:r>
      <w:r w:rsidR="00343A2F">
        <w:t>g</w:t>
      </w:r>
      <w:r>
        <w:t>overnance</w:t>
      </w:r>
      <w:r w:rsidR="005063CB">
        <w:t>—</w:t>
      </w:r>
      <w:r w:rsidR="00343A2F">
        <w:t>p</w:t>
      </w:r>
      <w:r>
        <w:t xml:space="preserve">ublic </w:t>
      </w:r>
      <w:r w:rsidR="00343A2F">
        <w:t>s</w:t>
      </w:r>
      <w:r>
        <w:t>ector</w:t>
      </w:r>
      <w:bookmarkEnd w:id="13"/>
    </w:p>
    <w:p w:rsidR="001C3DAE" w:rsidRDefault="001C3DAE" w:rsidP="00EC4949">
      <w:pPr>
        <w:pStyle w:val="Heading3"/>
      </w:pPr>
      <w:r>
        <w:t>Rating and assessment</w:t>
      </w:r>
    </w:p>
    <w:p w:rsidR="001C3DAE" w:rsidRDefault="00496308" w:rsidP="00BD39E2">
      <w:pPr>
        <w:pStyle w:val="BodyText"/>
      </w:pPr>
      <w:r>
        <w:rPr>
          <w:noProof/>
          <w:color w:val="FF9900"/>
          <w:sz w:val="18"/>
          <w:szCs w:val="18"/>
          <w:lang w:val="en-US" w:eastAsia="en-US"/>
        </w:rPr>
        <mc:AlternateContent>
          <mc:Choice Requires="wps">
            <w:drawing>
              <wp:inline distT="0" distB="0" distL="0" distR="0">
                <wp:extent cx="167640" cy="171450"/>
                <wp:effectExtent l="0" t="0" r="0" b="635"/>
                <wp:docPr id="6" name="Rectangle 20" descr="Gre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714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alt="Green" style="width:13.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" fillcolor="#92d050" stroked="f">
                <w10:anchorlock/>
              </v:rect>
            </w:pict>
          </mc:Fallback>
        </mc:AlternateContent>
      </w:r>
      <w:r w:rsidR="001C3DAE">
        <w:rPr>
          <w:rFonts w:eastAsia="Arial Unicode MS"/>
        </w:rPr>
        <w:t> </w:t>
      </w:r>
      <w:r w:rsidR="0061485C">
        <w:t>The outcome</w:t>
      </w:r>
      <w:r w:rsidR="001C3DAE" w:rsidRPr="00230BD1">
        <w:t xml:space="preserve"> will be </w:t>
      </w:r>
      <w:r w:rsidR="001C3DAE">
        <w:t>fully</w:t>
      </w:r>
      <w:r w:rsidR="001C3DAE" w:rsidRPr="00230BD1">
        <w:t xml:space="preserve"> achieved within the timeframe of the </w:t>
      </w:r>
      <w:r w:rsidR="00F4074F">
        <w:t>p</w:t>
      </w:r>
      <w:r w:rsidR="001C3DAE">
        <w:t>artnership</w:t>
      </w:r>
      <w:r w:rsidR="001C3DAE" w:rsidRPr="00230BD1">
        <w:t>.</w:t>
      </w:r>
    </w:p>
    <w:p w:rsidR="001C3DAE" w:rsidRDefault="001C3DAE" w:rsidP="007D6C49">
      <w:pPr>
        <w:pStyle w:val="Caption"/>
        <w:spacing w:before="240"/>
      </w:pPr>
      <w:r>
        <w:t xml:space="preserve">Table </w:t>
      </w:r>
      <w:r w:rsidR="003A3B6F">
        <w:t>7</w:t>
      </w:r>
      <w:r>
        <w:t xml:space="preserve">: Priority Outcome </w:t>
      </w:r>
      <w:r w:rsidR="00343A2F">
        <w:t>4b t</w:t>
      </w:r>
      <w:r w:rsidR="00B01EBF">
        <w:t xml:space="preserve">argets and </w:t>
      </w:r>
      <w:r w:rsidR="00343A2F">
        <w:t>e</w:t>
      </w:r>
      <w:r w:rsidR="00B01EBF">
        <w:t>xpenditure 2010</w:t>
      </w:r>
      <w:r w:rsidR="005063CB">
        <w:t>–</w:t>
      </w:r>
      <w:r>
        <w:t>11</w:t>
      </w: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2410"/>
        <w:gridCol w:w="2391"/>
      </w:tblGrid>
      <w:tr w:rsidR="001C3DAE" w:rsidTr="004627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DAE" w:rsidRPr="00E845BE" w:rsidRDefault="001C3DAE" w:rsidP="00343A2F">
            <w:pPr>
              <w:pStyle w:val="TableTextEntries"/>
              <w:rPr>
                <w:lang w:val="en-GB"/>
              </w:rPr>
            </w:pPr>
            <w:r>
              <w:rPr>
                <w:b/>
              </w:rPr>
              <w:t xml:space="preserve">Joint </w:t>
            </w:r>
            <w:r w:rsidR="00343A2F">
              <w:rPr>
                <w:b/>
              </w:rPr>
              <w:t>c</w:t>
            </w:r>
            <w:r>
              <w:rPr>
                <w:b/>
              </w:rPr>
              <w:t xml:space="preserve">ommitments: </w:t>
            </w:r>
            <w:r w:rsidRPr="00504171">
              <w:rPr>
                <w:lang w:val="en-GB"/>
              </w:rPr>
              <w:t xml:space="preserve">Noting </w:t>
            </w:r>
            <w:smartTag w:uri="urn:schemas-microsoft-com:office:smarttags" w:element="place">
              <w:r w:rsidRPr="00504171">
                <w:rPr>
                  <w:lang w:val="en-GB"/>
                </w:rPr>
                <w:t>Samoa</w:t>
              </w:r>
            </w:smartTag>
            <w:r w:rsidRPr="00504171">
              <w:rPr>
                <w:lang w:val="en-GB"/>
              </w:rPr>
              <w:t>’s strong economic a</w:t>
            </w:r>
            <w:r w:rsidR="004A7F14">
              <w:rPr>
                <w:lang w:val="en-GB"/>
              </w:rPr>
              <w:t>nd governance performance, the p</w:t>
            </w:r>
            <w:r w:rsidRPr="00504171">
              <w:rPr>
                <w:lang w:val="en-GB"/>
              </w:rPr>
              <w:t>artnership will build on current Australian support for strengthening of the public sector, with new support emphasising: improved public finance management; strengthened statistics and data on development and governance indicators; and, public sector capacity development.</w:t>
            </w:r>
          </w:p>
        </w:tc>
      </w:tr>
      <w:tr w:rsidR="00755189" w:rsidTr="00462747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7920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5189" w:rsidRPr="00755189" w:rsidRDefault="00755189" w:rsidP="00E1546E">
            <w:pPr>
              <w:pStyle w:val="TableTextEntries"/>
              <w:rPr>
                <w:b/>
              </w:rPr>
            </w:pPr>
            <w:r w:rsidRPr="00755189">
              <w:rPr>
                <w:b/>
                <w:lang w:val="en-GB"/>
              </w:rPr>
              <w:t xml:space="preserve">Partnership </w:t>
            </w:r>
            <w:r w:rsidR="00343A2F">
              <w:rPr>
                <w:b/>
                <w:lang w:val="en-GB"/>
              </w:rPr>
              <w:t>t</w:t>
            </w:r>
            <w:r w:rsidRPr="00755189">
              <w:rPr>
                <w:b/>
                <w:lang w:val="en-GB"/>
              </w:rPr>
              <w:t xml:space="preserve">arget </w:t>
            </w:r>
            <w:r w:rsidR="00343A2F">
              <w:rPr>
                <w:b/>
                <w:lang w:val="en-GB"/>
              </w:rPr>
              <w:t>r</w:t>
            </w:r>
            <w:r w:rsidRPr="00755189">
              <w:rPr>
                <w:b/>
                <w:lang w:val="en-GB"/>
              </w:rPr>
              <w:t>esults</w:t>
            </w:r>
            <w:r>
              <w:rPr>
                <w:b/>
                <w:lang w:val="en-GB"/>
              </w:rPr>
              <w:t>:</w:t>
            </w:r>
          </w:p>
          <w:p w:rsidR="00755189" w:rsidRPr="00E845BE" w:rsidRDefault="00755189" w:rsidP="00E1546E">
            <w:pPr>
              <w:pStyle w:val="TableTextEntries"/>
            </w:pPr>
            <w:r>
              <w:t xml:space="preserve">- </w:t>
            </w:r>
            <w:r w:rsidRPr="00B02259">
              <w:t xml:space="preserve">Improved Government Effectiveness Score in </w:t>
            </w:r>
            <w:r w:rsidR="0061485C">
              <w:t>the World Bank’s</w:t>
            </w:r>
            <w:r w:rsidRPr="00B02259">
              <w:t xml:space="preserve"> </w:t>
            </w:r>
            <w:r w:rsidR="0061485C">
              <w:t xml:space="preserve">Worldwide </w:t>
            </w:r>
            <w:r w:rsidRPr="00B02259">
              <w:t xml:space="preserve">Governance </w:t>
            </w:r>
            <w:r>
              <w:t>Indicators</w:t>
            </w:r>
            <w:r w:rsidR="005E2D0B">
              <w:t>.</w:t>
            </w:r>
          </w:p>
          <w:p w:rsidR="00755189" w:rsidRPr="00E845BE" w:rsidRDefault="00755189" w:rsidP="001A004E">
            <w:pPr>
              <w:pStyle w:val="TableDataEntries"/>
              <w:jc w:val="left"/>
            </w:pPr>
            <w:r>
              <w:t xml:space="preserve">- </w:t>
            </w:r>
            <w:r w:rsidRPr="00B02259">
              <w:t>Improved P</w:t>
            </w:r>
            <w:r w:rsidR="00385F59">
              <w:t xml:space="preserve">ublic Administration Sector Plan </w:t>
            </w:r>
            <w:r w:rsidRPr="00B02259">
              <w:t>Secretariat Evaluation Report (indicators to be determined)</w:t>
            </w:r>
            <w:r w:rsidR="005E2D0B">
              <w:t>.</w:t>
            </w:r>
          </w:p>
        </w:tc>
      </w:tr>
      <w:tr w:rsidR="00B553D9" w:rsidTr="0046274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53D9" w:rsidRPr="00755189" w:rsidRDefault="00B553D9" w:rsidP="00E1546E">
            <w:pPr>
              <w:pStyle w:val="TableTextEntries"/>
              <w:rPr>
                <w:b/>
              </w:rPr>
            </w:pPr>
            <w:r w:rsidRPr="00755189">
              <w:rPr>
                <w:b/>
              </w:rPr>
              <w:t>Expenditure</w:t>
            </w:r>
            <w:r w:rsidR="00B01EBF">
              <w:rPr>
                <w:b/>
              </w:rPr>
              <w:t xml:space="preserve"> in 2010</w:t>
            </w:r>
            <w:r w:rsidR="00B01EBF">
              <w:rPr>
                <w:rFonts w:ascii="Courier New" w:hAnsi="Courier New" w:cs="Courier New"/>
                <w:b/>
              </w:rPr>
              <w:t>-</w:t>
            </w:r>
            <w:r>
              <w:rPr>
                <w:b/>
              </w:rPr>
              <w:t>11: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B553D9" w:rsidRPr="006A1B72" w:rsidRDefault="006A1B72" w:rsidP="00E1546E">
            <w:pPr>
              <w:pStyle w:val="TableTextEntries"/>
              <w:rPr>
                <w:rFonts w:ascii="Franklin Gothic Medium" w:hAnsi="Franklin Gothic Medium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6A1B72">
                  <w:rPr>
                    <w:rFonts w:ascii="Franklin Gothic Medium" w:hAnsi="Franklin Gothic Medium"/>
                  </w:rPr>
                  <w:t>Australia</w:t>
                </w:r>
              </w:smartTag>
            </w:smartTag>
          </w:p>
        </w:tc>
        <w:tc>
          <w:tcPr>
            <w:tcW w:w="24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B553D9" w:rsidRPr="000F5034" w:rsidRDefault="00B553D9" w:rsidP="00E1546E">
            <w:pPr>
              <w:pStyle w:val="TableTextEntries"/>
            </w:pPr>
            <w:r>
              <w:t>A</w:t>
            </w:r>
            <w:r w:rsidR="005063CB">
              <w:t>U</w:t>
            </w:r>
            <w:r>
              <w:t>$4.6 million</w:t>
            </w:r>
          </w:p>
        </w:tc>
        <w:tc>
          <w:tcPr>
            <w:tcW w:w="23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553D9" w:rsidRDefault="00B553D9" w:rsidP="00755189">
            <w:pPr>
              <w:pStyle w:val="TableDataEntries"/>
              <w:jc w:val="left"/>
            </w:pPr>
          </w:p>
        </w:tc>
      </w:tr>
      <w:tr w:rsidR="00B553D9" w:rsidTr="0046274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985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53D9" w:rsidRPr="00755189" w:rsidRDefault="00B553D9" w:rsidP="00E1546E">
            <w:pPr>
              <w:pStyle w:val="TableTextEntries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B553D9" w:rsidRPr="000F5034" w:rsidRDefault="00B553D9" w:rsidP="006A1B72">
            <w:pPr>
              <w:pStyle w:val="TableDataColumnHeading"/>
              <w:jc w:val="left"/>
            </w:pPr>
            <w:smartTag w:uri="urn:schemas-microsoft-com:office:smarttags" w:element="place">
              <w:r>
                <w:t>Samoa</w:t>
              </w:r>
            </w:smartTag>
          </w:p>
        </w:tc>
        <w:tc>
          <w:tcPr>
            <w:tcW w:w="241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B553D9" w:rsidRPr="000F5034" w:rsidRDefault="00B553D9" w:rsidP="00E1546E">
            <w:pPr>
              <w:pStyle w:val="TableTextEntries"/>
            </w:pPr>
            <w:r>
              <w:t>SAT69.6 million (projected)</w:t>
            </w:r>
          </w:p>
        </w:tc>
        <w:tc>
          <w:tcPr>
            <w:tcW w:w="239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553D9" w:rsidRDefault="00B553D9" w:rsidP="00755189">
            <w:pPr>
              <w:pStyle w:val="TableDataColumnHeading"/>
              <w:jc w:val="left"/>
            </w:pPr>
          </w:p>
        </w:tc>
      </w:tr>
    </w:tbl>
    <w:p w:rsidR="004F6199" w:rsidRPr="00462747" w:rsidRDefault="004F6199" w:rsidP="00462747">
      <w:pPr>
        <w:pStyle w:val="BodyText"/>
        <w:spacing w:before="40" w:after="0" w:line="180" w:lineRule="atLeast"/>
        <w:rPr>
          <w:rFonts w:ascii="Franklin Gothic Book" w:hAnsi="Franklin Gothic Book"/>
          <w:sz w:val="14"/>
          <w:szCs w:val="14"/>
        </w:rPr>
      </w:pPr>
      <w:r w:rsidRPr="00462747">
        <w:rPr>
          <w:rFonts w:ascii="Franklin Gothic Book" w:hAnsi="Franklin Gothic Book"/>
          <w:sz w:val="14"/>
          <w:szCs w:val="14"/>
        </w:rPr>
        <w:t xml:space="preserve">Note:  </w:t>
      </w:r>
      <w:r w:rsidR="00FC26CF" w:rsidRPr="00462747">
        <w:rPr>
          <w:rFonts w:ascii="Franklin Gothic Book" w:hAnsi="Franklin Gothic Book"/>
          <w:sz w:val="14"/>
          <w:szCs w:val="14"/>
        </w:rPr>
        <w:t>Samoa</w:t>
      </w:r>
      <w:r w:rsidRPr="00462747">
        <w:rPr>
          <w:rFonts w:ascii="Franklin Gothic Book" w:hAnsi="Franklin Gothic Book"/>
          <w:sz w:val="14"/>
          <w:szCs w:val="14"/>
        </w:rPr>
        <w:t xml:space="preserve"> expenditure includes projected budget spending for the Ministry of Finance, Ministry of Prime Minister, and for </w:t>
      </w:r>
      <w:r w:rsidR="0061485C" w:rsidRPr="00462747">
        <w:rPr>
          <w:rFonts w:ascii="Franklin Gothic Book" w:hAnsi="Franklin Gothic Book"/>
          <w:sz w:val="14"/>
          <w:szCs w:val="14"/>
        </w:rPr>
        <w:t>h</w:t>
      </w:r>
      <w:r w:rsidRPr="00462747">
        <w:rPr>
          <w:rFonts w:ascii="Franklin Gothic Book" w:hAnsi="Franklin Gothic Book"/>
          <w:sz w:val="14"/>
          <w:szCs w:val="14"/>
        </w:rPr>
        <w:t xml:space="preserve">uman </w:t>
      </w:r>
      <w:r w:rsidR="0061485C" w:rsidRPr="00462747">
        <w:rPr>
          <w:rFonts w:ascii="Franklin Gothic Book" w:hAnsi="Franklin Gothic Book"/>
          <w:sz w:val="14"/>
          <w:szCs w:val="14"/>
        </w:rPr>
        <w:t>r</w:t>
      </w:r>
      <w:r w:rsidRPr="00462747">
        <w:rPr>
          <w:rFonts w:ascii="Franklin Gothic Book" w:hAnsi="Franklin Gothic Book"/>
          <w:sz w:val="14"/>
          <w:szCs w:val="14"/>
        </w:rPr>
        <w:t xml:space="preserve">esources </w:t>
      </w:r>
      <w:r w:rsidR="0061485C" w:rsidRPr="00462747">
        <w:rPr>
          <w:rFonts w:ascii="Franklin Gothic Book" w:hAnsi="Franklin Gothic Book"/>
          <w:sz w:val="14"/>
          <w:szCs w:val="14"/>
        </w:rPr>
        <w:t>d</w:t>
      </w:r>
      <w:r w:rsidRPr="00462747">
        <w:rPr>
          <w:rFonts w:ascii="Franklin Gothic Book" w:hAnsi="Franklin Gothic Book"/>
          <w:sz w:val="14"/>
          <w:szCs w:val="14"/>
        </w:rPr>
        <w:t xml:space="preserve">evelopment. </w:t>
      </w:r>
    </w:p>
    <w:p w:rsidR="001C3DAE" w:rsidRDefault="00902D6A" w:rsidP="00BD39E2">
      <w:pPr>
        <w:pStyle w:val="BodyText"/>
      </w:pPr>
      <w:smartTag w:uri="urn:schemas-microsoft-com:office:smarttags" w:element="place">
        <w:r w:rsidRPr="00F56B20">
          <w:t>Samoa</w:t>
        </w:r>
      </w:smartTag>
      <w:r w:rsidRPr="00F56B20">
        <w:t xml:space="preserve"> </w:t>
      </w:r>
      <w:r>
        <w:t>is currently ranked in the 56</w:t>
      </w:r>
      <w:r w:rsidRPr="0089234D">
        <w:rPr>
          <w:vertAlign w:val="superscript"/>
        </w:rPr>
        <w:t>th</w:t>
      </w:r>
      <w:r>
        <w:t xml:space="preserve"> percentile in Government Effectiveness in the </w:t>
      </w:r>
      <w:r w:rsidR="0061485C">
        <w:t xml:space="preserve">World Bank’s </w:t>
      </w:r>
      <w:r w:rsidRPr="00902D6A">
        <w:t xml:space="preserve">Worldwide Governance Indicators, </w:t>
      </w:r>
      <w:r>
        <w:t xml:space="preserve">a </w:t>
      </w:r>
      <w:r w:rsidR="005A1A23">
        <w:t xml:space="preserve">small </w:t>
      </w:r>
      <w:r>
        <w:t>change from t</w:t>
      </w:r>
      <w:r w:rsidRPr="00902D6A">
        <w:t>he 58</w:t>
      </w:r>
      <w:r w:rsidRPr="00902D6A">
        <w:rPr>
          <w:vertAlign w:val="superscript"/>
        </w:rPr>
        <w:t>th</w:t>
      </w:r>
      <w:r w:rsidRPr="00902D6A">
        <w:t xml:space="preserve"> percentile in 2008. </w:t>
      </w:r>
    </w:p>
    <w:p w:rsidR="001C3DAE" w:rsidRDefault="00D67EB1" w:rsidP="00BD39E2">
      <w:pPr>
        <w:pStyle w:val="BodyText"/>
      </w:pPr>
      <w:r>
        <w:t>Th</w:t>
      </w:r>
      <w:r w:rsidR="005A1A23">
        <w:t>is</w:t>
      </w:r>
      <w:r>
        <w:t xml:space="preserve"> </w:t>
      </w:r>
      <w:r w:rsidR="0061485C">
        <w:t>p</w:t>
      </w:r>
      <w:r>
        <w:t xml:space="preserve">artnership priority </w:t>
      </w:r>
      <w:r w:rsidR="001C3DAE">
        <w:t xml:space="preserve">outcome </w:t>
      </w:r>
      <w:r>
        <w:t xml:space="preserve">is </w:t>
      </w:r>
      <w:r w:rsidR="00385F59">
        <w:t>guided by</w:t>
      </w:r>
      <w:r w:rsidR="001C3DAE">
        <w:t xml:space="preserve"> the Samoan Government’s Public Financial Management </w:t>
      </w:r>
      <w:r w:rsidR="001C3DAE" w:rsidRPr="001A004E">
        <w:t>Reform Plan (PFMRP), the</w:t>
      </w:r>
      <w:r w:rsidR="001C3DAE">
        <w:t xml:space="preserve"> central document behind </w:t>
      </w:r>
      <w:smartTag w:uri="urn:schemas-microsoft-com:office:smarttags" w:element="place">
        <w:r w:rsidR="001C3DAE">
          <w:t>Samoa</w:t>
        </w:r>
      </w:smartTag>
      <w:r w:rsidR="001C3DAE">
        <w:t xml:space="preserve">’s public </w:t>
      </w:r>
      <w:r w:rsidR="00EB3E14">
        <w:t>financial management</w:t>
      </w:r>
      <w:r w:rsidR="001C3DAE">
        <w:t xml:space="preserve"> reform. The PFMRP sets out an ambitious reform agenda in areas such as the legislative framework, national </w:t>
      </w:r>
      <w:r w:rsidR="001C3DAE" w:rsidRPr="00622C19">
        <w:t>budgeting, planning and procurement. In 2010</w:t>
      </w:r>
      <w:r w:rsidR="005A1A23">
        <w:t xml:space="preserve"> the</w:t>
      </w:r>
      <w:r w:rsidR="001C3DAE" w:rsidRPr="00622C19">
        <w:t xml:space="preserve"> PFMRP progressed towards its targets</w:t>
      </w:r>
      <w:r w:rsidR="005A1A23">
        <w:t>. Achievements included publishing</w:t>
      </w:r>
      <w:r w:rsidR="001C3DAE" w:rsidRPr="00072BFB">
        <w:t xml:space="preserve"> the Samoan Development Cooperation Policy and introduc</w:t>
      </w:r>
      <w:r w:rsidR="005A1A23">
        <w:t>ing</w:t>
      </w:r>
      <w:r w:rsidR="001C3DAE" w:rsidRPr="00072BFB">
        <w:t xml:space="preserve"> a framework linking</w:t>
      </w:r>
      <w:r w:rsidR="00B01EBF">
        <w:t xml:space="preserve"> the 2010</w:t>
      </w:r>
      <w:r w:rsidR="00B01EBF">
        <w:rPr>
          <w:rFonts w:ascii="Courier New" w:hAnsi="Courier New" w:cs="Courier New"/>
        </w:rPr>
        <w:t>-</w:t>
      </w:r>
      <w:r w:rsidR="001C3DAE" w:rsidRPr="00072BFB">
        <w:t>11 budget, sector plans and the Samoa Development Strategy</w:t>
      </w:r>
      <w:r w:rsidR="005063CB">
        <w:t>.</w:t>
      </w:r>
      <w:r w:rsidR="001C3DAE" w:rsidRPr="009546A6">
        <w:rPr>
          <w:rStyle w:val="FootnoteReference"/>
        </w:rPr>
        <w:footnoteReference w:id="10"/>
      </w:r>
      <w:r w:rsidR="001C3DAE" w:rsidRPr="00072BFB">
        <w:t xml:space="preserve">  </w:t>
      </w:r>
    </w:p>
    <w:p w:rsidR="001C3DAE" w:rsidRDefault="001948C7" w:rsidP="007D6C49">
      <w:pPr>
        <w:pStyle w:val="BodyText"/>
      </w:pPr>
      <w:smartTag w:uri="urn:schemas-microsoft-com:office:smarttags" w:element="place">
        <w:smartTag w:uri="urn:schemas-microsoft-com:office:smarttags" w:element="City">
          <w:r>
            <w:t>Samoa</w:t>
          </w:r>
        </w:smartTag>
        <w:r w:rsidR="00A658C5">
          <w:t xml:space="preserve">, </w:t>
        </w:r>
        <w:smartTag w:uri="urn:schemas-microsoft-com:office:smarttags" w:element="country-region">
          <w:r w:rsidR="00A658C5" w:rsidRPr="00DE4635">
            <w:t>Australia</w:t>
          </w:r>
        </w:smartTag>
      </w:smartTag>
      <w:r w:rsidR="00A658C5" w:rsidRPr="00DE4635">
        <w:t>,</w:t>
      </w:r>
      <w:r w:rsidR="00A658C5">
        <w:t xml:space="preserve"> </w:t>
      </w:r>
      <w:r>
        <w:t xml:space="preserve">the </w:t>
      </w:r>
      <w:r w:rsidR="00A658C5">
        <w:t>A</w:t>
      </w:r>
      <w:r w:rsidR="007E3C6A">
        <w:t>DB, the W</w:t>
      </w:r>
      <w:r w:rsidR="005A1A23">
        <w:t>orld Bank</w:t>
      </w:r>
      <w:r w:rsidR="007C72D7">
        <w:t xml:space="preserve"> </w:t>
      </w:r>
      <w:r w:rsidR="007E3C6A">
        <w:t>and NZAP</w:t>
      </w:r>
      <w:r w:rsidR="00A658C5">
        <w:t xml:space="preserve"> agreed to a joint </w:t>
      </w:r>
      <w:r w:rsidR="009B674A">
        <w:t>development partner</w:t>
      </w:r>
      <w:r w:rsidR="00A658C5" w:rsidRPr="00B82750">
        <w:t xml:space="preserve"> </w:t>
      </w:r>
      <w:r w:rsidR="00A658C5" w:rsidRPr="00A658C5">
        <w:t xml:space="preserve">Policy Action </w:t>
      </w:r>
      <w:r w:rsidR="007D3B30" w:rsidRPr="007D3B30">
        <w:t>M</w:t>
      </w:r>
      <w:r w:rsidR="00A658C5" w:rsidRPr="007D3B30">
        <w:t>atrix.</w:t>
      </w:r>
      <w:r w:rsidR="00A658C5">
        <w:t xml:space="preserve"> Under the </w:t>
      </w:r>
      <w:r w:rsidR="005A1A23">
        <w:t>m</w:t>
      </w:r>
      <w:r w:rsidR="00FF71CC">
        <w:t>atrix</w:t>
      </w:r>
      <w:r w:rsidR="00A658C5">
        <w:t xml:space="preserve">, </w:t>
      </w:r>
      <w:r w:rsidR="006E546D">
        <w:t>the release of general</w:t>
      </w:r>
      <w:r w:rsidR="00A658C5">
        <w:t xml:space="preserve"> budget support funds</w:t>
      </w:r>
      <w:r w:rsidR="006E546D">
        <w:t xml:space="preserve"> is triggered when targets</w:t>
      </w:r>
      <w:r w:rsidR="005063CB">
        <w:t>—</w:t>
      </w:r>
      <w:r w:rsidR="006E546D">
        <w:t>taken from the PFMRP</w:t>
      </w:r>
      <w:r w:rsidR="005063CB">
        <w:t>—</w:t>
      </w:r>
      <w:r w:rsidR="00A658C5">
        <w:t>are achieved.</w:t>
      </w:r>
      <w:r w:rsidR="00A658C5" w:rsidRPr="00B82750">
        <w:t xml:space="preserve"> </w:t>
      </w:r>
      <w:r>
        <w:t>Samoa</w:t>
      </w:r>
      <w:r w:rsidR="00B269D0">
        <w:t xml:space="preserve"> </w:t>
      </w:r>
      <w:r w:rsidR="00B269D0" w:rsidRPr="007D3B30">
        <w:t>made substantial pr</w:t>
      </w:r>
      <w:r w:rsidR="00B01EBF" w:rsidRPr="007D3B30">
        <w:t>ogress towards meeting its 2010</w:t>
      </w:r>
      <w:r w:rsidR="00B01EBF" w:rsidRPr="007D3B30">
        <w:rPr>
          <w:rFonts w:ascii="Courier New" w:hAnsi="Courier New" w:cs="Courier New"/>
        </w:rPr>
        <w:t>-</w:t>
      </w:r>
      <w:r w:rsidR="00B269D0" w:rsidRPr="007D3B30">
        <w:t xml:space="preserve">11 targets, prompting </w:t>
      </w:r>
      <w:smartTag w:uri="urn:schemas-microsoft-com:office:smarttags" w:element="country-region">
        <w:smartTag w:uri="urn:schemas-microsoft-com:office:smarttags" w:element="place">
          <w:r w:rsidR="00B269D0" w:rsidRPr="007D3B30">
            <w:t>Australia</w:t>
          </w:r>
        </w:smartTag>
      </w:smartTag>
      <w:r w:rsidR="00B269D0" w:rsidRPr="007D3B30">
        <w:t xml:space="preserve"> to release </w:t>
      </w:r>
      <w:r w:rsidR="006C43CF">
        <w:t>AU</w:t>
      </w:r>
      <w:r w:rsidR="00B269D0" w:rsidRPr="007D3B30">
        <w:t>$2</w:t>
      </w:r>
      <w:r w:rsidR="007D3B30">
        <w:t> </w:t>
      </w:r>
      <w:r w:rsidR="00B269D0">
        <w:t>million.</w:t>
      </w:r>
      <w:r w:rsidR="001C3DAE">
        <w:t>Complementing the PFMRP</w:t>
      </w:r>
      <w:r w:rsidR="00A658C5">
        <w:t xml:space="preserve"> and Policy Action </w:t>
      </w:r>
      <w:r w:rsidR="005A1A23">
        <w:t>M</w:t>
      </w:r>
      <w:r w:rsidR="00A658C5">
        <w:t>atrix</w:t>
      </w:r>
      <w:r w:rsidR="001C3DAE">
        <w:t>, the Pub</w:t>
      </w:r>
      <w:r w:rsidR="001A004E">
        <w:t>lic Sector Improvement Facility</w:t>
      </w:r>
      <w:r w:rsidR="001C3DAE">
        <w:t xml:space="preserve">, co-supported by NZAP, continues to fund public service reform activities in Samoan government agencies. Since 2005 </w:t>
      </w:r>
      <w:r w:rsidR="005A1A23">
        <w:t>the f</w:t>
      </w:r>
      <w:r w:rsidR="001A004E" w:rsidRPr="001A004E">
        <w:t xml:space="preserve">acility </w:t>
      </w:r>
      <w:r w:rsidR="001C3DAE">
        <w:t>has funded 24 projects, with a</w:t>
      </w:r>
      <w:r w:rsidR="005A1A23">
        <w:t>nother</w:t>
      </w:r>
      <w:r w:rsidR="001C3DAE">
        <w:t xml:space="preserve"> seven active,</w:t>
      </w:r>
      <w:r w:rsidR="00B269D0">
        <w:t xml:space="preserve"> including</w:t>
      </w:r>
      <w:r w:rsidR="001C3DAE">
        <w:t xml:space="preserve"> working in </w:t>
      </w:r>
      <w:r w:rsidR="00B269D0">
        <w:t>key</w:t>
      </w:r>
      <w:r w:rsidR="001C3DAE">
        <w:t xml:space="preserve"> agencies such as </w:t>
      </w:r>
      <w:r w:rsidR="005A1A23">
        <w:t xml:space="preserve">the </w:t>
      </w:r>
      <w:r w:rsidR="001C3DAE">
        <w:t xml:space="preserve">Inland Revenue and Audit Office. </w:t>
      </w:r>
    </w:p>
    <w:p w:rsidR="0056088E" w:rsidRDefault="0056088E" w:rsidP="00BD39E2">
      <w:pPr>
        <w:pStyle w:val="BodyText"/>
      </w:pP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  <w:r>
        <w:t xml:space="preserve"> is </w:t>
      </w:r>
      <w:r w:rsidR="00864BDC">
        <w:t xml:space="preserve">also </w:t>
      </w:r>
      <w:r>
        <w:t xml:space="preserve">developing the </w:t>
      </w:r>
      <w:r w:rsidR="00864BDC">
        <w:t xml:space="preserve">leadership </w:t>
      </w:r>
      <w:r>
        <w:t>skills of young Samoan</w:t>
      </w:r>
      <w:r w:rsidR="005A1A23">
        <w:t>s</w:t>
      </w:r>
      <w:r>
        <w:t xml:space="preserve"> </w:t>
      </w:r>
      <w:r w:rsidR="00864BDC">
        <w:t>to</w:t>
      </w:r>
      <w:r>
        <w:t xml:space="preserve"> contribute to </w:t>
      </w:r>
      <w:r w:rsidR="00864BDC">
        <w:t>national development</w:t>
      </w:r>
      <w:r>
        <w:t xml:space="preserve"> (</w:t>
      </w:r>
      <w:smartTag w:uri="urn:schemas-microsoft-com:office:smarttags" w:element="address">
        <w:smartTag w:uri="urn:schemas-microsoft-com:office:smarttags" w:element="Street">
          <w:r>
            <w:t>Box</w:t>
          </w:r>
        </w:smartTag>
        <w:r>
          <w:t xml:space="preserve"> 4</w:t>
        </w:r>
      </w:smartTag>
      <w:r>
        <w:t>: Leadership Samoa</w:t>
      </w:r>
      <w:r w:rsidR="005063CB">
        <w:t>—</w:t>
      </w:r>
      <w:r>
        <w:t>the Pacific Leadership Program).</w:t>
      </w:r>
    </w:p>
    <w:p w:rsidR="00560594" w:rsidRPr="00D84E38" w:rsidRDefault="001C3DAE" w:rsidP="00496308">
      <w:pPr>
        <w:pStyle w:val="BodyText"/>
      </w:pPr>
      <w:r>
        <w:t>Good statistics are essential for high</w:t>
      </w:r>
      <w:r w:rsidR="005A1A23">
        <w:t>-</w:t>
      </w:r>
      <w:r w:rsidR="00345258">
        <w:t>quality decision making. The p</w:t>
      </w:r>
      <w:r>
        <w:t xml:space="preserve">artnership supported the </w:t>
      </w:r>
      <w:r w:rsidR="00CB3F51">
        <w:t>d</w:t>
      </w:r>
      <w:r w:rsidR="00CE700C">
        <w:t xml:space="preserve">emographic </w:t>
      </w:r>
      <w:r w:rsidR="00CB3F51">
        <w:t>h</w:t>
      </w:r>
      <w:r w:rsidR="00CE700C">
        <w:t xml:space="preserve">ealth </w:t>
      </w:r>
      <w:r w:rsidR="00CB3F51">
        <w:t>s</w:t>
      </w:r>
      <w:r w:rsidR="00CE700C">
        <w:t>urvey (</w:t>
      </w:r>
      <w:r w:rsidR="005A1A23">
        <w:t>P</w:t>
      </w:r>
      <w:r w:rsidRPr="00D84E38">
        <w:t xml:space="preserve">riority </w:t>
      </w:r>
      <w:r w:rsidR="00345258">
        <w:t>O</w:t>
      </w:r>
      <w:r w:rsidRPr="00D84E38">
        <w:t>utcome 2), which delivered important new under</w:t>
      </w:r>
      <w:r w:rsidR="00345258">
        <w:t>standing of health issues. The p</w:t>
      </w:r>
      <w:r w:rsidRPr="00D84E38">
        <w:t xml:space="preserve">artnership is also </w:t>
      </w:r>
      <w:r w:rsidR="00AE6A24" w:rsidRPr="00D84E38">
        <w:t>providing funds for the 2011</w:t>
      </w:r>
      <w:r w:rsidRPr="00D84E38">
        <w:t xml:space="preserve"> national census, for which work is now underway.</w:t>
      </w:r>
    </w:p>
    <w:tbl>
      <w:tblPr>
        <w:tblpPr w:leftFromText="180" w:rightFromText="180" w:vertAnchor="text" w:horzAnchor="margin" w:tblpXSpec="right" w:tblpY="102"/>
        <w:tblW w:w="7938" w:type="dxa"/>
        <w:jc w:val="righ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38"/>
      </w:tblGrid>
      <w:tr w:rsidR="00560594" w:rsidRPr="00E309B2" w:rsidTr="00F77486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938" w:type="dxa"/>
            <w:tcBorders>
              <w:bottom w:val="single" w:sz="12" w:space="0" w:color="auto"/>
            </w:tcBorders>
            <w:shd w:val="clear" w:color="auto" w:fill="F5F1CC"/>
            <w:tcMar>
              <w:top w:w="0" w:type="dxa"/>
            </w:tcMar>
          </w:tcPr>
          <w:p w:rsidR="00560594" w:rsidRPr="00773CB8" w:rsidRDefault="00560594" w:rsidP="005063CB">
            <w:pPr>
              <w:pStyle w:val="Caption"/>
              <w:keepNext w:val="0"/>
              <w:spacing w:before="80" w:line="280" w:lineRule="atLeast"/>
            </w:pPr>
            <w:smartTag w:uri="urn:schemas-microsoft-com:office:smarttags" w:element="address">
              <w:smartTag w:uri="urn:schemas-microsoft-com:office:smarttags" w:element="Street">
                <w:r w:rsidRPr="00773CB8">
                  <w:lastRenderedPageBreak/>
                  <w:t>Box</w:t>
                </w:r>
              </w:smartTag>
              <w:r w:rsidRPr="00773CB8">
                <w:t xml:space="preserve"> </w:t>
              </w:r>
              <w:r w:rsidR="00AA58A7" w:rsidRPr="00773CB8">
                <w:t>4</w:t>
              </w:r>
            </w:smartTag>
            <w:r w:rsidRPr="00773CB8">
              <w:t xml:space="preserve">: </w:t>
            </w:r>
            <w:r w:rsidR="0002448D" w:rsidRPr="00773CB8">
              <w:t xml:space="preserve">Leadership </w:t>
            </w:r>
            <w:smartTag w:uri="urn:schemas-microsoft-com:office:smarttags" w:element="place">
              <w:r w:rsidR="0002448D" w:rsidRPr="00773CB8">
                <w:t>Samoa</w:t>
              </w:r>
            </w:smartTag>
            <w:r w:rsidR="005063CB">
              <w:t>—</w:t>
            </w:r>
            <w:r w:rsidR="0002448D" w:rsidRPr="00773CB8">
              <w:t xml:space="preserve">the </w:t>
            </w:r>
            <w:r w:rsidRPr="00773CB8">
              <w:t>Pacific Leadership Program</w:t>
            </w:r>
          </w:p>
        </w:tc>
      </w:tr>
      <w:tr w:rsidR="00560594" w:rsidRPr="00E309B2" w:rsidTr="00F77486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5F1CC"/>
          </w:tcPr>
          <w:p w:rsidR="00A972A9" w:rsidRPr="004F4F95" w:rsidRDefault="0002448D" w:rsidP="00BD39E2">
            <w:pPr>
              <w:pStyle w:val="BodyText"/>
              <w:rPr>
                <w:lang w:val="en-US" w:eastAsia="en-US"/>
              </w:rPr>
            </w:pPr>
            <w:r w:rsidRPr="004F4F95">
              <w:rPr>
                <w:lang w:val="en-US" w:eastAsia="en-US"/>
              </w:rPr>
              <w:t xml:space="preserve">Local leadership is central to solving local problems. Through the Pacific Leadership Program, </w:t>
            </w:r>
            <w:smartTag w:uri="urn:schemas-microsoft-com:office:smarttags" w:element="country-region">
              <w:r w:rsidRPr="004F4F95">
                <w:rPr>
                  <w:lang w:val="en-US" w:eastAsia="en-US"/>
                </w:rPr>
                <w:t>Australia</w:t>
              </w:r>
            </w:smartTag>
            <w:r w:rsidRPr="004F4F95">
              <w:rPr>
                <w:lang w:val="en-US" w:eastAsia="en-US"/>
              </w:rPr>
              <w:t xml:space="preserve"> </w:t>
            </w:r>
            <w:r w:rsidR="00727940" w:rsidRPr="004F4F95">
              <w:rPr>
                <w:lang w:val="en-US" w:eastAsia="en-US"/>
              </w:rPr>
              <w:t xml:space="preserve">and </w:t>
            </w:r>
            <w:smartTag w:uri="urn:schemas-microsoft-com:office:smarttags" w:element="place">
              <w:r w:rsidR="00727940" w:rsidRPr="004F4F95">
                <w:rPr>
                  <w:lang w:val="en-US" w:eastAsia="en-US"/>
                </w:rPr>
                <w:t>Samoa</w:t>
              </w:r>
            </w:smartTag>
            <w:r w:rsidR="00727940" w:rsidRPr="004F4F95">
              <w:rPr>
                <w:lang w:val="en-US" w:eastAsia="en-US"/>
              </w:rPr>
              <w:t xml:space="preserve"> have established</w:t>
            </w:r>
            <w:r w:rsidR="00CB3F51" w:rsidRPr="004F4F95">
              <w:rPr>
                <w:lang w:val="en-US" w:eastAsia="en-US"/>
              </w:rPr>
              <w:t xml:space="preserve"> </w:t>
            </w:r>
            <w:r w:rsidRPr="004F4F95">
              <w:rPr>
                <w:lang w:val="en-US" w:eastAsia="en-US"/>
              </w:rPr>
              <w:t>Leadership Samoa</w:t>
            </w:r>
            <w:r w:rsidR="00345258" w:rsidRPr="004F4F95">
              <w:rPr>
                <w:lang w:val="en-US" w:eastAsia="en-US"/>
              </w:rPr>
              <w:t>, a partnership</w:t>
            </w:r>
            <w:r w:rsidR="00727940" w:rsidRPr="004F4F95">
              <w:rPr>
                <w:lang w:val="en-US" w:eastAsia="en-US"/>
              </w:rPr>
              <w:t xml:space="preserve"> </w:t>
            </w:r>
            <w:r w:rsidRPr="004F4F95">
              <w:rPr>
                <w:lang w:val="en-US" w:eastAsia="en-US"/>
              </w:rPr>
              <w:t xml:space="preserve">to mentor and develop the skills of young Samoan leaders. </w:t>
            </w:r>
            <w:r w:rsidR="00727940" w:rsidRPr="004F4F95">
              <w:rPr>
                <w:lang w:val="en-US" w:eastAsia="en-US"/>
              </w:rPr>
              <w:t xml:space="preserve">Leadership Samoa </w:t>
            </w:r>
            <w:r w:rsidR="00CB3F51">
              <w:rPr>
                <w:lang w:val="en" w:eastAsia="en-US"/>
              </w:rPr>
              <w:t>aims to empower</w:t>
            </w:r>
            <w:r w:rsidR="00FC1F5F" w:rsidRPr="00E309B2">
              <w:rPr>
                <w:lang w:val="en" w:eastAsia="en-US"/>
              </w:rPr>
              <w:t xml:space="preserve"> </w:t>
            </w:r>
            <w:r w:rsidR="00727940" w:rsidRPr="00E309B2">
              <w:rPr>
                <w:lang w:val="en" w:eastAsia="en-US"/>
              </w:rPr>
              <w:t>emerging</w:t>
            </w:r>
            <w:r w:rsidR="00F47FB1" w:rsidRPr="00E309B2">
              <w:rPr>
                <w:lang w:val="en" w:eastAsia="en-US"/>
              </w:rPr>
              <w:t xml:space="preserve"> </w:t>
            </w:r>
            <w:r w:rsidR="00727940" w:rsidRPr="00E309B2">
              <w:rPr>
                <w:lang w:val="en" w:eastAsia="en-US"/>
              </w:rPr>
              <w:t>leaders</w:t>
            </w:r>
            <w:r w:rsidR="00F47FB1" w:rsidRPr="00E309B2">
              <w:rPr>
                <w:lang w:val="en" w:eastAsia="en-US"/>
              </w:rPr>
              <w:t xml:space="preserve"> </w:t>
            </w:r>
            <w:r w:rsidR="00727940" w:rsidRPr="00E309B2">
              <w:rPr>
                <w:lang w:val="en" w:eastAsia="en-US"/>
              </w:rPr>
              <w:t xml:space="preserve">to pursue </w:t>
            </w:r>
            <w:smartTag w:uri="urn:schemas-microsoft-com:office:smarttags" w:element="place">
              <w:r w:rsidR="00727940" w:rsidRPr="00E309B2">
                <w:rPr>
                  <w:lang w:val="en" w:eastAsia="en-US"/>
                </w:rPr>
                <w:t>Samoa</w:t>
              </w:r>
            </w:smartTag>
            <w:r w:rsidR="00727940" w:rsidRPr="00E309B2">
              <w:rPr>
                <w:lang w:val="en" w:eastAsia="en-US"/>
              </w:rPr>
              <w:t>’s political, environmental, economi</w:t>
            </w:r>
            <w:r w:rsidR="00F47FB1" w:rsidRPr="00E309B2">
              <w:rPr>
                <w:lang w:val="en" w:eastAsia="en-US"/>
              </w:rPr>
              <w:t>c and social goals. The inaugural intake brings together</w:t>
            </w:r>
            <w:r w:rsidR="00727940" w:rsidRPr="004F4F95">
              <w:rPr>
                <w:lang w:val="en-US" w:eastAsia="en-US"/>
              </w:rPr>
              <w:t xml:space="preserve"> 17 </w:t>
            </w:r>
            <w:r w:rsidR="00F47FB1" w:rsidRPr="004F4F95">
              <w:rPr>
                <w:lang w:val="en-US" w:eastAsia="en-US"/>
              </w:rPr>
              <w:t>future leaders</w:t>
            </w:r>
            <w:r w:rsidR="00727940" w:rsidRPr="004F4F95">
              <w:rPr>
                <w:lang w:val="en-US" w:eastAsia="en-US"/>
              </w:rPr>
              <w:t xml:space="preserve"> from </w:t>
            </w:r>
            <w:r w:rsidR="00F47FB1" w:rsidRPr="004F4F95">
              <w:rPr>
                <w:lang w:val="en-US" w:eastAsia="en-US"/>
              </w:rPr>
              <w:t>across</w:t>
            </w:r>
            <w:r w:rsidR="00727940" w:rsidRPr="004F4F95">
              <w:rPr>
                <w:lang w:val="en-US" w:eastAsia="en-US"/>
              </w:rPr>
              <w:t xml:space="preserve"> </w:t>
            </w:r>
            <w:r w:rsidR="00F47FB1" w:rsidRPr="004F4F95">
              <w:rPr>
                <w:lang w:val="en-US" w:eastAsia="en-US"/>
              </w:rPr>
              <w:t xml:space="preserve">Samoan </w:t>
            </w:r>
            <w:r w:rsidR="00727940" w:rsidRPr="004F4F95">
              <w:rPr>
                <w:lang w:val="en-US" w:eastAsia="en-US"/>
              </w:rPr>
              <w:t xml:space="preserve">society. </w:t>
            </w:r>
            <w:r w:rsidR="00902D6A" w:rsidRPr="004F4F95">
              <w:rPr>
                <w:lang w:val="en-US" w:eastAsia="en-US"/>
              </w:rPr>
              <w:t>T</w:t>
            </w:r>
            <w:r w:rsidR="00F47FB1" w:rsidRPr="004F4F95">
              <w:rPr>
                <w:lang w:val="en-US" w:eastAsia="en-US"/>
              </w:rPr>
              <w:t xml:space="preserve">he program seeks to build strong networks </w:t>
            </w:r>
            <w:r w:rsidR="00FC1F5F" w:rsidRPr="004F4F95">
              <w:rPr>
                <w:lang w:val="en-US" w:eastAsia="en-US"/>
              </w:rPr>
              <w:t xml:space="preserve">among leaders </w:t>
            </w:r>
            <w:r w:rsidR="00F47FB1" w:rsidRPr="004F4F95">
              <w:rPr>
                <w:lang w:val="en-US" w:eastAsia="en-US"/>
              </w:rPr>
              <w:t xml:space="preserve">and encourage </w:t>
            </w:r>
            <w:r w:rsidR="00033C51" w:rsidRPr="004F4F95">
              <w:rPr>
                <w:lang w:val="en-US" w:eastAsia="en-US"/>
              </w:rPr>
              <w:t xml:space="preserve">coalitions of </w:t>
            </w:r>
            <w:r w:rsidR="00FC1F5F" w:rsidRPr="004F4F95">
              <w:rPr>
                <w:lang w:val="en-US" w:eastAsia="en-US"/>
              </w:rPr>
              <w:t>leaders</w:t>
            </w:r>
            <w:r w:rsidR="00033C51" w:rsidRPr="004F4F95">
              <w:rPr>
                <w:lang w:val="en-US" w:eastAsia="en-US"/>
              </w:rPr>
              <w:t xml:space="preserve"> who</w:t>
            </w:r>
            <w:r w:rsidR="00FC1F5F" w:rsidRPr="004F4F95">
              <w:rPr>
                <w:lang w:val="en-US" w:eastAsia="en-US"/>
              </w:rPr>
              <w:t xml:space="preserve"> will wor</w:t>
            </w:r>
            <w:r w:rsidR="009A5EEC" w:rsidRPr="004F4F95">
              <w:rPr>
                <w:lang w:val="en-US" w:eastAsia="en-US"/>
              </w:rPr>
              <w:t>k together for the community,</w:t>
            </w:r>
            <w:r w:rsidR="00FC1F5F" w:rsidRPr="004F4F95">
              <w:rPr>
                <w:lang w:val="en-US" w:eastAsia="en-US"/>
              </w:rPr>
              <w:t xml:space="preserve"> the public and national good</w:t>
            </w:r>
            <w:r w:rsidR="005063CB" w:rsidRPr="004F4F95">
              <w:rPr>
                <w:lang w:val="en-US" w:eastAsia="en-US"/>
              </w:rPr>
              <w:t xml:space="preserve">. </w:t>
            </w:r>
          </w:p>
        </w:tc>
      </w:tr>
    </w:tbl>
    <w:p w:rsidR="001C3DAE" w:rsidRDefault="001C3DAE" w:rsidP="00462747">
      <w:pPr>
        <w:pStyle w:val="Heading2"/>
        <w:spacing w:before="240"/>
      </w:pPr>
      <w:bookmarkStart w:id="14" w:name="_Toc306264797"/>
      <w:r>
        <w:t xml:space="preserve">Partnership Priority Outcome 5: Climate </w:t>
      </w:r>
      <w:r w:rsidR="00343A2F">
        <w:t>c</w:t>
      </w:r>
      <w:r>
        <w:t>hange</w:t>
      </w:r>
      <w:bookmarkEnd w:id="14"/>
    </w:p>
    <w:p w:rsidR="001C3DAE" w:rsidRDefault="001C3DAE" w:rsidP="00EC4949">
      <w:pPr>
        <w:pStyle w:val="Heading3"/>
      </w:pPr>
      <w:r>
        <w:t>Rating and assessment</w:t>
      </w:r>
    </w:p>
    <w:p w:rsidR="001C3DAE" w:rsidRDefault="00496308" w:rsidP="00BD39E2">
      <w:pPr>
        <w:pStyle w:val="BodyText"/>
      </w:pPr>
      <w:r>
        <w:rPr>
          <w:noProof/>
          <w:color w:val="FF9900"/>
          <w:sz w:val="18"/>
          <w:szCs w:val="18"/>
          <w:lang w:val="en-US" w:eastAsia="en-US"/>
        </w:rPr>
        <mc:AlternateContent>
          <mc:Choice Requires="wps">
            <w:drawing>
              <wp:inline distT="0" distB="0" distL="0" distR="0">
                <wp:extent cx="167640" cy="171450"/>
                <wp:effectExtent l="0" t="0" r="4445" b="3175"/>
                <wp:docPr id="5" name="Rectangle 21" descr="A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71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1" o:spid="_x0000_s1026" alt="Amber" style="width:13.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" fillcolor="#f79646 [3209]" stroked="f">
                <w10:anchorlock/>
              </v:rect>
            </w:pict>
          </mc:Fallback>
        </mc:AlternateContent>
      </w:r>
      <w:r w:rsidR="001C3DAE">
        <w:t> </w:t>
      </w:r>
      <w:r w:rsidR="001C3DAE" w:rsidRPr="008041F5">
        <w:t>The o</w:t>
      </w:r>
      <w:r w:rsidR="00345258">
        <w:t>utcome</w:t>
      </w:r>
      <w:r w:rsidR="001C3DAE" w:rsidRPr="008041F5">
        <w:t xml:space="preserve"> will be partly achieved within the timeframe of the </w:t>
      </w:r>
      <w:r w:rsidR="004A7F14">
        <w:t>p</w:t>
      </w:r>
      <w:r w:rsidR="001C3DAE">
        <w:t>artnership</w:t>
      </w:r>
      <w:r w:rsidR="001C3DAE" w:rsidRPr="008041F5">
        <w:t>.</w:t>
      </w:r>
    </w:p>
    <w:p w:rsidR="001C3DAE" w:rsidRDefault="003A3B6F" w:rsidP="001C3DAE">
      <w:pPr>
        <w:pStyle w:val="Caption"/>
      </w:pPr>
      <w:r>
        <w:t>Table 8</w:t>
      </w:r>
      <w:r w:rsidR="00217E04">
        <w:t>: Priority Outcome 5</w:t>
      </w:r>
      <w:r w:rsidR="001C3DAE">
        <w:t xml:space="preserve"> </w:t>
      </w:r>
      <w:r w:rsidR="00343A2F">
        <w:t>t</w:t>
      </w:r>
      <w:r w:rsidR="001C3DAE">
        <w:t xml:space="preserve">argets and </w:t>
      </w:r>
      <w:r w:rsidR="00343A2F">
        <w:t>e</w:t>
      </w:r>
      <w:r w:rsidR="001C3DAE">
        <w:t>xpenditure 2010</w:t>
      </w:r>
      <w:r w:rsidR="005063CB">
        <w:t>–</w:t>
      </w:r>
      <w:r w:rsidR="001C3DAE">
        <w:t>11</w:t>
      </w: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2268"/>
        <w:gridCol w:w="1276"/>
        <w:gridCol w:w="1257"/>
      </w:tblGrid>
      <w:tr w:rsidR="001C3DAE" w:rsidTr="004627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DAE" w:rsidRPr="00E845BE" w:rsidRDefault="001C3DAE" w:rsidP="004A7F14">
            <w:pPr>
              <w:pStyle w:val="TableTextEntries"/>
              <w:rPr>
                <w:lang w:val="en-GB"/>
              </w:rPr>
            </w:pPr>
            <w:r>
              <w:rPr>
                <w:b/>
              </w:rPr>
              <w:t xml:space="preserve">Joint </w:t>
            </w:r>
            <w:r w:rsidR="00343A2F">
              <w:rPr>
                <w:b/>
              </w:rPr>
              <w:t>c</w:t>
            </w:r>
            <w:r>
              <w:rPr>
                <w:b/>
              </w:rPr>
              <w:t xml:space="preserve">ommitments: </w:t>
            </w:r>
            <w:r w:rsidRPr="00145ED2">
              <w:rPr>
                <w:lang w:val="en-GB"/>
              </w:rPr>
              <w:t>As a new area for Australian development assistan</w:t>
            </w:r>
            <w:r w:rsidR="004A7F14">
              <w:rPr>
                <w:lang w:val="en-GB"/>
              </w:rPr>
              <w:t>ce, the initial focus for this p</w:t>
            </w:r>
            <w:r w:rsidRPr="00145ED2">
              <w:rPr>
                <w:lang w:val="en-GB"/>
              </w:rPr>
              <w:t xml:space="preserve">artnership </w:t>
            </w:r>
            <w:r w:rsidR="004A7F14">
              <w:rPr>
                <w:lang w:val="en-GB"/>
              </w:rPr>
              <w:t>p</w:t>
            </w:r>
            <w:r w:rsidRPr="00145ED2">
              <w:rPr>
                <w:lang w:val="en-GB"/>
              </w:rPr>
              <w:t xml:space="preserve">riority will be on working closely with other </w:t>
            </w:r>
            <w:r w:rsidR="009B674A">
              <w:rPr>
                <w:lang w:val="en-GB"/>
              </w:rPr>
              <w:t>development partners</w:t>
            </w:r>
            <w:r w:rsidRPr="00145ED2">
              <w:rPr>
                <w:lang w:val="en-GB"/>
              </w:rPr>
              <w:t xml:space="preserve"> to ensure a coordinated approach to analysis, scoping and design of measures which meet Samoa’s interests to: monitor the impacts of climate change; develop adaptation measures for vulnerable communities; and, develop viable options for clean and renewable energy</w:t>
            </w:r>
            <w:r>
              <w:rPr>
                <w:lang w:val="en-GB"/>
              </w:rPr>
              <w:t>.</w:t>
            </w:r>
          </w:p>
        </w:tc>
      </w:tr>
      <w:tr w:rsidR="005854BB" w:rsidTr="0046274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4BB" w:rsidRPr="00C210BF" w:rsidRDefault="005854BB" w:rsidP="00E1546E">
            <w:pPr>
              <w:pStyle w:val="TableTextEntries"/>
              <w:rPr>
                <w:b/>
              </w:rPr>
            </w:pPr>
            <w:r w:rsidRPr="00C210BF">
              <w:rPr>
                <w:b/>
              </w:rPr>
              <w:t>Expenditure</w:t>
            </w:r>
            <w:r w:rsidR="00B01EBF">
              <w:rPr>
                <w:b/>
              </w:rPr>
              <w:t xml:space="preserve"> in 2010</w:t>
            </w:r>
            <w:r w:rsidR="00B01EBF">
              <w:rPr>
                <w:rFonts w:ascii="Courier New" w:hAnsi="Courier New" w:cs="Courier New"/>
                <w:b/>
              </w:rPr>
              <w:t>-</w:t>
            </w:r>
            <w:r>
              <w:rPr>
                <w:b/>
              </w:rPr>
              <w:t>11: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854BB" w:rsidRPr="000F5034" w:rsidRDefault="005854BB" w:rsidP="005854BB">
            <w:pPr>
              <w:pStyle w:val="TableDataColumnHeading"/>
              <w:jc w:val="left"/>
            </w:pPr>
            <w:smartTag w:uri="urn:schemas-microsoft-com:office:smarttags" w:element="place">
              <w:smartTag w:uri="urn:schemas-microsoft-com:office:smarttags" w:element="country-region">
                <w:r>
                  <w:t>Australia</w:t>
                </w:r>
              </w:smartTag>
            </w:smartTag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854BB" w:rsidRPr="000F5034" w:rsidRDefault="005854BB" w:rsidP="00E1546E">
            <w:pPr>
              <w:pStyle w:val="TableTextEntries"/>
            </w:pPr>
            <w:r>
              <w:t>A</w:t>
            </w:r>
            <w:r w:rsidR="005063CB">
              <w:t>U</w:t>
            </w:r>
            <w:r>
              <w:t>$0.76 million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854BB" w:rsidRDefault="005854BB" w:rsidP="00C210BF">
            <w:pPr>
              <w:pStyle w:val="TableDataEntries"/>
              <w:jc w:val="left"/>
            </w:pPr>
          </w:p>
        </w:tc>
        <w:tc>
          <w:tcPr>
            <w:tcW w:w="1257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4BB" w:rsidRDefault="005854BB" w:rsidP="00C210BF">
            <w:pPr>
              <w:pStyle w:val="TableDataEntries"/>
              <w:jc w:val="left"/>
            </w:pPr>
          </w:p>
        </w:tc>
      </w:tr>
      <w:tr w:rsidR="005854BB" w:rsidTr="0046274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4BB" w:rsidRPr="00C210BF" w:rsidRDefault="005854BB" w:rsidP="00E1546E">
            <w:pPr>
              <w:pStyle w:val="TableTextEntries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5854BB" w:rsidRPr="000F5034" w:rsidRDefault="005854BB" w:rsidP="005854BB">
            <w:pPr>
              <w:pStyle w:val="TableDataColumnHeading"/>
              <w:jc w:val="left"/>
            </w:pPr>
            <w:smartTag w:uri="urn:schemas-microsoft-com:office:smarttags" w:element="place">
              <w:r>
                <w:t>Samoa</w:t>
              </w:r>
            </w:smartTag>
          </w:p>
        </w:tc>
        <w:tc>
          <w:tcPr>
            <w:tcW w:w="226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5854BB" w:rsidRPr="000F5034" w:rsidRDefault="005854BB" w:rsidP="00E1546E">
            <w:pPr>
              <w:pStyle w:val="TableTextEntries"/>
            </w:pPr>
            <w:r>
              <w:t>SAT25.1 million (projected)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854BB" w:rsidRDefault="005854BB" w:rsidP="00473D05">
            <w:pPr>
              <w:pStyle w:val="TableTextEntries"/>
            </w:pPr>
          </w:p>
        </w:tc>
        <w:tc>
          <w:tcPr>
            <w:tcW w:w="1257" w:type="dxa"/>
            <w:vMerge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4BB" w:rsidRDefault="005854BB" w:rsidP="00C210BF">
            <w:pPr>
              <w:pStyle w:val="TableDataColumnHeading"/>
              <w:jc w:val="left"/>
            </w:pPr>
          </w:p>
        </w:tc>
      </w:tr>
    </w:tbl>
    <w:p w:rsidR="004F6199" w:rsidRPr="00462747" w:rsidRDefault="00FC26CF" w:rsidP="00462747">
      <w:pPr>
        <w:pStyle w:val="BodyText"/>
        <w:spacing w:before="40" w:after="0" w:line="180" w:lineRule="atLeast"/>
        <w:rPr>
          <w:rFonts w:ascii="Franklin Gothic Book" w:hAnsi="Franklin Gothic Book"/>
          <w:sz w:val="14"/>
          <w:szCs w:val="14"/>
        </w:rPr>
      </w:pPr>
      <w:r w:rsidRPr="00462747">
        <w:rPr>
          <w:rFonts w:ascii="Franklin Gothic Book" w:hAnsi="Franklin Gothic Book"/>
          <w:sz w:val="14"/>
          <w:szCs w:val="14"/>
        </w:rPr>
        <w:t>Note:  Samoa</w:t>
      </w:r>
      <w:r w:rsidR="004F6199" w:rsidRPr="00462747">
        <w:rPr>
          <w:rFonts w:ascii="Franklin Gothic Book" w:hAnsi="Franklin Gothic Book"/>
          <w:sz w:val="14"/>
          <w:szCs w:val="14"/>
        </w:rPr>
        <w:t xml:space="preserve"> expenditure is projected budget spending for Natural Resources and Environment.</w:t>
      </w:r>
    </w:p>
    <w:p w:rsidR="004E648D" w:rsidRDefault="00345258" w:rsidP="00496308">
      <w:pPr>
        <w:pStyle w:val="BodyText"/>
        <w:spacing w:before="240"/>
      </w:pPr>
      <w:r>
        <w:t>Progress in</w:t>
      </w:r>
      <w:r w:rsidR="00A9717F">
        <w:t xml:space="preserve"> climate </w:t>
      </w:r>
      <w:r>
        <w:t>change was</w:t>
      </w:r>
      <w:r w:rsidR="00A9717F">
        <w:t xml:space="preserve"> </w:t>
      </w:r>
      <w:r w:rsidR="004E648D">
        <w:t>limited by</w:t>
      </w:r>
      <w:r w:rsidR="00A9717F">
        <w:t xml:space="preserve"> the </w:t>
      </w:r>
      <w:r w:rsidR="004E648D">
        <w:t>capacity of the Ministry of Natural Resources and Environment to coordinate the increasing amount of funds</w:t>
      </w:r>
      <w:r w:rsidR="005A1A23">
        <w:t xml:space="preserve"> available</w:t>
      </w:r>
      <w:r w:rsidR="004E648D">
        <w:t xml:space="preserve"> and development partners involved in the sector. </w:t>
      </w:r>
      <w:r w:rsidR="005A1A23">
        <w:t>C</w:t>
      </w:r>
      <w:r w:rsidR="001C3DAE">
        <w:t>urrently</w:t>
      </w:r>
      <w:r w:rsidR="005A1A23">
        <w:t xml:space="preserve"> there are 10</w:t>
      </w:r>
      <w:r w:rsidR="001C3DAE">
        <w:t xml:space="preserve"> </w:t>
      </w:r>
      <w:r w:rsidR="009B674A">
        <w:t>development partner</w:t>
      </w:r>
      <w:r w:rsidR="001C3DAE">
        <w:t xml:space="preserve"> agencies</w:t>
      </w:r>
      <w:r w:rsidR="001C3DAE">
        <w:rPr>
          <w:rStyle w:val="FootnoteReference"/>
        </w:rPr>
        <w:footnoteReference w:id="11"/>
      </w:r>
      <w:r w:rsidR="001C3DAE">
        <w:t xml:space="preserve"> working in the sector and </w:t>
      </w:r>
      <w:r w:rsidR="009B674A">
        <w:t>development partner</w:t>
      </w:r>
      <w:r w:rsidR="001C3DAE">
        <w:t xml:space="preserve"> funding has grown</w:t>
      </w:r>
      <w:r w:rsidR="006E546D">
        <w:t xml:space="preserve"> by more than 450 per cent in the last decade, </w:t>
      </w:r>
      <w:r w:rsidR="006E546D" w:rsidRPr="001A004E">
        <w:t>from</w:t>
      </w:r>
      <w:r w:rsidR="001C3DAE" w:rsidRPr="001A004E">
        <w:t xml:space="preserve"> </w:t>
      </w:r>
      <w:r>
        <w:t>SAT</w:t>
      </w:r>
      <w:r w:rsidR="006E546D" w:rsidRPr="001A004E">
        <w:t>5.4 million</w:t>
      </w:r>
      <w:r w:rsidR="006E546D">
        <w:t xml:space="preserve"> in 2000 to </w:t>
      </w:r>
      <w:r>
        <w:t>SAT</w:t>
      </w:r>
      <w:r w:rsidR="006E546D">
        <w:t>25.1</w:t>
      </w:r>
      <w:r w:rsidR="005A1A23">
        <w:t> </w:t>
      </w:r>
      <w:r w:rsidR="006E546D">
        <w:t>million in 2010</w:t>
      </w:r>
      <w:r w:rsidR="005063CB">
        <w:t>.</w:t>
      </w:r>
      <w:r w:rsidR="006E546D">
        <w:rPr>
          <w:rStyle w:val="FootnoteReference"/>
        </w:rPr>
        <w:footnoteReference w:id="12"/>
      </w:r>
      <w:r w:rsidR="006E546D">
        <w:t xml:space="preserve"> </w:t>
      </w:r>
      <w:r w:rsidR="001C3DAE">
        <w:t xml:space="preserve">The Ministry has formulated several national policies to manage the assistance, but the rapid pace of the growth continues to </w:t>
      </w:r>
      <w:r w:rsidR="005A1A23">
        <w:t>create</w:t>
      </w:r>
      <w:r w:rsidR="001C3DAE">
        <w:t xml:space="preserve"> high </w:t>
      </w:r>
      <w:r w:rsidR="00E005CA">
        <w:t xml:space="preserve">administrative </w:t>
      </w:r>
      <w:r w:rsidR="001C3DAE">
        <w:t>burden</w:t>
      </w:r>
      <w:r w:rsidR="005063CB">
        <w:t xml:space="preserve">. </w:t>
      </w:r>
    </w:p>
    <w:p w:rsidR="001C3DAE" w:rsidRDefault="001C3DAE" w:rsidP="00BD39E2">
      <w:pPr>
        <w:pStyle w:val="BodyText"/>
      </w:pPr>
      <w:r>
        <w:t>Th</w:t>
      </w:r>
      <w:r w:rsidR="005A1A23">
        <w:t>is</w:t>
      </w:r>
      <w:r>
        <w:t xml:space="preserve"> priority outcom</w:t>
      </w:r>
      <w:r w:rsidR="00345258">
        <w:t>e commits the p</w:t>
      </w:r>
      <w:r>
        <w:t>artnership to bolster</w:t>
      </w:r>
      <w:r w:rsidR="004E648D">
        <w:t xml:space="preserve"> sector</w:t>
      </w:r>
      <w:r>
        <w:t xml:space="preserve"> </w:t>
      </w:r>
      <w:r w:rsidR="00902D6A">
        <w:t>coordination. In</w:t>
      </w:r>
      <w:r>
        <w:t xml:space="preserve"> 2010 </w:t>
      </w:r>
      <w:smartTag w:uri="urn:schemas-microsoft-com:office:smarttags" w:element="place">
        <w:smartTag w:uri="urn:schemas-microsoft-com:office:smarttags" w:element="country-region">
          <w:r>
            <w:t>Australia</w:t>
          </w:r>
        </w:smartTag>
      </w:smartTag>
      <w:r>
        <w:t xml:space="preserve"> </w:t>
      </w:r>
      <w:r w:rsidR="009C51BB">
        <w:t xml:space="preserve">committed </w:t>
      </w:r>
      <w:r w:rsidR="006D6648">
        <w:t>to</w:t>
      </w:r>
      <w:r w:rsidR="009C51BB">
        <w:t xml:space="preserve"> support </w:t>
      </w:r>
      <w:r w:rsidR="006D6648">
        <w:t>the</w:t>
      </w:r>
      <w:r>
        <w:t xml:space="preserve"> international Pilot Program for </w:t>
      </w:r>
      <w:r w:rsidRPr="001A004E">
        <w:t>Climate Resilience (PPCR).</w:t>
      </w:r>
      <w:r>
        <w:t xml:space="preserve"> Th</w:t>
      </w:r>
      <w:r w:rsidR="005A1A23">
        <w:t>is</w:t>
      </w:r>
      <w:r>
        <w:t xml:space="preserve"> major global program</w:t>
      </w:r>
      <w:r w:rsidR="005A1A23">
        <w:t xml:space="preserve">, </w:t>
      </w:r>
      <w:r>
        <w:t xml:space="preserve">managed by the </w:t>
      </w:r>
      <w:r w:rsidR="005063CB">
        <w:t>W</w:t>
      </w:r>
      <w:r w:rsidR="005A1A23">
        <w:t>orld Bank</w:t>
      </w:r>
      <w:r>
        <w:t xml:space="preserve"> and ADB</w:t>
      </w:r>
      <w:r w:rsidR="005A1A23">
        <w:t>,</w:t>
      </w:r>
      <w:r>
        <w:t xml:space="preserve"> helps incorporate resilience to climate change into government planning and budgeting. Beginning its work in Samoa in 2010 the PPCR</w:t>
      </w:r>
      <w:r w:rsidR="009C51BB">
        <w:t>,</w:t>
      </w:r>
      <w:r>
        <w:t xml:space="preserve"> together with </w:t>
      </w:r>
      <w:smartTag w:uri="urn:schemas-microsoft-com:office:smarttags" w:element="place">
        <w:r w:rsidR="001948C7">
          <w:t>Samoa</w:t>
        </w:r>
      </w:smartTag>
      <w:r w:rsidR="009C51BB">
        <w:t>,</w:t>
      </w:r>
      <w:r w:rsidR="006D6648">
        <w:t xml:space="preserve"> is</w:t>
      </w:r>
      <w:r>
        <w:t xml:space="preserve"> preparing a </w:t>
      </w:r>
      <w:r w:rsidR="00345258">
        <w:t>s</w:t>
      </w:r>
      <w:r>
        <w:t xml:space="preserve">trategic </w:t>
      </w:r>
      <w:r w:rsidR="00345258">
        <w:t>p</w:t>
      </w:r>
      <w:r>
        <w:t>rogram framework to manage climate risks.</w:t>
      </w:r>
      <w:r w:rsidR="009546A6">
        <w:t xml:space="preserve"> </w:t>
      </w:r>
      <w:r>
        <w:t xml:space="preserve">Alongside the PPCR, </w:t>
      </w:r>
      <w:smartTag w:uri="urn:schemas-microsoft-com:office:smarttags" w:element="country-region">
        <w:r>
          <w:t>Australia</w:t>
        </w:r>
      </w:smartTag>
      <w:r>
        <w:t xml:space="preserve"> supports priority projects within </w:t>
      </w:r>
      <w:smartTag w:uri="urn:schemas-microsoft-com:office:smarttags" w:element="place">
        <w:r>
          <w:t>Samoa</w:t>
        </w:r>
      </w:smartTag>
      <w:r>
        <w:t>’s National Adaptation Program of Action, and selected climate change mitigation projects such as a feasibility study for a biomass gasification power plant and design work for an agro</w:t>
      </w:r>
      <w:r w:rsidR="001D3945">
        <w:t>-</w:t>
      </w:r>
      <w:r>
        <w:t>forestry and tree farming project.</w:t>
      </w:r>
    </w:p>
    <w:p w:rsidR="00C11549" w:rsidRDefault="003F076D" w:rsidP="00EC4949">
      <w:pPr>
        <w:pStyle w:val="Heading1"/>
      </w:pPr>
      <w:bookmarkStart w:id="15" w:name="_Toc306264798"/>
      <w:r>
        <w:t xml:space="preserve">Looking </w:t>
      </w:r>
      <w:r w:rsidR="00343A2F">
        <w:t>a</w:t>
      </w:r>
      <w:r w:rsidR="00657A7A">
        <w:t>head</w:t>
      </w:r>
      <w:r>
        <w:t xml:space="preserve"> to 2011</w:t>
      </w:r>
      <w:r w:rsidR="005063CB">
        <w:t>–</w:t>
      </w:r>
      <w:r w:rsidR="001B656A">
        <w:t>12</w:t>
      </w:r>
      <w:bookmarkEnd w:id="15"/>
    </w:p>
    <w:p w:rsidR="00D202A8" w:rsidRDefault="00B01EBF" w:rsidP="00BD39E2">
      <w:pPr>
        <w:pStyle w:val="BodyText"/>
      </w:pPr>
      <w:r>
        <w:lastRenderedPageBreak/>
        <w:t>Overall, in 2010</w:t>
      </w:r>
      <w:r>
        <w:rPr>
          <w:rFonts w:ascii="Courier New" w:hAnsi="Courier New" w:cs="Courier New"/>
        </w:rPr>
        <w:t>-</w:t>
      </w:r>
      <w:r w:rsidR="00345258">
        <w:t>11 the p</w:t>
      </w:r>
      <w:r w:rsidR="00D202A8">
        <w:t>artnership made good progress towards achieving most priority outcome</w:t>
      </w:r>
      <w:r w:rsidR="00077F24">
        <w:t xml:space="preserve"> targets. </w:t>
      </w:r>
      <w:r w:rsidR="00082645">
        <w:t>D</w:t>
      </w:r>
      <w:r w:rsidR="00A85210">
        <w:t xml:space="preserve">evelopment cooperation between Samoa and </w:t>
      </w:r>
      <w:smartTag w:uri="urn:schemas-microsoft-com:office:smarttags" w:element="country-region">
        <w:smartTag w:uri="urn:schemas-microsoft-com:office:smarttags" w:element="place">
          <w:r w:rsidR="00A85210">
            <w:t>Australia</w:t>
          </w:r>
        </w:smartTag>
      </w:smartTag>
      <w:r w:rsidR="005A1A23">
        <w:t xml:space="preserve"> continued to</w:t>
      </w:r>
      <w:r w:rsidR="00A85210">
        <w:t xml:space="preserve"> mature. </w:t>
      </w:r>
      <w:r w:rsidR="009116CB">
        <w:t xml:space="preserve">The </w:t>
      </w:r>
      <w:r w:rsidR="00345258">
        <w:t>p</w:t>
      </w:r>
      <w:r w:rsidR="00082645">
        <w:t>artnership</w:t>
      </w:r>
      <w:r w:rsidR="00A85210">
        <w:t xml:space="preserve"> is </w:t>
      </w:r>
      <w:r w:rsidR="00082645">
        <w:t>robust</w:t>
      </w:r>
      <w:r w:rsidR="005A1A23">
        <w:t xml:space="preserve"> and r</w:t>
      </w:r>
      <w:r w:rsidR="00577D8F">
        <w:t>e</w:t>
      </w:r>
      <w:r w:rsidR="005A1A23">
        <w:t>flects</w:t>
      </w:r>
      <w:r w:rsidR="00A85210">
        <w:t xml:space="preserve"> the principles </w:t>
      </w:r>
      <w:r w:rsidR="00082645">
        <w:t xml:space="preserve">of mutual respect and mutual responsibility. Samoa leads the setting of national development priorities and </w:t>
      </w:r>
      <w:smartTag w:uri="urn:schemas-microsoft-com:office:smarttags" w:element="place">
        <w:smartTag w:uri="urn:schemas-microsoft-com:office:smarttags" w:element="country-region">
          <w:r w:rsidR="00974AEA">
            <w:t>Australia</w:t>
          </w:r>
        </w:smartTag>
      </w:smartTag>
      <w:r w:rsidR="00974AEA">
        <w:t xml:space="preserve">’s development program now truly reflects </w:t>
      </w:r>
      <w:r w:rsidR="00082645">
        <w:t>those priorities</w:t>
      </w:r>
      <w:r w:rsidR="00974AEA">
        <w:t>.</w:t>
      </w:r>
      <w:r w:rsidR="00E73B88">
        <w:t xml:space="preserve"> </w:t>
      </w:r>
    </w:p>
    <w:p w:rsidR="005922AA" w:rsidRDefault="00052B32" w:rsidP="00BD39E2">
      <w:pPr>
        <w:pStyle w:val="BodyText"/>
      </w:pPr>
      <w:r>
        <w:t xml:space="preserve">In accordance with </w:t>
      </w:r>
      <w:smartTag w:uri="urn:schemas-microsoft-com:office:smarttags" w:element="place">
        <w:r>
          <w:t>Samoa</w:t>
        </w:r>
      </w:smartTag>
      <w:r>
        <w:t>’s Development Cooperation Policy, t</w:t>
      </w:r>
      <w:r w:rsidR="005922AA">
        <w:t>he</w:t>
      </w:r>
      <w:r w:rsidR="00F26ACF">
        <w:t xml:space="preserve"> p</w:t>
      </w:r>
      <w:r w:rsidR="008919E7">
        <w:t xml:space="preserve">artnership </w:t>
      </w:r>
      <w:r w:rsidR="00A8482C">
        <w:t>will</w:t>
      </w:r>
      <w:r w:rsidR="008919E7">
        <w:t xml:space="preserve"> </w:t>
      </w:r>
      <w:r w:rsidR="005922AA">
        <w:t>continue to</w:t>
      </w:r>
      <w:r w:rsidR="00A8482C">
        <w:t xml:space="preserve"> focus on achieving</w:t>
      </w:r>
      <w:r w:rsidR="005922AA">
        <w:t xml:space="preserve"> high </w:t>
      </w:r>
      <w:r>
        <w:t>standards of</w:t>
      </w:r>
      <w:r w:rsidR="005922AA">
        <w:t xml:space="preserve"> aid effectiveness. For </w:t>
      </w:r>
      <w:smartTag w:uri="urn:schemas-microsoft-com:office:smarttags" w:element="place">
        <w:r w:rsidR="001948C7">
          <w:t>Samoa</w:t>
        </w:r>
      </w:smartTag>
      <w:r w:rsidR="005922AA">
        <w:t xml:space="preserve"> this means</w:t>
      </w:r>
      <w:r w:rsidR="00864AF3">
        <w:t xml:space="preserve"> </w:t>
      </w:r>
      <w:r w:rsidR="00A8482C">
        <w:t>working to further</w:t>
      </w:r>
      <w:r w:rsidR="00864AF3">
        <w:t xml:space="preserve"> strengthen internal systems and processes </w:t>
      </w:r>
      <w:r w:rsidR="005A1A23">
        <w:t>to better coordinate and manage</w:t>
      </w:r>
      <w:r>
        <w:t xml:space="preserve"> development funds</w:t>
      </w:r>
      <w:r w:rsidR="009A2BE5">
        <w:t xml:space="preserve">. For </w:t>
      </w:r>
      <w:smartTag w:uri="urn:schemas-microsoft-com:office:smarttags" w:element="country-region">
        <w:smartTag w:uri="urn:schemas-microsoft-com:office:smarttags" w:element="place">
          <w:r w:rsidR="009A2BE5">
            <w:t>Australia</w:t>
          </w:r>
        </w:smartTag>
      </w:smartTag>
      <w:r w:rsidR="009A2BE5">
        <w:t xml:space="preserve"> and </w:t>
      </w:r>
      <w:r w:rsidR="00864AF3">
        <w:t>other development partners, this means improving the efficiency of aid funding. Continued attention must be g</w:t>
      </w:r>
      <w:r w:rsidR="009A2BE5">
        <w:t>iven to providing funds</w:t>
      </w:r>
      <w:r w:rsidR="00864AF3">
        <w:t xml:space="preserve"> in accordance with predictable, long-term funding plans</w:t>
      </w:r>
      <w:r w:rsidR="00AE265D">
        <w:t xml:space="preserve">, while minimising administrative burden on </w:t>
      </w:r>
      <w:smartTag w:uri="urn:schemas-microsoft-com:office:smarttags" w:element="place">
        <w:r w:rsidR="001948C7">
          <w:t>Samoa</w:t>
        </w:r>
      </w:smartTag>
      <w:r w:rsidR="00D72C28">
        <w:t xml:space="preserve">. </w:t>
      </w: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  <w:r w:rsidR="002A48E4">
        <w:t xml:space="preserve"> will continue to </w:t>
      </w:r>
      <w:r w:rsidR="005A1A23">
        <w:t>provide more</w:t>
      </w:r>
      <w:r w:rsidR="002A48E4">
        <w:t xml:space="preserve"> funds through Go</w:t>
      </w:r>
      <w:r w:rsidR="001948C7">
        <w:t>vernment of Samoa</w:t>
      </w:r>
      <w:r w:rsidR="002A48E4">
        <w:t xml:space="preserve"> </w:t>
      </w:r>
      <w:r w:rsidR="002A48E4" w:rsidRPr="007D3B30">
        <w:t xml:space="preserve">systems, including </w:t>
      </w:r>
      <w:r w:rsidR="009A2BE5" w:rsidRPr="007D3B30">
        <w:t xml:space="preserve">possibly </w:t>
      </w:r>
      <w:r w:rsidR="002A48E4" w:rsidRPr="007D3B30">
        <w:t>through budget support</w:t>
      </w:r>
      <w:r w:rsidR="005063CB">
        <w:t xml:space="preserve">. </w:t>
      </w:r>
    </w:p>
    <w:p w:rsidR="00276C03" w:rsidRDefault="00A41A8A" w:rsidP="00BD39E2">
      <w:pPr>
        <w:pStyle w:val="BodyText"/>
      </w:pPr>
      <w:r>
        <w:t>I</w:t>
      </w:r>
      <w:r w:rsidR="002A48E4">
        <w:t xml:space="preserve">ncreased use of </w:t>
      </w:r>
      <w:r w:rsidR="00F26ACF">
        <w:t>g</w:t>
      </w:r>
      <w:r>
        <w:t>o</w:t>
      </w:r>
      <w:r w:rsidR="001948C7">
        <w:t>vernment</w:t>
      </w:r>
      <w:r>
        <w:t xml:space="preserve"> </w:t>
      </w:r>
      <w:r w:rsidR="002A48E4">
        <w:t>systems</w:t>
      </w:r>
      <w:r w:rsidR="00111935">
        <w:t xml:space="preserve"> requires</w:t>
      </w:r>
      <w:r>
        <w:t xml:space="preserve"> </w:t>
      </w:r>
      <w:r w:rsidR="00111935">
        <w:t>greater</w:t>
      </w:r>
      <w:r w:rsidR="002A48E4">
        <w:t xml:space="preserve"> </w:t>
      </w:r>
      <w:r>
        <w:t xml:space="preserve">Australian </w:t>
      </w:r>
      <w:r w:rsidR="002A48E4">
        <w:t>involvement</w:t>
      </w:r>
      <w:r>
        <w:t xml:space="preserve"> in policy dialogue.</w:t>
      </w:r>
      <w:r w:rsidR="00111935">
        <w:t xml:space="preserve"> </w:t>
      </w:r>
      <w:r w:rsidR="00E10E6C">
        <w:t xml:space="preserve">Through the </w:t>
      </w:r>
      <w:r w:rsidR="00F26ACF">
        <w:t>p</w:t>
      </w:r>
      <w:r w:rsidR="00E10E6C">
        <w:t xml:space="preserve">artnership, </w:t>
      </w:r>
      <w:smartTag w:uri="urn:schemas-microsoft-com:office:smarttags" w:element="country-region">
        <w:smartTag w:uri="urn:schemas-microsoft-com:office:smarttags" w:element="place">
          <w:r w:rsidR="00111935">
            <w:t>Australia</w:t>
          </w:r>
        </w:smartTag>
      </w:smartTag>
      <w:r w:rsidR="00111935">
        <w:t xml:space="preserve"> will </w:t>
      </w:r>
      <w:r w:rsidR="005A1A23">
        <w:t xml:space="preserve">become </w:t>
      </w:r>
      <w:r w:rsidR="00111935">
        <w:t xml:space="preserve">more active in discussions about policy development, policy coordination and policy-led budgeting. </w:t>
      </w:r>
      <w:r w:rsidR="00644C36">
        <w:t xml:space="preserve">This </w:t>
      </w:r>
      <w:r w:rsidR="005A1A23">
        <w:t xml:space="preserve">will </w:t>
      </w:r>
      <w:r w:rsidR="00644C36">
        <w:t xml:space="preserve">include close engagement with </w:t>
      </w:r>
      <w:smartTag w:uri="urn:schemas-microsoft-com:office:smarttags" w:element="place">
        <w:r w:rsidR="001948C7">
          <w:t>Samoa</w:t>
        </w:r>
      </w:smartTag>
      <w:r w:rsidR="001948C7">
        <w:t xml:space="preserve"> </w:t>
      </w:r>
      <w:r w:rsidR="00644C36">
        <w:t xml:space="preserve">in its </w:t>
      </w:r>
      <w:r w:rsidR="00644C36" w:rsidRPr="007D3B30">
        <w:t xml:space="preserve">development of clear, costed sector plans </w:t>
      </w:r>
      <w:r w:rsidR="009A2BE5" w:rsidRPr="007D3B30">
        <w:t>with</w:t>
      </w:r>
      <w:r w:rsidR="00644C36" w:rsidRPr="007D3B30">
        <w:t xml:space="preserve"> clearly-defined results, appropriate </w:t>
      </w:r>
      <w:r w:rsidR="007D3B30" w:rsidRPr="007D3B30">
        <w:t>medium</w:t>
      </w:r>
      <w:r w:rsidR="005A1A23">
        <w:t>-</w:t>
      </w:r>
      <w:r w:rsidR="00644C36" w:rsidRPr="007D3B30">
        <w:t>term expenditure</w:t>
      </w:r>
      <w:r w:rsidR="00644C36">
        <w:t xml:space="preserve"> frameworks and systematic reporting mechanisms.</w:t>
      </w:r>
      <w:r w:rsidR="00111935">
        <w:t xml:space="preserve"> </w:t>
      </w:r>
    </w:p>
    <w:sectPr w:rsidR="00276C03" w:rsidSect="000527DF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843" w:right="2155" w:bottom="851" w:left="1814" w:header="851" w:footer="340" w:gutter="0"/>
      <w:pgBorders w:offsetFrom="page">
        <w:top w:val="single" w:sz="8" w:space="24" w:color="auto"/>
        <w:bottom w:val="single" w:sz="12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4C" w:rsidRDefault="00D5534C">
      <w:r>
        <w:separator/>
      </w:r>
    </w:p>
    <w:p w:rsidR="00D5534C" w:rsidRDefault="00D5534C"/>
  </w:endnote>
  <w:endnote w:type="continuationSeparator" w:id="0">
    <w:p w:rsidR="00D5534C" w:rsidRDefault="00D5534C">
      <w:r>
        <w:continuationSeparator/>
      </w:r>
    </w:p>
    <w:p w:rsidR="00D5534C" w:rsidRDefault="00D553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nt317">
    <w:altName w:val="Times New Roman"/>
    <w:panose1 w:val="00000000000000000000"/>
    <w:charset w:val="00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4E" w:rsidRPr="00AD612A" w:rsidRDefault="00496308">
    <w:pPr>
      <w:pStyle w:val="Footer"/>
    </w:pPr>
    <w:r>
      <w:rPr>
        <w:noProof/>
        <w:color w:val="54534A"/>
        <w:lang w:val="en-US" w:eastAsia="en-US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8821420</wp:posOffset>
          </wp:positionV>
          <wp:extent cx="396240" cy="1508125"/>
          <wp:effectExtent l="0" t="0" r="3810" b="0"/>
          <wp:wrapNone/>
          <wp:docPr id="1" name="Picture 1" descr="AusAID_MDG_2_factsheet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AID_MDG_2_factsheet_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150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04E" w:rsidRPr="007C1ECE">
      <w:tab/>
    </w:r>
    <w:r w:rsidR="001A004E">
      <w:tab/>
    </w:r>
    <w:r w:rsidR="001A004E">
      <w:tab/>
    </w:r>
    <w:r w:rsidR="001A004E">
      <w:rPr>
        <w:rStyle w:val="PageNumber"/>
      </w:rPr>
      <w:fldChar w:fldCharType="begin"/>
    </w:r>
    <w:r w:rsidR="001A004E">
      <w:rPr>
        <w:rStyle w:val="PageNumber"/>
      </w:rPr>
      <w:instrText xml:space="preserve"> PAGE </w:instrText>
    </w:r>
    <w:r w:rsidR="001A004E">
      <w:rPr>
        <w:rStyle w:val="PageNumber"/>
      </w:rPr>
      <w:fldChar w:fldCharType="separate"/>
    </w:r>
    <w:r w:rsidR="001A004E">
      <w:rPr>
        <w:rStyle w:val="PageNumber"/>
        <w:noProof/>
      </w:rPr>
      <w:t>2</w:t>
    </w:r>
    <w:r w:rsidR="001A004E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4E" w:rsidRPr="004A4B6B" w:rsidRDefault="001A004E" w:rsidP="001260C2">
    <w:pPr>
      <w:pStyle w:val="Footer"/>
    </w:pPr>
    <w:r>
      <w:tab/>
    </w:r>
    <w:r>
      <w:fldChar w:fldCharType="begin"/>
    </w:r>
    <w:r>
      <w:instrText xml:space="preserve"> STYLEREF  Title </w:instrText>
    </w:r>
    <w:r>
      <w:fldChar w:fldCharType="separate"/>
    </w:r>
    <w:r w:rsidR="0028596C">
      <w:rPr>
        <w:noProof/>
      </w:rPr>
      <w:t>Samoa – Australia Partnership for Development report 2010–11</w:t>
    </w:r>
    <w:r>
      <w:fldChar w:fldCharType="end"/>
    </w:r>
    <w:r>
      <w:rPr>
        <w:rStyle w:val="PageNumber"/>
      </w:rPr>
      <w:tab/>
    </w:r>
    <w:r>
      <w:rPr>
        <w:rStyle w:val="PageNumber"/>
      </w:rPr>
      <w:tab/>
    </w:r>
    <w:r w:rsidRPr="004A26C9">
      <w:rPr>
        <w:rStyle w:val="PageNumber"/>
      </w:rPr>
      <w:fldChar w:fldCharType="begin"/>
    </w:r>
    <w:r w:rsidRPr="004A26C9">
      <w:rPr>
        <w:rStyle w:val="PageNumber"/>
      </w:rPr>
      <w:instrText xml:space="preserve"> PAGE </w:instrText>
    </w:r>
    <w:r w:rsidRPr="004A26C9">
      <w:rPr>
        <w:rStyle w:val="PageNumber"/>
      </w:rPr>
      <w:fldChar w:fldCharType="separate"/>
    </w:r>
    <w:r w:rsidR="0028596C">
      <w:rPr>
        <w:rStyle w:val="PageNumber"/>
        <w:noProof/>
      </w:rPr>
      <w:t>3</w:t>
    </w:r>
    <w:r w:rsidRPr="004A26C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4E" w:rsidRDefault="001A004E">
    <w:pPr>
      <w:pStyle w:val="Footer"/>
    </w:pPr>
    <w:r>
      <w:tab/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596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4C" w:rsidRDefault="00D5534C" w:rsidP="00D62AA4">
      <w:pPr>
        <w:spacing w:before="60" w:after="40" w:line="180" w:lineRule="exact"/>
      </w:pPr>
      <w:r>
        <w:continuationSeparator/>
      </w:r>
    </w:p>
  </w:footnote>
  <w:footnote w:type="continuationSeparator" w:id="0">
    <w:p w:rsidR="00D5534C" w:rsidRDefault="00D5534C">
      <w:r>
        <w:continuationSeparator/>
      </w:r>
    </w:p>
    <w:p w:rsidR="00D5534C" w:rsidRDefault="00D5534C"/>
  </w:footnote>
  <w:footnote w:type="continuationNotice" w:id="1">
    <w:p w:rsidR="00D5534C" w:rsidRDefault="00D5534C"/>
    <w:p w:rsidR="00D5534C" w:rsidRDefault="00D5534C"/>
  </w:footnote>
  <w:footnote w:id="2">
    <w:p w:rsidR="001A004E" w:rsidRDefault="001A004E" w:rsidP="00BD39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C72D7">
        <w:t>International Monetary Fund</w:t>
      </w:r>
      <w:r w:rsidR="003605A9">
        <w:t xml:space="preserve">, </w:t>
      </w:r>
      <w:r w:rsidR="003605A9" w:rsidRPr="003605A9">
        <w:t xml:space="preserve">Concluding Statement, </w:t>
      </w:r>
      <w:smartTag w:uri="urn:schemas-microsoft-com:office:smarttags" w:element="place">
        <w:r w:rsidR="003605A9" w:rsidRPr="003605A9">
          <w:t>Samoa</w:t>
        </w:r>
      </w:smartTag>
      <w:r w:rsidR="003605A9" w:rsidRPr="003605A9">
        <w:t>—IMF Staff Visit, April 5-11 2011</w:t>
      </w:r>
      <w:r w:rsidR="003605A9">
        <w:t>.</w:t>
      </w:r>
    </w:p>
  </w:footnote>
  <w:footnote w:id="3">
    <w:p w:rsidR="001A004E" w:rsidRDefault="001A004E" w:rsidP="00BD39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Government of </w:t>
      </w:r>
      <w:smartTag w:uri="urn:schemas-microsoft-com:office:smarttags" w:element="place">
        <w:r>
          <w:t>Samoa</w:t>
        </w:r>
      </w:smartTag>
      <w:r>
        <w:t xml:space="preserve"> Budget Estimates.</w:t>
      </w:r>
    </w:p>
  </w:footnote>
  <w:footnote w:id="4">
    <w:p w:rsidR="001A004E" w:rsidRDefault="001A004E" w:rsidP="00BD39E2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t xml:space="preserve">Government of Samoa, </w:t>
      </w:r>
      <w:r w:rsidRPr="009048C0">
        <w:t xml:space="preserve">Evaluation of the </w:t>
      </w:r>
      <w:smartTag w:uri="urn:schemas-microsoft-com:office:smarttags" w:element="City">
        <w:r w:rsidRPr="009048C0">
          <w:t>Paris</w:t>
        </w:r>
      </w:smartTag>
      <w:r w:rsidRPr="009048C0">
        <w:t xml:space="preserve"> Dec</w:t>
      </w:r>
      <w:r>
        <w:t>lar</w:t>
      </w:r>
      <w:r w:rsidRPr="009048C0">
        <w:t xml:space="preserve">ation on Aid Effectiveness and the </w:t>
      </w:r>
      <w:smartTag w:uri="urn:schemas-microsoft-com:office:smarttags" w:element="City">
        <w:r>
          <w:t>Accra</w:t>
        </w:r>
      </w:smartTag>
      <w:r>
        <w:t xml:space="preserve"> Agenda, </w:t>
      </w:r>
      <w:smartTag w:uri="urn:schemas-microsoft-com:office:smarttags" w:element="place">
        <w:r>
          <w:t>Samoa</w:t>
        </w:r>
      </w:smartTag>
      <w:r>
        <w:t xml:space="preserve"> Country Report, December 2010</w:t>
      </w:r>
      <w:r w:rsidR="006F2D22">
        <w:t>.</w:t>
      </w:r>
    </w:p>
  </w:footnote>
  <w:footnote w:id="5">
    <w:p w:rsidR="001A004E" w:rsidRPr="00D20908" w:rsidRDefault="001A004E" w:rsidP="00BD39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A004E">
        <w:t>Government of Samoa</w:t>
      </w:r>
      <w:r>
        <w:t xml:space="preserve"> Ministry of Finance, </w:t>
      </w:r>
      <w:r>
        <w:rPr>
          <w:i/>
        </w:rPr>
        <w:t xml:space="preserve">Quarterly Economic Review, </w:t>
      </w:r>
      <w:r w:rsidR="00302EF6">
        <w:t>I</w:t>
      </w:r>
      <w:r>
        <w:t>ssue No</w:t>
      </w:r>
      <w:r w:rsidR="00302EF6">
        <w:t xml:space="preserve">. </w:t>
      </w:r>
      <w:r>
        <w:t>50</w:t>
      </w:r>
      <w:r w:rsidR="000D4398">
        <w:t>, February</w:t>
      </w:r>
      <w:r>
        <w:t xml:space="preserve"> 2011. </w:t>
      </w:r>
    </w:p>
  </w:footnote>
  <w:footnote w:id="6">
    <w:p w:rsidR="001A004E" w:rsidRDefault="001A004E" w:rsidP="00BD39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smartTag w:uri="urn:schemas-microsoft-com:office:smarttags" w:element="place">
        <w:smartTag w:uri="urn:schemas-microsoft-com:office:smarttags" w:element="PlaceName">
          <w:r w:rsidRPr="001A004E">
            <w:t>Pa</w:t>
          </w:r>
          <w:r>
            <w:t>cific</w:t>
          </w:r>
        </w:smartTag>
        <w:r>
          <w:t xml:space="preserve"> </w:t>
        </w:r>
        <w:smartTag w:uri="urn:schemas-microsoft-com:office:smarttags" w:element="PlaceType">
          <w:r>
            <w:t>Islands</w:t>
          </w:r>
        </w:smartTag>
      </w:smartTag>
      <w:r>
        <w:t xml:space="preserve"> Forum Secretariat, 2010 Pacific Regional MDG Tracking Report, July 2010</w:t>
      </w:r>
    </w:p>
  </w:footnote>
  <w:footnote w:id="7">
    <w:p w:rsidR="001A004E" w:rsidRDefault="001A004E" w:rsidP="00BD39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Government of </w:t>
      </w:r>
      <w:r w:rsidRPr="007428A1">
        <w:t>Samoa M</w:t>
      </w:r>
      <w:r w:rsidR="007428A1" w:rsidRPr="007428A1">
        <w:t>inistry of Education, Sport and Culture</w:t>
      </w:r>
      <w:r w:rsidRPr="007428A1">
        <w:t xml:space="preserve">, </w:t>
      </w:r>
      <w:r w:rsidRPr="007428A1">
        <w:rPr>
          <w:i/>
        </w:rPr>
        <w:t>Education</w:t>
      </w:r>
      <w:r w:rsidRPr="00B230E0">
        <w:rPr>
          <w:i/>
        </w:rPr>
        <w:t xml:space="preserve"> Statistical Digest 2010</w:t>
      </w:r>
      <w:r>
        <w:t xml:space="preserve">, July 2010. </w:t>
      </w:r>
    </w:p>
  </w:footnote>
  <w:footnote w:id="8">
    <w:p w:rsidR="001A004E" w:rsidRDefault="001A004E" w:rsidP="00462747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t xml:space="preserve">While data of completion rates in Samoa is not currently gender disaggregated, 14 per cent of boys in Samoan communities in </w:t>
      </w:r>
      <w:smartTag w:uri="urn:schemas-microsoft-com:office:smarttags" w:element="country-region">
        <w:smartTag w:uri="urn:schemas-microsoft-com:office:smarttags" w:element="place">
          <w:r>
            <w:t>New</w:t>
          </w:r>
          <w:r w:rsidR="00AC52D7">
            <w:t xml:space="preserve"> </w:t>
          </w:r>
          <w:r>
            <w:t>Zealand</w:t>
          </w:r>
        </w:smartTag>
      </w:smartTag>
      <w:r>
        <w:t xml:space="preserve"> complete high school with no formal attainment, compar</w:t>
      </w:r>
      <w:r w:rsidR="00AC52D7">
        <w:t>ed</w:t>
      </w:r>
      <w:r>
        <w:t xml:space="preserve"> to 10 per cent of girls. This indicates that under-achievement of boys may have a cultural basis and is not necessarily directly related to the quality of schooling. See: Fairbairn-Dunlop, T.P., ‘He’s Won, But He’s Lost It: Applying a Samoa gender lens to education outcomes’ in </w:t>
      </w:r>
      <w:r w:rsidRPr="00796668">
        <w:rPr>
          <w:i/>
        </w:rPr>
        <w:t>AlterNative</w:t>
      </w:r>
      <w:r>
        <w:t>, Vol.6, Issue No.2, pp.143-154, 2010</w:t>
      </w:r>
    </w:p>
  </w:footnote>
  <w:footnote w:id="9">
    <w:p w:rsidR="001A004E" w:rsidRDefault="001A004E" w:rsidP="00BD39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smartTag w:uri="urn:schemas-microsoft-com:office:smarttags" w:element="City">
        <w:r w:rsidRPr="00CA6739">
          <w:t>Duncan</w:t>
        </w:r>
      </w:smartTag>
      <w:r w:rsidRPr="00CA6739">
        <w:t>, R</w:t>
      </w:r>
      <w:r>
        <w:t xml:space="preserve">., </w:t>
      </w:r>
      <w:r w:rsidRPr="00CA6739">
        <w:t xml:space="preserve">Cultural and Economic Tensions </w:t>
      </w:r>
      <w:r>
        <w:t xml:space="preserve">in </w:t>
      </w:r>
      <w:smartTag w:uri="urn:schemas-microsoft-com:office:smarttags" w:element="place">
        <w:smartTag w:uri="urn:schemas-microsoft-com:office:smarttags" w:element="PlaceName">
          <w:r>
            <w:t>Pacific</w:t>
          </w:r>
        </w:smartTag>
        <w:r>
          <w:t xml:space="preserve"> </w:t>
        </w:r>
        <w:smartTag w:uri="urn:schemas-microsoft-com:office:smarttags" w:element="PlaceType">
          <w:r>
            <w:t>Islands</w:t>
          </w:r>
        </w:smartTag>
      </w:smartTag>
      <w:r w:rsidR="00DB44F0">
        <w:t>’</w:t>
      </w:r>
      <w:r>
        <w:t xml:space="preserve"> Futures</w:t>
      </w:r>
      <w:r w:rsidR="00DB44F0">
        <w:t>’</w:t>
      </w:r>
      <w:r>
        <w:t xml:space="preserve"> </w:t>
      </w:r>
      <w:r w:rsidR="00DB44F0">
        <w:t>,</w:t>
      </w:r>
      <w:r w:rsidRPr="00CA6739">
        <w:rPr>
          <w:i/>
          <w:iCs/>
        </w:rPr>
        <w:t>International Journal of Social Economics</w:t>
      </w:r>
      <w:r w:rsidRPr="00CA6739">
        <w:t>, 35</w:t>
      </w:r>
      <w:r>
        <w:t>:</w:t>
      </w:r>
      <w:r w:rsidRPr="00CA6739">
        <w:t>12,</w:t>
      </w:r>
      <w:r>
        <w:t xml:space="preserve"> 2008</w:t>
      </w:r>
      <w:r w:rsidR="00DB44F0">
        <w:t>.</w:t>
      </w:r>
    </w:p>
  </w:footnote>
  <w:footnote w:id="10">
    <w:p w:rsidR="001A004E" w:rsidRDefault="001A004E" w:rsidP="00BD39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Government of </w:t>
      </w:r>
      <w:smartTag w:uri="urn:schemas-microsoft-com:office:smarttags" w:element="place">
        <w:r>
          <w:t>Samoa</w:t>
        </w:r>
      </w:smartTag>
      <w:r>
        <w:t xml:space="preserve">, PFMRP, </w:t>
      </w:r>
      <w:r w:rsidRPr="00B62023">
        <w:t>Annual Progress Report: November 2009</w:t>
      </w:r>
      <w:r>
        <w:t>–</w:t>
      </w:r>
      <w:r w:rsidRPr="00B62023">
        <w:t>December 2010</w:t>
      </w:r>
      <w:r w:rsidR="005A1A23">
        <w:t>.</w:t>
      </w:r>
    </w:p>
  </w:footnote>
  <w:footnote w:id="11">
    <w:p w:rsidR="001A004E" w:rsidRPr="001A004E" w:rsidRDefault="001A004E" w:rsidP="00BD39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Climate </w:t>
      </w:r>
      <w:r w:rsidR="005A1A23">
        <w:t>c</w:t>
      </w:r>
      <w:r>
        <w:t xml:space="preserve">hange development partners include </w:t>
      </w:r>
      <w:smartTag w:uri="urn:schemas-microsoft-com:office:smarttags" w:element="country-region">
        <w:r>
          <w:t>Australia</w:t>
        </w:r>
      </w:smartTag>
      <w:r>
        <w:t xml:space="preserve">, </w:t>
      </w:r>
      <w:smartTag w:uri="urn:schemas-microsoft-com:office:smarttags" w:element="country-region">
        <w:r>
          <w:t>Japan</w:t>
        </w:r>
      </w:smartTag>
      <w:r>
        <w:t xml:space="preserve">, ADB, WB, </w:t>
      </w:r>
      <w:r w:rsidRPr="001A004E">
        <w:t xml:space="preserve">Global Environment Facility, Food and Agriculture Organisation , United Nations Development Programme, South Pacific Regional Environment Program, United Nations Environment Programme and </w:t>
      </w:r>
      <w:smartTag w:uri="urn:schemas-microsoft-com:office:smarttags" w:element="country-region">
        <w:smartTag w:uri="urn:schemas-microsoft-com:office:smarttags" w:element="place">
          <w:r w:rsidRPr="001A004E">
            <w:t>Italy</w:t>
          </w:r>
        </w:smartTag>
      </w:smartTag>
      <w:r w:rsidRPr="001A004E">
        <w:t xml:space="preserve"> </w:t>
      </w:r>
    </w:p>
  </w:footnote>
  <w:footnote w:id="12">
    <w:p w:rsidR="001A004E" w:rsidRDefault="001A004E" w:rsidP="00BD39E2">
      <w:pPr>
        <w:pStyle w:val="FootnoteText"/>
      </w:pPr>
      <w:r w:rsidRPr="001A004E">
        <w:rPr>
          <w:rStyle w:val="FootnoteReference"/>
        </w:rPr>
        <w:footnoteRef/>
      </w:r>
      <w:r w:rsidRPr="001A004E">
        <w:t xml:space="preserve"> </w:t>
      </w:r>
      <w:r w:rsidRPr="001A004E">
        <w:t>G</w:t>
      </w:r>
      <w:r>
        <w:t xml:space="preserve">overnment </w:t>
      </w:r>
      <w:r w:rsidRPr="001A004E">
        <w:t>o</w:t>
      </w:r>
      <w:r>
        <w:t xml:space="preserve">f </w:t>
      </w:r>
      <w:r w:rsidRPr="001A004E">
        <w:t>S</w:t>
      </w:r>
      <w:r>
        <w:t>amoa</w:t>
      </w:r>
      <w:r w:rsidRPr="001A004E">
        <w:t xml:space="preserve">, Evaluation of the </w:t>
      </w:r>
      <w:smartTag w:uri="urn:schemas-microsoft-com:office:smarttags" w:element="City">
        <w:r w:rsidRPr="001A004E">
          <w:t>Paris</w:t>
        </w:r>
      </w:smartTag>
      <w:r w:rsidRPr="001A004E">
        <w:t xml:space="preserve"> Declaration on Aid Effectiveness and the </w:t>
      </w:r>
      <w:smartTag w:uri="urn:schemas-microsoft-com:office:smarttags" w:element="City">
        <w:r w:rsidRPr="001A004E">
          <w:t>Accra</w:t>
        </w:r>
      </w:smartTag>
      <w:r w:rsidRPr="001A004E">
        <w:t xml:space="preserve"> Agend</w:t>
      </w:r>
      <w:r w:rsidRPr="00F26ACF">
        <w:t xml:space="preserve">a, </w:t>
      </w:r>
      <w:smartTag w:uri="urn:schemas-microsoft-com:office:smarttags" w:element="place">
        <w:r w:rsidRPr="00F26ACF">
          <w:t>Samoa</w:t>
        </w:r>
      </w:smartTag>
      <w:r w:rsidRPr="00F26ACF">
        <w:t xml:space="preserve"> </w:t>
      </w:r>
      <w:r w:rsidR="00F26ACF" w:rsidRPr="00F26ACF">
        <w:t>C</w:t>
      </w:r>
      <w:r w:rsidRPr="00F26ACF">
        <w:t xml:space="preserve">ountry </w:t>
      </w:r>
      <w:r w:rsidR="00F26ACF" w:rsidRPr="00F26ACF">
        <w:t>R</w:t>
      </w:r>
      <w:r w:rsidRPr="00F26ACF">
        <w:t>eport</w:t>
      </w:r>
      <w:r>
        <w:t>, December 2010</w:t>
      </w:r>
      <w:r w:rsidR="005A1A23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4E" w:rsidRDefault="00496308" w:rsidP="00B7603F">
    <w:pPr>
      <w:pStyle w:val="Header"/>
      <w:jc w:val="left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4035"/>
          <wp:effectExtent l="0" t="0" r="2540" b="0"/>
          <wp:wrapNone/>
          <wp:docPr id="2" name="Picture 2" descr="AusAID_facsheet_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usAID_facsheet_D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4E" w:rsidRDefault="001A004E" w:rsidP="00385F59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0FD4"/>
    <w:multiLevelType w:val="hybridMultilevel"/>
    <w:tmpl w:val="F83CDA08"/>
    <w:lvl w:ilvl="0" w:tplc="DB6678E8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font317" w:hAnsi="font317" w:hint="default"/>
        <w:color w:val="0000FF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F3C16"/>
    <w:multiLevelType w:val="hybridMultilevel"/>
    <w:tmpl w:val="929289F2"/>
    <w:lvl w:ilvl="0" w:tplc="A314D8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21CE7"/>
    <w:multiLevelType w:val="hybridMultilevel"/>
    <w:tmpl w:val="0D18B67E"/>
    <w:lvl w:ilvl="0" w:tplc="ACFA6F56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B7DD8"/>
    <w:multiLevelType w:val="hybridMultilevel"/>
    <w:tmpl w:val="3EA6F6DE"/>
    <w:lvl w:ilvl="0">
      <w:start w:val="1"/>
      <w:numFmt w:val="lowerLetter"/>
      <w:pStyle w:val="TableListNumber2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0665BC"/>
    <w:multiLevelType w:val="hybridMultilevel"/>
    <w:tmpl w:val="4DC601BA"/>
    <w:lvl w:ilvl="0" w:tplc="5D98112C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083C07"/>
    <w:multiLevelType w:val="hybridMultilevel"/>
    <w:tmpl w:val="1556F3E6"/>
    <w:lvl w:ilvl="0" w:tplc="DB6678E8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font317" w:hAnsi="font317" w:hint="default"/>
        <w:color w:val="0000FF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9B02A7"/>
    <w:multiLevelType w:val="singleLevel"/>
    <w:tmpl w:val="38C655C0"/>
    <w:lvl w:ilvl="0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cs="Times New Roman" w:hint="default"/>
        <w:color w:val="auto"/>
        <w:sz w:val="21"/>
        <w:szCs w:val="21"/>
      </w:rPr>
    </w:lvl>
  </w:abstractNum>
  <w:abstractNum w:abstractNumId="7">
    <w:nsid w:val="22C23633"/>
    <w:multiLevelType w:val="hybridMultilevel"/>
    <w:tmpl w:val="87FE81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65914"/>
    <w:multiLevelType w:val="multilevel"/>
    <w:tmpl w:val="E6A83EBE"/>
    <w:lvl w:ilvl="0">
      <w:start w:val="1"/>
      <w:numFmt w:val="lowerLetter"/>
      <w:lvlRestart w:val="0"/>
      <w:lvlText w:val="%1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color w:val="auto"/>
        <w:spacing w:val="0"/>
        <w:w w:val="100"/>
        <w:position w:val="4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 w:val="0"/>
        <w:i w:val="0"/>
        <w:color w:val="auto"/>
        <w:spacing w:val="0"/>
        <w:w w:val="100"/>
        <w:position w:val="0"/>
        <w:sz w:val="44"/>
        <w:szCs w:val="44"/>
      </w:rPr>
    </w:lvl>
  </w:abstractNum>
  <w:abstractNum w:abstractNumId="9">
    <w:nsid w:val="336E532F"/>
    <w:multiLevelType w:val="hybridMultilevel"/>
    <w:tmpl w:val="E6A84908"/>
    <w:lvl w:ilvl="0" w:tplc="DB6678E8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font317" w:hAnsi="font317" w:hint="default"/>
        <w:color w:val="0000FF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2D65A6"/>
    <w:multiLevelType w:val="hybridMultilevel"/>
    <w:tmpl w:val="A7446C82"/>
    <w:lvl w:ilvl="0" w:tplc="B70A9096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233F6B"/>
    <w:multiLevelType w:val="hybridMultilevel"/>
    <w:tmpl w:val="53929CB2"/>
    <w:lvl w:ilvl="0">
      <w:start w:val="1"/>
      <w:numFmt w:val="lowerLetter"/>
      <w:pStyle w:val="Box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D675F2"/>
    <w:multiLevelType w:val="multilevel"/>
    <w:tmpl w:val="3F368AC4"/>
    <w:lvl w:ilvl="0">
      <w:start w:val="1"/>
      <w:numFmt w:val="lowerLetter"/>
      <w:lvlRestart w:val="0"/>
      <w:lvlText w:val="%1"/>
      <w:lvlJc w:val="left"/>
      <w:pPr>
        <w:tabs>
          <w:tab w:val="num" w:pos="170"/>
        </w:tabs>
        <w:ind w:left="0" w:firstLine="0"/>
      </w:pPr>
      <w:rPr>
        <w:rFonts w:ascii="Franklin Gothic Medium" w:hAnsi="Franklin Gothic Medium" w:hint="default"/>
        <w:b w:val="0"/>
        <w:i w:val="0"/>
        <w:color w:val="auto"/>
        <w:position w:val="4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13">
    <w:nsid w:val="3C5971EF"/>
    <w:multiLevelType w:val="hybridMultilevel"/>
    <w:tmpl w:val="3FBEC564"/>
    <w:lvl w:ilvl="0" w:tplc="DB6678E8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font317" w:hAnsi="font317" w:hint="default"/>
        <w:color w:val="0000FF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CD579B"/>
    <w:multiLevelType w:val="hybridMultilevel"/>
    <w:tmpl w:val="36F2514A"/>
    <w:lvl w:ilvl="0">
      <w:start w:val="1"/>
      <w:numFmt w:val="bullet"/>
      <w:pStyle w:val="BoxListBullet"/>
      <w:lvlText w:val="&gt;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CA2DEC"/>
    <w:multiLevelType w:val="hybridMultilevel"/>
    <w:tmpl w:val="01205FC8"/>
    <w:lvl w:ilvl="0" w:tplc="D2208EE0">
      <w:numFmt w:val="bullet"/>
      <w:lvlText w:val="-"/>
      <w:lvlJc w:val="left"/>
      <w:pPr>
        <w:ind w:left="1778" w:hanging="360"/>
      </w:pPr>
      <w:rPr>
        <w:rFonts w:ascii="Calibri" w:eastAsia="Times New Roman" w:hAnsi="Calibri" w:cs="Tahoma" w:hint="default"/>
        <w:color w:val="auto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4EE45101"/>
    <w:multiLevelType w:val="hybridMultilevel"/>
    <w:tmpl w:val="A0D8E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55784"/>
    <w:multiLevelType w:val="hybridMultilevel"/>
    <w:tmpl w:val="3B245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B3D8B"/>
    <w:multiLevelType w:val="multilevel"/>
    <w:tmpl w:val="A7E0EF7E"/>
    <w:lvl w:ilvl="0">
      <w:start w:val="1"/>
      <w:numFmt w:val="lowerLetter"/>
      <w:lvlRestart w:val="0"/>
      <w:lvlText w:val="%1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color w:val="0049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  <w:cap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19">
    <w:nsid w:val="52B943C2"/>
    <w:multiLevelType w:val="hybridMultilevel"/>
    <w:tmpl w:val="5A18D8E8"/>
    <w:lvl w:ilvl="0" w:tplc="F036122A">
      <w:start w:val="1"/>
      <w:numFmt w:val="bullet"/>
      <w:pStyle w:val="Ratingamber"/>
      <w:lvlText w:val="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color w:val="FF9900"/>
        <w:spacing w:val="0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692D64"/>
    <w:multiLevelType w:val="hybridMultilevel"/>
    <w:tmpl w:val="3544D402"/>
    <w:lvl w:ilvl="0" w:tplc="49BABBDA">
      <w:start w:val="1"/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8A5214"/>
    <w:multiLevelType w:val="hybridMultilevel"/>
    <w:tmpl w:val="0B5AC610"/>
    <w:lvl w:ilvl="0">
      <w:start w:val="1"/>
      <w:numFmt w:val="decimal"/>
      <w:pStyle w:val="Table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A8553B"/>
    <w:multiLevelType w:val="multilevel"/>
    <w:tmpl w:val="28627A8E"/>
    <w:lvl w:ilvl="0">
      <w:start w:val="1"/>
      <w:numFmt w:val="decimal"/>
      <w:lvlText w:val="%1"/>
      <w:lvlJc w:val="right"/>
      <w:pPr>
        <w:tabs>
          <w:tab w:val="num" w:pos="0"/>
        </w:tabs>
        <w:ind w:left="0" w:hanging="454"/>
      </w:pPr>
      <w:rPr>
        <w:rFonts w:hint="default"/>
        <w:b w:val="0"/>
        <w:i w:val="0"/>
        <w:color w:val="54534A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709"/>
        </w:tabs>
        <w:ind w:left="709" w:hanging="709"/>
      </w:pPr>
      <w:rPr>
        <w:rFonts w:ascii="Franklin Gothic Book" w:hAnsi="Franklin Gothic Book" w:hint="default"/>
        <w:b w:val="0"/>
        <w:i w:val="0"/>
        <w:caps w:val="0"/>
        <w:color w:val="54534A"/>
        <w:position w:val="0"/>
        <w:sz w:val="50"/>
        <w:szCs w:val="50"/>
      </w:rPr>
    </w:lvl>
    <w:lvl w:ilvl="6">
      <w:start w:val="1"/>
      <w:numFmt w:val="none"/>
      <w:lvlRestart w:val="0"/>
      <w:lvlText w:val=""/>
      <w:lvlJc w:val="left"/>
      <w:pPr>
        <w:tabs>
          <w:tab w:val="num" w:pos="454"/>
        </w:tabs>
        <w:ind w:left="454" w:firstLine="0"/>
      </w:pPr>
      <w:rPr>
        <w:rFonts w:hint="default"/>
        <w:caps/>
        <w:sz w:val="22"/>
        <w:szCs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454"/>
        </w:tabs>
        <w:ind w:left="454" w:firstLine="0"/>
      </w:pPr>
      <w:rPr>
        <w:rFonts w:hint="default"/>
      </w:rPr>
    </w:lvl>
  </w:abstractNum>
  <w:abstractNum w:abstractNumId="23">
    <w:nsid w:val="63EC277D"/>
    <w:multiLevelType w:val="hybridMultilevel"/>
    <w:tmpl w:val="5622DCD2"/>
    <w:lvl w:ilvl="0" w:tplc="F280E2B4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Garamond" w:hAnsi="Garamon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F264CF"/>
    <w:multiLevelType w:val="multilevel"/>
    <w:tmpl w:val="DD5A44F4"/>
    <w:lvl w:ilvl="0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  <w:b w:val="0"/>
        <w:i w:val="0"/>
        <w:color w:val="54534A"/>
      </w:rPr>
    </w:lvl>
    <w:lvl w:ilvl="1">
      <w:start w:val="1"/>
      <w:numFmt w:val="none"/>
      <w:pStyle w:val="Heading2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Heading6"/>
      <w:lvlText w:val="%6"/>
      <w:lvlJc w:val="left"/>
      <w:pPr>
        <w:tabs>
          <w:tab w:val="num" w:pos="709"/>
        </w:tabs>
        <w:ind w:left="709" w:hanging="709"/>
      </w:pPr>
      <w:rPr>
        <w:rFonts w:ascii="Franklin Gothic Book" w:hAnsi="Franklin Gothic Book" w:hint="default"/>
        <w:b w:val="0"/>
        <w:i w:val="0"/>
        <w:caps w:val="0"/>
        <w:color w:val="54534A"/>
        <w:position w:val="0"/>
        <w:sz w:val="50"/>
        <w:szCs w:val="50"/>
      </w:rPr>
    </w:lvl>
    <w:lvl w:ilvl="6">
      <w:start w:val="1"/>
      <w:numFmt w:val="none"/>
      <w:lvlRestart w:val="0"/>
      <w:pStyle w:val="Heading7"/>
      <w:suff w:val="nothing"/>
      <w:lvlText w:val=""/>
      <w:lvlJc w:val="left"/>
      <w:pPr>
        <w:ind w:left="0" w:firstLine="0"/>
      </w:pPr>
      <w:rPr>
        <w:rFonts w:hint="default"/>
        <w:caps/>
        <w:sz w:val="22"/>
        <w:szCs w:val="22"/>
      </w:rPr>
    </w:lvl>
    <w:lvl w:ilvl="7">
      <w:start w:val="1"/>
      <w:numFmt w:val="none"/>
      <w:lvlRestart w:val="0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65745D9B"/>
    <w:multiLevelType w:val="hybridMultilevel"/>
    <w:tmpl w:val="9A624324"/>
    <w:lvl w:ilvl="0" w:tplc="DF3EF18E">
      <w:start w:val="1"/>
      <w:numFmt w:val="lowerRoman"/>
      <w:lvlText w:val="%1.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6C55035"/>
    <w:multiLevelType w:val="hybridMultilevel"/>
    <w:tmpl w:val="A0C89EE8"/>
    <w:lvl w:ilvl="0" w:tplc="D3782208">
      <w:start w:val="1"/>
      <w:numFmt w:val="bullet"/>
      <w:pStyle w:val="TableListBullet"/>
      <w:lvlText w:val="&gt;"/>
      <w:lvlJc w:val="left"/>
      <w:pPr>
        <w:tabs>
          <w:tab w:val="num" w:pos="227"/>
        </w:tabs>
        <w:ind w:left="227" w:hanging="227"/>
      </w:pPr>
      <w:rPr>
        <w:rFonts w:hint="default"/>
        <w:color w:val="auto"/>
        <w:spacing w:val="0"/>
        <w:w w:val="100"/>
        <w:position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21239B"/>
    <w:multiLevelType w:val="multilevel"/>
    <w:tmpl w:val="7ACC421A"/>
    <w:lvl w:ilvl="0">
      <w:start w:val="1"/>
      <w:numFmt w:val="lowerLetter"/>
      <w:lvlRestart w:val="0"/>
      <w:lvlText w:val="%1"/>
      <w:lvlJc w:val="left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4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68BB2AC9"/>
    <w:multiLevelType w:val="multilevel"/>
    <w:tmpl w:val="C36C7DC8"/>
    <w:lvl w:ilvl="0">
      <w:start w:val="1"/>
      <w:numFmt w:val="lowerLetter"/>
      <w:lvlRestart w:val="0"/>
      <w:lvlText w:val="%1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color w:val="0049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29">
    <w:nsid w:val="6CA95AF5"/>
    <w:multiLevelType w:val="multilevel"/>
    <w:tmpl w:val="AA96A81E"/>
    <w:lvl w:ilvl="0">
      <w:start w:val="1"/>
      <w:numFmt w:val="lowerLetter"/>
      <w:lvlRestart w:val="0"/>
      <w:pStyle w:val="NoteNumber"/>
      <w:lvlText w:val="%1"/>
      <w:lvlJc w:val="left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4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30">
    <w:nsid w:val="6CF363E8"/>
    <w:multiLevelType w:val="hybridMultilevel"/>
    <w:tmpl w:val="663688F2"/>
    <w:lvl w:ilvl="0" w:tplc="02A4C866">
      <w:start w:val="1"/>
      <w:numFmt w:val="bullet"/>
      <w:pStyle w:val="Ratinggreen"/>
      <w:lvlText w:val="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color w:val="99CC00"/>
        <w:spacing w:val="0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536210"/>
    <w:multiLevelType w:val="multilevel"/>
    <w:tmpl w:val="DD688AB0"/>
    <w:lvl w:ilvl="0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hint="default"/>
        <w:color w:val="7C3D0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7875AA"/>
    <w:multiLevelType w:val="hybridMultilevel"/>
    <w:tmpl w:val="AD32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5561ED"/>
    <w:multiLevelType w:val="hybridMultilevel"/>
    <w:tmpl w:val="0B3C5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0E1DFA"/>
    <w:multiLevelType w:val="hybridMultilevel"/>
    <w:tmpl w:val="5448E3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BB502B"/>
    <w:multiLevelType w:val="multilevel"/>
    <w:tmpl w:val="6F602C24"/>
    <w:lvl w:ilvl="0">
      <w:start w:val="1"/>
      <w:numFmt w:val="lowerLetter"/>
      <w:lvlRestart w:val="0"/>
      <w:lvlText w:val="%1"/>
      <w:lvlJc w:val="left"/>
      <w:pPr>
        <w:tabs>
          <w:tab w:val="num" w:pos="170"/>
        </w:tabs>
        <w:ind w:left="0" w:firstLine="0"/>
      </w:pPr>
      <w:rPr>
        <w:rFonts w:ascii="Franklin Gothic Medium" w:hAnsi="Franklin Gothic Medium" w:hint="default"/>
        <w:b w:val="0"/>
        <w:i w:val="0"/>
        <w:color w:val="auto"/>
        <w:position w:val="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36">
    <w:nsid w:val="77E55C8F"/>
    <w:multiLevelType w:val="hybridMultilevel"/>
    <w:tmpl w:val="221AC192"/>
    <w:lvl w:ilvl="0" w:tplc="879A9104">
      <w:start w:val="20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Times New Roman" w:hAnsi="Franklin Gothic Book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9E1124E"/>
    <w:multiLevelType w:val="hybridMultilevel"/>
    <w:tmpl w:val="6D42E656"/>
    <w:lvl w:ilvl="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625106"/>
    <w:multiLevelType w:val="hybridMultilevel"/>
    <w:tmpl w:val="9E5CC020"/>
    <w:lvl w:ilvl="0" w:tplc="AB207EC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7A528B"/>
    <w:multiLevelType w:val="hybridMultilevel"/>
    <w:tmpl w:val="4ADC517C"/>
    <w:lvl w:ilvl="0">
      <w:start w:val="1"/>
      <w:numFmt w:val="bullet"/>
      <w:pStyle w:val="ListBullet"/>
      <w:lvlText w:val="&gt;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position w:val="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0"/>
  </w:num>
  <w:num w:numId="5">
    <w:abstractNumId w:val="14"/>
  </w:num>
  <w:num w:numId="6">
    <w:abstractNumId w:val="10"/>
  </w:num>
  <w:num w:numId="7">
    <w:abstractNumId w:val="24"/>
  </w:num>
  <w:num w:numId="8">
    <w:abstractNumId w:val="22"/>
  </w:num>
  <w:num w:numId="9">
    <w:abstractNumId w:val="26"/>
  </w:num>
  <w:num w:numId="10">
    <w:abstractNumId w:val="2"/>
  </w:num>
  <w:num w:numId="11">
    <w:abstractNumId w:val="19"/>
  </w:num>
  <w:num w:numId="12">
    <w:abstractNumId w:val="30"/>
  </w:num>
  <w:num w:numId="13">
    <w:abstractNumId w:val="6"/>
  </w:num>
  <w:num w:numId="14">
    <w:abstractNumId w:val="4"/>
  </w:num>
  <w:num w:numId="15">
    <w:abstractNumId w:val="37"/>
  </w:num>
  <w:num w:numId="16">
    <w:abstractNumId w:val="39"/>
  </w:num>
  <w:num w:numId="17">
    <w:abstractNumId w:val="39"/>
  </w:num>
  <w:num w:numId="18">
    <w:abstractNumId w:val="29"/>
  </w:num>
  <w:num w:numId="19">
    <w:abstractNumId w:val="31"/>
  </w:num>
  <w:num w:numId="20">
    <w:abstractNumId w:val="13"/>
  </w:num>
  <w:num w:numId="21">
    <w:abstractNumId w:val="5"/>
  </w:num>
  <w:num w:numId="22">
    <w:abstractNumId w:val="9"/>
  </w:num>
  <w:num w:numId="23">
    <w:abstractNumId w:val="0"/>
  </w:num>
  <w:num w:numId="24">
    <w:abstractNumId w:val="23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38"/>
  </w:num>
  <w:num w:numId="42">
    <w:abstractNumId w:val="7"/>
  </w:num>
  <w:num w:numId="43">
    <w:abstractNumId w:val="25"/>
  </w:num>
  <w:num w:numId="44">
    <w:abstractNumId w:val="1"/>
  </w:num>
  <w:num w:numId="45">
    <w:abstractNumId w:val="36"/>
  </w:num>
  <w:num w:numId="46">
    <w:abstractNumId w:val="33"/>
  </w:num>
  <w:num w:numId="47">
    <w:abstractNumId w:val="17"/>
  </w:num>
  <w:num w:numId="48">
    <w:abstractNumId w:val="16"/>
  </w:num>
  <w:num w:numId="49">
    <w:abstractNumId w:val="32"/>
  </w:num>
  <w:num w:numId="50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lickAndTypeStyle w:val="BodyText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5a9a98,#ddcf56,#ad495d,#ab9c8f,#b5d3d2,#7e6d5f,#f26631,#54534a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B1"/>
    <w:rsid w:val="00002939"/>
    <w:rsid w:val="00004368"/>
    <w:rsid w:val="00011550"/>
    <w:rsid w:val="0001170C"/>
    <w:rsid w:val="000129D7"/>
    <w:rsid w:val="0001356A"/>
    <w:rsid w:val="00014038"/>
    <w:rsid w:val="0001508D"/>
    <w:rsid w:val="00015DBC"/>
    <w:rsid w:val="00016771"/>
    <w:rsid w:val="00016CBA"/>
    <w:rsid w:val="00017D33"/>
    <w:rsid w:val="00017E33"/>
    <w:rsid w:val="000211DA"/>
    <w:rsid w:val="0002235F"/>
    <w:rsid w:val="00022D41"/>
    <w:rsid w:val="0002448D"/>
    <w:rsid w:val="000257E7"/>
    <w:rsid w:val="00026017"/>
    <w:rsid w:val="000302C4"/>
    <w:rsid w:val="00030588"/>
    <w:rsid w:val="0003385B"/>
    <w:rsid w:val="00033C51"/>
    <w:rsid w:val="00034B41"/>
    <w:rsid w:val="00034E45"/>
    <w:rsid w:val="00035E2A"/>
    <w:rsid w:val="00037673"/>
    <w:rsid w:val="000410FA"/>
    <w:rsid w:val="000433AB"/>
    <w:rsid w:val="00044EDD"/>
    <w:rsid w:val="000452A6"/>
    <w:rsid w:val="0004636D"/>
    <w:rsid w:val="00046974"/>
    <w:rsid w:val="000513B2"/>
    <w:rsid w:val="000527DF"/>
    <w:rsid w:val="00052B32"/>
    <w:rsid w:val="00053BB3"/>
    <w:rsid w:val="00053D8A"/>
    <w:rsid w:val="00054828"/>
    <w:rsid w:val="00060A32"/>
    <w:rsid w:val="00061389"/>
    <w:rsid w:val="00062892"/>
    <w:rsid w:val="00063C90"/>
    <w:rsid w:val="000655EB"/>
    <w:rsid w:val="00065824"/>
    <w:rsid w:val="00065C12"/>
    <w:rsid w:val="00067F6E"/>
    <w:rsid w:val="00070BAE"/>
    <w:rsid w:val="00070F05"/>
    <w:rsid w:val="000722A1"/>
    <w:rsid w:val="00074C9B"/>
    <w:rsid w:val="00075C1B"/>
    <w:rsid w:val="00075E37"/>
    <w:rsid w:val="00075F52"/>
    <w:rsid w:val="000765D3"/>
    <w:rsid w:val="000766F0"/>
    <w:rsid w:val="00076703"/>
    <w:rsid w:val="00077F24"/>
    <w:rsid w:val="000805B2"/>
    <w:rsid w:val="0008100E"/>
    <w:rsid w:val="00081757"/>
    <w:rsid w:val="00082645"/>
    <w:rsid w:val="00082E97"/>
    <w:rsid w:val="000833A0"/>
    <w:rsid w:val="00085585"/>
    <w:rsid w:val="00085E50"/>
    <w:rsid w:val="00086164"/>
    <w:rsid w:val="000863C3"/>
    <w:rsid w:val="00090C8C"/>
    <w:rsid w:val="00092F37"/>
    <w:rsid w:val="000932E8"/>
    <w:rsid w:val="00097A76"/>
    <w:rsid w:val="000A0794"/>
    <w:rsid w:val="000A0FDE"/>
    <w:rsid w:val="000A1D12"/>
    <w:rsid w:val="000A3437"/>
    <w:rsid w:val="000A4433"/>
    <w:rsid w:val="000A5BCC"/>
    <w:rsid w:val="000A65FD"/>
    <w:rsid w:val="000A7400"/>
    <w:rsid w:val="000A7708"/>
    <w:rsid w:val="000A7AD4"/>
    <w:rsid w:val="000B0232"/>
    <w:rsid w:val="000B108C"/>
    <w:rsid w:val="000B13AB"/>
    <w:rsid w:val="000B146D"/>
    <w:rsid w:val="000B4054"/>
    <w:rsid w:val="000B56CF"/>
    <w:rsid w:val="000B5B55"/>
    <w:rsid w:val="000B6330"/>
    <w:rsid w:val="000B7FF7"/>
    <w:rsid w:val="000C0125"/>
    <w:rsid w:val="000C0807"/>
    <w:rsid w:val="000C0D83"/>
    <w:rsid w:val="000C45A2"/>
    <w:rsid w:val="000C6046"/>
    <w:rsid w:val="000D074E"/>
    <w:rsid w:val="000D0838"/>
    <w:rsid w:val="000D2693"/>
    <w:rsid w:val="000D32D5"/>
    <w:rsid w:val="000D4398"/>
    <w:rsid w:val="000D444F"/>
    <w:rsid w:val="000D47A5"/>
    <w:rsid w:val="000E0333"/>
    <w:rsid w:val="000E2E8A"/>
    <w:rsid w:val="000E595E"/>
    <w:rsid w:val="000E5C21"/>
    <w:rsid w:val="000F706A"/>
    <w:rsid w:val="000F7DB9"/>
    <w:rsid w:val="000F7E7E"/>
    <w:rsid w:val="000F7EBB"/>
    <w:rsid w:val="0010001A"/>
    <w:rsid w:val="00101179"/>
    <w:rsid w:val="001020A5"/>
    <w:rsid w:val="00104CCC"/>
    <w:rsid w:val="0010544B"/>
    <w:rsid w:val="001104EF"/>
    <w:rsid w:val="00111935"/>
    <w:rsid w:val="00115415"/>
    <w:rsid w:val="00115A8C"/>
    <w:rsid w:val="00115D91"/>
    <w:rsid w:val="001204E2"/>
    <w:rsid w:val="00120637"/>
    <w:rsid w:val="001250BF"/>
    <w:rsid w:val="001260C2"/>
    <w:rsid w:val="00127B7F"/>
    <w:rsid w:val="00132E41"/>
    <w:rsid w:val="00133A57"/>
    <w:rsid w:val="00135A4C"/>
    <w:rsid w:val="001360A4"/>
    <w:rsid w:val="00136549"/>
    <w:rsid w:val="00136E47"/>
    <w:rsid w:val="00136FF9"/>
    <w:rsid w:val="00137BA1"/>
    <w:rsid w:val="0014049B"/>
    <w:rsid w:val="00141818"/>
    <w:rsid w:val="0014252B"/>
    <w:rsid w:val="0014282B"/>
    <w:rsid w:val="00142A4D"/>
    <w:rsid w:val="00142E47"/>
    <w:rsid w:val="00143525"/>
    <w:rsid w:val="001436A7"/>
    <w:rsid w:val="00144611"/>
    <w:rsid w:val="0014787F"/>
    <w:rsid w:val="00147FA5"/>
    <w:rsid w:val="00152D98"/>
    <w:rsid w:val="001564B4"/>
    <w:rsid w:val="00156521"/>
    <w:rsid w:val="00156A18"/>
    <w:rsid w:val="001577F1"/>
    <w:rsid w:val="00160E75"/>
    <w:rsid w:val="0016217F"/>
    <w:rsid w:val="001644AA"/>
    <w:rsid w:val="00165C4D"/>
    <w:rsid w:val="00166BE1"/>
    <w:rsid w:val="00166ED5"/>
    <w:rsid w:val="001702D7"/>
    <w:rsid w:val="001707ED"/>
    <w:rsid w:val="00170B04"/>
    <w:rsid w:val="00170E3F"/>
    <w:rsid w:val="00172093"/>
    <w:rsid w:val="00172EA3"/>
    <w:rsid w:val="0017313D"/>
    <w:rsid w:val="001756DD"/>
    <w:rsid w:val="00175CFE"/>
    <w:rsid w:val="00176846"/>
    <w:rsid w:val="001772C7"/>
    <w:rsid w:val="00177AE1"/>
    <w:rsid w:val="00180E63"/>
    <w:rsid w:val="00180EC6"/>
    <w:rsid w:val="00182E7D"/>
    <w:rsid w:val="00182F99"/>
    <w:rsid w:val="001840DC"/>
    <w:rsid w:val="00184C6E"/>
    <w:rsid w:val="00187D56"/>
    <w:rsid w:val="00190922"/>
    <w:rsid w:val="00190A25"/>
    <w:rsid w:val="00193384"/>
    <w:rsid w:val="001948C7"/>
    <w:rsid w:val="001957F2"/>
    <w:rsid w:val="0019627A"/>
    <w:rsid w:val="00197485"/>
    <w:rsid w:val="001A004E"/>
    <w:rsid w:val="001A0653"/>
    <w:rsid w:val="001A0850"/>
    <w:rsid w:val="001A157D"/>
    <w:rsid w:val="001A18C0"/>
    <w:rsid w:val="001A3F04"/>
    <w:rsid w:val="001A4314"/>
    <w:rsid w:val="001A4CB0"/>
    <w:rsid w:val="001A4F3D"/>
    <w:rsid w:val="001A64D6"/>
    <w:rsid w:val="001A676A"/>
    <w:rsid w:val="001A76CD"/>
    <w:rsid w:val="001A7A00"/>
    <w:rsid w:val="001B0BC3"/>
    <w:rsid w:val="001B11EB"/>
    <w:rsid w:val="001B1559"/>
    <w:rsid w:val="001B26D0"/>
    <w:rsid w:val="001B3A25"/>
    <w:rsid w:val="001B40B6"/>
    <w:rsid w:val="001B656A"/>
    <w:rsid w:val="001B7441"/>
    <w:rsid w:val="001B7D36"/>
    <w:rsid w:val="001C0C28"/>
    <w:rsid w:val="001C1650"/>
    <w:rsid w:val="001C18A5"/>
    <w:rsid w:val="001C1CE3"/>
    <w:rsid w:val="001C27DD"/>
    <w:rsid w:val="001C3DAE"/>
    <w:rsid w:val="001C54D5"/>
    <w:rsid w:val="001C557B"/>
    <w:rsid w:val="001C62C1"/>
    <w:rsid w:val="001C68A6"/>
    <w:rsid w:val="001C6A0E"/>
    <w:rsid w:val="001C6E03"/>
    <w:rsid w:val="001C6E25"/>
    <w:rsid w:val="001C7FAB"/>
    <w:rsid w:val="001D0D54"/>
    <w:rsid w:val="001D0D75"/>
    <w:rsid w:val="001D21D0"/>
    <w:rsid w:val="001D24B1"/>
    <w:rsid w:val="001D2A4C"/>
    <w:rsid w:val="001D2D04"/>
    <w:rsid w:val="001D3945"/>
    <w:rsid w:val="001D5233"/>
    <w:rsid w:val="001D65A4"/>
    <w:rsid w:val="001E521E"/>
    <w:rsid w:val="001E5458"/>
    <w:rsid w:val="001E61C0"/>
    <w:rsid w:val="001E69B9"/>
    <w:rsid w:val="001E77A7"/>
    <w:rsid w:val="001E7C2A"/>
    <w:rsid w:val="001F0E53"/>
    <w:rsid w:val="001F0E62"/>
    <w:rsid w:val="001F1365"/>
    <w:rsid w:val="001F353B"/>
    <w:rsid w:val="001F39C9"/>
    <w:rsid w:val="001F4CD3"/>
    <w:rsid w:val="001F4E51"/>
    <w:rsid w:val="001F5AA9"/>
    <w:rsid w:val="001F6123"/>
    <w:rsid w:val="001F6F4A"/>
    <w:rsid w:val="0020245F"/>
    <w:rsid w:val="002028B6"/>
    <w:rsid w:val="00203160"/>
    <w:rsid w:val="0020410B"/>
    <w:rsid w:val="00205AA6"/>
    <w:rsid w:val="0020643C"/>
    <w:rsid w:val="0021017E"/>
    <w:rsid w:val="00210543"/>
    <w:rsid w:val="0021209B"/>
    <w:rsid w:val="00212975"/>
    <w:rsid w:val="00213176"/>
    <w:rsid w:val="00214C9D"/>
    <w:rsid w:val="00216C2C"/>
    <w:rsid w:val="002178C9"/>
    <w:rsid w:val="00217E04"/>
    <w:rsid w:val="00222F3B"/>
    <w:rsid w:val="00226029"/>
    <w:rsid w:val="00226880"/>
    <w:rsid w:val="0022688E"/>
    <w:rsid w:val="002274D0"/>
    <w:rsid w:val="00227783"/>
    <w:rsid w:val="00227D6B"/>
    <w:rsid w:val="00230BD1"/>
    <w:rsid w:val="00230F10"/>
    <w:rsid w:val="00231CB6"/>
    <w:rsid w:val="00232097"/>
    <w:rsid w:val="00233570"/>
    <w:rsid w:val="00233D7A"/>
    <w:rsid w:val="00234583"/>
    <w:rsid w:val="00234D37"/>
    <w:rsid w:val="00236C53"/>
    <w:rsid w:val="00237451"/>
    <w:rsid w:val="0024071E"/>
    <w:rsid w:val="00240A07"/>
    <w:rsid w:val="00243468"/>
    <w:rsid w:val="0024348E"/>
    <w:rsid w:val="00244F96"/>
    <w:rsid w:val="002452D0"/>
    <w:rsid w:val="0024542D"/>
    <w:rsid w:val="0024630C"/>
    <w:rsid w:val="00247D70"/>
    <w:rsid w:val="00247F6A"/>
    <w:rsid w:val="002505BE"/>
    <w:rsid w:val="00250D70"/>
    <w:rsid w:val="002515F6"/>
    <w:rsid w:val="0025173D"/>
    <w:rsid w:val="00253146"/>
    <w:rsid w:val="00253B3E"/>
    <w:rsid w:val="00254C9A"/>
    <w:rsid w:val="00254E43"/>
    <w:rsid w:val="00254E51"/>
    <w:rsid w:val="00257199"/>
    <w:rsid w:val="002600C7"/>
    <w:rsid w:val="00260CE2"/>
    <w:rsid w:val="00262219"/>
    <w:rsid w:val="0026347A"/>
    <w:rsid w:val="00263B78"/>
    <w:rsid w:val="00266A89"/>
    <w:rsid w:val="00266B56"/>
    <w:rsid w:val="00266C05"/>
    <w:rsid w:val="00267EEC"/>
    <w:rsid w:val="002702DD"/>
    <w:rsid w:val="00271D0C"/>
    <w:rsid w:val="00272699"/>
    <w:rsid w:val="0027351E"/>
    <w:rsid w:val="0027441E"/>
    <w:rsid w:val="0027483C"/>
    <w:rsid w:val="002752E1"/>
    <w:rsid w:val="00276386"/>
    <w:rsid w:val="00276C03"/>
    <w:rsid w:val="00280ABC"/>
    <w:rsid w:val="00281D52"/>
    <w:rsid w:val="002820D7"/>
    <w:rsid w:val="00284AE5"/>
    <w:rsid w:val="00285085"/>
    <w:rsid w:val="0028596C"/>
    <w:rsid w:val="00285AE7"/>
    <w:rsid w:val="00286E03"/>
    <w:rsid w:val="00287F57"/>
    <w:rsid w:val="00291936"/>
    <w:rsid w:val="00291B3A"/>
    <w:rsid w:val="00292656"/>
    <w:rsid w:val="00292C3C"/>
    <w:rsid w:val="00293ADD"/>
    <w:rsid w:val="00293C4B"/>
    <w:rsid w:val="00294AA6"/>
    <w:rsid w:val="00294D4C"/>
    <w:rsid w:val="00296270"/>
    <w:rsid w:val="00297DF9"/>
    <w:rsid w:val="002A1D2F"/>
    <w:rsid w:val="002A1DE3"/>
    <w:rsid w:val="002A2305"/>
    <w:rsid w:val="002A2C0F"/>
    <w:rsid w:val="002A477C"/>
    <w:rsid w:val="002A48E4"/>
    <w:rsid w:val="002A4BB1"/>
    <w:rsid w:val="002A561C"/>
    <w:rsid w:val="002A6CE4"/>
    <w:rsid w:val="002B02EA"/>
    <w:rsid w:val="002B1624"/>
    <w:rsid w:val="002B1C3F"/>
    <w:rsid w:val="002B1D0E"/>
    <w:rsid w:val="002B2514"/>
    <w:rsid w:val="002B3053"/>
    <w:rsid w:val="002B33AD"/>
    <w:rsid w:val="002B37BE"/>
    <w:rsid w:val="002B39B4"/>
    <w:rsid w:val="002B3E15"/>
    <w:rsid w:val="002B43BB"/>
    <w:rsid w:val="002B4651"/>
    <w:rsid w:val="002B7D4C"/>
    <w:rsid w:val="002C018F"/>
    <w:rsid w:val="002C0F44"/>
    <w:rsid w:val="002C159E"/>
    <w:rsid w:val="002C23D1"/>
    <w:rsid w:val="002C248E"/>
    <w:rsid w:val="002C257C"/>
    <w:rsid w:val="002C5AF0"/>
    <w:rsid w:val="002C7822"/>
    <w:rsid w:val="002C79E4"/>
    <w:rsid w:val="002D3E5F"/>
    <w:rsid w:val="002D468F"/>
    <w:rsid w:val="002D5DED"/>
    <w:rsid w:val="002D5E09"/>
    <w:rsid w:val="002D657C"/>
    <w:rsid w:val="002D6E19"/>
    <w:rsid w:val="002D7204"/>
    <w:rsid w:val="002D7A0A"/>
    <w:rsid w:val="002E000E"/>
    <w:rsid w:val="002E0115"/>
    <w:rsid w:val="002E1AC2"/>
    <w:rsid w:val="002E2CDD"/>
    <w:rsid w:val="002E499B"/>
    <w:rsid w:val="002E626C"/>
    <w:rsid w:val="002E6305"/>
    <w:rsid w:val="002E6DCC"/>
    <w:rsid w:val="002E7489"/>
    <w:rsid w:val="002E7F6A"/>
    <w:rsid w:val="002F056E"/>
    <w:rsid w:val="002F1AB4"/>
    <w:rsid w:val="002F3393"/>
    <w:rsid w:val="002F36D2"/>
    <w:rsid w:val="002F3C1A"/>
    <w:rsid w:val="002F3E97"/>
    <w:rsid w:val="002F42B0"/>
    <w:rsid w:val="002F4300"/>
    <w:rsid w:val="002F489A"/>
    <w:rsid w:val="002F7A8E"/>
    <w:rsid w:val="003023FD"/>
    <w:rsid w:val="00302EF6"/>
    <w:rsid w:val="0030414F"/>
    <w:rsid w:val="00305213"/>
    <w:rsid w:val="00305565"/>
    <w:rsid w:val="00310C02"/>
    <w:rsid w:val="0031131B"/>
    <w:rsid w:val="00312B95"/>
    <w:rsid w:val="00312E50"/>
    <w:rsid w:val="003147DD"/>
    <w:rsid w:val="00314A80"/>
    <w:rsid w:val="00315A8F"/>
    <w:rsid w:val="00315D84"/>
    <w:rsid w:val="0032102B"/>
    <w:rsid w:val="00321C81"/>
    <w:rsid w:val="00322444"/>
    <w:rsid w:val="003225AB"/>
    <w:rsid w:val="00323965"/>
    <w:rsid w:val="00327DF1"/>
    <w:rsid w:val="00330A76"/>
    <w:rsid w:val="00330D74"/>
    <w:rsid w:val="00332945"/>
    <w:rsid w:val="00333127"/>
    <w:rsid w:val="00333FF0"/>
    <w:rsid w:val="003341A9"/>
    <w:rsid w:val="00334B60"/>
    <w:rsid w:val="003360B5"/>
    <w:rsid w:val="003368B5"/>
    <w:rsid w:val="003369D5"/>
    <w:rsid w:val="00336FAC"/>
    <w:rsid w:val="00337713"/>
    <w:rsid w:val="003379F3"/>
    <w:rsid w:val="00337AAE"/>
    <w:rsid w:val="003405D1"/>
    <w:rsid w:val="00342A5A"/>
    <w:rsid w:val="00343A2F"/>
    <w:rsid w:val="00345258"/>
    <w:rsid w:val="00345C2F"/>
    <w:rsid w:val="00346C61"/>
    <w:rsid w:val="0034794C"/>
    <w:rsid w:val="00347D10"/>
    <w:rsid w:val="00347E04"/>
    <w:rsid w:val="0035098F"/>
    <w:rsid w:val="003522B0"/>
    <w:rsid w:val="00352A66"/>
    <w:rsid w:val="003533D4"/>
    <w:rsid w:val="00354CF6"/>
    <w:rsid w:val="003557A9"/>
    <w:rsid w:val="0035655A"/>
    <w:rsid w:val="00357879"/>
    <w:rsid w:val="003605A9"/>
    <w:rsid w:val="00360C27"/>
    <w:rsid w:val="0036152B"/>
    <w:rsid w:val="00361A07"/>
    <w:rsid w:val="00362300"/>
    <w:rsid w:val="00362945"/>
    <w:rsid w:val="00363DA0"/>
    <w:rsid w:val="00363DA6"/>
    <w:rsid w:val="003643A3"/>
    <w:rsid w:val="00364555"/>
    <w:rsid w:val="0036493C"/>
    <w:rsid w:val="00364D75"/>
    <w:rsid w:val="00365BED"/>
    <w:rsid w:val="00365ECE"/>
    <w:rsid w:val="00366135"/>
    <w:rsid w:val="00366EAE"/>
    <w:rsid w:val="0037000D"/>
    <w:rsid w:val="00372980"/>
    <w:rsid w:val="00372C81"/>
    <w:rsid w:val="00372C90"/>
    <w:rsid w:val="00373509"/>
    <w:rsid w:val="00373545"/>
    <w:rsid w:val="00373D61"/>
    <w:rsid w:val="003813B0"/>
    <w:rsid w:val="00381894"/>
    <w:rsid w:val="00382BC2"/>
    <w:rsid w:val="0038486C"/>
    <w:rsid w:val="003849D8"/>
    <w:rsid w:val="003852FD"/>
    <w:rsid w:val="00385F59"/>
    <w:rsid w:val="003864C0"/>
    <w:rsid w:val="00386714"/>
    <w:rsid w:val="00386BBA"/>
    <w:rsid w:val="00386C2F"/>
    <w:rsid w:val="00386D59"/>
    <w:rsid w:val="003870E2"/>
    <w:rsid w:val="00387CC3"/>
    <w:rsid w:val="003900EB"/>
    <w:rsid w:val="0039061E"/>
    <w:rsid w:val="003908F2"/>
    <w:rsid w:val="0039171C"/>
    <w:rsid w:val="00392D1F"/>
    <w:rsid w:val="00393AA4"/>
    <w:rsid w:val="00393C49"/>
    <w:rsid w:val="00395037"/>
    <w:rsid w:val="003950F3"/>
    <w:rsid w:val="00396AAB"/>
    <w:rsid w:val="00396E51"/>
    <w:rsid w:val="00396FEE"/>
    <w:rsid w:val="00397325"/>
    <w:rsid w:val="00397842"/>
    <w:rsid w:val="003A12E4"/>
    <w:rsid w:val="003A1A4E"/>
    <w:rsid w:val="003A2AFB"/>
    <w:rsid w:val="003A3B6F"/>
    <w:rsid w:val="003A3E3B"/>
    <w:rsid w:val="003A437D"/>
    <w:rsid w:val="003A5F6E"/>
    <w:rsid w:val="003B01D4"/>
    <w:rsid w:val="003B0317"/>
    <w:rsid w:val="003B0602"/>
    <w:rsid w:val="003B3833"/>
    <w:rsid w:val="003B5069"/>
    <w:rsid w:val="003B5B3A"/>
    <w:rsid w:val="003B669E"/>
    <w:rsid w:val="003B6AF8"/>
    <w:rsid w:val="003B7DE8"/>
    <w:rsid w:val="003C4418"/>
    <w:rsid w:val="003C7017"/>
    <w:rsid w:val="003D277A"/>
    <w:rsid w:val="003D3401"/>
    <w:rsid w:val="003D41D9"/>
    <w:rsid w:val="003D7C66"/>
    <w:rsid w:val="003E15BE"/>
    <w:rsid w:val="003E2278"/>
    <w:rsid w:val="003E37E7"/>
    <w:rsid w:val="003E3DE7"/>
    <w:rsid w:val="003E4703"/>
    <w:rsid w:val="003E4C57"/>
    <w:rsid w:val="003E4E42"/>
    <w:rsid w:val="003E5F4F"/>
    <w:rsid w:val="003E6A24"/>
    <w:rsid w:val="003E74A4"/>
    <w:rsid w:val="003F0648"/>
    <w:rsid w:val="003F076D"/>
    <w:rsid w:val="003F159A"/>
    <w:rsid w:val="003F23B0"/>
    <w:rsid w:val="003F291D"/>
    <w:rsid w:val="003F2F80"/>
    <w:rsid w:val="003F33D4"/>
    <w:rsid w:val="003F4406"/>
    <w:rsid w:val="003F4998"/>
    <w:rsid w:val="003F6535"/>
    <w:rsid w:val="003F7DFD"/>
    <w:rsid w:val="00403EC1"/>
    <w:rsid w:val="00404981"/>
    <w:rsid w:val="00404EA8"/>
    <w:rsid w:val="00405A3E"/>
    <w:rsid w:val="004069E3"/>
    <w:rsid w:val="00406AF3"/>
    <w:rsid w:val="00407CFC"/>
    <w:rsid w:val="00410575"/>
    <w:rsid w:val="00410D4E"/>
    <w:rsid w:val="00411191"/>
    <w:rsid w:val="00412989"/>
    <w:rsid w:val="004131F2"/>
    <w:rsid w:val="00414418"/>
    <w:rsid w:val="004146C9"/>
    <w:rsid w:val="00416765"/>
    <w:rsid w:val="004174E5"/>
    <w:rsid w:val="00417B6B"/>
    <w:rsid w:val="00420072"/>
    <w:rsid w:val="004202ED"/>
    <w:rsid w:val="0042107B"/>
    <w:rsid w:val="0042132D"/>
    <w:rsid w:val="0042222F"/>
    <w:rsid w:val="00422524"/>
    <w:rsid w:val="00422662"/>
    <w:rsid w:val="004226D0"/>
    <w:rsid w:val="004229B0"/>
    <w:rsid w:val="00425388"/>
    <w:rsid w:val="00427DB3"/>
    <w:rsid w:val="0043018B"/>
    <w:rsid w:val="00433FEB"/>
    <w:rsid w:val="00434881"/>
    <w:rsid w:val="0043622D"/>
    <w:rsid w:val="00437A77"/>
    <w:rsid w:val="00440D26"/>
    <w:rsid w:val="00442808"/>
    <w:rsid w:val="00442BE6"/>
    <w:rsid w:val="0044452B"/>
    <w:rsid w:val="004454B0"/>
    <w:rsid w:val="00445908"/>
    <w:rsid w:val="004462EF"/>
    <w:rsid w:val="00446BFE"/>
    <w:rsid w:val="00447F42"/>
    <w:rsid w:val="0045116A"/>
    <w:rsid w:val="00451D93"/>
    <w:rsid w:val="00451E60"/>
    <w:rsid w:val="00452C48"/>
    <w:rsid w:val="00452E9D"/>
    <w:rsid w:val="0045304C"/>
    <w:rsid w:val="004530AC"/>
    <w:rsid w:val="00453EB3"/>
    <w:rsid w:val="00453F5D"/>
    <w:rsid w:val="00454368"/>
    <w:rsid w:val="004547C0"/>
    <w:rsid w:val="00454AE8"/>
    <w:rsid w:val="004553F5"/>
    <w:rsid w:val="0045575B"/>
    <w:rsid w:val="004559D3"/>
    <w:rsid w:val="00456D32"/>
    <w:rsid w:val="0045720E"/>
    <w:rsid w:val="00457853"/>
    <w:rsid w:val="00457902"/>
    <w:rsid w:val="00460B25"/>
    <w:rsid w:val="00461AD2"/>
    <w:rsid w:val="00462747"/>
    <w:rsid w:val="00462797"/>
    <w:rsid w:val="00464228"/>
    <w:rsid w:val="00464D9A"/>
    <w:rsid w:val="00467537"/>
    <w:rsid w:val="0047058E"/>
    <w:rsid w:val="00471026"/>
    <w:rsid w:val="00471928"/>
    <w:rsid w:val="004732C0"/>
    <w:rsid w:val="004737DE"/>
    <w:rsid w:val="00473A93"/>
    <w:rsid w:val="00473D05"/>
    <w:rsid w:val="00474394"/>
    <w:rsid w:val="004744D3"/>
    <w:rsid w:val="00474CD2"/>
    <w:rsid w:val="00475EFF"/>
    <w:rsid w:val="00476144"/>
    <w:rsid w:val="0047786B"/>
    <w:rsid w:val="004805EE"/>
    <w:rsid w:val="004822A1"/>
    <w:rsid w:val="00482EF4"/>
    <w:rsid w:val="0048343C"/>
    <w:rsid w:val="004839CE"/>
    <w:rsid w:val="00483A17"/>
    <w:rsid w:val="00483DD5"/>
    <w:rsid w:val="004845F1"/>
    <w:rsid w:val="00484BC2"/>
    <w:rsid w:val="00486E8C"/>
    <w:rsid w:val="004872E3"/>
    <w:rsid w:val="00487630"/>
    <w:rsid w:val="004900C1"/>
    <w:rsid w:val="00490743"/>
    <w:rsid w:val="00491178"/>
    <w:rsid w:val="004914D1"/>
    <w:rsid w:val="00491FAB"/>
    <w:rsid w:val="00492902"/>
    <w:rsid w:val="00492FC4"/>
    <w:rsid w:val="00493037"/>
    <w:rsid w:val="00494CD3"/>
    <w:rsid w:val="00494FB3"/>
    <w:rsid w:val="004955A5"/>
    <w:rsid w:val="00495EF4"/>
    <w:rsid w:val="00496308"/>
    <w:rsid w:val="00496D19"/>
    <w:rsid w:val="00496DF9"/>
    <w:rsid w:val="00497240"/>
    <w:rsid w:val="004A154E"/>
    <w:rsid w:val="004A15DE"/>
    <w:rsid w:val="004A2CD2"/>
    <w:rsid w:val="004A2EFC"/>
    <w:rsid w:val="004A472E"/>
    <w:rsid w:val="004A4B6B"/>
    <w:rsid w:val="004A662F"/>
    <w:rsid w:val="004A7F14"/>
    <w:rsid w:val="004B0361"/>
    <w:rsid w:val="004B15A9"/>
    <w:rsid w:val="004B1A21"/>
    <w:rsid w:val="004B33E6"/>
    <w:rsid w:val="004B3904"/>
    <w:rsid w:val="004B42EF"/>
    <w:rsid w:val="004B42F1"/>
    <w:rsid w:val="004B6157"/>
    <w:rsid w:val="004B7492"/>
    <w:rsid w:val="004B7C61"/>
    <w:rsid w:val="004C0AF1"/>
    <w:rsid w:val="004C0E63"/>
    <w:rsid w:val="004C3546"/>
    <w:rsid w:val="004C3568"/>
    <w:rsid w:val="004C4638"/>
    <w:rsid w:val="004C60B8"/>
    <w:rsid w:val="004C7DD7"/>
    <w:rsid w:val="004D18D0"/>
    <w:rsid w:val="004D27D6"/>
    <w:rsid w:val="004D2F5D"/>
    <w:rsid w:val="004D3349"/>
    <w:rsid w:val="004D5771"/>
    <w:rsid w:val="004D79AD"/>
    <w:rsid w:val="004E1DFC"/>
    <w:rsid w:val="004E372F"/>
    <w:rsid w:val="004E3D87"/>
    <w:rsid w:val="004E493E"/>
    <w:rsid w:val="004E4FC6"/>
    <w:rsid w:val="004E6274"/>
    <w:rsid w:val="004E63CC"/>
    <w:rsid w:val="004E648D"/>
    <w:rsid w:val="004F096E"/>
    <w:rsid w:val="004F0BE2"/>
    <w:rsid w:val="004F252E"/>
    <w:rsid w:val="004F256B"/>
    <w:rsid w:val="004F4F95"/>
    <w:rsid w:val="004F6199"/>
    <w:rsid w:val="004F72C7"/>
    <w:rsid w:val="004F75A1"/>
    <w:rsid w:val="004F79BD"/>
    <w:rsid w:val="00502E98"/>
    <w:rsid w:val="005031B6"/>
    <w:rsid w:val="00505ACB"/>
    <w:rsid w:val="005063CB"/>
    <w:rsid w:val="00506BC4"/>
    <w:rsid w:val="00507187"/>
    <w:rsid w:val="00507A63"/>
    <w:rsid w:val="00507D05"/>
    <w:rsid w:val="005107C4"/>
    <w:rsid w:val="00510FCB"/>
    <w:rsid w:val="00512105"/>
    <w:rsid w:val="00512FBF"/>
    <w:rsid w:val="00513602"/>
    <w:rsid w:val="005157A6"/>
    <w:rsid w:val="00516FCB"/>
    <w:rsid w:val="0052067C"/>
    <w:rsid w:val="00522F30"/>
    <w:rsid w:val="005246CA"/>
    <w:rsid w:val="005265C4"/>
    <w:rsid w:val="00527032"/>
    <w:rsid w:val="00531479"/>
    <w:rsid w:val="00532182"/>
    <w:rsid w:val="00532C33"/>
    <w:rsid w:val="005335EE"/>
    <w:rsid w:val="00533CFF"/>
    <w:rsid w:val="005343DE"/>
    <w:rsid w:val="005348EF"/>
    <w:rsid w:val="005351E9"/>
    <w:rsid w:val="005353FE"/>
    <w:rsid w:val="005363D4"/>
    <w:rsid w:val="005374AC"/>
    <w:rsid w:val="005379E3"/>
    <w:rsid w:val="005445D6"/>
    <w:rsid w:val="00545090"/>
    <w:rsid w:val="00546C44"/>
    <w:rsid w:val="005506DD"/>
    <w:rsid w:val="005510FE"/>
    <w:rsid w:val="005520E1"/>
    <w:rsid w:val="00556B35"/>
    <w:rsid w:val="00560594"/>
    <w:rsid w:val="0056088E"/>
    <w:rsid w:val="00561EE2"/>
    <w:rsid w:val="005631AD"/>
    <w:rsid w:val="005639EA"/>
    <w:rsid w:val="0056417D"/>
    <w:rsid w:val="00564BCE"/>
    <w:rsid w:val="005667D5"/>
    <w:rsid w:val="00566B4E"/>
    <w:rsid w:val="00570763"/>
    <w:rsid w:val="005722A1"/>
    <w:rsid w:val="00572319"/>
    <w:rsid w:val="00572841"/>
    <w:rsid w:val="00573B43"/>
    <w:rsid w:val="00575350"/>
    <w:rsid w:val="00577A87"/>
    <w:rsid w:val="00577D8F"/>
    <w:rsid w:val="00580DC4"/>
    <w:rsid w:val="005815BE"/>
    <w:rsid w:val="00581FB7"/>
    <w:rsid w:val="00582919"/>
    <w:rsid w:val="0058536F"/>
    <w:rsid w:val="00585433"/>
    <w:rsid w:val="005854BB"/>
    <w:rsid w:val="0058729F"/>
    <w:rsid w:val="005879C7"/>
    <w:rsid w:val="00587F67"/>
    <w:rsid w:val="0059107D"/>
    <w:rsid w:val="005910A3"/>
    <w:rsid w:val="00591DD6"/>
    <w:rsid w:val="005922AA"/>
    <w:rsid w:val="005925E4"/>
    <w:rsid w:val="00592A83"/>
    <w:rsid w:val="00593B07"/>
    <w:rsid w:val="00593E3E"/>
    <w:rsid w:val="005942EA"/>
    <w:rsid w:val="005943A7"/>
    <w:rsid w:val="00596832"/>
    <w:rsid w:val="005A1052"/>
    <w:rsid w:val="005A1A23"/>
    <w:rsid w:val="005A341D"/>
    <w:rsid w:val="005A3AA3"/>
    <w:rsid w:val="005A3FE0"/>
    <w:rsid w:val="005A450A"/>
    <w:rsid w:val="005B0B7F"/>
    <w:rsid w:val="005B2981"/>
    <w:rsid w:val="005B522F"/>
    <w:rsid w:val="005B7710"/>
    <w:rsid w:val="005C10C7"/>
    <w:rsid w:val="005C206D"/>
    <w:rsid w:val="005C2C17"/>
    <w:rsid w:val="005C349D"/>
    <w:rsid w:val="005C3939"/>
    <w:rsid w:val="005C4005"/>
    <w:rsid w:val="005C4BD3"/>
    <w:rsid w:val="005C6FD6"/>
    <w:rsid w:val="005C7A9F"/>
    <w:rsid w:val="005D0AF9"/>
    <w:rsid w:val="005D0F0F"/>
    <w:rsid w:val="005D1E18"/>
    <w:rsid w:val="005D244B"/>
    <w:rsid w:val="005D2B37"/>
    <w:rsid w:val="005D4715"/>
    <w:rsid w:val="005D6F2C"/>
    <w:rsid w:val="005D770B"/>
    <w:rsid w:val="005E0A0B"/>
    <w:rsid w:val="005E1812"/>
    <w:rsid w:val="005E1AF2"/>
    <w:rsid w:val="005E1D7A"/>
    <w:rsid w:val="005E2411"/>
    <w:rsid w:val="005E2D0B"/>
    <w:rsid w:val="005E30CE"/>
    <w:rsid w:val="005E344F"/>
    <w:rsid w:val="005E3CEF"/>
    <w:rsid w:val="005E51D2"/>
    <w:rsid w:val="005E6A91"/>
    <w:rsid w:val="005E725C"/>
    <w:rsid w:val="005F06F7"/>
    <w:rsid w:val="005F168A"/>
    <w:rsid w:val="005F177B"/>
    <w:rsid w:val="005F1840"/>
    <w:rsid w:val="005F18BC"/>
    <w:rsid w:val="005F218A"/>
    <w:rsid w:val="005F2846"/>
    <w:rsid w:val="005F2F06"/>
    <w:rsid w:val="005F356A"/>
    <w:rsid w:val="005F5193"/>
    <w:rsid w:val="005F5C10"/>
    <w:rsid w:val="005F5C2F"/>
    <w:rsid w:val="005F710E"/>
    <w:rsid w:val="005F7879"/>
    <w:rsid w:val="006007F6"/>
    <w:rsid w:val="00600A18"/>
    <w:rsid w:val="00600B0F"/>
    <w:rsid w:val="00601D94"/>
    <w:rsid w:val="00602D21"/>
    <w:rsid w:val="00604147"/>
    <w:rsid w:val="00604949"/>
    <w:rsid w:val="00605006"/>
    <w:rsid w:val="00605815"/>
    <w:rsid w:val="00605C82"/>
    <w:rsid w:val="0060617B"/>
    <w:rsid w:val="00607E92"/>
    <w:rsid w:val="00613051"/>
    <w:rsid w:val="0061485C"/>
    <w:rsid w:val="00614A27"/>
    <w:rsid w:val="00615247"/>
    <w:rsid w:val="006155FC"/>
    <w:rsid w:val="00615695"/>
    <w:rsid w:val="00616C4B"/>
    <w:rsid w:val="006203BD"/>
    <w:rsid w:val="0062059B"/>
    <w:rsid w:val="006247BA"/>
    <w:rsid w:val="00624C5C"/>
    <w:rsid w:val="00627658"/>
    <w:rsid w:val="00627E76"/>
    <w:rsid w:val="00630A04"/>
    <w:rsid w:val="006323A6"/>
    <w:rsid w:val="00632B1F"/>
    <w:rsid w:val="00635A99"/>
    <w:rsid w:val="00635B4B"/>
    <w:rsid w:val="00636A86"/>
    <w:rsid w:val="00641413"/>
    <w:rsid w:val="00644C36"/>
    <w:rsid w:val="00645987"/>
    <w:rsid w:val="00646614"/>
    <w:rsid w:val="0065046E"/>
    <w:rsid w:val="006504EE"/>
    <w:rsid w:val="00650B00"/>
    <w:rsid w:val="00652579"/>
    <w:rsid w:val="0065259E"/>
    <w:rsid w:val="0065282A"/>
    <w:rsid w:val="00652F48"/>
    <w:rsid w:val="006536A9"/>
    <w:rsid w:val="00657A7A"/>
    <w:rsid w:val="00657C61"/>
    <w:rsid w:val="00657CB6"/>
    <w:rsid w:val="00657E00"/>
    <w:rsid w:val="00660475"/>
    <w:rsid w:val="006613A9"/>
    <w:rsid w:val="006625B4"/>
    <w:rsid w:val="00663CD8"/>
    <w:rsid w:val="006640FE"/>
    <w:rsid w:val="006711AB"/>
    <w:rsid w:val="00671255"/>
    <w:rsid w:val="00672BEE"/>
    <w:rsid w:val="00674467"/>
    <w:rsid w:val="0067448D"/>
    <w:rsid w:val="006762E5"/>
    <w:rsid w:val="006764C8"/>
    <w:rsid w:val="006777A0"/>
    <w:rsid w:val="006813C8"/>
    <w:rsid w:val="006815EF"/>
    <w:rsid w:val="00681A3E"/>
    <w:rsid w:val="00682A07"/>
    <w:rsid w:val="0068328F"/>
    <w:rsid w:val="00683682"/>
    <w:rsid w:val="00683B97"/>
    <w:rsid w:val="00683CCF"/>
    <w:rsid w:val="00683DC7"/>
    <w:rsid w:val="00683E06"/>
    <w:rsid w:val="006846ED"/>
    <w:rsid w:val="0068568E"/>
    <w:rsid w:val="00685B51"/>
    <w:rsid w:val="00685E07"/>
    <w:rsid w:val="0069068B"/>
    <w:rsid w:val="006931D5"/>
    <w:rsid w:val="00694103"/>
    <w:rsid w:val="00694C62"/>
    <w:rsid w:val="006974FC"/>
    <w:rsid w:val="006A0482"/>
    <w:rsid w:val="006A13BF"/>
    <w:rsid w:val="006A1B72"/>
    <w:rsid w:val="006A4046"/>
    <w:rsid w:val="006A53F6"/>
    <w:rsid w:val="006B1A02"/>
    <w:rsid w:val="006B1F44"/>
    <w:rsid w:val="006B432F"/>
    <w:rsid w:val="006B5E06"/>
    <w:rsid w:val="006B7C24"/>
    <w:rsid w:val="006B7CF9"/>
    <w:rsid w:val="006C0139"/>
    <w:rsid w:val="006C0909"/>
    <w:rsid w:val="006C111C"/>
    <w:rsid w:val="006C1AEE"/>
    <w:rsid w:val="006C27E2"/>
    <w:rsid w:val="006C3927"/>
    <w:rsid w:val="006C43CF"/>
    <w:rsid w:val="006C51F7"/>
    <w:rsid w:val="006C5E57"/>
    <w:rsid w:val="006C6452"/>
    <w:rsid w:val="006C6761"/>
    <w:rsid w:val="006D0368"/>
    <w:rsid w:val="006D2333"/>
    <w:rsid w:val="006D2DEC"/>
    <w:rsid w:val="006D38DC"/>
    <w:rsid w:val="006D3935"/>
    <w:rsid w:val="006D3DBE"/>
    <w:rsid w:val="006D551B"/>
    <w:rsid w:val="006D571E"/>
    <w:rsid w:val="006D6648"/>
    <w:rsid w:val="006D6CC7"/>
    <w:rsid w:val="006D70CD"/>
    <w:rsid w:val="006D7C85"/>
    <w:rsid w:val="006E1CA2"/>
    <w:rsid w:val="006E2C81"/>
    <w:rsid w:val="006E343F"/>
    <w:rsid w:val="006E42F5"/>
    <w:rsid w:val="006E4AA9"/>
    <w:rsid w:val="006E53D1"/>
    <w:rsid w:val="006E546D"/>
    <w:rsid w:val="006E6DB3"/>
    <w:rsid w:val="006E7CC1"/>
    <w:rsid w:val="006F0B6B"/>
    <w:rsid w:val="006F1E01"/>
    <w:rsid w:val="006F2D22"/>
    <w:rsid w:val="006F47C8"/>
    <w:rsid w:val="006F4AF5"/>
    <w:rsid w:val="006F51F9"/>
    <w:rsid w:val="006F715C"/>
    <w:rsid w:val="006F7A23"/>
    <w:rsid w:val="0070010D"/>
    <w:rsid w:val="007004DA"/>
    <w:rsid w:val="00701726"/>
    <w:rsid w:val="007031E2"/>
    <w:rsid w:val="00703733"/>
    <w:rsid w:val="0070605D"/>
    <w:rsid w:val="007078C5"/>
    <w:rsid w:val="00711B43"/>
    <w:rsid w:val="007122CC"/>
    <w:rsid w:val="007163AB"/>
    <w:rsid w:val="00716717"/>
    <w:rsid w:val="00716799"/>
    <w:rsid w:val="00720CD3"/>
    <w:rsid w:val="00720E30"/>
    <w:rsid w:val="0072229D"/>
    <w:rsid w:val="00727940"/>
    <w:rsid w:val="007339FC"/>
    <w:rsid w:val="00733A81"/>
    <w:rsid w:val="0073548A"/>
    <w:rsid w:val="007375CF"/>
    <w:rsid w:val="00737F14"/>
    <w:rsid w:val="00740BD4"/>
    <w:rsid w:val="007428A1"/>
    <w:rsid w:val="00742F5B"/>
    <w:rsid w:val="0074328B"/>
    <w:rsid w:val="00747123"/>
    <w:rsid w:val="007500A2"/>
    <w:rsid w:val="00751A18"/>
    <w:rsid w:val="0075426C"/>
    <w:rsid w:val="00754B6C"/>
    <w:rsid w:val="00755189"/>
    <w:rsid w:val="007609DE"/>
    <w:rsid w:val="00760D7B"/>
    <w:rsid w:val="00762176"/>
    <w:rsid w:val="0076664B"/>
    <w:rsid w:val="00766D48"/>
    <w:rsid w:val="00770D1F"/>
    <w:rsid w:val="007712D4"/>
    <w:rsid w:val="00773ADD"/>
    <w:rsid w:val="00773CB8"/>
    <w:rsid w:val="00774FA0"/>
    <w:rsid w:val="007761ED"/>
    <w:rsid w:val="00777A11"/>
    <w:rsid w:val="0078013B"/>
    <w:rsid w:val="00780E9B"/>
    <w:rsid w:val="00781F9D"/>
    <w:rsid w:val="00784027"/>
    <w:rsid w:val="007848F3"/>
    <w:rsid w:val="00784C7B"/>
    <w:rsid w:val="007857B4"/>
    <w:rsid w:val="00785EA5"/>
    <w:rsid w:val="007864C1"/>
    <w:rsid w:val="00786718"/>
    <w:rsid w:val="00791CE4"/>
    <w:rsid w:val="00794312"/>
    <w:rsid w:val="00794F9C"/>
    <w:rsid w:val="0079518B"/>
    <w:rsid w:val="00797D46"/>
    <w:rsid w:val="007A01CC"/>
    <w:rsid w:val="007A0524"/>
    <w:rsid w:val="007A2597"/>
    <w:rsid w:val="007A25C9"/>
    <w:rsid w:val="007A2761"/>
    <w:rsid w:val="007A2D4A"/>
    <w:rsid w:val="007A32BB"/>
    <w:rsid w:val="007A4679"/>
    <w:rsid w:val="007A4C9D"/>
    <w:rsid w:val="007A5DFF"/>
    <w:rsid w:val="007B0B23"/>
    <w:rsid w:val="007B10BE"/>
    <w:rsid w:val="007B149E"/>
    <w:rsid w:val="007B19B1"/>
    <w:rsid w:val="007B19CC"/>
    <w:rsid w:val="007B1D16"/>
    <w:rsid w:val="007B2DB4"/>
    <w:rsid w:val="007B3B56"/>
    <w:rsid w:val="007B403A"/>
    <w:rsid w:val="007B4213"/>
    <w:rsid w:val="007B4677"/>
    <w:rsid w:val="007B497F"/>
    <w:rsid w:val="007B4ED1"/>
    <w:rsid w:val="007B794B"/>
    <w:rsid w:val="007C0DEC"/>
    <w:rsid w:val="007C1ECE"/>
    <w:rsid w:val="007C3820"/>
    <w:rsid w:val="007C4C18"/>
    <w:rsid w:val="007C5112"/>
    <w:rsid w:val="007C72D7"/>
    <w:rsid w:val="007C7F70"/>
    <w:rsid w:val="007D1A32"/>
    <w:rsid w:val="007D3515"/>
    <w:rsid w:val="007D35B0"/>
    <w:rsid w:val="007D3B30"/>
    <w:rsid w:val="007D3FA4"/>
    <w:rsid w:val="007D5153"/>
    <w:rsid w:val="007D620F"/>
    <w:rsid w:val="007D6C49"/>
    <w:rsid w:val="007E14BD"/>
    <w:rsid w:val="007E31EA"/>
    <w:rsid w:val="007E3B25"/>
    <w:rsid w:val="007E3B7D"/>
    <w:rsid w:val="007E3C6A"/>
    <w:rsid w:val="007E4E2F"/>
    <w:rsid w:val="007E5A22"/>
    <w:rsid w:val="007E7710"/>
    <w:rsid w:val="007F2008"/>
    <w:rsid w:val="007F22AC"/>
    <w:rsid w:val="007F29E1"/>
    <w:rsid w:val="007F42E3"/>
    <w:rsid w:val="007F4388"/>
    <w:rsid w:val="007F4788"/>
    <w:rsid w:val="007F618A"/>
    <w:rsid w:val="007F7C13"/>
    <w:rsid w:val="00801104"/>
    <w:rsid w:val="00801432"/>
    <w:rsid w:val="008018ED"/>
    <w:rsid w:val="00802290"/>
    <w:rsid w:val="00803305"/>
    <w:rsid w:val="0080375B"/>
    <w:rsid w:val="00803FCC"/>
    <w:rsid w:val="008041F5"/>
    <w:rsid w:val="00804F53"/>
    <w:rsid w:val="008068E3"/>
    <w:rsid w:val="0081042F"/>
    <w:rsid w:val="008113A1"/>
    <w:rsid w:val="008120AF"/>
    <w:rsid w:val="008125B6"/>
    <w:rsid w:val="00812625"/>
    <w:rsid w:val="00814DBF"/>
    <w:rsid w:val="00817759"/>
    <w:rsid w:val="00817C8F"/>
    <w:rsid w:val="00817CA3"/>
    <w:rsid w:val="00820982"/>
    <w:rsid w:val="008213C2"/>
    <w:rsid w:val="0082170D"/>
    <w:rsid w:val="0082187A"/>
    <w:rsid w:val="00822223"/>
    <w:rsid w:val="008225A7"/>
    <w:rsid w:val="00822802"/>
    <w:rsid w:val="00825521"/>
    <w:rsid w:val="0082722C"/>
    <w:rsid w:val="008278C2"/>
    <w:rsid w:val="00831989"/>
    <w:rsid w:val="00831EBD"/>
    <w:rsid w:val="00835061"/>
    <w:rsid w:val="00836A63"/>
    <w:rsid w:val="00836BE4"/>
    <w:rsid w:val="008378B4"/>
    <w:rsid w:val="00840347"/>
    <w:rsid w:val="00840A1A"/>
    <w:rsid w:val="00840D02"/>
    <w:rsid w:val="008424AC"/>
    <w:rsid w:val="008431E0"/>
    <w:rsid w:val="00843A16"/>
    <w:rsid w:val="00844665"/>
    <w:rsid w:val="00845E4B"/>
    <w:rsid w:val="00846735"/>
    <w:rsid w:val="00846837"/>
    <w:rsid w:val="00846E42"/>
    <w:rsid w:val="00850601"/>
    <w:rsid w:val="00850653"/>
    <w:rsid w:val="00851981"/>
    <w:rsid w:val="00852698"/>
    <w:rsid w:val="008527C1"/>
    <w:rsid w:val="00852948"/>
    <w:rsid w:val="00853065"/>
    <w:rsid w:val="00854598"/>
    <w:rsid w:val="00856BDC"/>
    <w:rsid w:val="00857CBA"/>
    <w:rsid w:val="00861B82"/>
    <w:rsid w:val="00861C4F"/>
    <w:rsid w:val="00862D0B"/>
    <w:rsid w:val="00863AB1"/>
    <w:rsid w:val="00863D30"/>
    <w:rsid w:val="008642DF"/>
    <w:rsid w:val="0086434F"/>
    <w:rsid w:val="00864AF3"/>
    <w:rsid w:val="00864BDC"/>
    <w:rsid w:val="00864E52"/>
    <w:rsid w:val="00864FC3"/>
    <w:rsid w:val="00865AD8"/>
    <w:rsid w:val="00866CE0"/>
    <w:rsid w:val="008721CC"/>
    <w:rsid w:val="00872226"/>
    <w:rsid w:val="0087239F"/>
    <w:rsid w:val="00872B47"/>
    <w:rsid w:val="00874730"/>
    <w:rsid w:val="008751CE"/>
    <w:rsid w:val="00875CA3"/>
    <w:rsid w:val="00875F84"/>
    <w:rsid w:val="008773C3"/>
    <w:rsid w:val="00877623"/>
    <w:rsid w:val="00881446"/>
    <w:rsid w:val="008824EE"/>
    <w:rsid w:val="00882B7E"/>
    <w:rsid w:val="00882D96"/>
    <w:rsid w:val="00882FB6"/>
    <w:rsid w:val="008833E5"/>
    <w:rsid w:val="00883E4F"/>
    <w:rsid w:val="00883EFA"/>
    <w:rsid w:val="00885A80"/>
    <w:rsid w:val="008867F6"/>
    <w:rsid w:val="0088692E"/>
    <w:rsid w:val="00887818"/>
    <w:rsid w:val="008919E7"/>
    <w:rsid w:val="00892C54"/>
    <w:rsid w:val="00893260"/>
    <w:rsid w:val="008952E6"/>
    <w:rsid w:val="0089533A"/>
    <w:rsid w:val="00896227"/>
    <w:rsid w:val="00897FFC"/>
    <w:rsid w:val="008A063A"/>
    <w:rsid w:val="008A0CAF"/>
    <w:rsid w:val="008A146D"/>
    <w:rsid w:val="008A1732"/>
    <w:rsid w:val="008A2E3B"/>
    <w:rsid w:val="008A37E3"/>
    <w:rsid w:val="008A5294"/>
    <w:rsid w:val="008A6398"/>
    <w:rsid w:val="008A6DD4"/>
    <w:rsid w:val="008A73CB"/>
    <w:rsid w:val="008A79AF"/>
    <w:rsid w:val="008A7FE6"/>
    <w:rsid w:val="008B02D1"/>
    <w:rsid w:val="008B14A2"/>
    <w:rsid w:val="008B1A8D"/>
    <w:rsid w:val="008B1C28"/>
    <w:rsid w:val="008B233C"/>
    <w:rsid w:val="008B31F8"/>
    <w:rsid w:val="008B4F6E"/>
    <w:rsid w:val="008B62AD"/>
    <w:rsid w:val="008B7A52"/>
    <w:rsid w:val="008B7F12"/>
    <w:rsid w:val="008C00EC"/>
    <w:rsid w:val="008C026C"/>
    <w:rsid w:val="008C0773"/>
    <w:rsid w:val="008C0CE5"/>
    <w:rsid w:val="008C1F78"/>
    <w:rsid w:val="008C5ABC"/>
    <w:rsid w:val="008C5C88"/>
    <w:rsid w:val="008C6BD9"/>
    <w:rsid w:val="008D095A"/>
    <w:rsid w:val="008D1FCD"/>
    <w:rsid w:val="008D75EB"/>
    <w:rsid w:val="008E0A3D"/>
    <w:rsid w:val="008E0A75"/>
    <w:rsid w:val="008E0EAF"/>
    <w:rsid w:val="008E1805"/>
    <w:rsid w:val="008E2187"/>
    <w:rsid w:val="008E50E0"/>
    <w:rsid w:val="008E593C"/>
    <w:rsid w:val="008E6453"/>
    <w:rsid w:val="008F0DE4"/>
    <w:rsid w:val="008F1A7F"/>
    <w:rsid w:val="0090081C"/>
    <w:rsid w:val="009027ED"/>
    <w:rsid w:val="00902D6A"/>
    <w:rsid w:val="00903409"/>
    <w:rsid w:val="00903846"/>
    <w:rsid w:val="0090525F"/>
    <w:rsid w:val="00910513"/>
    <w:rsid w:val="009116CB"/>
    <w:rsid w:val="00911B9C"/>
    <w:rsid w:val="00915D0C"/>
    <w:rsid w:val="00917927"/>
    <w:rsid w:val="009201BE"/>
    <w:rsid w:val="00920B05"/>
    <w:rsid w:val="0092171C"/>
    <w:rsid w:val="00924453"/>
    <w:rsid w:val="0092532B"/>
    <w:rsid w:val="009254FA"/>
    <w:rsid w:val="009279BC"/>
    <w:rsid w:val="00927A4E"/>
    <w:rsid w:val="00932EB4"/>
    <w:rsid w:val="009340B2"/>
    <w:rsid w:val="009349D0"/>
    <w:rsid w:val="00934C7F"/>
    <w:rsid w:val="009369AB"/>
    <w:rsid w:val="00936BC3"/>
    <w:rsid w:val="009374CE"/>
    <w:rsid w:val="00940371"/>
    <w:rsid w:val="00940671"/>
    <w:rsid w:val="0094076F"/>
    <w:rsid w:val="00940ECD"/>
    <w:rsid w:val="00941A6A"/>
    <w:rsid w:val="00941C25"/>
    <w:rsid w:val="00942B42"/>
    <w:rsid w:val="0094326B"/>
    <w:rsid w:val="0094415E"/>
    <w:rsid w:val="0094416B"/>
    <w:rsid w:val="00946625"/>
    <w:rsid w:val="00946E8C"/>
    <w:rsid w:val="00947549"/>
    <w:rsid w:val="00950EFD"/>
    <w:rsid w:val="00950F00"/>
    <w:rsid w:val="00951733"/>
    <w:rsid w:val="009519FC"/>
    <w:rsid w:val="00952317"/>
    <w:rsid w:val="00952327"/>
    <w:rsid w:val="00953A8D"/>
    <w:rsid w:val="00954351"/>
    <w:rsid w:val="009546A6"/>
    <w:rsid w:val="00955680"/>
    <w:rsid w:val="009567D9"/>
    <w:rsid w:val="0095692A"/>
    <w:rsid w:val="00957D8E"/>
    <w:rsid w:val="0096040D"/>
    <w:rsid w:val="009606C6"/>
    <w:rsid w:val="00960AA9"/>
    <w:rsid w:val="00960B82"/>
    <w:rsid w:val="00960D9D"/>
    <w:rsid w:val="009622C7"/>
    <w:rsid w:val="00963E5A"/>
    <w:rsid w:val="00964730"/>
    <w:rsid w:val="009663D4"/>
    <w:rsid w:val="00967A1C"/>
    <w:rsid w:val="00970F6A"/>
    <w:rsid w:val="009712C8"/>
    <w:rsid w:val="0097190C"/>
    <w:rsid w:val="00974AEA"/>
    <w:rsid w:val="009765DD"/>
    <w:rsid w:val="009775E7"/>
    <w:rsid w:val="0098097B"/>
    <w:rsid w:val="009816AF"/>
    <w:rsid w:val="00981906"/>
    <w:rsid w:val="00982D27"/>
    <w:rsid w:val="00982E10"/>
    <w:rsid w:val="00985129"/>
    <w:rsid w:val="00985BC6"/>
    <w:rsid w:val="00990CCF"/>
    <w:rsid w:val="009918D7"/>
    <w:rsid w:val="009919C7"/>
    <w:rsid w:val="009932CC"/>
    <w:rsid w:val="0099432E"/>
    <w:rsid w:val="0099453D"/>
    <w:rsid w:val="009951C5"/>
    <w:rsid w:val="00996D23"/>
    <w:rsid w:val="00997A92"/>
    <w:rsid w:val="009A0A11"/>
    <w:rsid w:val="009A1504"/>
    <w:rsid w:val="009A1864"/>
    <w:rsid w:val="009A1C69"/>
    <w:rsid w:val="009A20BC"/>
    <w:rsid w:val="009A28D5"/>
    <w:rsid w:val="009A2BE5"/>
    <w:rsid w:val="009A3393"/>
    <w:rsid w:val="009A43A3"/>
    <w:rsid w:val="009A5EEC"/>
    <w:rsid w:val="009A5FEB"/>
    <w:rsid w:val="009A77FF"/>
    <w:rsid w:val="009A7A34"/>
    <w:rsid w:val="009B0288"/>
    <w:rsid w:val="009B077D"/>
    <w:rsid w:val="009B0FA0"/>
    <w:rsid w:val="009B2FDA"/>
    <w:rsid w:val="009B466C"/>
    <w:rsid w:val="009B5599"/>
    <w:rsid w:val="009B55CE"/>
    <w:rsid w:val="009B5BD8"/>
    <w:rsid w:val="009B674A"/>
    <w:rsid w:val="009B72D9"/>
    <w:rsid w:val="009C0FD7"/>
    <w:rsid w:val="009C2AF4"/>
    <w:rsid w:val="009C34F2"/>
    <w:rsid w:val="009C3C8C"/>
    <w:rsid w:val="009C3E57"/>
    <w:rsid w:val="009C4B4C"/>
    <w:rsid w:val="009C4C54"/>
    <w:rsid w:val="009C4FD2"/>
    <w:rsid w:val="009C51BB"/>
    <w:rsid w:val="009C63C3"/>
    <w:rsid w:val="009C7161"/>
    <w:rsid w:val="009C76C1"/>
    <w:rsid w:val="009D05EC"/>
    <w:rsid w:val="009D11D6"/>
    <w:rsid w:val="009D3AF6"/>
    <w:rsid w:val="009D4019"/>
    <w:rsid w:val="009D628C"/>
    <w:rsid w:val="009E11BA"/>
    <w:rsid w:val="009E141B"/>
    <w:rsid w:val="009E2D6C"/>
    <w:rsid w:val="009E2EFB"/>
    <w:rsid w:val="009E660D"/>
    <w:rsid w:val="009E7B20"/>
    <w:rsid w:val="009F2615"/>
    <w:rsid w:val="009F40BD"/>
    <w:rsid w:val="009F50D8"/>
    <w:rsid w:val="009F5444"/>
    <w:rsid w:val="009F5769"/>
    <w:rsid w:val="009F6A28"/>
    <w:rsid w:val="009F7E80"/>
    <w:rsid w:val="00A03328"/>
    <w:rsid w:val="00A03535"/>
    <w:rsid w:val="00A03F51"/>
    <w:rsid w:val="00A045A2"/>
    <w:rsid w:val="00A04B6D"/>
    <w:rsid w:val="00A05B1D"/>
    <w:rsid w:val="00A06DD7"/>
    <w:rsid w:val="00A12119"/>
    <w:rsid w:val="00A12BCC"/>
    <w:rsid w:val="00A14318"/>
    <w:rsid w:val="00A14F4E"/>
    <w:rsid w:val="00A167FB"/>
    <w:rsid w:val="00A17140"/>
    <w:rsid w:val="00A174F5"/>
    <w:rsid w:val="00A20E1D"/>
    <w:rsid w:val="00A241E3"/>
    <w:rsid w:val="00A32095"/>
    <w:rsid w:val="00A32C7A"/>
    <w:rsid w:val="00A32E70"/>
    <w:rsid w:val="00A33E33"/>
    <w:rsid w:val="00A34638"/>
    <w:rsid w:val="00A34D08"/>
    <w:rsid w:val="00A41A8A"/>
    <w:rsid w:val="00A4313D"/>
    <w:rsid w:val="00A43557"/>
    <w:rsid w:val="00A44D85"/>
    <w:rsid w:val="00A45025"/>
    <w:rsid w:val="00A45844"/>
    <w:rsid w:val="00A51077"/>
    <w:rsid w:val="00A51224"/>
    <w:rsid w:val="00A524E2"/>
    <w:rsid w:val="00A53A6B"/>
    <w:rsid w:val="00A5433B"/>
    <w:rsid w:val="00A54C60"/>
    <w:rsid w:val="00A54DDC"/>
    <w:rsid w:val="00A54E1A"/>
    <w:rsid w:val="00A55441"/>
    <w:rsid w:val="00A56A48"/>
    <w:rsid w:val="00A56DEC"/>
    <w:rsid w:val="00A60B48"/>
    <w:rsid w:val="00A612FF"/>
    <w:rsid w:val="00A614D0"/>
    <w:rsid w:val="00A62BFB"/>
    <w:rsid w:val="00A6462A"/>
    <w:rsid w:val="00A6467A"/>
    <w:rsid w:val="00A658C5"/>
    <w:rsid w:val="00A65FDE"/>
    <w:rsid w:val="00A6602B"/>
    <w:rsid w:val="00A66E8A"/>
    <w:rsid w:val="00A70634"/>
    <w:rsid w:val="00A71943"/>
    <w:rsid w:val="00A730EF"/>
    <w:rsid w:val="00A7361D"/>
    <w:rsid w:val="00A73795"/>
    <w:rsid w:val="00A7456C"/>
    <w:rsid w:val="00A75588"/>
    <w:rsid w:val="00A75EF3"/>
    <w:rsid w:val="00A772B5"/>
    <w:rsid w:val="00A778FF"/>
    <w:rsid w:val="00A77D5D"/>
    <w:rsid w:val="00A80635"/>
    <w:rsid w:val="00A82118"/>
    <w:rsid w:val="00A82EA9"/>
    <w:rsid w:val="00A8482C"/>
    <w:rsid w:val="00A85210"/>
    <w:rsid w:val="00A86A16"/>
    <w:rsid w:val="00A87BD4"/>
    <w:rsid w:val="00A91E7F"/>
    <w:rsid w:val="00A9295F"/>
    <w:rsid w:val="00A92D85"/>
    <w:rsid w:val="00A95C14"/>
    <w:rsid w:val="00A95FAA"/>
    <w:rsid w:val="00A9666F"/>
    <w:rsid w:val="00A9717F"/>
    <w:rsid w:val="00A972A9"/>
    <w:rsid w:val="00A97BA6"/>
    <w:rsid w:val="00A97C92"/>
    <w:rsid w:val="00AA0797"/>
    <w:rsid w:val="00AA2F4F"/>
    <w:rsid w:val="00AA4BFF"/>
    <w:rsid w:val="00AA5180"/>
    <w:rsid w:val="00AA58A7"/>
    <w:rsid w:val="00AB0069"/>
    <w:rsid w:val="00AB18A3"/>
    <w:rsid w:val="00AB24E1"/>
    <w:rsid w:val="00AB2AB3"/>
    <w:rsid w:val="00AB3D71"/>
    <w:rsid w:val="00AB6EAC"/>
    <w:rsid w:val="00AC07A4"/>
    <w:rsid w:val="00AC271E"/>
    <w:rsid w:val="00AC520E"/>
    <w:rsid w:val="00AC52D7"/>
    <w:rsid w:val="00AC67A5"/>
    <w:rsid w:val="00AD0EF9"/>
    <w:rsid w:val="00AD1F3F"/>
    <w:rsid w:val="00AD2944"/>
    <w:rsid w:val="00AD35EF"/>
    <w:rsid w:val="00AD4A4D"/>
    <w:rsid w:val="00AD57B1"/>
    <w:rsid w:val="00AD612A"/>
    <w:rsid w:val="00AD7A2D"/>
    <w:rsid w:val="00AE1D53"/>
    <w:rsid w:val="00AE265D"/>
    <w:rsid w:val="00AE2F42"/>
    <w:rsid w:val="00AE33A9"/>
    <w:rsid w:val="00AE4666"/>
    <w:rsid w:val="00AE5255"/>
    <w:rsid w:val="00AE6A24"/>
    <w:rsid w:val="00AF140A"/>
    <w:rsid w:val="00AF1F7E"/>
    <w:rsid w:val="00AF2CDB"/>
    <w:rsid w:val="00AF2FD8"/>
    <w:rsid w:val="00AF33DF"/>
    <w:rsid w:val="00AF379D"/>
    <w:rsid w:val="00AF4251"/>
    <w:rsid w:val="00AF4605"/>
    <w:rsid w:val="00AF4AEB"/>
    <w:rsid w:val="00AF539D"/>
    <w:rsid w:val="00AF59B9"/>
    <w:rsid w:val="00AF5A5E"/>
    <w:rsid w:val="00AF7241"/>
    <w:rsid w:val="00AF786A"/>
    <w:rsid w:val="00B001E4"/>
    <w:rsid w:val="00B0153A"/>
    <w:rsid w:val="00B01EBF"/>
    <w:rsid w:val="00B03CE1"/>
    <w:rsid w:val="00B045F0"/>
    <w:rsid w:val="00B04889"/>
    <w:rsid w:val="00B04DC4"/>
    <w:rsid w:val="00B05CA8"/>
    <w:rsid w:val="00B06013"/>
    <w:rsid w:val="00B06CAC"/>
    <w:rsid w:val="00B07049"/>
    <w:rsid w:val="00B12487"/>
    <w:rsid w:val="00B1380A"/>
    <w:rsid w:val="00B13902"/>
    <w:rsid w:val="00B13FA7"/>
    <w:rsid w:val="00B14244"/>
    <w:rsid w:val="00B1506B"/>
    <w:rsid w:val="00B238AA"/>
    <w:rsid w:val="00B23D08"/>
    <w:rsid w:val="00B23D4F"/>
    <w:rsid w:val="00B24B2E"/>
    <w:rsid w:val="00B24DB2"/>
    <w:rsid w:val="00B251E2"/>
    <w:rsid w:val="00B25570"/>
    <w:rsid w:val="00B2579E"/>
    <w:rsid w:val="00B25DA5"/>
    <w:rsid w:val="00B260DF"/>
    <w:rsid w:val="00B269D0"/>
    <w:rsid w:val="00B31660"/>
    <w:rsid w:val="00B31B95"/>
    <w:rsid w:val="00B33922"/>
    <w:rsid w:val="00B3394C"/>
    <w:rsid w:val="00B33AC0"/>
    <w:rsid w:val="00B33FF4"/>
    <w:rsid w:val="00B34081"/>
    <w:rsid w:val="00B35386"/>
    <w:rsid w:val="00B356C3"/>
    <w:rsid w:val="00B35A92"/>
    <w:rsid w:val="00B35BF4"/>
    <w:rsid w:val="00B362C6"/>
    <w:rsid w:val="00B3716C"/>
    <w:rsid w:val="00B37E3B"/>
    <w:rsid w:val="00B40BE8"/>
    <w:rsid w:val="00B41994"/>
    <w:rsid w:val="00B42655"/>
    <w:rsid w:val="00B42801"/>
    <w:rsid w:val="00B42D75"/>
    <w:rsid w:val="00B44BDA"/>
    <w:rsid w:val="00B44BF8"/>
    <w:rsid w:val="00B4503B"/>
    <w:rsid w:val="00B453F2"/>
    <w:rsid w:val="00B462E6"/>
    <w:rsid w:val="00B465F0"/>
    <w:rsid w:val="00B46EBD"/>
    <w:rsid w:val="00B51024"/>
    <w:rsid w:val="00B51188"/>
    <w:rsid w:val="00B51489"/>
    <w:rsid w:val="00B5163B"/>
    <w:rsid w:val="00B51651"/>
    <w:rsid w:val="00B525EE"/>
    <w:rsid w:val="00B55021"/>
    <w:rsid w:val="00B553D9"/>
    <w:rsid w:val="00B562C4"/>
    <w:rsid w:val="00B571D5"/>
    <w:rsid w:val="00B57273"/>
    <w:rsid w:val="00B6012E"/>
    <w:rsid w:val="00B6112C"/>
    <w:rsid w:val="00B61C6C"/>
    <w:rsid w:val="00B622E7"/>
    <w:rsid w:val="00B628F4"/>
    <w:rsid w:val="00B62C96"/>
    <w:rsid w:val="00B632C6"/>
    <w:rsid w:val="00B6380C"/>
    <w:rsid w:val="00B63F64"/>
    <w:rsid w:val="00B641A3"/>
    <w:rsid w:val="00B649A9"/>
    <w:rsid w:val="00B6545B"/>
    <w:rsid w:val="00B6556C"/>
    <w:rsid w:val="00B65FBD"/>
    <w:rsid w:val="00B6734D"/>
    <w:rsid w:val="00B67AA9"/>
    <w:rsid w:val="00B706AC"/>
    <w:rsid w:val="00B72B76"/>
    <w:rsid w:val="00B72E17"/>
    <w:rsid w:val="00B72F4B"/>
    <w:rsid w:val="00B73DAC"/>
    <w:rsid w:val="00B744B2"/>
    <w:rsid w:val="00B7597A"/>
    <w:rsid w:val="00B75C5F"/>
    <w:rsid w:val="00B75E8C"/>
    <w:rsid w:val="00B7603F"/>
    <w:rsid w:val="00B76E5E"/>
    <w:rsid w:val="00B77EF4"/>
    <w:rsid w:val="00B815E2"/>
    <w:rsid w:val="00B82920"/>
    <w:rsid w:val="00B846D4"/>
    <w:rsid w:val="00B84A71"/>
    <w:rsid w:val="00B8544D"/>
    <w:rsid w:val="00B85CB3"/>
    <w:rsid w:val="00B871A9"/>
    <w:rsid w:val="00B878CE"/>
    <w:rsid w:val="00B87B22"/>
    <w:rsid w:val="00B87F9C"/>
    <w:rsid w:val="00B906FF"/>
    <w:rsid w:val="00B9211C"/>
    <w:rsid w:val="00B92EEC"/>
    <w:rsid w:val="00B950A5"/>
    <w:rsid w:val="00B97541"/>
    <w:rsid w:val="00BA1CA0"/>
    <w:rsid w:val="00BA455A"/>
    <w:rsid w:val="00BA5528"/>
    <w:rsid w:val="00BA688E"/>
    <w:rsid w:val="00BA6B5B"/>
    <w:rsid w:val="00BA72C0"/>
    <w:rsid w:val="00BA7D14"/>
    <w:rsid w:val="00BA7E95"/>
    <w:rsid w:val="00BB0742"/>
    <w:rsid w:val="00BB1B0D"/>
    <w:rsid w:val="00BB4199"/>
    <w:rsid w:val="00BB4A70"/>
    <w:rsid w:val="00BB6818"/>
    <w:rsid w:val="00BC013C"/>
    <w:rsid w:val="00BC0541"/>
    <w:rsid w:val="00BC097F"/>
    <w:rsid w:val="00BC0C96"/>
    <w:rsid w:val="00BC2A56"/>
    <w:rsid w:val="00BC328D"/>
    <w:rsid w:val="00BC395B"/>
    <w:rsid w:val="00BC3F67"/>
    <w:rsid w:val="00BC45BA"/>
    <w:rsid w:val="00BC5F4E"/>
    <w:rsid w:val="00BC5FDE"/>
    <w:rsid w:val="00BC7297"/>
    <w:rsid w:val="00BC72EA"/>
    <w:rsid w:val="00BD0240"/>
    <w:rsid w:val="00BD0822"/>
    <w:rsid w:val="00BD0CDF"/>
    <w:rsid w:val="00BD1E79"/>
    <w:rsid w:val="00BD2C19"/>
    <w:rsid w:val="00BD39E2"/>
    <w:rsid w:val="00BD5E01"/>
    <w:rsid w:val="00BD799F"/>
    <w:rsid w:val="00BE0125"/>
    <w:rsid w:val="00BE0A98"/>
    <w:rsid w:val="00BE1867"/>
    <w:rsid w:val="00BE527C"/>
    <w:rsid w:val="00BE5FB6"/>
    <w:rsid w:val="00BE79DB"/>
    <w:rsid w:val="00BF0CAB"/>
    <w:rsid w:val="00BF11D7"/>
    <w:rsid w:val="00BF467C"/>
    <w:rsid w:val="00BF59B0"/>
    <w:rsid w:val="00BF771B"/>
    <w:rsid w:val="00BF7D62"/>
    <w:rsid w:val="00C0130E"/>
    <w:rsid w:val="00C0140E"/>
    <w:rsid w:val="00C0272E"/>
    <w:rsid w:val="00C02B41"/>
    <w:rsid w:val="00C04D36"/>
    <w:rsid w:val="00C04DB4"/>
    <w:rsid w:val="00C05CB3"/>
    <w:rsid w:val="00C05EB3"/>
    <w:rsid w:val="00C06FCE"/>
    <w:rsid w:val="00C07C03"/>
    <w:rsid w:val="00C10747"/>
    <w:rsid w:val="00C10EB5"/>
    <w:rsid w:val="00C11549"/>
    <w:rsid w:val="00C12025"/>
    <w:rsid w:val="00C132FD"/>
    <w:rsid w:val="00C13348"/>
    <w:rsid w:val="00C133C8"/>
    <w:rsid w:val="00C1447E"/>
    <w:rsid w:val="00C14D9B"/>
    <w:rsid w:val="00C15D55"/>
    <w:rsid w:val="00C15F7E"/>
    <w:rsid w:val="00C17876"/>
    <w:rsid w:val="00C210BF"/>
    <w:rsid w:val="00C21159"/>
    <w:rsid w:val="00C21650"/>
    <w:rsid w:val="00C265C0"/>
    <w:rsid w:val="00C27482"/>
    <w:rsid w:val="00C27872"/>
    <w:rsid w:val="00C30595"/>
    <w:rsid w:val="00C30AAD"/>
    <w:rsid w:val="00C311B3"/>
    <w:rsid w:val="00C326AF"/>
    <w:rsid w:val="00C33295"/>
    <w:rsid w:val="00C33D9D"/>
    <w:rsid w:val="00C35637"/>
    <w:rsid w:val="00C36AC4"/>
    <w:rsid w:val="00C418CE"/>
    <w:rsid w:val="00C418FA"/>
    <w:rsid w:val="00C44424"/>
    <w:rsid w:val="00C44FA7"/>
    <w:rsid w:val="00C452FB"/>
    <w:rsid w:val="00C472A4"/>
    <w:rsid w:val="00C537EB"/>
    <w:rsid w:val="00C55EFD"/>
    <w:rsid w:val="00C56260"/>
    <w:rsid w:val="00C56278"/>
    <w:rsid w:val="00C61A21"/>
    <w:rsid w:val="00C61CCB"/>
    <w:rsid w:val="00C62EDF"/>
    <w:rsid w:val="00C630B4"/>
    <w:rsid w:val="00C63ADB"/>
    <w:rsid w:val="00C654F4"/>
    <w:rsid w:val="00C66654"/>
    <w:rsid w:val="00C706EC"/>
    <w:rsid w:val="00C71F95"/>
    <w:rsid w:val="00C72C64"/>
    <w:rsid w:val="00C73579"/>
    <w:rsid w:val="00C73585"/>
    <w:rsid w:val="00C7372B"/>
    <w:rsid w:val="00C73C0D"/>
    <w:rsid w:val="00C7436B"/>
    <w:rsid w:val="00C75533"/>
    <w:rsid w:val="00C7586A"/>
    <w:rsid w:val="00C76480"/>
    <w:rsid w:val="00C76B5D"/>
    <w:rsid w:val="00C77547"/>
    <w:rsid w:val="00C778E6"/>
    <w:rsid w:val="00C80322"/>
    <w:rsid w:val="00C81E07"/>
    <w:rsid w:val="00C8388D"/>
    <w:rsid w:val="00C839A9"/>
    <w:rsid w:val="00C83FB4"/>
    <w:rsid w:val="00C849C6"/>
    <w:rsid w:val="00C85D6A"/>
    <w:rsid w:val="00C874E9"/>
    <w:rsid w:val="00C9040A"/>
    <w:rsid w:val="00C90AFC"/>
    <w:rsid w:val="00C94693"/>
    <w:rsid w:val="00C94898"/>
    <w:rsid w:val="00CA0519"/>
    <w:rsid w:val="00CA2D32"/>
    <w:rsid w:val="00CA3FE6"/>
    <w:rsid w:val="00CA6414"/>
    <w:rsid w:val="00CA74DC"/>
    <w:rsid w:val="00CA7FF2"/>
    <w:rsid w:val="00CB2AB7"/>
    <w:rsid w:val="00CB3F51"/>
    <w:rsid w:val="00CB4C95"/>
    <w:rsid w:val="00CB6C43"/>
    <w:rsid w:val="00CC0083"/>
    <w:rsid w:val="00CC24EA"/>
    <w:rsid w:val="00CC27F3"/>
    <w:rsid w:val="00CC3194"/>
    <w:rsid w:val="00CC3562"/>
    <w:rsid w:val="00CC4D63"/>
    <w:rsid w:val="00CC5E5B"/>
    <w:rsid w:val="00CC61A5"/>
    <w:rsid w:val="00CC772A"/>
    <w:rsid w:val="00CC7E08"/>
    <w:rsid w:val="00CD14DB"/>
    <w:rsid w:val="00CD1F53"/>
    <w:rsid w:val="00CD6D72"/>
    <w:rsid w:val="00CE0348"/>
    <w:rsid w:val="00CE27FF"/>
    <w:rsid w:val="00CE2E0F"/>
    <w:rsid w:val="00CE5FE4"/>
    <w:rsid w:val="00CE6283"/>
    <w:rsid w:val="00CE67AA"/>
    <w:rsid w:val="00CE6D5C"/>
    <w:rsid w:val="00CE6F33"/>
    <w:rsid w:val="00CE700C"/>
    <w:rsid w:val="00CE73B5"/>
    <w:rsid w:val="00CE791D"/>
    <w:rsid w:val="00CE79D7"/>
    <w:rsid w:val="00CE7CE3"/>
    <w:rsid w:val="00CF2071"/>
    <w:rsid w:val="00CF244E"/>
    <w:rsid w:val="00CF278D"/>
    <w:rsid w:val="00CF2FE9"/>
    <w:rsid w:val="00CF37C7"/>
    <w:rsid w:val="00CF3CF2"/>
    <w:rsid w:val="00CF3CF8"/>
    <w:rsid w:val="00CF474D"/>
    <w:rsid w:val="00CF4FEC"/>
    <w:rsid w:val="00CF5A64"/>
    <w:rsid w:val="00CF6622"/>
    <w:rsid w:val="00CF749A"/>
    <w:rsid w:val="00D0089A"/>
    <w:rsid w:val="00D014C7"/>
    <w:rsid w:val="00D01548"/>
    <w:rsid w:val="00D04D5F"/>
    <w:rsid w:val="00D04DD6"/>
    <w:rsid w:val="00D04DFA"/>
    <w:rsid w:val="00D0597F"/>
    <w:rsid w:val="00D05F35"/>
    <w:rsid w:val="00D06393"/>
    <w:rsid w:val="00D06E5E"/>
    <w:rsid w:val="00D06F79"/>
    <w:rsid w:val="00D10597"/>
    <w:rsid w:val="00D120A3"/>
    <w:rsid w:val="00D13288"/>
    <w:rsid w:val="00D1584B"/>
    <w:rsid w:val="00D202A8"/>
    <w:rsid w:val="00D20601"/>
    <w:rsid w:val="00D219E9"/>
    <w:rsid w:val="00D2205B"/>
    <w:rsid w:val="00D229E9"/>
    <w:rsid w:val="00D23418"/>
    <w:rsid w:val="00D24606"/>
    <w:rsid w:val="00D2620A"/>
    <w:rsid w:val="00D3056A"/>
    <w:rsid w:val="00D3064D"/>
    <w:rsid w:val="00D30AED"/>
    <w:rsid w:val="00D30F84"/>
    <w:rsid w:val="00D31091"/>
    <w:rsid w:val="00D33CFE"/>
    <w:rsid w:val="00D33DDE"/>
    <w:rsid w:val="00D34DA4"/>
    <w:rsid w:val="00D35C1D"/>
    <w:rsid w:val="00D3752F"/>
    <w:rsid w:val="00D40DDE"/>
    <w:rsid w:val="00D42D78"/>
    <w:rsid w:val="00D43970"/>
    <w:rsid w:val="00D43CA5"/>
    <w:rsid w:val="00D44CA5"/>
    <w:rsid w:val="00D46CCC"/>
    <w:rsid w:val="00D46E12"/>
    <w:rsid w:val="00D50734"/>
    <w:rsid w:val="00D507C0"/>
    <w:rsid w:val="00D5091D"/>
    <w:rsid w:val="00D513CC"/>
    <w:rsid w:val="00D5172A"/>
    <w:rsid w:val="00D5228D"/>
    <w:rsid w:val="00D5534C"/>
    <w:rsid w:val="00D56435"/>
    <w:rsid w:val="00D56B08"/>
    <w:rsid w:val="00D62755"/>
    <w:rsid w:val="00D62AA4"/>
    <w:rsid w:val="00D6318F"/>
    <w:rsid w:val="00D650BB"/>
    <w:rsid w:val="00D6540A"/>
    <w:rsid w:val="00D67A63"/>
    <w:rsid w:val="00D67EB1"/>
    <w:rsid w:val="00D70107"/>
    <w:rsid w:val="00D70438"/>
    <w:rsid w:val="00D707EE"/>
    <w:rsid w:val="00D717AD"/>
    <w:rsid w:val="00D720AD"/>
    <w:rsid w:val="00D72C28"/>
    <w:rsid w:val="00D72D1D"/>
    <w:rsid w:val="00D73EBF"/>
    <w:rsid w:val="00D74A18"/>
    <w:rsid w:val="00D74D3E"/>
    <w:rsid w:val="00D75569"/>
    <w:rsid w:val="00D757C6"/>
    <w:rsid w:val="00D75C41"/>
    <w:rsid w:val="00D80529"/>
    <w:rsid w:val="00D80F78"/>
    <w:rsid w:val="00D81AC3"/>
    <w:rsid w:val="00D81C59"/>
    <w:rsid w:val="00D82A5B"/>
    <w:rsid w:val="00D84637"/>
    <w:rsid w:val="00D8473B"/>
    <w:rsid w:val="00D84E38"/>
    <w:rsid w:val="00D85780"/>
    <w:rsid w:val="00D91EB1"/>
    <w:rsid w:val="00D925AA"/>
    <w:rsid w:val="00D9283D"/>
    <w:rsid w:val="00D92988"/>
    <w:rsid w:val="00D930DD"/>
    <w:rsid w:val="00D9341C"/>
    <w:rsid w:val="00D94B7D"/>
    <w:rsid w:val="00DA0B1A"/>
    <w:rsid w:val="00DA1560"/>
    <w:rsid w:val="00DA18D1"/>
    <w:rsid w:val="00DA3176"/>
    <w:rsid w:val="00DA386A"/>
    <w:rsid w:val="00DA4C44"/>
    <w:rsid w:val="00DA4C48"/>
    <w:rsid w:val="00DA4E21"/>
    <w:rsid w:val="00DA56EA"/>
    <w:rsid w:val="00DA71EF"/>
    <w:rsid w:val="00DA7A18"/>
    <w:rsid w:val="00DB1347"/>
    <w:rsid w:val="00DB28CE"/>
    <w:rsid w:val="00DB29BC"/>
    <w:rsid w:val="00DB2A2A"/>
    <w:rsid w:val="00DB44F0"/>
    <w:rsid w:val="00DB479F"/>
    <w:rsid w:val="00DB55B6"/>
    <w:rsid w:val="00DB5EA7"/>
    <w:rsid w:val="00DB5F21"/>
    <w:rsid w:val="00DB666B"/>
    <w:rsid w:val="00DB6D7C"/>
    <w:rsid w:val="00DB7183"/>
    <w:rsid w:val="00DC090A"/>
    <w:rsid w:val="00DC0E7E"/>
    <w:rsid w:val="00DC2D72"/>
    <w:rsid w:val="00DC30EA"/>
    <w:rsid w:val="00DC4FE9"/>
    <w:rsid w:val="00DC5918"/>
    <w:rsid w:val="00DC6ACC"/>
    <w:rsid w:val="00DC6C8D"/>
    <w:rsid w:val="00DC7370"/>
    <w:rsid w:val="00DC73A5"/>
    <w:rsid w:val="00DD0236"/>
    <w:rsid w:val="00DD3B0D"/>
    <w:rsid w:val="00DD4100"/>
    <w:rsid w:val="00DD76A4"/>
    <w:rsid w:val="00DD7C65"/>
    <w:rsid w:val="00DD7CD9"/>
    <w:rsid w:val="00DE03E4"/>
    <w:rsid w:val="00DE063E"/>
    <w:rsid w:val="00DE1134"/>
    <w:rsid w:val="00DE1AEB"/>
    <w:rsid w:val="00DE2247"/>
    <w:rsid w:val="00DE2A34"/>
    <w:rsid w:val="00DE37AE"/>
    <w:rsid w:val="00DE46A4"/>
    <w:rsid w:val="00DE4732"/>
    <w:rsid w:val="00DE6668"/>
    <w:rsid w:val="00DE6987"/>
    <w:rsid w:val="00DE7339"/>
    <w:rsid w:val="00DE7BEA"/>
    <w:rsid w:val="00DF1246"/>
    <w:rsid w:val="00DF30C0"/>
    <w:rsid w:val="00DF31C2"/>
    <w:rsid w:val="00E005CA"/>
    <w:rsid w:val="00E0080A"/>
    <w:rsid w:val="00E00824"/>
    <w:rsid w:val="00E00F31"/>
    <w:rsid w:val="00E00FAC"/>
    <w:rsid w:val="00E01E61"/>
    <w:rsid w:val="00E021B4"/>
    <w:rsid w:val="00E02242"/>
    <w:rsid w:val="00E0300E"/>
    <w:rsid w:val="00E04AE0"/>
    <w:rsid w:val="00E070D0"/>
    <w:rsid w:val="00E10E6C"/>
    <w:rsid w:val="00E11517"/>
    <w:rsid w:val="00E12834"/>
    <w:rsid w:val="00E13727"/>
    <w:rsid w:val="00E1546E"/>
    <w:rsid w:val="00E15630"/>
    <w:rsid w:val="00E17AB3"/>
    <w:rsid w:val="00E20254"/>
    <w:rsid w:val="00E204E6"/>
    <w:rsid w:val="00E209F0"/>
    <w:rsid w:val="00E219EB"/>
    <w:rsid w:val="00E22C13"/>
    <w:rsid w:val="00E23129"/>
    <w:rsid w:val="00E25045"/>
    <w:rsid w:val="00E2677C"/>
    <w:rsid w:val="00E26D83"/>
    <w:rsid w:val="00E271CD"/>
    <w:rsid w:val="00E27A1E"/>
    <w:rsid w:val="00E306E9"/>
    <w:rsid w:val="00E307DC"/>
    <w:rsid w:val="00E309B2"/>
    <w:rsid w:val="00E323CF"/>
    <w:rsid w:val="00E334B9"/>
    <w:rsid w:val="00E33905"/>
    <w:rsid w:val="00E342D1"/>
    <w:rsid w:val="00E34B96"/>
    <w:rsid w:val="00E36DCD"/>
    <w:rsid w:val="00E37502"/>
    <w:rsid w:val="00E40127"/>
    <w:rsid w:val="00E43074"/>
    <w:rsid w:val="00E431C8"/>
    <w:rsid w:val="00E44926"/>
    <w:rsid w:val="00E44E09"/>
    <w:rsid w:val="00E45581"/>
    <w:rsid w:val="00E45963"/>
    <w:rsid w:val="00E45D53"/>
    <w:rsid w:val="00E46DBD"/>
    <w:rsid w:val="00E51708"/>
    <w:rsid w:val="00E51729"/>
    <w:rsid w:val="00E51D0A"/>
    <w:rsid w:val="00E53139"/>
    <w:rsid w:val="00E53A8F"/>
    <w:rsid w:val="00E5435E"/>
    <w:rsid w:val="00E55290"/>
    <w:rsid w:val="00E55A81"/>
    <w:rsid w:val="00E56450"/>
    <w:rsid w:val="00E56DA8"/>
    <w:rsid w:val="00E575CA"/>
    <w:rsid w:val="00E60ACC"/>
    <w:rsid w:val="00E60C4B"/>
    <w:rsid w:val="00E60E21"/>
    <w:rsid w:val="00E6570E"/>
    <w:rsid w:val="00E66638"/>
    <w:rsid w:val="00E6706E"/>
    <w:rsid w:val="00E7211D"/>
    <w:rsid w:val="00E73B88"/>
    <w:rsid w:val="00E754C2"/>
    <w:rsid w:val="00E757CA"/>
    <w:rsid w:val="00E75D48"/>
    <w:rsid w:val="00E76750"/>
    <w:rsid w:val="00E773CD"/>
    <w:rsid w:val="00E774C9"/>
    <w:rsid w:val="00E77906"/>
    <w:rsid w:val="00E77D0C"/>
    <w:rsid w:val="00E80964"/>
    <w:rsid w:val="00E809F5"/>
    <w:rsid w:val="00E830BC"/>
    <w:rsid w:val="00E834D1"/>
    <w:rsid w:val="00E83D43"/>
    <w:rsid w:val="00E841A6"/>
    <w:rsid w:val="00E84BCB"/>
    <w:rsid w:val="00E85905"/>
    <w:rsid w:val="00E85D20"/>
    <w:rsid w:val="00E87C0D"/>
    <w:rsid w:val="00E90DC4"/>
    <w:rsid w:val="00E9163F"/>
    <w:rsid w:val="00E91CB7"/>
    <w:rsid w:val="00E955B0"/>
    <w:rsid w:val="00E956E8"/>
    <w:rsid w:val="00E95F8D"/>
    <w:rsid w:val="00EA022D"/>
    <w:rsid w:val="00EA0D10"/>
    <w:rsid w:val="00EA0F2C"/>
    <w:rsid w:val="00EA19CB"/>
    <w:rsid w:val="00EA1D8E"/>
    <w:rsid w:val="00EA2C8F"/>
    <w:rsid w:val="00EA5045"/>
    <w:rsid w:val="00EA5D64"/>
    <w:rsid w:val="00EA613A"/>
    <w:rsid w:val="00EA6379"/>
    <w:rsid w:val="00EA6A8C"/>
    <w:rsid w:val="00EA6C6E"/>
    <w:rsid w:val="00EB2AD1"/>
    <w:rsid w:val="00EB2F9F"/>
    <w:rsid w:val="00EB3067"/>
    <w:rsid w:val="00EB353E"/>
    <w:rsid w:val="00EB3AA1"/>
    <w:rsid w:val="00EB3E14"/>
    <w:rsid w:val="00EB56E0"/>
    <w:rsid w:val="00EB5DDF"/>
    <w:rsid w:val="00EB62BE"/>
    <w:rsid w:val="00EB6E66"/>
    <w:rsid w:val="00EC0129"/>
    <w:rsid w:val="00EC0DB8"/>
    <w:rsid w:val="00EC3CEC"/>
    <w:rsid w:val="00EC4625"/>
    <w:rsid w:val="00EC4949"/>
    <w:rsid w:val="00ED139E"/>
    <w:rsid w:val="00ED1759"/>
    <w:rsid w:val="00ED2440"/>
    <w:rsid w:val="00ED27A5"/>
    <w:rsid w:val="00ED3ECB"/>
    <w:rsid w:val="00ED445D"/>
    <w:rsid w:val="00ED461C"/>
    <w:rsid w:val="00ED5E2B"/>
    <w:rsid w:val="00EE01C2"/>
    <w:rsid w:val="00EE25BD"/>
    <w:rsid w:val="00EE2FEA"/>
    <w:rsid w:val="00EE37A2"/>
    <w:rsid w:val="00EE3B12"/>
    <w:rsid w:val="00EE5AF3"/>
    <w:rsid w:val="00EE5E91"/>
    <w:rsid w:val="00EE5F8C"/>
    <w:rsid w:val="00EE71AE"/>
    <w:rsid w:val="00EE73BC"/>
    <w:rsid w:val="00EE7AC8"/>
    <w:rsid w:val="00EF00AA"/>
    <w:rsid w:val="00EF07C8"/>
    <w:rsid w:val="00EF3996"/>
    <w:rsid w:val="00EF508B"/>
    <w:rsid w:val="00F0026A"/>
    <w:rsid w:val="00F01833"/>
    <w:rsid w:val="00F021E7"/>
    <w:rsid w:val="00F026C1"/>
    <w:rsid w:val="00F02937"/>
    <w:rsid w:val="00F039D1"/>
    <w:rsid w:val="00F05BEC"/>
    <w:rsid w:val="00F05D0F"/>
    <w:rsid w:val="00F05DB4"/>
    <w:rsid w:val="00F11793"/>
    <w:rsid w:val="00F13358"/>
    <w:rsid w:val="00F1456D"/>
    <w:rsid w:val="00F14AB7"/>
    <w:rsid w:val="00F14DA0"/>
    <w:rsid w:val="00F15387"/>
    <w:rsid w:val="00F15D8B"/>
    <w:rsid w:val="00F15F46"/>
    <w:rsid w:val="00F17D58"/>
    <w:rsid w:val="00F228F5"/>
    <w:rsid w:val="00F23FD4"/>
    <w:rsid w:val="00F24143"/>
    <w:rsid w:val="00F241BE"/>
    <w:rsid w:val="00F24962"/>
    <w:rsid w:val="00F24CD9"/>
    <w:rsid w:val="00F25038"/>
    <w:rsid w:val="00F26ACF"/>
    <w:rsid w:val="00F2735C"/>
    <w:rsid w:val="00F3124A"/>
    <w:rsid w:val="00F31626"/>
    <w:rsid w:val="00F31D41"/>
    <w:rsid w:val="00F34539"/>
    <w:rsid w:val="00F35005"/>
    <w:rsid w:val="00F359FB"/>
    <w:rsid w:val="00F364CB"/>
    <w:rsid w:val="00F36E13"/>
    <w:rsid w:val="00F37601"/>
    <w:rsid w:val="00F4045D"/>
    <w:rsid w:val="00F4058E"/>
    <w:rsid w:val="00F40609"/>
    <w:rsid w:val="00F4074F"/>
    <w:rsid w:val="00F4220F"/>
    <w:rsid w:val="00F423B8"/>
    <w:rsid w:val="00F43F58"/>
    <w:rsid w:val="00F45507"/>
    <w:rsid w:val="00F46014"/>
    <w:rsid w:val="00F47670"/>
    <w:rsid w:val="00F47FB1"/>
    <w:rsid w:val="00F51371"/>
    <w:rsid w:val="00F51AF6"/>
    <w:rsid w:val="00F54854"/>
    <w:rsid w:val="00F551E9"/>
    <w:rsid w:val="00F55A95"/>
    <w:rsid w:val="00F56113"/>
    <w:rsid w:val="00F5640F"/>
    <w:rsid w:val="00F56735"/>
    <w:rsid w:val="00F56B3A"/>
    <w:rsid w:val="00F60E42"/>
    <w:rsid w:val="00F60F94"/>
    <w:rsid w:val="00F615F9"/>
    <w:rsid w:val="00F62055"/>
    <w:rsid w:val="00F620BE"/>
    <w:rsid w:val="00F62BD2"/>
    <w:rsid w:val="00F64DC5"/>
    <w:rsid w:val="00F73938"/>
    <w:rsid w:val="00F73E87"/>
    <w:rsid w:val="00F74224"/>
    <w:rsid w:val="00F747A9"/>
    <w:rsid w:val="00F76696"/>
    <w:rsid w:val="00F77295"/>
    <w:rsid w:val="00F77486"/>
    <w:rsid w:val="00F77A84"/>
    <w:rsid w:val="00F80438"/>
    <w:rsid w:val="00F81807"/>
    <w:rsid w:val="00F87905"/>
    <w:rsid w:val="00F91A0D"/>
    <w:rsid w:val="00F9217D"/>
    <w:rsid w:val="00F9229E"/>
    <w:rsid w:val="00F92724"/>
    <w:rsid w:val="00F92A12"/>
    <w:rsid w:val="00F942E2"/>
    <w:rsid w:val="00F9523B"/>
    <w:rsid w:val="00F9546E"/>
    <w:rsid w:val="00F9560B"/>
    <w:rsid w:val="00F95755"/>
    <w:rsid w:val="00F96E67"/>
    <w:rsid w:val="00F96E92"/>
    <w:rsid w:val="00FA0700"/>
    <w:rsid w:val="00FA1205"/>
    <w:rsid w:val="00FA13CB"/>
    <w:rsid w:val="00FA2259"/>
    <w:rsid w:val="00FA2BE9"/>
    <w:rsid w:val="00FA31AE"/>
    <w:rsid w:val="00FA4FCD"/>
    <w:rsid w:val="00FB1DA4"/>
    <w:rsid w:val="00FB2973"/>
    <w:rsid w:val="00FB2ABC"/>
    <w:rsid w:val="00FB42CF"/>
    <w:rsid w:val="00FB511E"/>
    <w:rsid w:val="00FB7B5E"/>
    <w:rsid w:val="00FC07DD"/>
    <w:rsid w:val="00FC1F5F"/>
    <w:rsid w:val="00FC22F0"/>
    <w:rsid w:val="00FC26CF"/>
    <w:rsid w:val="00FC2B86"/>
    <w:rsid w:val="00FC48B5"/>
    <w:rsid w:val="00FC4CA2"/>
    <w:rsid w:val="00FC52EE"/>
    <w:rsid w:val="00FC6FF3"/>
    <w:rsid w:val="00FC7629"/>
    <w:rsid w:val="00FC7B2A"/>
    <w:rsid w:val="00FD1E3C"/>
    <w:rsid w:val="00FD3D67"/>
    <w:rsid w:val="00FD536A"/>
    <w:rsid w:val="00FD74FF"/>
    <w:rsid w:val="00FE3CEC"/>
    <w:rsid w:val="00FE4145"/>
    <w:rsid w:val="00FE46BE"/>
    <w:rsid w:val="00FE5F2D"/>
    <w:rsid w:val="00FE607C"/>
    <w:rsid w:val="00FE6A1F"/>
    <w:rsid w:val="00FE743E"/>
    <w:rsid w:val="00FF04FB"/>
    <w:rsid w:val="00FF0810"/>
    <w:rsid w:val="00FF11E6"/>
    <w:rsid w:val="00FF19D2"/>
    <w:rsid w:val="00FF32F3"/>
    <w:rsid w:val="00FF4A75"/>
    <w:rsid w:val="00FF5B06"/>
    <w:rsid w:val="00FF71CC"/>
    <w:rsid w:val="00FF7B82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hapeDefaults>
    <o:shapedefaults v:ext="edit" spidmax="2049">
      <o:colormru v:ext="edit" colors="#5a9a98,#ddcf56,#ad495d,#ab9c8f,#b5d3d2,#7e6d5f,#f26631,#54534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5EF"/>
    <w:rPr>
      <w:szCs w:val="24"/>
      <w:lang w:val="en-AU" w:eastAsia="en-AU"/>
    </w:rPr>
  </w:style>
  <w:style w:type="paragraph" w:styleId="Heading1">
    <w:name w:val="heading 1"/>
    <w:basedOn w:val="Contents"/>
    <w:next w:val="BodyText"/>
    <w:qFormat/>
    <w:rsid w:val="00EC4949"/>
    <w:pPr>
      <w:spacing w:before="80"/>
      <w:outlineLvl w:val="0"/>
    </w:pPr>
  </w:style>
  <w:style w:type="paragraph" w:styleId="Heading2">
    <w:name w:val="heading 2"/>
    <w:basedOn w:val="Heading1"/>
    <w:next w:val="BodyText"/>
    <w:qFormat/>
    <w:rsid w:val="00A66E8A"/>
    <w:pPr>
      <w:numPr>
        <w:ilvl w:val="1"/>
        <w:numId w:val="7"/>
      </w:numPr>
      <w:spacing w:before="380" w:after="0" w:line="280" w:lineRule="atLeast"/>
      <w:ind w:left="0"/>
      <w:outlineLvl w:val="1"/>
    </w:pPr>
    <w:rPr>
      <w:rFonts w:ascii="Franklin Gothic Medium" w:hAnsi="Franklin Gothic Medium"/>
      <w:color w:val="5A9A98"/>
      <w:sz w:val="24"/>
      <w:szCs w:val="24"/>
    </w:rPr>
  </w:style>
  <w:style w:type="paragraph" w:styleId="Heading3">
    <w:name w:val="heading 3"/>
    <w:basedOn w:val="Heading2"/>
    <w:next w:val="BodyText"/>
    <w:qFormat/>
    <w:rsid w:val="00A66E8A"/>
    <w:pPr>
      <w:numPr>
        <w:ilvl w:val="2"/>
      </w:numPr>
      <w:spacing w:before="300" w:line="260" w:lineRule="atLeast"/>
      <w:outlineLvl w:val="2"/>
    </w:pPr>
    <w:rPr>
      <w:color w:val="54534A"/>
      <w:sz w:val="22"/>
      <w:szCs w:val="22"/>
    </w:rPr>
  </w:style>
  <w:style w:type="paragraph" w:styleId="Heading4">
    <w:name w:val="heading 4"/>
    <w:basedOn w:val="BodyText"/>
    <w:next w:val="BodyText"/>
    <w:qFormat/>
    <w:rsid w:val="00222F3B"/>
    <w:pPr>
      <w:numPr>
        <w:ilvl w:val="3"/>
        <w:numId w:val="7"/>
      </w:numPr>
      <w:spacing w:before="320" w:after="0"/>
      <w:outlineLvl w:val="3"/>
    </w:pPr>
    <w:rPr>
      <w:b/>
      <w:color w:val="54534A"/>
      <w:sz w:val="22"/>
      <w:szCs w:val="22"/>
    </w:rPr>
  </w:style>
  <w:style w:type="paragraph" w:styleId="Heading5">
    <w:name w:val="heading 5"/>
    <w:basedOn w:val="BodyText"/>
    <w:next w:val="BodyText"/>
    <w:qFormat/>
    <w:rsid w:val="00B525EE"/>
    <w:pPr>
      <w:keepNext/>
      <w:numPr>
        <w:ilvl w:val="4"/>
        <w:numId w:val="7"/>
      </w:numPr>
      <w:spacing w:before="320" w:after="0"/>
      <w:outlineLvl w:val="4"/>
    </w:pPr>
    <w:rPr>
      <w:b/>
      <w:color w:val="54534A"/>
    </w:rPr>
  </w:style>
  <w:style w:type="paragraph" w:styleId="Heading6">
    <w:name w:val="heading 6"/>
    <w:basedOn w:val="Heading1"/>
    <w:next w:val="BodyText"/>
    <w:qFormat/>
    <w:rsid w:val="00B525EE"/>
    <w:pPr>
      <w:numPr>
        <w:ilvl w:val="5"/>
        <w:numId w:val="7"/>
      </w:numPr>
      <w:outlineLvl w:val="5"/>
    </w:pPr>
    <w:rPr>
      <w:bCs/>
    </w:rPr>
  </w:style>
  <w:style w:type="paragraph" w:styleId="Heading7">
    <w:name w:val="heading 7"/>
    <w:basedOn w:val="Heading2"/>
    <w:next w:val="BodyText"/>
    <w:qFormat/>
    <w:rsid w:val="00B525EE"/>
    <w:pPr>
      <w:numPr>
        <w:ilvl w:val="6"/>
      </w:numPr>
      <w:outlineLvl w:val="6"/>
    </w:pPr>
    <w:rPr>
      <w:rFonts w:ascii="Franklin Gothic Demi" w:hAnsi="Franklin Gothic Demi"/>
      <w:sz w:val="28"/>
      <w:szCs w:val="28"/>
    </w:rPr>
  </w:style>
  <w:style w:type="paragraph" w:styleId="Heading8">
    <w:name w:val="heading 8"/>
    <w:basedOn w:val="Heading3"/>
    <w:next w:val="BodyText"/>
    <w:qFormat/>
    <w:rsid w:val="00B525EE"/>
    <w:pPr>
      <w:numPr>
        <w:ilvl w:val="7"/>
      </w:numPr>
      <w:outlineLvl w:val="7"/>
    </w:pPr>
  </w:style>
  <w:style w:type="paragraph" w:styleId="Heading9">
    <w:name w:val="heading 9"/>
    <w:basedOn w:val="Heading4"/>
    <w:next w:val="BodyText"/>
    <w:qFormat/>
    <w:rsid w:val="00B525EE"/>
    <w:pPr>
      <w:numPr>
        <w:ilvl w:val="8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ListParagraph"/>
    <w:link w:val="BodyTextChar"/>
    <w:rsid w:val="00BD39E2"/>
    <w:pPr>
      <w:spacing w:before="80" w:after="80" w:line="280" w:lineRule="atLeast"/>
      <w:ind w:left="0"/>
      <w:contextualSpacing w:val="0"/>
    </w:pPr>
    <w:rPr>
      <w:rFonts w:ascii="Georgia" w:hAnsi="Georgia"/>
      <w:sz w:val="19"/>
      <w:szCs w:val="19"/>
      <w:lang w:val="x-none" w:eastAsia="x-none"/>
    </w:rPr>
  </w:style>
  <w:style w:type="character" w:customStyle="1" w:styleId="BodyTextChar">
    <w:name w:val="Body Text Char"/>
    <w:link w:val="BodyText"/>
    <w:rsid w:val="00BD39E2"/>
    <w:rPr>
      <w:rFonts w:ascii="Georgia" w:eastAsia="Calibri" w:hAnsi="Georgia"/>
      <w:sz w:val="19"/>
      <w:szCs w:val="19"/>
    </w:rPr>
  </w:style>
  <w:style w:type="character" w:customStyle="1" w:styleId="DraftingNote">
    <w:name w:val="Drafting Note"/>
    <w:semiHidden/>
    <w:rsid w:val="00F0026A"/>
    <w:rPr>
      <w:rFonts w:ascii="Georgia" w:hAnsi="Georgia"/>
      <w:b/>
      <w:color w:val="FF0000"/>
      <w:sz w:val="19"/>
      <w:szCs w:val="19"/>
      <w:u w:val="dotted"/>
    </w:rPr>
  </w:style>
  <w:style w:type="paragraph" w:customStyle="1" w:styleId="QuoteBullet">
    <w:name w:val="Quote Bullet"/>
    <w:basedOn w:val="Quote"/>
    <w:rsid w:val="008B14A2"/>
    <w:pPr>
      <w:numPr>
        <w:numId w:val="24"/>
      </w:numPr>
    </w:pPr>
  </w:style>
  <w:style w:type="paragraph" w:customStyle="1" w:styleId="Abbreviation">
    <w:name w:val="Abbreviation"/>
    <w:basedOn w:val="BodyText"/>
    <w:rsid w:val="00942B42"/>
    <w:pPr>
      <w:ind w:left="1418" w:hanging="1418"/>
    </w:pPr>
  </w:style>
  <w:style w:type="paragraph" w:customStyle="1" w:styleId="Ratingamber">
    <w:name w:val="Rating amber"/>
    <w:basedOn w:val="Normal"/>
    <w:semiHidden/>
    <w:rsid w:val="001C6E03"/>
    <w:pPr>
      <w:numPr>
        <w:numId w:val="11"/>
      </w:numPr>
      <w:spacing w:before="80" w:after="80" w:line="280" w:lineRule="atLeast"/>
    </w:pPr>
    <w:rPr>
      <w:rFonts w:ascii="Georgia" w:hAnsi="Georgia"/>
      <w:sz w:val="19"/>
      <w:szCs w:val="19"/>
    </w:rPr>
  </w:style>
  <w:style w:type="paragraph" w:styleId="ListBullet">
    <w:name w:val="List Bullet"/>
    <w:basedOn w:val="BodyText"/>
    <w:rsid w:val="002C5AF0"/>
    <w:pPr>
      <w:numPr>
        <w:numId w:val="17"/>
      </w:numPr>
    </w:pPr>
  </w:style>
  <w:style w:type="paragraph" w:styleId="ListBullet2">
    <w:name w:val="List Bullet 2"/>
    <w:basedOn w:val="ListBullet"/>
    <w:rsid w:val="00D42D78"/>
    <w:pPr>
      <w:numPr>
        <w:numId w:val="13"/>
      </w:numPr>
      <w:spacing w:before="0"/>
      <w:ind w:left="568" w:hanging="284"/>
    </w:pPr>
  </w:style>
  <w:style w:type="paragraph" w:styleId="ListNumber">
    <w:name w:val="List Number"/>
    <w:basedOn w:val="ListBullet"/>
    <w:rsid w:val="00D42D78"/>
    <w:pPr>
      <w:numPr>
        <w:numId w:val="14"/>
      </w:numPr>
    </w:pPr>
  </w:style>
  <w:style w:type="paragraph" w:styleId="ListNumber2">
    <w:name w:val="List Number 2"/>
    <w:basedOn w:val="ListNumber"/>
    <w:rsid w:val="00D42D78"/>
    <w:pPr>
      <w:numPr>
        <w:numId w:val="15"/>
      </w:numPr>
      <w:spacing w:before="0"/>
      <w:ind w:left="568" w:hanging="284"/>
    </w:pPr>
  </w:style>
  <w:style w:type="paragraph" w:styleId="Quote">
    <w:name w:val="Quote"/>
    <w:basedOn w:val="BodyText"/>
    <w:next w:val="BodyText"/>
    <w:qFormat/>
    <w:rsid w:val="00B84A71"/>
    <w:pPr>
      <w:spacing w:before="0" w:line="260" w:lineRule="atLeast"/>
      <w:ind w:left="284"/>
    </w:pPr>
    <w:rPr>
      <w:sz w:val="17"/>
      <w:szCs w:val="17"/>
    </w:rPr>
  </w:style>
  <w:style w:type="paragraph" w:customStyle="1" w:styleId="Ratinggreen">
    <w:name w:val="Rating green"/>
    <w:basedOn w:val="Ratingamber"/>
    <w:semiHidden/>
    <w:rsid w:val="001C6E03"/>
    <w:pPr>
      <w:numPr>
        <w:numId w:val="12"/>
      </w:numPr>
    </w:pPr>
  </w:style>
  <w:style w:type="paragraph" w:customStyle="1" w:styleId="Reference">
    <w:name w:val="Reference"/>
    <w:basedOn w:val="BodyText"/>
    <w:semiHidden/>
    <w:rsid w:val="00F0026A"/>
    <w:pPr>
      <w:keepLines/>
      <w:spacing w:before="60" w:after="60" w:line="260" w:lineRule="atLeast"/>
      <w:ind w:left="284" w:hanging="284"/>
    </w:pPr>
    <w:rPr>
      <w:sz w:val="17"/>
      <w:szCs w:val="17"/>
    </w:rPr>
  </w:style>
  <w:style w:type="paragraph" w:styleId="Title">
    <w:name w:val="Title"/>
    <w:basedOn w:val="Normal"/>
    <w:next w:val="Subtitle"/>
    <w:link w:val="TitleChar"/>
    <w:qFormat/>
    <w:rsid w:val="00E77D0C"/>
    <w:pPr>
      <w:pageBreakBefore/>
      <w:spacing w:line="540" w:lineRule="atLeast"/>
    </w:pPr>
    <w:rPr>
      <w:rFonts w:ascii="Franklin Gothic Book" w:hAnsi="Franklin Gothic Book"/>
      <w:color w:val="FFFFFF"/>
      <w:spacing w:val="-10"/>
      <w:kern w:val="28"/>
      <w:sz w:val="46"/>
      <w:szCs w:val="46"/>
    </w:rPr>
  </w:style>
  <w:style w:type="paragraph" w:styleId="Subtitle">
    <w:name w:val="Subtitle"/>
    <w:basedOn w:val="Title"/>
    <w:next w:val="Date"/>
    <w:link w:val="SubtitleChar"/>
    <w:qFormat/>
    <w:rsid w:val="005B522F"/>
    <w:pPr>
      <w:pageBreakBefore w:val="0"/>
      <w:spacing w:before="120" w:line="380" w:lineRule="atLeast"/>
    </w:pPr>
    <w:rPr>
      <w:sz w:val="32"/>
      <w:szCs w:val="32"/>
    </w:rPr>
  </w:style>
  <w:style w:type="paragraph" w:customStyle="1" w:styleId="Contents">
    <w:name w:val="Contents"/>
    <w:basedOn w:val="Normal"/>
    <w:next w:val="BodyText"/>
    <w:semiHidden/>
    <w:rsid w:val="00DE7339"/>
    <w:pPr>
      <w:spacing w:before="460" w:after="100" w:line="320" w:lineRule="atLeast"/>
    </w:pPr>
    <w:rPr>
      <w:rFonts w:ascii="Franklin Gothic Demi" w:hAnsi="Franklin Gothic Demi"/>
      <w:color w:val="AD495D"/>
      <w:kern w:val="28"/>
      <w:sz w:val="28"/>
      <w:szCs w:val="28"/>
    </w:rPr>
  </w:style>
  <w:style w:type="paragraph" w:styleId="Date">
    <w:name w:val="Date"/>
    <w:basedOn w:val="Subtitle"/>
    <w:next w:val="Author"/>
    <w:link w:val="DateChar"/>
    <w:semiHidden/>
    <w:rsid w:val="00A53A6B"/>
    <w:pPr>
      <w:spacing w:after="1000"/>
    </w:pPr>
    <w:rPr>
      <w:sz w:val="24"/>
      <w:szCs w:val="24"/>
    </w:rPr>
  </w:style>
  <w:style w:type="paragraph" w:styleId="Footer">
    <w:name w:val="footer"/>
    <w:basedOn w:val="Normal"/>
    <w:semiHidden/>
    <w:rsid w:val="00F23FD4"/>
    <w:pPr>
      <w:tabs>
        <w:tab w:val="left" w:pos="0"/>
        <w:tab w:val="right" w:pos="7938"/>
        <w:tab w:val="right" w:pos="8505"/>
      </w:tabs>
      <w:spacing w:line="180" w:lineRule="exact"/>
      <w:ind w:left="-567" w:right="-567"/>
    </w:pPr>
    <w:rPr>
      <w:rFonts w:ascii="Franklin Gothic Medium" w:hAnsi="Franklin Gothic Medium"/>
      <w:color w:val="5A9A98"/>
      <w:sz w:val="14"/>
      <w:szCs w:val="14"/>
    </w:rPr>
  </w:style>
  <w:style w:type="paragraph" w:styleId="Header">
    <w:name w:val="header"/>
    <w:basedOn w:val="Normal"/>
    <w:semiHidden/>
    <w:rsid w:val="0073548A"/>
    <w:pPr>
      <w:spacing w:line="180" w:lineRule="exact"/>
      <w:jc w:val="right"/>
    </w:pPr>
    <w:rPr>
      <w:rFonts w:ascii="Franklin Gothic Medium" w:hAnsi="Franklin Gothic Medium"/>
      <w:sz w:val="14"/>
      <w:szCs w:val="14"/>
    </w:rPr>
  </w:style>
  <w:style w:type="character" w:styleId="PageNumber">
    <w:name w:val="page number"/>
    <w:semiHidden/>
    <w:rsid w:val="007A2D4A"/>
    <w:rPr>
      <w:rFonts w:ascii="Franklin Gothic Medium" w:hAnsi="Franklin Gothic Medium"/>
      <w:color w:val="54534A"/>
      <w:sz w:val="14"/>
      <w:szCs w:val="14"/>
    </w:rPr>
  </w:style>
  <w:style w:type="paragraph" w:styleId="TOC1">
    <w:name w:val="toc 1"/>
    <w:basedOn w:val="BodyText"/>
    <w:next w:val="BodyText"/>
    <w:uiPriority w:val="39"/>
    <w:rsid w:val="001577F1"/>
    <w:pPr>
      <w:tabs>
        <w:tab w:val="left" w:pos="397"/>
        <w:tab w:val="right" w:pos="7938"/>
      </w:tabs>
      <w:spacing w:before="180" w:after="0"/>
      <w:ind w:left="397" w:right="567" w:hanging="397"/>
    </w:pPr>
    <w:rPr>
      <w:rFonts w:ascii="Franklin Gothic Medium" w:hAnsi="Franklin Gothic Medium"/>
      <w:color w:val="5A9A98"/>
      <w:sz w:val="22"/>
      <w:szCs w:val="22"/>
    </w:rPr>
  </w:style>
  <w:style w:type="paragraph" w:styleId="TOC2">
    <w:name w:val="toc 2"/>
    <w:basedOn w:val="TOC1"/>
    <w:next w:val="TOC1"/>
    <w:uiPriority w:val="39"/>
    <w:rsid w:val="001577F1"/>
    <w:pPr>
      <w:spacing w:before="120" w:line="200" w:lineRule="atLeast"/>
      <w:ind w:left="0" w:firstLine="0"/>
    </w:pPr>
    <w:rPr>
      <w:rFonts w:ascii="Franklin Gothic Book" w:hAnsi="Franklin Gothic Book"/>
      <w:color w:val="54534A"/>
      <w:sz w:val="19"/>
      <w:szCs w:val="19"/>
    </w:rPr>
  </w:style>
  <w:style w:type="paragraph" w:customStyle="1" w:styleId="Reporttype">
    <w:name w:val="Report type"/>
    <w:basedOn w:val="BodyText"/>
    <w:semiHidden/>
    <w:rsid w:val="00F15D8B"/>
    <w:pPr>
      <w:spacing w:before="0" w:line="400" w:lineRule="atLeast"/>
    </w:pPr>
    <w:rPr>
      <w:rFonts w:ascii="Arial" w:hAnsi="Arial"/>
      <w:color w:val="00467F"/>
      <w:spacing w:val="-2"/>
      <w:sz w:val="36"/>
      <w:szCs w:val="36"/>
    </w:rPr>
  </w:style>
  <w:style w:type="character" w:customStyle="1" w:styleId="Subtitlebox">
    <w:name w:val="Subtitle box"/>
    <w:aliases w:val="figure &amp; table,chart &amp; table"/>
    <w:semiHidden/>
    <w:rsid w:val="008E6453"/>
    <w:rPr>
      <w:rFonts w:ascii="Franklin Gothic Book" w:hAnsi="Franklin Gothic Book"/>
      <w:color w:val="auto"/>
      <w:sz w:val="17"/>
      <w:szCs w:val="17"/>
    </w:rPr>
  </w:style>
  <w:style w:type="paragraph" w:customStyle="1" w:styleId="Invisiblepara">
    <w:name w:val="Invisible para"/>
    <w:basedOn w:val="Normal"/>
    <w:semiHidden/>
    <w:rsid w:val="00F747A9"/>
    <w:pPr>
      <w:keepNext/>
      <w:spacing w:before="320" w:line="80" w:lineRule="exact"/>
    </w:pPr>
    <w:rPr>
      <w:sz w:val="21"/>
      <w:szCs w:val="20"/>
    </w:rPr>
  </w:style>
  <w:style w:type="paragraph" w:styleId="Caption">
    <w:name w:val="caption"/>
    <w:basedOn w:val="Normal"/>
    <w:next w:val="BodyText"/>
    <w:qFormat/>
    <w:rsid w:val="00227783"/>
    <w:pPr>
      <w:keepNext/>
      <w:spacing w:before="320" w:after="80" w:line="230" w:lineRule="exact"/>
    </w:pPr>
    <w:rPr>
      <w:rFonts w:ascii="Franklin Gothic Demi" w:hAnsi="Franklin Gothic Demi"/>
      <w:color w:val="7E6D5F"/>
      <w:sz w:val="19"/>
      <w:szCs w:val="19"/>
    </w:rPr>
  </w:style>
  <w:style w:type="paragraph" w:customStyle="1" w:styleId="BoxListBullet">
    <w:name w:val="Box List Bullet"/>
    <w:basedOn w:val="BoxText"/>
    <w:rsid w:val="006C6761"/>
    <w:pPr>
      <w:keepLines/>
      <w:numPr>
        <w:numId w:val="5"/>
      </w:numPr>
      <w:spacing w:before="0"/>
    </w:pPr>
    <w:rPr>
      <w:szCs w:val="20"/>
    </w:rPr>
  </w:style>
  <w:style w:type="character" w:customStyle="1" w:styleId="NoteLabel">
    <w:name w:val="Note Label"/>
    <w:rsid w:val="0073548A"/>
    <w:rPr>
      <w:rFonts w:ascii="Franklin Gothic Medium" w:hAnsi="Franklin Gothic Medium"/>
      <w:color w:val="auto"/>
      <w:position w:val="4"/>
      <w:sz w:val="14"/>
      <w:szCs w:val="14"/>
    </w:rPr>
  </w:style>
  <w:style w:type="paragraph" w:customStyle="1" w:styleId="Note">
    <w:name w:val="Note"/>
    <w:basedOn w:val="TableTextEntries"/>
    <w:next w:val="Source"/>
    <w:link w:val="NoteCharChar"/>
    <w:rsid w:val="008D75EB"/>
    <w:pPr>
      <w:spacing w:after="0" w:line="180" w:lineRule="atLeast"/>
    </w:pPr>
    <w:rPr>
      <w:sz w:val="14"/>
      <w:szCs w:val="14"/>
    </w:rPr>
  </w:style>
  <w:style w:type="paragraph" w:customStyle="1" w:styleId="TableTextEntries">
    <w:name w:val="Table Text Entries"/>
    <w:basedOn w:val="Normal"/>
    <w:rsid w:val="00F021E7"/>
    <w:pPr>
      <w:keepLines/>
      <w:spacing w:before="40" w:after="40" w:line="200" w:lineRule="atLeast"/>
    </w:pPr>
    <w:rPr>
      <w:rFonts w:ascii="Franklin Gothic Book" w:hAnsi="Franklin Gothic Book"/>
      <w:sz w:val="17"/>
      <w:szCs w:val="17"/>
      <w:lang w:eastAsia="en-US"/>
    </w:rPr>
  </w:style>
  <w:style w:type="paragraph" w:customStyle="1" w:styleId="Source">
    <w:name w:val="Source"/>
    <w:basedOn w:val="Note"/>
    <w:next w:val="BodyText"/>
    <w:rsid w:val="00ED5E2B"/>
    <w:pPr>
      <w:spacing w:after="240"/>
    </w:pPr>
  </w:style>
  <w:style w:type="paragraph" w:customStyle="1" w:styleId="BoxHeading1">
    <w:name w:val="Box Heading 1"/>
    <w:basedOn w:val="BoxText"/>
    <w:next w:val="BoxText"/>
    <w:link w:val="BoxHeading1Char"/>
    <w:rsid w:val="00FC7629"/>
    <w:pPr>
      <w:spacing w:before="180" w:after="0" w:line="220" w:lineRule="atLeast"/>
    </w:pPr>
    <w:rPr>
      <w:rFonts w:ascii="Franklin Gothic Demi" w:hAnsi="Franklin Gothic Demi"/>
      <w:color w:val="000000"/>
    </w:rPr>
  </w:style>
  <w:style w:type="paragraph" w:customStyle="1" w:styleId="BoxHeading2">
    <w:name w:val="Box Heading 2"/>
    <w:basedOn w:val="BoxHeading1"/>
    <w:next w:val="BoxText"/>
    <w:rsid w:val="002C23D1"/>
    <w:pPr>
      <w:spacing w:before="140"/>
    </w:pPr>
    <w:rPr>
      <w:rFonts w:ascii="Franklin Gothic Book" w:hAnsi="Franklin Gothic Book"/>
      <w:i/>
      <w:color w:val="auto"/>
    </w:rPr>
  </w:style>
  <w:style w:type="paragraph" w:customStyle="1" w:styleId="TableListBullet">
    <w:name w:val="Table List Bullet"/>
    <w:basedOn w:val="TableTextEntries"/>
    <w:rsid w:val="00FA0700"/>
    <w:pPr>
      <w:numPr>
        <w:numId w:val="9"/>
      </w:numPr>
    </w:pPr>
  </w:style>
  <w:style w:type="paragraph" w:styleId="TableofFigures">
    <w:name w:val="table of figures"/>
    <w:basedOn w:val="BodyText"/>
    <w:next w:val="BodyText"/>
    <w:semiHidden/>
    <w:rsid w:val="00751A18"/>
    <w:pPr>
      <w:tabs>
        <w:tab w:val="left" w:pos="1077"/>
        <w:tab w:val="right" w:pos="8505"/>
      </w:tabs>
      <w:spacing w:before="60" w:line="260" w:lineRule="atLeast"/>
      <w:ind w:left="1077" w:right="567" w:hanging="1077"/>
    </w:pPr>
  </w:style>
  <w:style w:type="paragraph" w:styleId="TOC3">
    <w:name w:val="toc 3"/>
    <w:basedOn w:val="TOC2"/>
    <w:next w:val="BodyText"/>
    <w:semiHidden/>
    <w:rsid w:val="00F9523B"/>
    <w:pPr>
      <w:tabs>
        <w:tab w:val="clear" w:pos="397"/>
      </w:tabs>
      <w:spacing w:before="40" w:line="230" w:lineRule="atLeast"/>
      <w:ind w:left="567" w:hanging="567"/>
    </w:pPr>
    <w:rPr>
      <w:rFonts w:ascii="Georgia" w:hAnsi="Georgia"/>
      <w:color w:val="auto"/>
    </w:rPr>
  </w:style>
  <w:style w:type="paragraph" w:customStyle="1" w:styleId="Continued">
    <w:name w:val="Continued"/>
    <w:basedOn w:val="Source"/>
    <w:next w:val="BodyText"/>
    <w:semiHidden/>
    <w:rsid w:val="00B622E7"/>
    <w:pPr>
      <w:jc w:val="right"/>
    </w:pPr>
  </w:style>
  <w:style w:type="paragraph" w:customStyle="1" w:styleId="Recommendation">
    <w:name w:val="Recommendation"/>
    <w:basedOn w:val="BodyText"/>
    <w:next w:val="BodyText"/>
    <w:semiHidden/>
    <w:rsid w:val="00671255"/>
    <w:pPr>
      <w:tabs>
        <w:tab w:val="left" w:pos="284"/>
      </w:tabs>
      <w:ind w:left="284" w:hanging="284"/>
    </w:pPr>
    <w:rPr>
      <w:rFonts w:eastAsia="MS Mincho" w:cs="MS Mincho"/>
      <w:b/>
    </w:rPr>
  </w:style>
  <w:style w:type="paragraph" w:styleId="TOC6">
    <w:name w:val="toc 6"/>
    <w:basedOn w:val="BodyText"/>
    <w:next w:val="BodyText"/>
    <w:semiHidden/>
    <w:rsid w:val="00671255"/>
    <w:pPr>
      <w:tabs>
        <w:tab w:val="left" w:pos="284"/>
        <w:tab w:val="right" w:pos="8222"/>
      </w:tabs>
      <w:ind w:left="284" w:right="567" w:hanging="284"/>
    </w:pPr>
  </w:style>
  <w:style w:type="character" w:styleId="CommentReference">
    <w:name w:val="annotation reference"/>
    <w:semiHidden/>
    <w:rsid w:val="007A2D4A"/>
    <w:rPr>
      <w:rFonts w:ascii="Franklin Gothic Medium" w:hAnsi="Franklin Gothic Medium"/>
      <w:vanish/>
      <w:color w:val="FF00FF"/>
      <w:sz w:val="16"/>
      <w:szCs w:val="16"/>
    </w:rPr>
  </w:style>
  <w:style w:type="paragraph" w:styleId="CommentText">
    <w:name w:val="annotation text"/>
    <w:basedOn w:val="BodyText"/>
    <w:semiHidden/>
    <w:rsid w:val="008527C1"/>
    <w:pPr>
      <w:spacing w:line="240" w:lineRule="atLeast"/>
    </w:pPr>
    <w:rPr>
      <w:rFonts w:ascii="Calibri" w:hAnsi="Calibri"/>
      <w:sz w:val="18"/>
      <w:szCs w:val="18"/>
    </w:rPr>
  </w:style>
  <w:style w:type="character" w:styleId="FootnoteReference">
    <w:name w:val="footnote reference"/>
    <w:rsid w:val="00FB1DA4"/>
    <w:rPr>
      <w:rFonts w:ascii="Franklin Gothic Book" w:hAnsi="Franklin Gothic Book"/>
      <w:w w:val="100"/>
      <w:position w:val="6"/>
      <w:sz w:val="12"/>
      <w:szCs w:val="12"/>
      <w:vertAlign w:val="baseline"/>
    </w:rPr>
  </w:style>
  <w:style w:type="paragraph" w:styleId="FootnoteText">
    <w:name w:val="footnote text"/>
    <w:basedOn w:val="BodyText"/>
    <w:rsid w:val="00281D52"/>
    <w:pPr>
      <w:spacing w:before="0" w:after="0" w:line="180" w:lineRule="atLeast"/>
      <w:ind w:left="284" w:hanging="284"/>
    </w:pPr>
    <w:rPr>
      <w:rFonts w:ascii="Franklin Gothic Book" w:hAnsi="Franklin Gothic Book"/>
      <w:sz w:val="14"/>
      <w:szCs w:val="14"/>
    </w:rPr>
  </w:style>
  <w:style w:type="character" w:styleId="Hyperlink">
    <w:name w:val="Hyperlink"/>
    <w:semiHidden/>
    <w:rsid w:val="00254E43"/>
    <w:rPr>
      <w:color w:val="00467F"/>
      <w:sz w:val="20"/>
      <w:szCs w:val="20"/>
      <w:u w:val="none"/>
    </w:rPr>
  </w:style>
  <w:style w:type="paragraph" w:customStyle="1" w:styleId="ChartText">
    <w:name w:val="Chart Text"/>
    <w:basedOn w:val="BodyText"/>
    <w:semiHidden/>
    <w:rsid w:val="00CF2071"/>
    <w:pPr>
      <w:spacing w:before="100" w:line="190" w:lineRule="exact"/>
    </w:pPr>
    <w:rPr>
      <w:rFonts w:ascii="Arial" w:hAnsi="Arial"/>
      <w:sz w:val="17"/>
    </w:rPr>
  </w:style>
  <w:style w:type="paragraph" w:customStyle="1" w:styleId="ChartBoldText">
    <w:name w:val="Chart Bold Text"/>
    <w:basedOn w:val="ChartText"/>
    <w:next w:val="ChartText"/>
    <w:semiHidden/>
    <w:rsid w:val="00997A92"/>
    <w:pPr>
      <w:spacing w:before="0"/>
      <w:jc w:val="center"/>
    </w:pPr>
    <w:rPr>
      <w:rFonts w:ascii="Arial Bold" w:hAnsi="Arial Bold"/>
      <w:b/>
      <w:color w:val="073771"/>
      <w:szCs w:val="17"/>
    </w:rPr>
  </w:style>
  <w:style w:type="paragraph" w:customStyle="1" w:styleId="ChartHighlight">
    <w:name w:val="Chart Highlight"/>
    <w:basedOn w:val="ChartBoldText"/>
    <w:semiHidden/>
    <w:rsid w:val="00CF2071"/>
    <w:pPr>
      <w:spacing w:line="210" w:lineRule="exact"/>
    </w:pPr>
    <w:rPr>
      <w:caps/>
      <w:sz w:val="19"/>
    </w:rPr>
  </w:style>
  <w:style w:type="paragraph" w:customStyle="1" w:styleId="ChartListBullet">
    <w:name w:val="Chart List Bullet"/>
    <w:basedOn w:val="TableListBullet"/>
    <w:semiHidden/>
    <w:rsid w:val="00321C81"/>
    <w:pPr>
      <w:numPr>
        <w:numId w:val="0"/>
      </w:numPr>
      <w:tabs>
        <w:tab w:val="num" w:pos="227"/>
      </w:tabs>
      <w:spacing w:before="50" w:after="0" w:line="190" w:lineRule="exact"/>
      <w:ind w:left="227" w:hanging="227"/>
    </w:pPr>
  </w:style>
  <w:style w:type="paragraph" w:customStyle="1" w:styleId="ChartListBullet2">
    <w:name w:val="Chart List Bullet 2"/>
    <w:basedOn w:val="ListBullet2"/>
    <w:semiHidden/>
    <w:rsid w:val="00321C81"/>
    <w:pPr>
      <w:numPr>
        <w:numId w:val="0"/>
      </w:numPr>
      <w:tabs>
        <w:tab w:val="num" w:pos="454"/>
      </w:tabs>
      <w:spacing w:before="30" w:line="190" w:lineRule="exact"/>
      <w:ind w:left="454" w:hanging="227"/>
    </w:pPr>
    <w:rPr>
      <w:rFonts w:ascii="Arial" w:hAnsi="Arial"/>
      <w:sz w:val="17"/>
    </w:rPr>
  </w:style>
  <w:style w:type="paragraph" w:customStyle="1" w:styleId="ChartListNumber">
    <w:name w:val="Chart List Number"/>
    <w:basedOn w:val="ChartText"/>
    <w:semiHidden/>
    <w:rsid w:val="00321C81"/>
    <w:pPr>
      <w:tabs>
        <w:tab w:val="num" w:pos="227"/>
      </w:tabs>
      <w:spacing w:before="60"/>
      <w:ind w:left="227" w:hanging="227"/>
    </w:pPr>
  </w:style>
  <w:style w:type="paragraph" w:styleId="TOC7">
    <w:name w:val="toc 7"/>
    <w:basedOn w:val="TOC1"/>
    <w:next w:val="TOC1"/>
    <w:semiHidden/>
    <w:rsid w:val="0097190C"/>
    <w:pPr>
      <w:tabs>
        <w:tab w:val="left" w:pos="1418"/>
      </w:tabs>
      <w:ind w:left="1418" w:hanging="1418"/>
    </w:pPr>
  </w:style>
  <w:style w:type="paragraph" w:customStyle="1" w:styleId="Author">
    <w:name w:val="Author"/>
    <w:basedOn w:val="Date"/>
    <w:next w:val="Position"/>
    <w:link w:val="AuthorCharChar"/>
    <w:semiHidden/>
    <w:rsid w:val="0075426C"/>
    <w:pPr>
      <w:spacing w:before="180" w:after="0" w:line="260" w:lineRule="atLeast"/>
    </w:pPr>
    <w:rPr>
      <w:rFonts w:ascii="Franklin Gothic Medium" w:hAnsi="Franklin Gothic Medium"/>
      <w:spacing w:val="-2"/>
    </w:rPr>
  </w:style>
  <w:style w:type="paragraph" w:customStyle="1" w:styleId="Position">
    <w:name w:val="Position"/>
    <w:basedOn w:val="Author"/>
    <w:next w:val="Author"/>
    <w:link w:val="PositionCharChar"/>
    <w:semiHidden/>
    <w:rsid w:val="0075426C"/>
    <w:pPr>
      <w:spacing w:before="0"/>
    </w:pPr>
    <w:rPr>
      <w:rFonts w:ascii="Franklin Gothic Book" w:hAnsi="Franklin Gothic Book"/>
    </w:rPr>
  </w:style>
  <w:style w:type="paragraph" w:customStyle="1" w:styleId="CharChar">
    <w:name w:val="Char Char"/>
    <w:basedOn w:val="BoxText"/>
    <w:semiHidden/>
    <w:rsid w:val="001E5458"/>
  </w:style>
  <w:style w:type="paragraph" w:customStyle="1" w:styleId="Client">
    <w:name w:val="Client"/>
    <w:basedOn w:val="Author"/>
    <w:semiHidden/>
    <w:rsid w:val="00AD1F3F"/>
  </w:style>
  <w:style w:type="paragraph" w:customStyle="1" w:styleId="TableDataEntries">
    <w:name w:val="Table Data Entries"/>
    <w:basedOn w:val="TableTextEntries"/>
    <w:rsid w:val="009B0288"/>
    <w:pPr>
      <w:jc w:val="right"/>
    </w:pPr>
  </w:style>
  <w:style w:type="paragraph" w:customStyle="1" w:styleId="TableDataColumnHeading">
    <w:name w:val="Table Data Column Heading"/>
    <w:basedOn w:val="TableDataEntries"/>
    <w:rsid w:val="008E6453"/>
    <w:pPr>
      <w:spacing w:before="80" w:after="80"/>
    </w:pPr>
    <w:rPr>
      <w:rFonts w:ascii="Franklin Gothic Medium" w:hAnsi="Franklin Gothic Medium"/>
    </w:rPr>
  </w:style>
  <w:style w:type="paragraph" w:customStyle="1" w:styleId="TableHeading1">
    <w:name w:val="Table Heading 1"/>
    <w:basedOn w:val="TableTextEntries"/>
    <w:next w:val="TableTextEntries"/>
    <w:rsid w:val="008E6453"/>
    <w:pPr>
      <w:spacing w:before="80" w:after="80"/>
    </w:pPr>
    <w:rPr>
      <w:rFonts w:ascii="Franklin Gothic Medium" w:hAnsi="Franklin Gothic Medium"/>
    </w:rPr>
  </w:style>
  <w:style w:type="paragraph" w:customStyle="1" w:styleId="TableHeading2">
    <w:name w:val="Table Heading 2"/>
    <w:basedOn w:val="TableHeading1"/>
    <w:next w:val="TableTextEntries"/>
    <w:rsid w:val="008E6453"/>
    <w:pPr>
      <w:spacing w:before="40" w:after="40"/>
    </w:pPr>
    <w:rPr>
      <w:rFonts w:ascii="Franklin Gothic Book" w:hAnsi="Franklin Gothic Book"/>
      <w:i/>
    </w:rPr>
  </w:style>
  <w:style w:type="paragraph" w:customStyle="1" w:styleId="TableListBullet2">
    <w:name w:val="Table List Bullet 2"/>
    <w:basedOn w:val="TableListBullet"/>
    <w:link w:val="TableListBullet2CharChar"/>
    <w:rsid w:val="00FA0700"/>
    <w:pPr>
      <w:numPr>
        <w:numId w:val="10"/>
      </w:numPr>
    </w:pPr>
  </w:style>
  <w:style w:type="paragraph" w:customStyle="1" w:styleId="TableListNumber">
    <w:name w:val="Table List Number"/>
    <w:basedOn w:val="TableTextEntries"/>
    <w:rsid w:val="008C0773"/>
    <w:pPr>
      <w:numPr>
        <w:numId w:val="1"/>
      </w:numPr>
    </w:pPr>
  </w:style>
  <w:style w:type="paragraph" w:customStyle="1" w:styleId="TableListNumber2">
    <w:name w:val="Table List Number 2"/>
    <w:basedOn w:val="TableListNumber"/>
    <w:rsid w:val="00396E51"/>
    <w:pPr>
      <w:numPr>
        <w:numId w:val="2"/>
      </w:numPr>
    </w:pPr>
  </w:style>
  <w:style w:type="paragraph" w:customStyle="1" w:styleId="TableTextColumnHeading">
    <w:name w:val="Table Text Column Heading"/>
    <w:basedOn w:val="TableDataColumnHeading"/>
    <w:rsid w:val="008E6453"/>
    <w:pPr>
      <w:jc w:val="left"/>
    </w:pPr>
  </w:style>
  <w:style w:type="paragraph" w:customStyle="1" w:styleId="TableUnit">
    <w:name w:val="Table Unit"/>
    <w:basedOn w:val="TableDataColumnHeading"/>
    <w:next w:val="TableDataEntries"/>
    <w:semiHidden/>
    <w:rsid w:val="008E6453"/>
    <w:pPr>
      <w:keepNext/>
    </w:pPr>
    <w:rPr>
      <w:rFonts w:ascii="Franklin Gothic Book" w:hAnsi="Franklin Gothic Book"/>
    </w:rPr>
  </w:style>
  <w:style w:type="paragraph" w:customStyle="1" w:styleId="NoteNumber">
    <w:name w:val="Note Number"/>
    <w:basedOn w:val="TableTextEntries"/>
    <w:link w:val="NoteNumberCharChar"/>
    <w:rsid w:val="00EE7AC8"/>
    <w:pPr>
      <w:numPr>
        <w:numId w:val="18"/>
      </w:numPr>
      <w:spacing w:after="0" w:line="180" w:lineRule="atLeast"/>
    </w:pPr>
    <w:rPr>
      <w:sz w:val="14"/>
      <w:szCs w:val="14"/>
    </w:rPr>
  </w:style>
  <w:style w:type="character" w:styleId="FollowedHyperlink">
    <w:name w:val="FollowedHyperlink"/>
    <w:semiHidden/>
    <w:rsid w:val="00085585"/>
    <w:rPr>
      <w:color w:val="333399"/>
      <w:u w:val="none"/>
    </w:rPr>
  </w:style>
  <w:style w:type="paragraph" w:customStyle="1" w:styleId="Blurb">
    <w:name w:val="Blurb"/>
    <w:basedOn w:val="Caption"/>
    <w:semiHidden/>
    <w:rsid w:val="0075426C"/>
    <w:pPr>
      <w:spacing w:before="180" w:after="0" w:line="280" w:lineRule="atLeast"/>
    </w:pPr>
    <w:rPr>
      <w:color w:val="FFFFFF"/>
    </w:rPr>
  </w:style>
  <w:style w:type="paragraph" w:customStyle="1" w:styleId="Figure">
    <w:name w:val="Figure"/>
    <w:basedOn w:val="BodyText"/>
    <w:next w:val="BodyText"/>
    <w:semiHidden/>
    <w:rsid w:val="00EA0F2C"/>
    <w:pPr>
      <w:spacing w:before="0" w:line="200" w:lineRule="atLeast"/>
    </w:pPr>
    <w:rPr>
      <w:sz w:val="18"/>
      <w:szCs w:val="18"/>
    </w:rPr>
  </w:style>
  <w:style w:type="paragraph" w:customStyle="1" w:styleId="BoxListBullet2">
    <w:name w:val="Box List Bullet 2"/>
    <w:basedOn w:val="BoxListBullet"/>
    <w:rsid w:val="006C6761"/>
    <w:pPr>
      <w:numPr>
        <w:numId w:val="4"/>
      </w:numPr>
    </w:pPr>
    <w:rPr>
      <w:szCs w:val="18"/>
    </w:rPr>
  </w:style>
  <w:style w:type="paragraph" w:customStyle="1" w:styleId="BoxText">
    <w:name w:val="Box Text"/>
    <w:basedOn w:val="Normal"/>
    <w:link w:val="BoxTextChar"/>
    <w:rsid w:val="009A28D5"/>
    <w:pPr>
      <w:spacing w:before="60" w:after="60" w:line="260" w:lineRule="atLeast"/>
    </w:pPr>
    <w:rPr>
      <w:rFonts w:ascii="Franklin Gothic Book" w:hAnsi="Franklin Gothic Book"/>
      <w:sz w:val="18"/>
      <w:szCs w:val="18"/>
    </w:rPr>
  </w:style>
  <w:style w:type="paragraph" w:customStyle="1" w:styleId="BoxListNumber">
    <w:name w:val="Box List Number"/>
    <w:basedOn w:val="BoxText"/>
    <w:rsid w:val="00165C4D"/>
    <w:pPr>
      <w:numPr>
        <w:numId w:val="6"/>
      </w:numPr>
      <w:spacing w:before="0"/>
    </w:pPr>
  </w:style>
  <w:style w:type="paragraph" w:customStyle="1" w:styleId="BoxListNumber2">
    <w:name w:val="Box List Number 2"/>
    <w:basedOn w:val="BoxListNumber"/>
    <w:rsid w:val="006C6761"/>
    <w:pPr>
      <w:numPr>
        <w:numId w:val="3"/>
      </w:numPr>
    </w:pPr>
  </w:style>
  <w:style w:type="paragraph" w:customStyle="1" w:styleId="BoxNoteSource">
    <w:name w:val="Box Note/Source"/>
    <w:basedOn w:val="BoxText"/>
    <w:rsid w:val="006C6761"/>
    <w:pPr>
      <w:spacing w:before="100" w:after="100" w:line="180" w:lineRule="atLeast"/>
    </w:pPr>
    <w:rPr>
      <w:sz w:val="14"/>
      <w:szCs w:val="14"/>
    </w:rPr>
  </w:style>
  <w:style w:type="paragraph" w:customStyle="1" w:styleId="BoxQuote">
    <w:name w:val="Box Quote"/>
    <w:basedOn w:val="BoxText"/>
    <w:next w:val="BoxText"/>
    <w:rsid w:val="00A60B48"/>
    <w:pPr>
      <w:spacing w:before="0" w:line="240" w:lineRule="atLeast"/>
      <w:ind w:left="284"/>
    </w:pPr>
    <w:rPr>
      <w:sz w:val="16"/>
      <w:szCs w:val="16"/>
    </w:rPr>
  </w:style>
  <w:style w:type="character" w:customStyle="1" w:styleId="TableListBullet2CharChar">
    <w:name w:val="Table List Bullet 2 Char Char"/>
    <w:link w:val="TableListBullet2"/>
    <w:rsid w:val="00C05EB3"/>
    <w:rPr>
      <w:rFonts w:ascii="Franklin Gothic Book" w:hAnsi="Franklin Gothic Book"/>
      <w:sz w:val="17"/>
      <w:szCs w:val="17"/>
      <w:lang w:val="en-AU" w:eastAsia="en-US" w:bidi="ar-SA"/>
    </w:rPr>
  </w:style>
  <w:style w:type="character" w:customStyle="1" w:styleId="NoteCharChar">
    <w:name w:val="Note Char Char"/>
    <w:link w:val="Note"/>
    <w:rsid w:val="008D75EB"/>
    <w:rPr>
      <w:rFonts w:ascii="Franklin Gothic Book" w:hAnsi="Franklin Gothic Book"/>
      <w:sz w:val="14"/>
      <w:szCs w:val="14"/>
      <w:lang w:val="en-AU" w:eastAsia="en-US" w:bidi="ar-SA"/>
    </w:rPr>
  </w:style>
  <w:style w:type="character" w:customStyle="1" w:styleId="NoteNumberCharChar">
    <w:name w:val="Note Number Char Char"/>
    <w:link w:val="NoteNumber"/>
    <w:rsid w:val="00EE7AC8"/>
    <w:rPr>
      <w:rFonts w:ascii="Franklin Gothic Book" w:hAnsi="Franklin Gothic Book"/>
      <w:sz w:val="14"/>
      <w:szCs w:val="14"/>
      <w:lang w:val="en-AU" w:eastAsia="en-US" w:bidi="ar-SA"/>
    </w:rPr>
  </w:style>
  <w:style w:type="character" w:customStyle="1" w:styleId="TitleChar">
    <w:name w:val="Title Char"/>
    <w:link w:val="Title"/>
    <w:rsid w:val="00E77D0C"/>
    <w:rPr>
      <w:rFonts w:ascii="Franklin Gothic Book" w:hAnsi="Franklin Gothic Book"/>
      <w:color w:val="FFFFFF"/>
      <w:spacing w:val="-10"/>
      <w:kern w:val="28"/>
      <w:sz w:val="46"/>
      <w:szCs w:val="46"/>
      <w:lang w:val="en-AU" w:eastAsia="en-AU" w:bidi="ar-SA"/>
    </w:rPr>
  </w:style>
  <w:style w:type="character" w:customStyle="1" w:styleId="SubtitleChar">
    <w:name w:val="Subtitle Char"/>
    <w:link w:val="Subtitle"/>
    <w:rsid w:val="005B522F"/>
    <w:rPr>
      <w:rFonts w:ascii="Franklin Gothic Book" w:hAnsi="Franklin Gothic Book"/>
      <w:color w:val="FFFFFF"/>
      <w:spacing w:val="-10"/>
      <w:kern w:val="28"/>
      <w:sz w:val="32"/>
      <w:szCs w:val="32"/>
      <w:lang w:val="en-AU" w:eastAsia="en-AU" w:bidi="ar-SA"/>
    </w:rPr>
  </w:style>
  <w:style w:type="character" w:customStyle="1" w:styleId="DateChar">
    <w:name w:val="Date Char"/>
    <w:link w:val="Date"/>
    <w:rsid w:val="00A53A6B"/>
    <w:rPr>
      <w:rFonts w:ascii="Franklin Gothic Book" w:hAnsi="Franklin Gothic Book"/>
      <w:color w:val="FFFFFF"/>
      <w:spacing w:val="-10"/>
      <w:kern w:val="28"/>
      <w:sz w:val="24"/>
      <w:szCs w:val="24"/>
      <w:lang w:val="en-AU" w:eastAsia="en-AU" w:bidi="ar-SA"/>
    </w:rPr>
  </w:style>
  <w:style w:type="character" w:customStyle="1" w:styleId="AuthorCharChar">
    <w:name w:val="Author Char Char"/>
    <w:link w:val="Author"/>
    <w:rsid w:val="0075426C"/>
    <w:rPr>
      <w:rFonts w:ascii="Franklin Gothic Medium" w:hAnsi="Franklin Gothic Medium"/>
      <w:color w:val="FFFFFF"/>
      <w:spacing w:val="-2"/>
      <w:kern w:val="28"/>
      <w:sz w:val="24"/>
      <w:szCs w:val="24"/>
      <w:lang w:val="en-AU" w:eastAsia="en-AU" w:bidi="ar-SA"/>
    </w:rPr>
  </w:style>
  <w:style w:type="character" w:customStyle="1" w:styleId="PositionCharChar">
    <w:name w:val="Position Char Char"/>
    <w:link w:val="Position"/>
    <w:rsid w:val="0075426C"/>
    <w:rPr>
      <w:rFonts w:ascii="Franklin Gothic Book" w:hAnsi="Franklin Gothic Book"/>
      <w:color w:val="FFFFFF"/>
      <w:spacing w:val="-2"/>
      <w:kern w:val="28"/>
      <w:sz w:val="24"/>
      <w:szCs w:val="24"/>
      <w:lang w:val="en-AU" w:eastAsia="en-AU" w:bidi="ar-SA"/>
    </w:rPr>
  </w:style>
  <w:style w:type="paragraph" w:customStyle="1" w:styleId="Appendix">
    <w:name w:val="Appendix"/>
    <w:basedOn w:val="Normal"/>
    <w:semiHidden/>
    <w:rsid w:val="00205AA6"/>
    <w:pPr>
      <w:framePr w:wrap="around" w:vAnchor="text" w:hAnchor="text" w:y="1"/>
    </w:pPr>
    <w:rPr>
      <w:rFonts w:ascii="Franklin Gothic Medium" w:hAnsi="Franklin Gothic Medium"/>
      <w:color w:val="7E6D5F"/>
      <w:sz w:val="32"/>
      <w:szCs w:val="32"/>
    </w:rPr>
  </w:style>
  <w:style w:type="paragraph" w:customStyle="1" w:styleId="Photocaption">
    <w:name w:val="Photo caption"/>
    <w:basedOn w:val="Normal"/>
    <w:next w:val="BodyText"/>
    <w:semiHidden/>
    <w:rsid w:val="00187D56"/>
    <w:pPr>
      <w:spacing w:before="140" w:after="240" w:line="180" w:lineRule="exact"/>
    </w:pPr>
    <w:rPr>
      <w:rFonts w:ascii="Franklin Gothic Medium" w:hAnsi="Franklin Gothic Medium"/>
      <w:color w:val="54534A"/>
      <w:sz w:val="14"/>
      <w:szCs w:val="14"/>
    </w:rPr>
  </w:style>
  <w:style w:type="paragraph" w:customStyle="1" w:styleId="CharChar0">
    <w:name w:val=" Char Char"/>
    <w:basedOn w:val="Normal"/>
    <w:semiHidden/>
    <w:rsid w:val="00953A8D"/>
    <w:pPr>
      <w:spacing w:before="180" w:line="280" w:lineRule="atLeast"/>
    </w:pPr>
    <w:rPr>
      <w:rFonts w:ascii="Arial" w:hAnsi="Arial"/>
      <w:sz w:val="22"/>
      <w:szCs w:val="20"/>
      <w:lang w:eastAsia="en-US"/>
    </w:rPr>
  </w:style>
  <w:style w:type="table" w:styleId="TableGrid">
    <w:name w:val="Table Grid"/>
    <w:basedOn w:val="TableNormal"/>
    <w:semiHidden/>
    <w:rsid w:val="005C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tingred">
    <w:name w:val="Rating red"/>
    <w:basedOn w:val="ListBullet"/>
    <w:semiHidden/>
    <w:rsid w:val="001C6E03"/>
  </w:style>
  <w:style w:type="paragraph" w:customStyle="1" w:styleId="Ratingbullet">
    <w:name w:val="Rating bullet"/>
    <w:basedOn w:val="TableTextEntries"/>
    <w:semiHidden/>
    <w:rsid w:val="001C6E03"/>
    <w:pPr>
      <w:jc w:val="center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911B9C"/>
    <w:pPr>
      <w:spacing w:before="0"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semiHidden/>
    <w:rsid w:val="00911B9C"/>
    <w:rPr>
      <w:rFonts w:ascii="Tahoma" w:hAnsi="Tahoma" w:cs="Tahoma"/>
      <w:sz w:val="16"/>
      <w:szCs w:val="16"/>
    </w:rPr>
  </w:style>
  <w:style w:type="paragraph" w:customStyle="1" w:styleId="Rating">
    <w:name w:val="Rating"/>
    <w:basedOn w:val="BodyText"/>
    <w:next w:val="BodyText"/>
    <w:semiHidden/>
    <w:rsid w:val="00230BD1"/>
    <w:pPr>
      <w:tabs>
        <w:tab w:val="left" w:pos="567"/>
      </w:tabs>
    </w:pPr>
  </w:style>
  <w:style w:type="paragraph" w:customStyle="1" w:styleId="GuidanceText">
    <w:name w:val="Guidance Text"/>
    <w:basedOn w:val="BodyText"/>
    <w:semiHidden/>
    <w:rsid w:val="001B11EB"/>
    <w:pPr>
      <w:spacing w:before="60" w:after="60" w:line="240" w:lineRule="atLeast"/>
    </w:pPr>
    <w:rPr>
      <w:rFonts w:ascii="Calibri" w:hAnsi="Calibri"/>
      <w:color w:val="0000FF"/>
      <w:sz w:val="20"/>
      <w:szCs w:val="20"/>
    </w:rPr>
  </w:style>
  <w:style w:type="character" w:customStyle="1" w:styleId="BoxHeading1Char">
    <w:name w:val="Box Heading 1 Char"/>
    <w:link w:val="BoxHeading1"/>
    <w:rsid w:val="00604949"/>
    <w:rPr>
      <w:rFonts w:ascii="Franklin Gothic Demi" w:hAnsi="Franklin Gothic Demi"/>
      <w:color w:val="000000"/>
      <w:sz w:val="18"/>
      <w:szCs w:val="18"/>
      <w:lang w:val="en-AU" w:eastAsia="en-AU" w:bidi="ar-SA"/>
    </w:rPr>
  </w:style>
  <w:style w:type="character" w:customStyle="1" w:styleId="BoxTextChar">
    <w:name w:val="Box Text Char"/>
    <w:link w:val="BoxText"/>
    <w:rsid w:val="00CA6414"/>
    <w:rPr>
      <w:rFonts w:ascii="Franklin Gothic Book" w:hAnsi="Franklin Gothic Book"/>
      <w:sz w:val="18"/>
      <w:szCs w:val="18"/>
      <w:lang w:val="en-AU" w:eastAsia="en-AU" w:bidi="ar-SA"/>
    </w:rPr>
  </w:style>
  <w:style w:type="character" w:styleId="Emphasis">
    <w:name w:val="Emphasis"/>
    <w:qFormat/>
    <w:rsid w:val="006711AB"/>
    <w:rPr>
      <w:b/>
      <w:bCs/>
      <w:i w:val="0"/>
      <w:iCs w:val="0"/>
    </w:rPr>
  </w:style>
  <w:style w:type="paragraph" w:styleId="ListParagraph">
    <w:name w:val="List Paragraph"/>
    <w:basedOn w:val="Normal"/>
    <w:qFormat/>
    <w:rsid w:val="009B2FDA"/>
    <w:pPr>
      <w:ind w:left="720"/>
      <w:contextualSpacing/>
    </w:pPr>
    <w:rPr>
      <w:rFonts w:eastAsia="Calibri"/>
      <w:sz w:val="24"/>
      <w:lang w:val="en-US" w:eastAsia="en-US"/>
    </w:rPr>
  </w:style>
  <w:style w:type="paragraph" w:styleId="Revision">
    <w:name w:val="Revision"/>
    <w:hidden/>
    <w:uiPriority w:val="99"/>
    <w:semiHidden/>
    <w:rsid w:val="00577D8F"/>
    <w:rPr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5EF"/>
    <w:rPr>
      <w:szCs w:val="24"/>
      <w:lang w:val="en-AU" w:eastAsia="en-AU"/>
    </w:rPr>
  </w:style>
  <w:style w:type="paragraph" w:styleId="Heading1">
    <w:name w:val="heading 1"/>
    <w:basedOn w:val="Contents"/>
    <w:next w:val="BodyText"/>
    <w:qFormat/>
    <w:rsid w:val="00EC4949"/>
    <w:pPr>
      <w:spacing w:before="80"/>
      <w:outlineLvl w:val="0"/>
    </w:pPr>
  </w:style>
  <w:style w:type="paragraph" w:styleId="Heading2">
    <w:name w:val="heading 2"/>
    <w:basedOn w:val="Heading1"/>
    <w:next w:val="BodyText"/>
    <w:qFormat/>
    <w:rsid w:val="00A66E8A"/>
    <w:pPr>
      <w:numPr>
        <w:ilvl w:val="1"/>
        <w:numId w:val="7"/>
      </w:numPr>
      <w:spacing w:before="380" w:after="0" w:line="280" w:lineRule="atLeast"/>
      <w:ind w:left="0"/>
      <w:outlineLvl w:val="1"/>
    </w:pPr>
    <w:rPr>
      <w:rFonts w:ascii="Franklin Gothic Medium" w:hAnsi="Franklin Gothic Medium"/>
      <w:color w:val="5A9A98"/>
      <w:sz w:val="24"/>
      <w:szCs w:val="24"/>
    </w:rPr>
  </w:style>
  <w:style w:type="paragraph" w:styleId="Heading3">
    <w:name w:val="heading 3"/>
    <w:basedOn w:val="Heading2"/>
    <w:next w:val="BodyText"/>
    <w:qFormat/>
    <w:rsid w:val="00A66E8A"/>
    <w:pPr>
      <w:numPr>
        <w:ilvl w:val="2"/>
      </w:numPr>
      <w:spacing w:before="300" w:line="260" w:lineRule="atLeast"/>
      <w:outlineLvl w:val="2"/>
    </w:pPr>
    <w:rPr>
      <w:color w:val="54534A"/>
      <w:sz w:val="22"/>
      <w:szCs w:val="22"/>
    </w:rPr>
  </w:style>
  <w:style w:type="paragraph" w:styleId="Heading4">
    <w:name w:val="heading 4"/>
    <w:basedOn w:val="BodyText"/>
    <w:next w:val="BodyText"/>
    <w:qFormat/>
    <w:rsid w:val="00222F3B"/>
    <w:pPr>
      <w:numPr>
        <w:ilvl w:val="3"/>
        <w:numId w:val="7"/>
      </w:numPr>
      <w:spacing w:before="320" w:after="0"/>
      <w:outlineLvl w:val="3"/>
    </w:pPr>
    <w:rPr>
      <w:b/>
      <w:color w:val="54534A"/>
      <w:sz w:val="22"/>
      <w:szCs w:val="22"/>
    </w:rPr>
  </w:style>
  <w:style w:type="paragraph" w:styleId="Heading5">
    <w:name w:val="heading 5"/>
    <w:basedOn w:val="BodyText"/>
    <w:next w:val="BodyText"/>
    <w:qFormat/>
    <w:rsid w:val="00B525EE"/>
    <w:pPr>
      <w:keepNext/>
      <w:numPr>
        <w:ilvl w:val="4"/>
        <w:numId w:val="7"/>
      </w:numPr>
      <w:spacing w:before="320" w:after="0"/>
      <w:outlineLvl w:val="4"/>
    </w:pPr>
    <w:rPr>
      <w:b/>
      <w:color w:val="54534A"/>
    </w:rPr>
  </w:style>
  <w:style w:type="paragraph" w:styleId="Heading6">
    <w:name w:val="heading 6"/>
    <w:basedOn w:val="Heading1"/>
    <w:next w:val="BodyText"/>
    <w:qFormat/>
    <w:rsid w:val="00B525EE"/>
    <w:pPr>
      <w:numPr>
        <w:ilvl w:val="5"/>
        <w:numId w:val="7"/>
      </w:numPr>
      <w:outlineLvl w:val="5"/>
    </w:pPr>
    <w:rPr>
      <w:bCs/>
    </w:rPr>
  </w:style>
  <w:style w:type="paragraph" w:styleId="Heading7">
    <w:name w:val="heading 7"/>
    <w:basedOn w:val="Heading2"/>
    <w:next w:val="BodyText"/>
    <w:qFormat/>
    <w:rsid w:val="00B525EE"/>
    <w:pPr>
      <w:numPr>
        <w:ilvl w:val="6"/>
      </w:numPr>
      <w:outlineLvl w:val="6"/>
    </w:pPr>
    <w:rPr>
      <w:rFonts w:ascii="Franklin Gothic Demi" w:hAnsi="Franklin Gothic Demi"/>
      <w:sz w:val="28"/>
      <w:szCs w:val="28"/>
    </w:rPr>
  </w:style>
  <w:style w:type="paragraph" w:styleId="Heading8">
    <w:name w:val="heading 8"/>
    <w:basedOn w:val="Heading3"/>
    <w:next w:val="BodyText"/>
    <w:qFormat/>
    <w:rsid w:val="00B525EE"/>
    <w:pPr>
      <w:numPr>
        <w:ilvl w:val="7"/>
      </w:numPr>
      <w:outlineLvl w:val="7"/>
    </w:pPr>
  </w:style>
  <w:style w:type="paragraph" w:styleId="Heading9">
    <w:name w:val="heading 9"/>
    <w:basedOn w:val="Heading4"/>
    <w:next w:val="BodyText"/>
    <w:qFormat/>
    <w:rsid w:val="00B525EE"/>
    <w:pPr>
      <w:numPr>
        <w:ilvl w:val="8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ListParagraph"/>
    <w:link w:val="BodyTextChar"/>
    <w:rsid w:val="00BD39E2"/>
    <w:pPr>
      <w:spacing w:before="80" w:after="80" w:line="280" w:lineRule="atLeast"/>
      <w:ind w:left="0"/>
      <w:contextualSpacing w:val="0"/>
    </w:pPr>
    <w:rPr>
      <w:rFonts w:ascii="Georgia" w:hAnsi="Georgia"/>
      <w:sz w:val="19"/>
      <w:szCs w:val="19"/>
      <w:lang w:val="x-none" w:eastAsia="x-none"/>
    </w:rPr>
  </w:style>
  <w:style w:type="character" w:customStyle="1" w:styleId="BodyTextChar">
    <w:name w:val="Body Text Char"/>
    <w:link w:val="BodyText"/>
    <w:rsid w:val="00BD39E2"/>
    <w:rPr>
      <w:rFonts w:ascii="Georgia" w:eastAsia="Calibri" w:hAnsi="Georgia"/>
      <w:sz w:val="19"/>
      <w:szCs w:val="19"/>
    </w:rPr>
  </w:style>
  <w:style w:type="character" w:customStyle="1" w:styleId="DraftingNote">
    <w:name w:val="Drafting Note"/>
    <w:semiHidden/>
    <w:rsid w:val="00F0026A"/>
    <w:rPr>
      <w:rFonts w:ascii="Georgia" w:hAnsi="Georgia"/>
      <w:b/>
      <w:color w:val="FF0000"/>
      <w:sz w:val="19"/>
      <w:szCs w:val="19"/>
      <w:u w:val="dotted"/>
    </w:rPr>
  </w:style>
  <w:style w:type="paragraph" w:customStyle="1" w:styleId="QuoteBullet">
    <w:name w:val="Quote Bullet"/>
    <w:basedOn w:val="Quote"/>
    <w:rsid w:val="008B14A2"/>
    <w:pPr>
      <w:numPr>
        <w:numId w:val="24"/>
      </w:numPr>
    </w:pPr>
  </w:style>
  <w:style w:type="paragraph" w:customStyle="1" w:styleId="Abbreviation">
    <w:name w:val="Abbreviation"/>
    <w:basedOn w:val="BodyText"/>
    <w:rsid w:val="00942B42"/>
    <w:pPr>
      <w:ind w:left="1418" w:hanging="1418"/>
    </w:pPr>
  </w:style>
  <w:style w:type="paragraph" w:customStyle="1" w:styleId="Ratingamber">
    <w:name w:val="Rating amber"/>
    <w:basedOn w:val="Normal"/>
    <w:semiHidden/>
    <w:rsid w:val="001C6E03"/>
    <w:pPr>
      <w:numPr>
        <w:numId w:val="11"/>
      </w:numPr>
      <w:spacing w:before="80" w:after="80" w:line="280" w:lineRule="atLeast"/>
    </w:pPr>
    <w:rPr>
      <w:rFonts w:ascii="Georgia" w:hAnsi="Georgia"/>
      <w:sz w:val="19"/>
      <w:szCs w:val="19"/>
    </w:rPr>
  </w:style>
  <w:style w:type="paragraph" w:styleId="ListBullet">
    <w:name w:val="List Bullet"/>
    <w:basedOn w:val="BodyText"/>
    <w:rsid w:val="002C5AF0"/>
    <w:pPr>
      <w:numPr>
        <w:numId w:val="17"/>
      </w:numPr>
    </w:pPr>
  </w:style>
  <w:style w:type="paragraph" w:styleId="ListBullet2">
    <w:name w:val="List Bullet 2"/>
    <w:basedOn w:val="ListBullet"/>
    <w:rsid w:val="00D42D78"/>
    <w:pPr>
      <w:numPr>
        <w:numId w:val="13"/>
      </w:numPr>
      <w:spacing w:before="0"/>
      <w:ind w:left="568" w:hanging="284"/>
    </w:pPr>
  </w:style>
  <w:style w:type="paragraph" w:styleId="ListNumber">
    <w:name w:val="List Number"/>
    <w:basedOn w:val="ListBullet"/>
    <w:rsid w:val="00D42D78"/>
    <w:pPr>
      <w:numPr>
        <w:numId w:val="14"/>
      </w:numPr>
    </w:pPr>
  </w:style>
  <w:style w:type="paragraph" w:styleId="ListNumber2">
    <w:name w:val="List Number 2"/>
    <w:basedOn w:val="ListNumber"/>
    <w:rsid w:val="00D42D78"/>
    <w:pPr>
      <w:numPr>
        <w:numId w:val="15"/>
      </w:numPr>
      <w:spacing w:before="0"/>
      <w:ind w:left="568" w:hanging="284"/>
    </w:pPr>
  </w:style>
  <w:style w:type="paragraph" w:styleId="Quote">
    <w:name w:val="Quote"/>
    <w:basedOn w:val="BodyText"/>
    <w:next w:val="BodyText"/>
    <w:qFormat/>
    <w:rsid w:val="00B84A71"/>
    <w:pPr>
      <w:spacing w:before="0" w:line="260" w:lineRule="atLeast"/>
      <w:ind w:left="284"/>
    </w:pPr>
    <w:rPr>
      <w:sz w:val="17"/>
      <w:szCs w:val="17"/>
    </w:rPr>
  </w:style>
  <w:style w:type="paragraph" w:customStyle="1" w:styleId="Ratinggreen">
    <w:name w:val="Rating green"/>
    <w:basedOn w:val="Ratingamber"/>
    <w:semiHidden/>
    <w:rsid w:val="001C6E03"/>
    <w:pPr>
      <w:numPr>
        <w:numId w:val="12"/>
      </w:numPr>
    </w:pPr>
  </w:style>
  <w:style w:type="paragraph" w:customStyle="1" w:styleId="Reference">
    <w:name w:val="Reference"/>
    <w:basedOn w:val="BodyText"/>
    <w:semiHidden/>
    <w:rsid w:val="00F0026A"/>
    <w:pPr>
      <w:keepLines/>
      <w:spacing w:before="60" w:after="60" w:line="260" w:lineRule="atLeast"/>
      <w:ind w:left="284" w:hanging="284"/>
    </w:pPr>
    <w:rPr>
      <w:sz w:val="17"/>
      <w:szCs w:val="17"/>
    </w:rPr>
  </w:style>
  <w:style w:type="paragraph" w:styleId="Title">
    <w:name w:val="Title"/>
    <w:basedOn w:val="Normal"/>
    <w:next w:val="Subtitle"/>
    <w:link w:val="TitleChar"/>
    <w:qFormat/>
    <w:rsid w:val="00E77D0C"/>
    <w:pPr>
      <w:pageBreakBefore/>
      <w:spacing w:line="540" w:lineRule="atLeast"/>
    </w:pPr>
    <w:rPr>
      <w:rFonts w:ascii="Franklin Gothic Book" w:hAnsi="Franklin Gothic Book"/>
      <w:color w:val="FFFFFF"/>
      <w:spacing w:val="-10"/>
      <w:kern w:val="28"/>
      <w:sz w:val="46"/>
      <w:szCs w:val="46"/>
    </w:rPr>
  </w:style>
  <w:style w:type="paragraph" w:styleId="Subtitle">
    <w:name w:val="Subtitle"/>
    <w:basedOn w:val="Title"/>
    <w:next w:val="Date"/>
    <w:link w:val="SubtitleChar"/>
    <w:qFormat/>
    <w:rsid w:val="005B522F"/>
    <w:pPr>
      <w:pageBreakBefore w:val="0"/>
      <w:spacing w:before="120" w:line="380" w:lineRule="atLeast"/>
    </w:pPr>
    <w:rPr>
      <w:sz w:val="32"/>
      <w:szCs w:val="32"/>
    </w:rPr>
  </w:style>
  <w:style w:type="paragraph" w:customStyle="1" w:styleId="Contents">
    <w:name w:val="Contents"/>
    <w:basedOn w:val="Normal"/>
    <w:next w:val="BodyText"/>
    <w:semiHidden/>
    <w:rsid w:val="00DE7339"/>
    <w:pPr>
      <w:spacing w:before="460" w:after="100" w:line="320" w:lineRule="atLeast"/>
    </w:pPr>
    <w:rPr>
      <w:rFonts w:ascii="Franklin Gothic Demi" w:hAnsi="Franklin Gothic Demi"/>
      <w:color w:val="AD495D"/>
      <w:kern w:val="28"/>
      <w:sz w:val="28"/>
      <w:szCs w:val="28"/>
    </w:rPr>
  </w:style>
  <w:style w:type="paragraph" w:styleId="Date">
    <w:name w:val="Date"/>
    <w:basedOn w:val="Subtitle"/>
    <w:next w:val="Author"/>
    <w:link w:val="DateChar"/>
    <w:semiHidden/>
    <w:rsid w:val="00A53A6B"/>
    <w:pPr>
      <w:spacing w:after="1000"/>
    </w:pPr>
    <w:rPr>
      <w:sz w:val="24"/>
      <w:szCs w:val="24"/>
    </w:rPr>
  </w:style>
  <w:style w:type="paragraph" w:styleId="Footer">
    <w:name w:val="footer"/>
    <w:basedOn w:val="Normal"/>
    <w:semiHidden/>
    <w:rsid w:val="00F23FD4"/>
    <w:pPr>
      <w:tabs>
        <w:tab w:val="left" w:pos="0"/>
        <w:tab w:val="right" w:pos="7938"/>
        <w:tab w:val="right" w:pos="8505"/>
      </w:tabs>
      <w:spacing w:line="180" w:lineRule="exact"/>
      <w:ind w:left="-567" w:right="-567"/>
    </w:pPr>
    <w:rPr>
      <w:rFonts w:ascii="Franklin Gothic Medium" w:hAnsi="Franklin Gothic Medium"/>
      <w:color w:val="5A9A98"/>
      <w:sz w:val="14"/>
      <w:szCs w:val="14"/>
    </w:rPr>
  </w:style>
  <w:style w:type="paragraph" w:styleId="Header">
    <w:name w:val="header"/>
    <w:basedOn w:val="Normal"/>
    <w:semiHidden/>
    <w:rsid w:val="0073548A"/>
    <w:pPr>
      <w:spacing w:line="180" w:lineRule="exact"/>
      <w:jc w:val="right"/>
    </w:pPr>
    <w:rPr>
      <w:rFonts w:ascii="Franklin Gothic Medium" w:hAnsi="Franklin Gothic Medium"/>
      <w:sz w:val="14"/>
      <w:szCs w:val="14"/>
    </w:rPr>
  </w:style>
  <w:style w:type="character" w:styleId="PageNumber">
    <w:name w:val="page number"/>
    <w:semiHidden/>
    <w:rsid w:val="007A2D4A"/>
    <w:rPr>
      <w:rFonts w:ascii="Franklin Gothic Medium" w:hAnsi="Franklin Gothic Medium"/>
      <w:color w:val="54534A"/>
      <w:sz w:val="14"/>
      <w:szCs w:val="14"/>
    </w:rPr>
  </w:style>
  <w:style w:type="paragraph" w:styleId="TOC1">
    <w:name w:val="toc 1"/>
    <w:basedOn w:val="BodyText"/>
    <w:next w:val="BodyText"/>
    <w:uiPriority w:val="39"/>
    <w:rsid w:val="001577F1"/>
    <w:pPr>
      <w:tabs>
        <w:tab w:val="left" w:pos="397"/>
        <w:tab w:val="right" w:pos="7938"/>
      </w:tabs>
      <w:spacing w:before="180" w:after="0"/>
      <w:ind w:left="397" w:right="567" w:hanging="397"/>
    </w:pPr>
    <w:rPr>
      <w:rFonts w:ascii="Franklin Gothic Medium" w:hAnsi="Franklin Gothic Medium"/>
      <w:color w:val="5A9A98"/>
      <w:sz w:val="22"/>
      <w:szCs w:val="22"/>
    </w:rPr>
  </w:style>
  <w:style w:type="paragraph" w:styleId="TOC2">
    <w:name w:val="toc 2"/>
    <w:basedOn w:val="TOC1"/>
    <w:next w:val="TOC1"/>
    <w:uiPriority w:val="39"/>
    <w:rsid w:val="001577F1"/>
    <w:pPr>
      <w:spacing w:before="120" w:line="200" w:lineRule="atLeast"/>
      <w:ind w:left="0" w:firstLine="0"/>
    </w:pPr>
    <w:rPr>
      <w:rFonts w:ascii="Franklin Gothic Book" w:hAnsi="Franklin Gothic Book"/>
      <w:color w:val="54534A"/>
      <w:sz w:val="19"/>
      <w:szCs w:val="19"/>
    </w:rPr>
  </w:style>
  <w:style w:type="paragraph" w:customStyle="1" w:styleId="Reporttype">
    <w:name w:val="Report type"/>
    <w:basedOn w:val="BodyText"/>
    <w:semiHidden/>
    <w:rsid w:val="00F15D8B"/>
    <w:pPr>
      <w:spacing w:before="0" w:line="400" w:lineRule="atLeast"/>
    </w:pPr>
    <w:rPr>
      <w:rFonts w:ascii="Arial" w:hAnsi="Arial"/>
      <w:color w:val="00467F"/>
      <w:spacing w:val="-2"/>
      <w:sz w:val="36"/>
      <w:szCs w:val="36"/>
    </w:rPr>
  </w:style>
  <w:style w:type="character" w:customStyle="1" w:styleId="Subtitlebox">
    <w:name w:val="Subtitle box"/>
    <w:aliases w:val="figure &amp; table,chart &amp; table"/>
    <w:semiHidden/>
    <w:rsid w:val="008E6453"/>
    <w:rPr>
      <w:rFonts w:ascii="Franklin Gothic Book" w:hAnsi="Franklin Gothic Book"/>
      <w:color w:val="auto"/>
      <w:sz w:val="17"/>
      <w:szCs w:val="17"/>
    </w:rPr>
  </w:style>
  <w:style w:type="paragraph" w:customStyle="1" w:styleId="Invisiblepara">
    <w:name w:val="Invisible para"/>
    <w:basedOn w:val="Normal"/>
    <w:semiHidden/>
    <w:rsid w:val="00F747A9"/>
    <w:pPr>
      <w:keepNext/>
      <w:spacing w:before="320" w:line="80" w:lineRule="exact"/>
    </w:pPr>
    <w:rPr>
      <w:sz w:val="21"/>
      <w:szCs w:val="20"/>
    </w:rPr>
  </w:style>
  <w:style w:type="paragraph" w:styleId="Caption">
    <w:name w:val="caption"/>
    <w:basedOn w:val="Normal"/>
    <w:next w:val="BodyText"/>
    <w:qFormat/>
    <w:rsid w:val="00227783"/>
    <w:pPr>
      <w:keepNext/>
      <w:spacing w:before="320" w:after="80" w:line="230" w:lineRule="exact"/>
    </w:pPr>
    <w:rPr>
      <w:rFonts w:ascii="Franklin Gothic Demi" w:hAnsi="Franklin Gothic Demi"/>
      <w:color w:val="7E6D5F"/>
      <w:sz w:val="19"/>
      <w:szCs w:val="19"/>
    </w:rPr>
  </w:style>
  <w:style w:type="paragraph" w:customStyle="1" w:styleId="BoxListBullet">
    <w:name w:val="Box List Bullet"/>
    <w:basedOn w:val="BoxText"/>
    <w:rsid w:val="006C6761"/>
    <w:pPr>
      <w:keepLines/>
      <w:numPr>
        <w:numId w:val="5"/>
      </w:numPr>
      <w:spacing w:before="0"/>
    </w:pPr>
    <w:rPr>
      <w:szCs w:val="20"/>
    </w:rPr>
  </w:style>
  <w:style w:type="character" w:customStyle="1" w:styleId="NoteLabel">
    <w:name w:val="Note Label"/>
    <w:rsid w:val="0073548A"/>
    <w:rPr>
      <w:rFonts w:ascii="Franklin Gothic Medium" w:hAnsi="Franklin Gothic Medium"/>
      <w:color w:val="auto"/>
      <w:position w:val="4"/>
      <w:sz w:val="14"/>
      <w:szCs w:val="14"/>
    </w:rPr>
  </w:style>
  <w:style w:type="paragraph" w:customStyle="1" w:styleId="Note">
    <w:name w:val="Note"/>
    <w:basedOn w:val="TableTextEntries"/>
    <w:next w:val="Source"/>
    <w:link w:val="NoteCharChar"/>
    <w:rsid w:val="008D75EB"/>
    <w:pPr>
      <w:spacing w:after="0" w:line="180" w:lineRule="atLeast"/>
    </w:pPr>
    <w:rPr>
      <w:sz w:val="14"/>
      <w:szCs w:val="14"/>
    </w:rPr>
  </w:style>
  <w:style w:type="paragraph" w:customStyle="1" w:styleId="TableTextEntries">
    <w:name w:val="Table Text Entries"/>
    <w:basedOn w:val="Normal"/>
    <w:rsid w:val="00F021E7"/>
    <w:pPr>
      <w:keepLines/>
      <w:spacing w:before="40" w:after="40" w:line="200" w:lineRule="atLeast"/>
    </w:pPr>
    <w:rPr>
      <w:rFonts w:ascii="Franklin Gothic Book" w:hAnsi="Franklin Gothic Book"/>
      <w:sz w:val="17"/>
      <w:szCs w:val="17"/>
      <w:lang w:eastAsia="en-US"/>
    </w:rPr>
  </w:style>
  <w:style w:type="paragraph" w:customStyle="1" w:styleId="Source">
    <w:name w:val="Source"/>
    <w:basedOn w:val="Note"/>
    <w:next w:val="BodyText"/>
    <w:rsid w:val="00ED5E2B"/>
    <w:pPr>
      <w:spacing w:after="240"/>
    </w:pPr>
  </w:style>
  <w:style w:type="paragraph" w:customStyle="1" w:styleId="BoxHeading1">
    <w:name w:val="Box Heading 1"/>
    <w:basedOn w:val="BoxText"/>
    <w:next w:val="BoxText"/>
    <w:link w:val="BoxHeading1Char"/>
    <w:rsid w:val="00FC7629"/>
    <w:pPr>
      <w:spacing w:before="180" w:after="0" w:line="220" w:lineRule="atLeast"/>
    </w:pPr>
    <w:rPr>
      <w:rFonts w:ascii="Franklin Gothic Demi" w:hAnsi="Franklin Gothic Demi"/>
      <w:color w:val="000000"/>
    </w:rPr>
  </w:style>
  <w:style w:type="paragraph" w:customStyle="1" w:styleId="BoxHeading2">
    <w:name w:val="Box Heading 2"/>
    <w:basedOn w:val="BoxHeading1"/>
    <w:next w:val="BoxText"/>
    <w:rsid w:val="002C23D1"/>
    <w:pPr>
      <w:spacing w:before="140"/>
    </w:pPr>
    <w:rPr>
      <w:rFonts w:ascii="Franklin Gothic Book" w:hAnsi="Franklin Gothic Book"/>
      <w:i/>
      <w:color w:val="auto"/>
    </w:rPr>
  </w:style>
  <w:style w:type="paragraph" w:customStyle="1" w:styleId="TableListBullet">
    <w:name w:val="Table List Bullet"/>
    <w:basedOn w:val="TableTextEntries"/>
    <w:rsid w:val="00FA0700"/>
    <w:pPr>
      <w:numPr>
        <w:numId w:val="9"/>
      </w:numPr>
    </w:pPr>
  </w:style>
  <w:style w:type="paragraph" w:styleId="TableofFigures">
    <w:name w:val="table of figures"/>
    <w:basedOn w:val="BodyText"/>
    <w:next w:val="BodyText"/>
    <w:semiHidden/>
    <w:rsid w:val="00751A18"/>
    <w:pPr>
      <w:tabs>
        <w:tab w:val="left" w:pos="1077"/>
        <w:tab w:val="right" w:pos="8505"/>
      </w:tabs>
      <w:spacing w:before="60" w:line="260" w:lineRule="atLeast"/>
      <w:ind w:left="1077" w:right="567" w:hanging="1077"/>
    </w:pPr>
  </w:style>
  <w:style w:type="paragraph" w:styleId="TOC3">
    <w:name w:val="toc 3"/>
    <w:basedOn w:val="TOC2"/>
    <w:next w:val="BodyText"/>
    <w:semiHidden/>
    <w:rsid w:val="00F9523B"/>
    <w:pPr>
      <w:tabs>
        <w:tab w:val="clear" w:pos="397"/>
      </w:tabs>
      <w:spacing w:before="40" w:line="230" w:lineRule="atLeast"/>
      <w:ind w:left="567" w:hanging="567"/>
    </w:pPr>
    <w:rPr>
      <w:rFonts w:ascii="Georgia" w:hAnsi="Georgia"/>
      <w:color w:val="auto"/>
    </w:rPr>
  </w:style>
  <w:style w:type="paragraph" w:customStyle="1" w:styleId="Continued">
    <w:name w:val="Continued"/>
    <w:basedOn w:val="Source"/>
    <w:next w:val="BodyText"/>
    <w:semiHidden/>
    <w:rsid w:val="00B622E7"/>
    <w:pPr>
      <w:jc w:val="right"/>
    </w:pPr>
  </w:style>
  <w:style w:type="paragraph" w:customStyle="1" w:styleId="Recommendation">
    <w:name w:val="Recommendation"/>
    <w:basedOn w:val="BodyText"/>
    <w:next w:val="BodyText"/>
    <w:semiHidden/>
    <w:rsid w:val="00671255"/>
    <w:pPr>
      <w:tabs>
        <w:tab w:val="left" w:pos="284"/>
      </w:tabs>
      <w:ind w:left="284" w:hanging="284"/>
    </w:pPr>
    <w:rPr>
      <w:rFonts w:eastAsia="MS Mincho" w:cs="MS Mincho"/>
      <w:b/>
    </w:rPr>
  </w:style>
  <w:style w:type="paragraph" w:styleId="TOC6">
    <w:name w:val="toc 6"/>
    <w:basedOn w:val="BodyText"/>
    <w:next w:val="BodyText"/>
    <w:semiHidden/>
    <w:rsid w:val="00671255"/>
    <w:pPr>
      <w:tabs>
        <w:tab w:val="left" w:pos="284"/>
        <w:tab w:val="right" w:pos="8222"/>
      </w:tabs>
      <w:ind w:left="284" w:right="567" w:hanging="284"/>
    </w:pPr>
  </w:style>
  <w:style w:type="character" w:styleId="CommentReference">
    <w:name w:val="annotation reference"/>
    <w:semiHidden/>
    <w:rsid w:val="007A2D4A"/>
    <w:rPr>
      <w:rFonts w:ascii="Franklin Gothic Medium" w:hAnsi="Franklin Gothic Medium"/>
      <w:vanish/>
      <w:color w:val="FF00FF"/>
      <w:sz w:val="16"/>
      <w:szCs w:val="16"/>
    </w:rPr>
  </w:style>
  <w:style w:type="paragraph" w:styleId="CommentText">
    <w:name w:val="annotation text"/>
    <w:basedOn w:val="BodyText"/>
    <w:semiHidden/>
    <w:rsid w:val="008527C1"/>
    <w:pPr>
      <w:spacing w:line="240" w:lineRule="atLeast"/>
    </w:pPr>
    <w:rPr>
      <w:rFonts w:ascii="Calibri" w:hAnsi="Calibri"/>
      <w:sz w:val="18"/>
      <w:szCs w:val="18"/>
    </w:rPr>
  </w:style>
  <w:style w:type="character" w:styleId="FootnoteReference">
    <w:name w:val="footnote reference"/>
    <w:rsid w:val="00FB1DA4"/>
    <w:rPr>
      <w:rFonts w:ascii="Franklin Gothic Book" w:hAnsi="Franklin Gothic Book"/>
      <w:w w:val="100"/>
      <w:position w:val="6"/>
      <w:sz w:val="12"/>
      <w:szCs w:val="12"/>
      <w:vertAlign w:val="baseline"/>
    </w:rPr>
  </w:style>
  <w:style w:type="paragraph" w:styleId="FootnoteText">
    <w:name w:val="footnote text"/>
    <w:basedOn w:val="BodyText"/>
    <w:rsid w:val="00281D52"/>
    <w:pPr>
      <w:spacing w:before="0" w:after="0" w:line="180" w:lineRule="atLeast"/>
      <w:ind w:left="284" w:hanging="284"/>
    </w:pPr>
    <w:rPr>
      <w:rFonts w:ascii="Franklin Gothic Book" w:hAnsi="Franklin Gothic Book"/>
      <w:sz w:val="14"/>
      <w:szCs w:val="14"/>
    </w:rPr>
  </w:style>
  <w:style w:type="character" w:styleId="Hyperlink">
    <w:name w:val="Hyperlink"/>
    <w:semiHidden/>
    <w:rsid w:val="00254E43"/>
    <w:rPr>
      <w:color w:val="00467F"/>
      <w:sz w:val="20"/>
      <w:szCs w:val="20"/>
      <w:u w:val="none"/>
    </w:rPr>
  </w:style>
  <w:style w:type="paragraph" w:customStyle="1" w:styleId="ChartText">
    <w:name w:val="Chart Text"/>
    <w:basedOn w:val="BodyText"/>
    <w:semiHidden/>
    <w:rsid w:val="00CF2071"/>
    <w:pPr>
      <w:spacing w:before="100" w:line="190" w:lineRule="exact"/>
    </w:pPr>
    <w:rPr>
      <w:rFonts w:ascii="Arial" w:hAnsi="Arial"/>
      <w:sz w:val="17"/>
    </w:rPr>
  </w:style>
  <w:style w:type="paragraph" w:customStyle="1" w:styleId="ChartBoldText">
    <w:name w:val="Chart Bold Text"/>
    <w:basedOn w:val="ChartText"/>
    <w:next w:val="ChartText"/>
    <w:semiHidden/>
    <w:rsid w:val="00997A92"/>
    <w:pPr>
      <w:spacing w:before="0"/>
      <w:jc w:val="center"/>
    </w:pPr>
    <w:rPr>
      <w:rFonts w:ascii="Arial Bold" w:hAnsi="Arial Bold"/>
      <w:b/>
      <w:color w:val="073771"/>
      <w:szCs w:val="17"/>
    </w:rPr>
  </w:style>
  <w:style w:type="paragraph" w:customStyle="1" w:styleId="ChartHighlight">
    <w:name w:val="Chart Highlight"/>
    <w:basedOn w:val="ChartBoldText"/>
    <w:semiHidden/>
    <w:rsid w:val="00CF2071"/>
    <w:pPr>
      <w:spacing w:line="210" w:lineRule="exact"/>
    </w:pPr>
    <w:rPr>
      <w:caps/>
      <w:sz w:val="19"/>
    </w:rPr>
  </w:style>
  <w:style w:type="paragraph" w:customStyle="1" w:styleId="ChartListBullet">
    <w:name w:val="Chart List Bullet"/>
    <w:basedOn w:val="TableListBullet"/>
    <w:semiHidden/>
    <w:rsid w:val="00321C81"/>
    <w:pPr>
      <w:numPr>
        <w:numId w:val="0"/>
      </w:numPr>
      <w:tabs>
        <w:tab w:val="num" w:pos="227"/>
      </w:tabs>
      <w:spacing w:before="50" w:after="0" w:line="190" w:lineRule="exact"/>
      <w:ind w:left="227" w:hanging="227"/>
    </w:pPr>
  </w:style>
  <w:style w:type="paragraph" w:customStyle="1" w:styleId="ChartListBullet2">
    <w:name w:val="Chart List Bullet 2"/>
    <w:basedOn w:val="ListBullet2"/>
    <w:semiHidden/>
    <w:rsid w:val="00321C81"/>
    <w:pPr>
      <w:numPr>
        <w:numId w:val="0"/>
      </w:numPr>
      <w:tabs>
        <w:tab w:val="num" w:pos="454"/>
      </w:tabs>
      <w:spacing w:before="30" w:line="190" w:lineRule="exact"/>
      <w:ind w:left="454" w:hanging="227"/>
    </w:pPr>
    <w:rPr>
      <w:rFonts w:ascii="Arial" w:hAnsi="Arial"/>
      <w:sz w:val="17"/>
    </w:rPr>
  </w:style>
  <w:style w:type="paragraph" w:customStyle="1" w:styleId="ChartListNumber">
    <w:name w:val="Chart List Number"/>
    <w:basedOn w:val="ChartText"/>
    <w:semiHidden/>
    <w:rsid w:val="00321C81"/>
    <w:pPr>
      <w:tabs>
        <w:tab w:val="num" w:pos="227"/>
      </w:tabs>
      <w:spacing w:before="60"/>
      <w:ind w:left="227" w:hanging="227"/>
    </w:pPr>
  </w:style>
  <w:style w:type="paragraph" w:styleId="TOC7">
    <w:name w:val="toc 7"/>
    <w:basedOn w:val="TOC1"/>
    <w:next w:val="TOC1"/>
    <w:semiHidden/>
    <w:rsid w:val="0097190C"/>
    <w:pPr>
      <w:tabs>
        <w:tab w:val="left" w:pos="1418"/>
      </w:tabs>
      <w:ind w:left="1418" w:hanging="1418"/>
    </w:pPr>
  </w:style>
  <w:style w:type="paragraph" w:customStyle="1" w:styleId="Author">
    <w:name w:val="Author"/>
    <w:basedOn w:val="Date"/>
    <w:next w:val="Position"/>
    <w:link w:val="AuthorCharChar"/>
    <w:semiHidden/>
    <w:rsid w:val="0075426C"/>
    <w:pPr>
      <w:spacing w:before="180" w:after="0" w:line="260" w:lineRule="atLeast"/>
    </w:pPr>
    <w:rPr>
      <w:rFonts w:ascii="Franklin Gothic Medium" w:hAnsi="Franklin Gothic Medium"/>
      <w:spacing w:val="-2"/>
    </w:rPr>
  </w:style>
  <w:style w:type="paragraph" w:customStyle="1" w:styleId="Position">
    <w:name w:val="Position"/>
    <w:basedOn w:val="Author"/>
    <w:next w:val="Author"/>
    <w:link w:val="PositionCharChar"/>
    <w:semiHidden/>
    <w:rsid w:val="0075426C"/>
    <w:pPr>
      <w:spacing w:before="0"/>
    </w:pPr>
    <w:rPr>
      <w:rFonts w:ascii="Franklin Gothic Book" w:hAnsi="Franklin Gothic Book"/>
    </w:rPr>
  </w:style>
  <w:style w:type="paragraph" w:customStyle="1" w:styleId="CharChar">
    <w:name w:val="Char Char"/>
    <w:basedOn w:val="BoxText"/>
    <w:semiHidden/>
    <w:rsid w:val="001E5458"/>
  </w:style>
  <w:style w:type="paragraph" w:customStyle="1" w:styleId="Client">
    <w:name w:val="Client"/>
    <w:basedOn w:val="Author"/>
    <w:semiHidden/>
    <w:rsid w:val="00AD1F3F"/>
  </w:style>
  <w:style w:type="paragraph" w:customStyle="1" w:styleId="TableDataEntries">
    <w:name w:val="Table Data Entries"/>
    <w:basedOn w:val="TableTextEntries"/>
    <w:rsid w:val="009B0288"/>
    <w:pPr>
      <w:jc w:val="right"/>
    </w:pPr>
  </w:style>
  <w:style w:type="paragraph" w:customStyle="1" w:styleId="TableDataColumnHeading">
    <w:name w:val="Table Data Column Heading"/>
    <w:basedOn w:val="TableDataEntries"/>
    <w:rsid w:val="008E6453"/>
    <w:pPr>
      <w:spacing w:before="80" w:after="80"/>
    </w:pPr>
    <w:rPr>
      <w:rFonts w:ascii="Franklin Gothic Medium" w:hAnsi="Franklin Gothic Medium"/>
    </w:rPr>
  </w:style>
  <w:style w:type="paragraph" w:customStyle="1" w:styleId="TableHeading1">
    <w:name w:val="Table Heading 1"/>
    <w:basedOn w:val="TableTextEntries"/>
    <w:next w:val="TableTextEntries"/>
    <w:rsid w:val="008E6453"/>
    <w:pPr>
      <w:spacing w:before="80" w:after="80"/>
    </w:pPr>
    <w:rPr>
      <w:rFonts w:ascii="Franklin Gothic Medium" w:hAnsi="Franklin Gothic Medium"/>
    </w:rPr>
  </w:style>
  <w:style w:type="paragraph" w:customStyle="1" w:styleId="TableHeading2">
    <w:name w:val="Table Heading 2"/>
    <w:basedOn w:val="TableHeading1"/>
    <w:next w:val="TableTextEntries"/>
    <w:rsid w:val="008E6453"/>
    <w:pPr>
      <w:spacing w:before="40" w:after="40"/>
    </w:pPr>
    <w:rPr>
      <w:rFonts w:ascii="Franklin Gothic Book" w:hAnsi="Franklin Gothic Book"/>
      <w:i/>
    </w:rPr>
  </w:style>
  <w:style w:type="paragraph" w:customStyle="1" w:styleId="TableListBullet2">
    <w:name w:val="Table List Bullet 2"/>
    <w:basedOn w:val="TableListBullet"/>
    <w:link w:val="TableListBullet2CharChar"/>
    <w:rsid w:val="00FA0700"/>
    <w:pPr>
      <w:numPr>
        <w:numId w:val="10"/>
      </w:numPr>
    </w:pPr>
  </w:style>
  <w:style w:type="paragraph" w:customStyle="1" w:styleId="TableListNumber">
    <w:name w:val="Table List Number"/>
    <w:basedOn w:val="TableTextEntries"/>
    <w:rsid w:val="008C0773"/>
    <w:pPr>
      <w:numPr>
        <w:numId w:val="1"/>
      </w:numPr>
    </w:pPr>
  </w:style>
  <w:style w:type="paragraph" w:customStyle="1" w:styleId="TableListNumber2">
    <w:name w:val="Table List Number 2"/>
    <w:basedOn w:val="TableListNumber"/>
    <w:rsid w:val="00396E51"/>
    <w:pPr>
      <w:numPr>
        <w:numId w:val="2"/>
      </w:numPr>
    </w:pPr>
  </w:style>
  <w:style w:type="paragraph" w:customStyle="1" w:styleId="TableTextColumnHeading">
    <w:name w:val="Table Text Column Heading"/>
    <w:basedOn w:val="TableDataColumnHeading"/>
    <w:rsid w:val="008E6453"/>
    <w:pPr>
      <w:jc w:val="left"/>
    </w:pPr>
  </w:style>
  <w:style w:type="paragraph" w:customStyle="1" w:styleId="TableUnit">
    <w:name w:val="Table Unit"/>
    <w:basedOn w:val="TableDataColumnHeading"/>
    <w:next w:val="TableDataEntries"/>
    <w:semiHidden/>
    <w:rsid w:val="008E6453"/>
    <w:pPr>
      <w:keepNext/>
    </w:pPr>
    <w:rPr>
      <w:rFonts w:ascii="Franklin Gothic Book" w:hAnsi="Franklin Gothic Book"/>
    </w:rPr>
  </w:style>
  <w:style w:type="paragraph" w:customStyle="1" w:styleId="NoteNumber">
    <w:name w:val="Note Number"/>
    <w:basedOn w:val="TableTextEntries"/>
    <w:link w:val="NoteNumberCharChar"/>
    <w:rsid w:val="00EE7AC8"/>
    <w:pPr>
      <w:numPr>
        <w:numId w:val="18"/>
      </w:numPr>
      <w:spacing w:after="0" w:line="180" w:lineRule="atLeast"/>
    </w:pPr>
    <w:rPr>
      <w:sz w:val="14"/>
      <w:szCs w:val="14"/>
    </w:rPr>
  </w:style>
  <w:style w:type="character" w:styleId="FollowedHyperlink">
    <w:name w:val="FollowedHyperlink"/>
    <w:semiHidden/>
    <w:rsid w:val="00085585"/>
    <w:rPr>
      <w:color w:val="333399"/>
      <w:u w:val="none"/>
    </w:rPr>
  </w:style>
  <w:style w:type="paragraph" w:customStyle="1" w:styleId="Blurb">
    <w:name w:val="Blurb"/>
    <w:basedOn w:val="Caption"/>
    <w:semiHidden/>
    <w:rsid w:val="0075426C"/>
    <w:pPr>
      <w:spacing w:before="180" w:after="0" w:line="280" w:lineRule="atLeast"/>
    </w:pPr>
    <w:rPr>
      <w:color w:val="FFFFFF"/>
    </w:rPr>
  </w:style>
  <w:style w:type="paragraph" w:customStyle="1" w:styleId="Figure">
    <w:name w:val="Figure"/>
    <w:basedOn w:val="BodyText"/>
    <w:next w:val="BodyText"/>
    <w:semiHidden/>
    <w:rsid w:val="00EA0F2C"/>
    <w:pPr>
      <w:spacing w:before="0" w:line="200" w:lineRule="atLeast"/>
    </w:pPr>
    <w:rPr>
      <w:sz w:val="18"/>
      <w:szCs w:val="18"/>
    </w:rPr>
  </w:style>
  <w:style w:type="paragraph" w:customStyle="1" w:styleId="BoxListBullet2">
    <w:name w:val="Box List Bullet 2"/>
    <w:basedOn w:val="BoxListBullet"/>
    <w:rsid w:val="006C6761"/>
    <w:pPr>
      <w:numPr>
        <w:numId w:val="4"/>
      </w:numPr>
    </w:pPr>
    <w:rPr>
      <w:szCs w:val="18"/>
    </w:rPr>
  </w:style>
  <w:style w:type="paragraph" w:customStyle="1" w:styleId="BoxText">
    <w:name w:val="Box Text"/>
    <w:basedOn w:val="Normal"/>
    <w:link w:val="BoxTextChar"/>
    <w:rsid w:val="009A28D5"/>
    <w:pPr>
      <w:spacing w:before="60" w:after="60" w:line="260" w:lineRule="atLeast"/>
    </w:pPr>
    <w:rPr>
      <w:rFonts w:ascii="Franklin Gothic Book" w:hAnsi="Franklin Gothic Book"/>
      <w:sz w:val="18"/>
      <w:szCs w:val="18"/>
    </w:rPr>
  </w:style>
  <w:style w:type="paragraph" w:customStyle="1" w:styleId="BoxListNumber">
    <w:name w:val="Box List Number"/>
    <w:basedOn w:val="BoxText"/>
    <w:rsid w:val="00165C4D"/>
    <w:pPr>
      <w:numPr>
        <w:numId w:val="6"/>
      </w:numPr>
      <w:spacing w:before="0"/>
    </w:pPr>
  </w:style>
  <w:style w:type="paragraph" w:customStyle="1" w:styleId="BoxListNumber2">
    <w:name w:val="Box List Number 2"/>
    <w:basedOn w:val="BoxListNumber"/>
    <w:rsid w:val="006C6761"/>
    <w:pPr>
      <w:numPr>
        <w:numId w:val="3"/>
      </w:numPr>
    </w:pPr>
  </w:style>
  <w:style w:type="paragraph" w:customStyle="1" w:styleId="BoxNoteSource">
    <w:name w:val="Box Note/Source"/>
    <w:basedOn w:val="BoxText"/>
    <w:rsid w:val="006C6761"/>
    <w:pPr>
      <w:spacing w:before="100" w:after="100" w:line="180" w:lineRule="atLeast"/>
    </w:pPr>
    <w:rPr>
      <w:sz w:val="14"/>
      <w:szCs w:val="14"/>
    </w:rPr>
  </w:style>
  <w:style w:type="paragraph" w:customStyle="1" w:styleId="BoxQuote">
    <w:name w:val="Box Quote"/>
    <w:basedOn w:val="BoxText"/>
    <w:next w:val="BoxText"/>
    <w:rsid w:val="00A60B48"/>
    <w:pPr>
      <w:spacing w:before="0" w:line="240" w:lineRule="atLeast"/>
      <w:ind w:left="284"/>
    </w:pPr>
    <w:rPr>
      <w:sz w:val="16"/>
      <w:szCs w:val="16"/>
    </w:rPr>
  </w:style>
  <w:style w:type="character" w:customStyle="1" w:styleId="TableListBullet2CharChar">
    <w:name w:val="Table List Bullet 2 Char Char"/>
    <w:link w:val="TableListBullet2"/>
    <w:rsid w:val="00C05EB3"/>
    <w:rPr>
      <w:rFonts w:ascii="Franklin Gothic Book" w:hAnsi="Franklin Gothic Book"/>
      <w:sz w:val="17"/>
      <w:szCs w:val="17"/>
      <w:lang w:val="en-AU" w:eastAsia="en-US" w:bidi="ar-SA"/>
    </w:rPr>
  </w:style>
  <w:style w:type="character" w:customStyle="1" w:styleId="NoteCharChar">
    <w:name w:val="Note Char Char"/>
    <w:link w:val="Note"/>
    <w:rsid w:val="008D75EB"/>
    <w:rPr>
      <w:rFonts w:ascii="Franklin Gothic Book" w:hAnsi="Franklin Gothic Book"/>
      <w:sz w:val="14"/>
      <w:szCs w:val="14"/>
      <w:lang w:val="en-AU" w:eastAsia="en-US" w:bidi="ar-SA"/>
    </w:rPr>
  </w:style>
  <w:style w:type="character" w:customStyle="1" w:styleId="NoteNumberCharChar">
    <w:name w:val="Note Number Char Char"/>
    <w:link w:val="NoteNumber"/>
    <w:rsid w:val="00EE7AC8"/>
    <w:rPr>
      <w:rFonts w:ascii="Franklin Gothic Book" w:hAnsi="Franklin Gothic Book"/>
      <w:sz w:val="14"/>
      <w:szCs w:val="14"/>
      <w:lang w:val="en-AU" w:eastAsia="en-US" w:bidi="ar-SA"/>
    </w:rPr>
  </w:style>
  <w:style w:type="character" w:customStyle="1" w:styleId="TitleChar">
    <w:name w:val="Title Char"/>
    <w:link w:val="Title"/>
    <w:rsid w:val="00E77D0C"/>
    <w:rPr>
      <w:rFonts w:ascii="Franklin Gothic Book" w:hAnsi="Franklin Gothic Book"/>
      <w:color w:val="FFFFFF"/>
      <w:spacing w:val="-10"/>
      <w:kern w:val="28"/>
      <w:sz w:val="46"/>
      <w:szCs w:val="46"/>
      <w:lang w:val="en-AU" w:eastAsia="en-AU" w:bidi="ar-SA"/>
    </w:rPr>
  </w:style>
  <w:style w:type="character" w:customStyle="1" w:styleId="SubtitleChar">
    <w:name w:val="Subtitle Char"/>
    <w:link w:val="Subtitle"/>
    <w:rsid w:val="005B522F"/>
    <w:rPr>
      <w:rFonts w:ascii="Franklin Gothic Book" w:hAnsi="Franklin Gothic Book"/>
      <w:color w:val="FFFFFF"/>
      <w:spacing w:val="-10"/>
      <w:kern w:val="28"/>
      <w:sz w:val="32"/>
      <w:szCs w:val="32"/>
      <w:lang w:val="en-AU" w:eastAsia="en-AU" w:bidi="ar-SA"/>
    </w:rPr>
  </w:style>
  <w:style w:type="character" w:customStyle="1" w:styleId="DateChar">
    <w:name w:val="Date Char"/>
    <w:link w:val="Date"/>
    <w:rsid w:val="00A53A6B"/>
    <w:rPr>
      <w:rFonts w:ascii="Franklin Gothic Book" w:hAnsi="Franklin Gothic Book"/>
      <w:color w:val="FFFFFF"/>
      <w:spacing w:val="-10"/>
      <w:kern w:val="28"/>
      <w:sz w:val="24"/>
      <w:szCs w:val="24"/>
      <w:lang w:val="en-AU" w:eastAsia="en-AU" w:bidi="ar-SA"/>
    </w:rPr>
  </w:style>
  <w:style w:type="character" w:customStyle="1" w:styleId="AuthorCharChar">
    <w:name w:val="Author Char Char"/>
    <w:link w:val="Author"/>
    <w:rsid w:val="0075426C"/>
    <w:rPr>
      <w:rFonts w:ascii="Franklin Gothic Medium" w:hAnsi="Franklin Gothic Medium"/>
      <w:color w:val="FFFFFF"/>
      <w:spacing w:val="-2"/>
      <w:kern w:val="28"/>
      <w:sz w:val="24"/>
      <w:szCs w:val="24"/>
      <w:lang w:val="en-AU" w:eastAsia="en-AU" w:bidi="ar-SA"/>
    </w:rPr>
  </w:style>
  <w:style w:type="character" w:customStyle="1" w:styleId="PositionCharChar">
    <w:name w:val="Position Char Char"/>
    <w:link w:val="Position"/>
    <w:rsid w:val="0075426C"/>
    <w:rPr>
      <w:rFonts w:ascii="Franklin Gothic Book" w:hAnsi="Franklin Gothic Book"/>
      <w:color w:val="FFFFFF"/>
      <w:spacing w:val="-2"/>
      <w:kern w:val="28"/>
      <w:sz w:val="24"/>
      <w:szCs w:val="24"/>
      <w:lang w:val="en-AU" w:eastAsia="en-AU" w:bidi="ar-SA"/>
    </w:rPr>
  </w:style>
  <w:style w:type="paragraph" w:customStyle="1" w:styleId="Appendix">
    <w:name w:val="Appendix"/>
    <w:basedOn w:val="Normal"/>
    <w:semiHidden/>
    <w:rsid w:val="00205AA6"/>
    <w:pPr>
      <w:framePr w:wrap="around" w:vAnchor="text" w:hAnchor="text" w:y="1"/>
    </w:pPr>
    <w:rPr>
      <w:rFonts w:ascii="Franklin Gothic Medium" w:hAnsi="Franklin Gothic Medium"/>
      <w:color w:val="7E6D5F"/>
      <w:sz w:val="32"/>
      <w:szCs w:val="32"/>
    </w:rPr>
  </w:style>
  <w:style w:type="paragraph" w:customStyle="1" w:styleId="Photocaption">
    <w:name w:val="Photo caption"/>
    <w:basedOn w:val="Normal"/>
    <w:next w:val="BodyText"/>
    <w:semiHidden/>
    <w:rsid w:val="00187D56"/>
    <w:pPr>
      <w:spacing w:before="140" w:after="240" w:line="180" w:lineRule="exact"/>
    </w:pPr>
    <w:rPr>
      <w:rFonts w:ascii="Franklin Gothic Medium" w:hAnsi="Franklin Gothic Medium"/>
      <w:color w:val="54534A"/>
      <w:sz w:val="14"/>
      <w:szCs w:val="14"/>
    </w:rPr>
  </w:style>
  <w:style w:type="paragraph" w:customStyle="1" w:styleId="CharChar0">
    <w:name w:val=" Char Char"/>
    <w:basedOn w:val="Normal"/>
    <w:semiHidden/>
    <w:rsid w:val="00953A8D"/>
    <w:pPr>
      <w:spacing w:before="180" w:line="280" w:lineRule="atLeast"/>
    </w:pPr>
    <w:rPr>
      <w:rFonts w:ascii="Arial" w:hAnsi="Arial"/>
      <w:sz w:val="22"/>
      <w:szCs w:val="20"/>
      <w:lang w:eastAsia="en-US"/>
    </w:rPr>
  </w:style>
  <w:style w:type="table" w:styleId="TableGrid">
    <w:name w:val="Table Grid"/>
    <w:basedOn w:val="TableNormal"/>
    <w:semiHidden/>
    <w:rsid w:val="005C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tingred">
    <w:name w:val="Rating red"/>
    <w:basedOn w:val="ListBullet"/>
    <w:semiHidden/>
    <w:rsid w:val="001C6E03"/>
  </w:style>
  <w:style w:type="paragraph" w:customStyle="1" w:styleId="Ratingbullet">
    <w:name w:val="Rating bullet"/>
    <w:basedOn w:val="TableTextEntries"/>
    <w:semiHidden/>
    <w:rsid w:val="001C6E03"/>
    <w:pPr>
      <w:jc w:val="center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911B9C"/>
    <w:pPr>
      <w:spacing w:before="0"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semiHidden/>
    <w:rsid w:val="00911B9C"/>
    <w:rPr>
      <w:rFonts w:ascii="Tahoma" w:hAnsi="Tahoma" w:cs="Tahoma"/>
      <w:sz w:val="16"/>
      <w:szCs w:val="16"/>
    </w:rPr>
  </w:style>
  <w:style w:type="paragraph" w:customStyle="1" w:styleId="Rating">
    <w:name w:val="Rating"/>
    <w:basedOn w:val="BodyText"/>
    <w:next w:val="BodyText"/>
    <w:semiHidden/>
    <w:rsid w:val="00230BD1"/>
    <w:pPr>
      <w:tabs>
        <w:tab w:val="left" w:pos="567"/>
      </w:tabs>
    </w:pPr>
  </w:style>
  <w:style w:type="paragraph" w:customStyle="1" w:styleId="GuidanceText">
    <w:name w:val="Guidance Text"/>
    <w:basedOn w:val="BodyText"/>
    <w:semiHidden/>
    <w:rsid w:val="001B11EB"/>
    <w:pPr>
      <w:spacing w:before="60" w:after="60" w:line="240" w:lineRule="atLeast"/>
    </w:pPr>
    <w:rPr>
      <w:rFonts w:ascii="Calibri" w:hAnsi="Calibri"/>
      <w:color w:val="0000FF"/>
      <w:sz w:val="20"/>
      <w:szCs w:val="20"/>
    </w:rPr>
  </w:style>
  <w:style w:type="character" w:customStyle="1" w:styleId="BoxHeading1Char">
    <w:name w:val="Box Heading 1 Char"/>
    <w:link w:val="BoxHeading1"/>
    <w:rsid w:val="00604949"/>
    <w:rPr>
      <w:rFonts w:ascii="Franklin Gothic Demi" w:hAnsi="Franklin Gothic Demi"/>
      <w:color w:val="000000"/>
      <w:sz w:val="18"/>
      <w:szCs w:val="18"/>
      <w:lang w:val="en-AU" w:eastAsia="en-AU" w:bidi="ar-SA"/>
    </w:rPr>
  </w:style>
  <w:style w:type="character" w:customStyle="1" w:styleId="BoxTextChar">
    <w:name w:val="Box Text Char"/>
    <w:link w:val="BoxText"/>
    <w:rsid w:val="00CA6414"/>
    <w:rPr>
      <w:rFonts w:ascii="Franklin Gothic Book" w:hAnsi="Franklin Gothic Book"/>
      <w:sz w:val="18"/>
      <w:szCs w:val="18"/>
      <w:lang w:val="en-AU" w:eastAsia="en-AU" w:bidi="ar-SA"/>
    </w:rPr>
  </w:style>
  <w:style w:type="character" w:styleId="Emphasis">
    <w:name w:val="Emphasis"/>
    <w:qFormat/>
    <w:rsid w:val="006711AB"/>
    <w:rPr>
      <w:b/>
      <w:bCs/>
      <w:i w:val="0"/>
      <w:iCs w:val="0"/>
    </w:rPr>
  </w:style>
  <w:style w:type="paragraph" w:styleId="ListParagraph">
    <w:name w:val="List Paragraph"/>
    <w:basedOn w:val="Normal"/>
    <w:qFormat/>
    <w:rsid w:val="009B2FDA"/>
    <w:pPr>
      <w:ind w:left="720"/>
      <w:contextualSpacing/>
    </w:pPr>
    <w:rPr>
      <w:rFonts w:eastAsia="Calibri"/>
      <w:sz w:val="24"/>
      <w:lang w:val="en-US" w:eastAsia="en-US"/>
    </w:rPr>
  </w:style>
  <w:style w:type="paragraph" w:styleId="Revision">
    <w:name w:val="Revision"/>
    <w:hidden/>
    <w:uiPriority w:val="99"/>
    <w:semiHidden/>
    <w:rsid w:val="00577D8F"/>
    <w:rPr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Templates\AusAID,%20New%20look\APPR%20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C77A3-180F-4CA2-92F4-B0FC2E63065F}"/>
</file>

<file path=customXml/itemProps2.xml><?xml version="1.0" encoding="utf-8"?>
<ds:datastoreItem xmlns:ds="http://schemas.openxmlformats.org/officeDocument/2006/customXml" ds:itemID="{7224EB25-585F-4FC7-9AF2-A4295FD2A4F9}"/>
</file>

<file path=customXml/itemProps3.xml><?xml version="1.0" encoding="utf-8"?>
<ds:datastoreItem xmlns:ds="http://schemas.openxmlformats.org/officeDocument/2006/customXml" ds:itemID="{7BC046D6-6489-4E8D-84C8-1CB5A0B6D7AF}"/>
</file>

<file path=customXml/itemProps4.xml><?xml version="1.0" encoding="utf-8"?>
<ds:datastoreItem xmlns:ds="http://schemas.openxmlformats.org/officeDocument/2006/customXml" ds:itemID="{06ADCCFD-3EE5-4739-9BCA-DC72FAE80FDE}"/>
</file>

<file path=docProps/app.xml><?xml version="1.0" encoding="utf-8"?>
<Properties xmlns="http://schemas.openxmlformats.org/officeDocument/2006/extended-properties" xmlns:vt="http://schemas.openxmlformats.org/officeDocument/2006/docPropsVTypes">
  <Template>APPR 2009.dot</Template>
  <TotalTime>1</TotalTime>
  <Pages>11</Pages>
  <Words>4253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PfD Report</vt:lpstr>
    </vt:vector>
  </TitlesOfParts>
  <Manager>AusAID ADG OPS</Manager>
  <Company>ByWord Services</Company>
  <LinksUpToDate>false</LinksUpToDate>
  <CharactersWithSpaces>28440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PfD Report</dc:title>
  <dc:creator>Owen Martin</dc:creator>
  <cp:keywords>PfD</cp:keywords>
  <cp:lastModifiedBy>Muhammad Khattab</cp:lastModifiedBy>
  <cp:revision>3</cp:revision>
  <cp:lastPrinted>2011-08-24T09:58:00Z</cp:lastPrinted>
  <dcterms:created xsi:type="dcterms:W3CDTF">2013-07-17T14:57:00Z</dcterms:created>
  <dcterms:modified xsi:type="dcterms:W3CDTF">2013-07-17T14:58:00Z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r8>137600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ntentTypeId">
    <vt:lpwstr>0x01010050F19AC2165D2E47A5E6B7F563E4CF00</vt:lpwstr>
  </property>
  <property fmtid="{D5CDD505-2E9C-101B-9397-08002B2CF9AE}" pid="11" name="PublishingContact">
    <vt:lpwstr/>
  </property>
  <property fmtid="{D5CDD505-2E9C-101B-9397-08002B2CF9AE}" pid="12" name="WCMSPublicationSubCategory">
    <vt:lpwstr/>
  </property>
  <property fmtid="{D5CDD505-2E9C-101B-9397-08002B2CF9AE}" pid="13" name="WCMSIPSSubCategory">
    <vt:lpwstr/>
  </property>
  <property fmtid="{D5CDD505-2E9C-101B-9397-08002B2CF9AE}" pid="14" name="PublishingRollupImage">
    <vt:lpwstr/>
  </property>
  <property fmtid="{D5CDD505-2E9C-101B-9397-08002B2CF9AE}" pid="15" name="AusAIDAggregationLevel">
    <vt:lpwstr/>
  </property>
  <property fmtid="{D5CDD505-2E9C-101B-9397-08002B2CF9AE}" pid="16" name="WCMSStatus">
    <vt:lpwstr/>
  </property>
  <property fmtid="{D5CDD505-2E9C-101B-9397-08002B2CF9AE}" pid="17" name="PublishingContactEmail">
    <vt:lpwstr/>
  </property>
  <property fmtid="{D5CDD505-2E9C-101B-9397-08002B2CF9AE}" pid="18" name="WCMSPrintedMedia">
    <vt:bool>false</vt:bool>
  </property>
  <property fmtid="{D5CDD505-2E9C-101B-9397-08002B2CF9AE}" pid="19" name="WCMSIPSCategory">
    <vt:lpwstr/>
  </property>
  <property fmtid="{D5CDD505-2E9C-101B-9397-08002B2CF9AE}" pid="20" name="RSS Feed Link">
    <vt:lpwstr/>
  </property>
  <property fmtid="{D5CDD505-2E9C-101B-9397-08002B2CF9AE}" pid="21" name="WCMSDocumentLink">
    <vt:lpwstr/>
  </property>
  <property fmtid="{D5CDD505-2E9C-101B-9397-08002B2CF9AE}" pid="22" name="WCMSReportDisclaimer">
    <vt:bool>false</vt:bool>
  </property>
  <property fmtid="{D5CDD505-2E9C-101B-9397-08002B2CF9AE}" pid="23" name="PublishingVariationRelationshipLinkFieldID">
    <vt:lpwstr/>
  </property>
  <property fmtid="{D5CDD505-2E9C-101B-9397-08002B2CF9AE}" pid="24" name="WCMSPublicationCategory">
    <vt:lpwstr/>
  </property>
  <property fmtid="{D5CDD505-2E9C-101B-9397-08002B2CF9AE}" pid="25" name="WCMSElectronicMedia">
    <vt:bool>false</vt:bool>
  </property>
  <property fmtid="{D5CDD505-2E9C-101B-9397-08002B2CF9AE}" pid="26" name="Comments">
    <vt:lpwstr/>
  </property>
  <property fmtid="{D5CDD505-2E9C-101B-9397-08002B2CF9AE}" pid="27" name="PublishingPageLayout">
    <vt:lpwstr/>
  </property>
  <property fmtid="{D5CDD505-2E9C-101B-9397-08002B2CF9AE}" pid="28" name="WCMSCountry">
    <vt:lpwstr/>
  </property>
  <property fmtid="{D5CDD505-2E9C-101B-9397-08002B2CF9AE}" pid="29" name="WCMSSourceId">
    <vt:lpwstr/>
  </property>
  <property fmtid="{D5CDD505-2E9C-101B-9397-08002B2CF9AE}" pid="30" name="WCMSLatest">
    <vt:bool>false</vt:bool>
  </property>
  <property fmtid="{D5CDD505-2E9C-101B-9397-08002B2CF9AE}" pid="31" name="WCMSPublicationFormat">
    <vt:lpwstr/>
  </property>
  <property fmtid="{D5CDD505-2E9C-101B-9397-08002B2CF9AE}" pid="32" name="AusAIDPageSubjectMetadata">
    <vt:lpwstr/>
  </property>
  <property fmtid="{D5CDD505-2E9C-101B-9397-08002B2CF9AE}" pid="33" name="AusAIDCategoryMetadata">
    <vt:lpwstr/>
  </property>
  <property fmtid="{D5CDD505-2E9C-101B-9397-08002B2CF9AE}" pid="34" name="AusAIDDocumentTypeMetaData">
    <vt:lpwstr/>
  </property>
  <property fmtid="{D5CDD505-2E9C-101B-9397-08002B2CF9AE}" pid="35" name="WCMSLanguage">
    <vt:lpwstr/>
  </property>
  <property fmtid="{D5CDD505-2E9C-101B-9397-08002B2CF9AE}" pid="36" name="Audience">
    <vt:lpwstr/>
  </property>
  <property fmtid="{D5CDD505-2E9C-101B-9397-08002B2CF9AE}" pid="37" name="WCMSDescription">
    <vt:lpwstr/>
  </property>
  <property fmtid="{D5CDD505-2E9C-101B-9397-08002B2CF9AE}" pid="39" name="WCMSOtherCategory">
    <vt:lpwstr/>
  </property>
  <property fmtid="{D5CDD505-2E9C-101B-9397-08002B2CF9AE}" pid="40" name="AusAIDPageDescriptionMetadata">
    <vt:lpwstr/>
  </property>
  <property fmtid="{D5CDD505-2E9C-101B-9397-08002B2CF9AE}" pid="41" name="WCMSTheme">
    <vt:lpwstr/>
  </property>
  <property fmtid="{D5CDD505-2E9C-101B-9397-08002B2CF9AE}" pid="42" name="WCMSISBNISSN">
    <vt:lpwstr/>
  </property>
  <property fmtid="{D5CDD505-2E9C-101B-9397-08002B2CF9AE}" pid="43" name="PublishingContactPicture">
    <vt:lpwstr/>
  </property>
  <property fmtid="{D5CDD505-2E9C-101B-9397-08002B2CF9AE}" pid="44" name="PublishingVariationGroupID">
    <vt:lpwstr/>
  </property>
  <property fmtid="{D5CDD505-2E9C-101B-9397-08002B2CF9AE}" pid="45" name="AusAIDIdentifierMetadata">
    <vt:lpwstr/>
  </property>
  <property fmtid="{D5CDD505-2E9C-101B-9397-08002B2CF9AE}" pid="46" name="PublishingContactName">
    <vt:lpwstr/>
  </property>
  <property fmtid="{D5CDD505-2E9C-101B-9397-08002B2CF9AE}" pid="47" name="WCMSRegion">
    <vt:lpwstr/>
  </property>
  <property fmtid="{D5CDD505-2E9C-101B-9397-08002B2CF9AE}" pid="48" name="WCMSPublicationAuthor">
    <vt:lpwstr/>
  </property>
  <property fmtid="{D5CDD505-2E9C-101B-9397-08002B2CF9AE}" pid="49" name="display_urn">
    <vt:lpwstr>System Account</vt:lpwstr>
  </property>
</Properties>
</file>