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51853370" w:displacedByCustomXml="next"/>
    <w:sdt>
      <w:sdtPr>
        <w:rPr>
          <w:lang w:val="en-AU"/>
        </w:rPr>
        <w:id w:val="1868021890"/>
        <w:docPartObj>
          <w:docPartGallery w:val="Cover Pages"/>
          <w:docPartUnique/>
        </w:docPartObj>
      </w:sdtPr>
      <w:sdtEndPr>
        <w:rPr>
          <w:sz w:val="16"/>
        </w:rPr>
      </w:sdtEndPr>
      <w:sdtContent>
        <w:bookmarkStart w:id="1" w:name="_Toc453926423" w:displacedByCustomXml="prev"/>
        <w:bookmarkStart w:id="2" w:name="_Toc427155002" w:displacedByCustomXml="prev"/>
        <w:bookmarkStart w:id="3" w:name="_Toc410308612" w:displacedByCustomXml="prev"/>
        <w:bookmarkStart w:id="4" w:name="_Toc410308048" w:displacedByCustomXml="prev"/>
        <w:bookmarkStart w:id="5" w:name="_Toc368381228" w:displacedByCustomXml="prev"/>
        <w:p w14:paraId="7931A66C" w14:textId="4A6CD6EE" w:rsidR="0071265C" w:rsidRPr="003C341F" w:rsidRDefault="0071265C" w:rsidP="0071265C">
          <w:pPr>
            <w:rPr>
              <w:lang w:val="en-AU"/>
            </w:rPr>
          </w:pPr>
        </w:p>
        <w:p w14:paraId="00CA7606" w14:textId="77777777" w:rsidR="0071265C" w:rsidRPr="003C341F" w:rsidRDefault="0071265C" w:rsidP="0071265C">
          <w:pPr>
            <w:rPr>
              <w:lang w:val="en-AU"/>
            </w:rPr>
          </w:pPr>
        </w:p>
        <w:p w14:paraId="721E7029" w14:textId="77777777" w:rsidR="0071265C" w:rsidRPr="003C341F" w:rsidRDefault="0071265C" w:rsidP="0071265C">
          <w:pPr>
            <w:rPr>
              <w:rFonts w:ascii="Arial" w:hAnsi="Arial" w:cs="Arial"/>
              <w:sz w:val="32"/>
              <w:szCs w:val="28"/>
              <w:lang w:val="en-AU"/>
            </w:rPr>
          </w:pPr>
        </w:p>
        <w:p w14:paraId="14C1C6A4" w14:textId="77777777" w:rsidR="0071265C" w:rsidRPr="003C341F" w:rsidRDefault="0071265C" w:rsidP="0071265C">
          <w:pPr>
            <w:rPr>
              <w:rFonts w:ascii="Arial" w:hAnsi="Arial" w:cs="Arial"/>
              <w:sz w:val="32"/>
              <w:szCs w:val="28"/>
              <w:lang w:val="en-AU"/>
            </w:rPr>
          </w:pPr>
        </w:p>
        <w:p w14:paraId="68EE3640" w14:textId="77777777" w:rsidR="0071265C" w:rsidRPr="003C341F" w:rsidRDefault="00FB51B5" w:rsidP="0071265C">
          <w:pPr>
            <w:rPr>
              <w:rFonts w:ascii="Arial" w:hAnsi="Arial" w:cs="Arial"/>
              <w:sz w:val="32"/>
              <w:szCs w:val="28"/>
              <w:lang w:val="en-AU"/>
            </w:rPr>
          </w:pPr>
          <w:r w:rsidRPr="003C341F">
            <w:rPr>
              <w:rFonts w:ascii="Arial" w:hAnsi="Arial" w:cs="Arial"/>
              <w:sz w:val="32"/>
              <w:szCs w:val="28"/>
              <w:lang w:val="en-AU"/>
            </w:rPr>
            <w:t>Samoa Health Design</w:t>
          </w:r>
        </w:p>
        <w:p w14:paraId="72DDBB34" w14:textId="77777777" w:rsidR="00292B0A" w:rsidRDefault="00292B0A" w:rsidP="0071265C">
          <w:pPr>
            <w:rPr>
              <w:rFonts w:ascii="Arial" w:hAnsi="Arial" w:cs="Arial"/>
              <w:b/>
              <w:sz w:val="32"/>
              <w:szCs w:val="28"/>
              <w:lang w:val="en-AU"/>
            </w:rPr>
          </w:pPr>
        </w:p>
        <w:p w14:paraId="307F57F2" w14:textId="600CD7C9" w:rsidR="0089215D" w:rsidRPr="0089215D" w:rsidRDefault="001465AD" w:rsidP="0071265C">
          <w:pPr>
            <w:rPr>
              <w:rFonts w:ascii="Arial" w:hAnsi="Arial" w:cs="Arial"/>
              <w:b/>
              <w:sz w:val="32"/>
              <w:szCs w:val="28"/>
              <w:lang w:val="en-AU"/>
            </w:rPr>
          </w:pPr>
          <w:r>
            <w:rPr>
              <w:rFonts w:ascii="Arial" w:hAnsi="Arial" w:cs="Arial"/>
              <w:b/>
              <w:sz w:val="32"/>
              <w:szCs w:val="28"/>
              <w:lang w:val="en-AU"/>
            </w:rPr>
            <w:t>APPENDICES</w:t>
          </w:r>
        </w:p>
        <w:p w14:paraId="55E0291E" w14:textId="77777777" w:rsidR="0071265C" w:rsidRPr="003C341F" w:rsidRDefault="0071265C" w:rsidP="0071265C">
          <w:pPr>
            <w:rPr>
              <w:rFonts w:ascii="Arial" w:hAnsi="Arial" w:cs="Arial"/>
              <w:sz w:val="32"/>
              <w:szCs w:val="28"/>
              <w:lang w:val="en-AU"/>
            </w:rPr>
          </w:pPr>
        </w:p>
        <w:p w14:paraId="1396381F" w14:textId="0FA6B52D" w:rsidR="0071265C" w:rsidRDefault="00A143F6" w:rsidP="0071265C">
          <w:pPr>
            <w:rPr>
              <w:rFonts w:ascii="Arial" w:hAnsi="Arial" w:cs="Arial"/>
              <w:sz w:val="32"/>
              <w:szCs w:val="28"/>
              <w:lang w:val="en-AU"/>
            </w:rPr>
          </w:pPr>
          <w:r>
            <w:rPr>
              <w:rFonts w:ascii="Arial" w:hAnsi="Arial" w:cs="Arial"/>
              <w:sz w:val="32"/>
              <w:szCs w:val="28"/>
              <w:lang w:val="en-AU"/>
            </w:rPr>
            <w:t>2</w:t>
          </w:r>
          <w:r w:rsidR="0089215D">
            <w:rPr>
              <w:rFonts w:ascii="Arial" w:hAnsi="Arial" w:cs="Arial"/>
              <w:sz w:val="32"/>
              <w:szCs w:val="28"/>
              <w:lang w:val="en-AU"/>
            </w:rPr>
            <w:t>6</w:t>
          </w:r>
          <w:r>
            <w:rPr>
              <w:rFonts w:ascii="Arial" w:hAnsi="Arial" w:cs="Arial"/>
              <w:sz w:val="32"/>
              <w:szCs w:val="28"/>
              <w:lang w:val="en-AU"/>
            </w:rPr>
            <w:t xml:space="preserve"> August</w:t>
          </w:r>
          <w:r w:rsidR="00FB51B5" w:rsidRPr="003C341F">
            <w:rPr>
              <w:rFonts w:ascii="Arial" w:hAnsi="Arial" w:cs="Arial"/>
              <w:sz w:val="32"/>
              <w:szCs w:val="28"/>
              <w:lang w:val="en-AU"/>
            </w:rPr>
            <w:t xml:space="preserve"> 2016</w:t>
          </w:r>
          <w:r w:rsidR="00275E7C">
            <w:rPr>
              <w:rFonts w:ascii="Arial" w:hAnsi="Arial" w:cs="Arial"/>
              <w:sz w:val="32"/>
              <w:szCs w:val="28"/>
              <w:lang w:val="en-AU"/>
            </w:rPr>
            <w:t xml:space="preserve"> (Draft)</w:t>
          </w:r>
        </w:p>
        <w:p w14:paraId="6E2E4811" w14:textId="39119B7D" w:rsidR="00275E7C" w:rsidRPr="003C341F" w:rsidRDefault="0022102E" w:rsidP="0071265C">
          <w:pPr>
            <w:rPr>
              <w:rFonts w:ascii="Arial" w:hAnsi="Arial" w:cs="Arial"/>
              <w:sz w:val="32"/>
              <w:szCs w:val="28"/>
              <w:lang w:val="en-AU"/>
            </w:rPr>
          </w:pPr>
          <w:r>
            <w:rPr>
              <w:rFonts w:ascii="Arial" w:hAnsi="Arial" w:cs="Arial"/>
              <w:sz w:val="32"/>
              <w:szCs w:val="28"/>
              <w:lang w:val="en-AU"/>
            </w:rPr>
            <w:t>31</w:t>
          </w:r>
          <w:r w:rsidR="00E87682">
            <w:rPr>
              <w:rFonts w:ascii="Arial" w:hAnsi="Arial" w:cs="Arial"/>
              <w:sz w:val="32"/>
              <w:szCs w:val="28"/>
              <w:lang w:val="en-AU"/>
            </w:rPr>
            <w:t xml:space="preserve"> January 2018</w:t>
          </w:r>
          <w:r w:rsidR="00275E7C">
            <w:rPr>
              <w:rFonts w:ascii="Arial" w:hAnsi="Arial" w:cs="Arial"/>
              <w:sz w:val="32"/>
              <w:szCs w:val="28"/>
              <w:lang w:val="en-AU"/>
            </w:rPr>
            <w:t xml:space="preserve"> (Revised)</w:t>
          </w:r>
        </w:p>
        <w:p w14:paraId="04F3B709" w14:textId="77777777" w:rsidR="0071265C" w:rsidRPr="003C341F" w:rsidRDefault="0071265C" w:rsidP="0071265C">
          <w:pPr>
            <w:rPr>
              <w:lang w:val="en-AU"/>
            </w:rPr>
          </w:pPr>
        </w:p>
        <w:p w14:paraId="14C18979" w14:textId="77777777" w:rsidR="0071265C" w:rsidRPr="003C341F" w:rsidRDefault="0071265C" w:rsidP="0071265C">
          <w:pPr>
            <w:rPr>
              <w:lang w:val="en-AU"/>
            </w:rPr>
          </w:pPr>
        </w:p>
        <w:p w14:paraId="5FC39915" w14:textId="77777777" w:rsidR="0071265C" w:rsidRPr="003C341F" w:rsidRDefault="0071265C" w:rsidP="0071265C">
          <w:pPr>
            <w:spacing w:before="40" w:line="288" w:lineRule="auto"/>
            <w:rPr>
              <w:lang w:val="en-AU"/>
            </w:rPr>
          </w:pPr>
        </w:p>
        <w:p w14:paraId="6DD4A852" w14:textId="77777777" w:rsidR="0071265C" w:rsidRPr="003C341F" w:rsidRDefault="0071265C" w:rsidP="0071265C">
          <w:pPr>
            <w:rPr>
              <w:lang w:val="en-AU"/>
            </w:rPr>
          </w:pPr>
        </w:p>
        <w:p w14:paraId="124A4EFF" w14:textId="77777777" w:rsidR="0071265C" w:rsidRPr="003C341F" w:rsidRDefault="0071265C" w:rsidP="0071265C">
          <w:pPr>
            <w:rPr>
              <w:lang w:val="en-AU"/>
            </w:rPr>
          </w:pPr>
        </w:p>
        <w:p w14:paraId="47C55431" w14:textId="77777777" w:rsidR="0071265C" w:rsidRPr="003C341F" w:rsidRDefault="0071265C" w:rsidP="0071265C">
          <w:pPr>
            <w:rPr>
              <w:lang w:val="en-AU"/>
            </w:rPr>
          </w:pPr>
        </w:p>
        <w:p w14:paraId="783BC78B" w14:textId="77777777" w:rsidR="0071265C" w:rsidRPr="003C341F" w:rsidRDefault="0071265C" w:rsidP="0071265C">
          <w:pPr>
            <w:rPr>
              <w:lang w:val="en-AU"/>
            </w:rPr>
          </w:pPr>
        </w:p>
        <w:p w14:paraId="28632758" w14:textId="77777777" w:rsidR="0071265C" w:rsidRPr="003C341F" w:rsidRDefault="0071265C" w:rsidP="0071265C">
          <w:pPr>
            <w:rPr>
              <w:lang w:val="en-AU"/>
            </w:rPr>
          </w:pPr>
        </w:p>
        <w:p w14:paraId="7EE91A94" w14:textId="77777777" w:rsidR="0071265C" w:rsidRPr="003C341F" w:rsidRDefault="0071265C" w:rsidP="0071265C">
          <w:pPr>
            <w:rPr>
              <w:lang w:val="en-AU"/>
            </w:rPr>
          </w:pPr>
        </w:p>
        <w:p w14:paraId="4FADA822" w14:textId="77777777" w:rsidR="0071265C" w:rsidRPr="003C341F" w:rsidRDefault="0071265C" w:rsidP="0071265C">
          <w:pPr>
            <w:tabs>
              <w:tab w:val="left" w:pos="2770"/>
            </w:tabs>
            <w:rPr>
              <w:lang w:val="en-AU"/>
            </w:rPr>
          </w:pPr>
        </w:p>
        <w:p w14:paraId="541810AB" w14:textId="77777777" w:rsidR="0071265C" w:rsidRPr="003C341F" w:rsidRDefault="0071265C" w:rsidP="0071265C">
          <w:pPr>
            <w:rPr>
              <w:lang w:val="en-AU"/>
            </w:rPr>
          </w:pPr>
        </w:p>
        <w:p w14:paraId="3A4454AD" w14:textId="77777777" w:rsidR="0071265C" w:rsidRPr="003C341F" w:rsidRDefault="0071265C">
          <w:pPr>
            <w:rPr>
              <w:lang w:val="en-AU"/>
            </w:rPr>
          </w:pPr>
          <w:r w:rsidRPr="003C341F">
            <w:rPr>
              <w:noProof/>
              <w:lang w:val="en-AU" w:eastAsia="en-AU"/>
            </w:rPr>
            <mc:AlternateContent>
              <mc:Choice Requires="wps">
                <w:drawing>
                  <wp:inline distT="0" distB="0" distL="0" distR="0" wp14:anchorId="53341E6C" wp14:editId="6B240D94">
                    <wp:extent cx="2993390" cy="228600"/>
                    <wp:effectExtent l="0" t="0" r="0" b="0"/>
                    <wp:docPr id="217" name="Text Box 2" descr="Strategic input on health to the Australian Govern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28600"/>
                            </a:xfrm>
                            <a:prstGeom prst="rect">
                              <a:avLst/>
                            </a:prstGeom>
                            <a:noFill/>
                            <a:ln w="9525">
                              <a:noFill/>
                              <a:miter lim="800000"/>
                              <a:headEnd/>
                              <a:tailEnd/>
                            </a:ln>
                          </wps:spPr>
                          <wps:txbx>
                            <w:txbxContent>
                              <w:p w14:paraId="124A9E2D" w14:textId="77777777" w:rsidR="004612F9" w:rsidRPr="002E6F77" w:rsidRDefault="004612F9" w:rsidP="0071265C">
                                <w:pPr>
                                  <w:spacing w:after="0"/>
                                  <w:jc w:val="right"/>
                                  <w:rPr>
                                    <w:rFonts w:ascii="Arial" w:hAnsi="Arial" w:cs="Arial"/>
                                    <w:i/>
                                    <w:color w:val="DA291C"/>
                                    <w:sz w:val="28"/>
                                  </w:rPr>
                                </w:pPr>
                                <w:r w:rsidRPr="002E6F77">
                                  <w:rPr>
                                    <w:rFonts w:ascii="Arial" w:hAnsi="Arial" w:cs="Arial"/>
                                    <w:i/>
                                    <w:color w:val="DA291C"/>
                                    <w:sz w:val="18"/>
                                  </w:rPr>
                                  <w:t>Strategic input on health to the Australian Government</w:t>
                                </w:r>
                              </w:p>
                            </w:txbxContent>
                          </wps:txbx>
                          <wps:bodyPr rot="0" vert="horz" wrap="square" lIns="91440" tIns="45720" rIns="91440" bIns="45720" anchor="b" anchorCtr="0">
                            <a:noAutofit/>
                          </wps:bodyPr>
                        </wps:wsp>
                      </a:graphicData>
                    </a:graphic>
                  </wp:inline>
                </w:drawing>
              </mc:Choice>
              <mc:Fallback>
                <w:pict>
                  <v:shapetype w14:anchorId="53341E6C" id="_x0000_t202" coordsize="21600,21600" o:spt="202" path="m,l,21600r21600,l21600,xe">
                    <v:stroke joinstyle="miter"/>
                    <v:path gradientshapeok="t" o:connecttype="rect"/>
                  </v:shapetype>
                  <v:shape id="Text Box 2" o:spid="_x0000_s1026" type="#_x0000_t202" alt="Strategic input on health to the Australian Government" style="width:235.7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" filled="f" stroked="f">
                    <v:textbox>
                      <w:txbxContent>
                        <w:p w14:paraId="124A9E2D" w14:textId="77777777" w:rsidR="004612F9" w:rsidRPr="002E6F77" w:rsidRDefault="004612F9" w:rsidP="0071265C">
                          <w:pPr>
                            <w:spacing w:after="0"/>
                            <w:jc w:val="right"/>
                            <w:rPr>
                              <w:rFonts w:ascii="Arial" w:hAnsi="Arial" w:cs="Arial"/>
                              <w:i/>
                              <w:color w:val="DA291C"/>
                              <w:sz w:val="28"/>
                            </w:rPr>
                          </w:pPr>
                          <w:r w:rsidRPr="002E6F77">
                            <w:rPr>
                              <w:rFonts w:ascii="Arial" w:hAnsi="Arial" w:cs="Arial"/>
                              <w:i/>
                              <w:color w:val="DA291C"/>
                              <w:sz w:val="18"/>
                            </w:rPr>
                            <w:t>Strategic input on health to the Australian Government</w:t>
                          </w:r>
                        </w:p>
                      </w:txbxContent>
                    </v:textbox>
                    <w10:anchorlock/>
                  </v:shape>
                </w:pict>
              </mc:Fallback>
            </mc:AlternateContent>
          </w:r>
          <w:r w:rsidRPr="003C341F">
            <w:rPr>
              <w:noProof/>
              <w:lang w:val="en-AU" w:eastAsia="en-AU"/>
            </w:rPr>
            <w:drawing>
              <wp:inline distT="0" distB="0" distL="0" distR="0" wp14:anchorId="77987451" wp14:editId="282A0632">
                <wp:extent cx="1844040" cy="1473137"/>
                <wp:effectExtent l="0" t="0" r="3810" b="0"/>
                <wp:docPr id="1" name="Picture 2" descr="Specialist Health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pecialist Health Service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44040" cy="1473137"/>
                        </a:xfrm>
                        <a:prstGeom prst="rect">
                          <a:avLst/>
                        </a:prstGeom>
                        <a:noFill/>
                      </pic:spPr>
                    </pic:pic>
                  </a:graphicData>
                </a:graphic>
              </wp:inline>
            </w:drawing>
          </w:r>
        </w:p>
        <w:p w14:paraId="6A71418B" w14:textId="77777777" w:rsidR="0071265C" w:rsidRPr="003C341F" w:rsidRDefault="0071265C">
          <w:pPr>
            <w:spacing w:after="0"/>
            <w:rPr>
              <w:b/>
              <w:bCs/>
              <w:lang w:val="en-AU"/>
            </w:rPr>
            <w:sectPr w:rsidR="0071265C" w:rsidRPr="003C341F" w:rsidSect="00E63DC4">
              <w:footerReference w:type="even" r:id="rId9"/>
              <w:footerReference w:type="default" r:id="rId10"/>
              <w:pgSz w:w="11900" w:h="16840" w:code="9"/>
              <w:pgMar w:top="1440" w:right="1440" w:bottom="1440" w:left="1440" w:header="708" w:footer="708" w:gutter="0"/>
              <w:pgNumType w:start="0"/>
              <w:cols w:space="708"/>
              <w:titlePg/>
              <w:docGrid w:linePitch="360"/>
            </w:sectPr>
          </w:pPr>
        </w:p>
        <w:p w14:paraId="28ADAA67" w14:textId="77777777" w:rsidR="0071265C" w:rsidRPr="003C341F" w:rsidRDefault="0071265C" w:rsidP="001465AD">
          <w:pPr>
            <w:rPr>
              <w:lang w:val="en-AU"/>
            </w:rPr>
          </w:pPr>
        </w:p>
        <w:p w14:paraId="296EF84D" w14:textId="77777777" w:rsidR="0071265C" w:rsidRPr="003C341F" w:rsidRDefault="0071265C" w:rsidP="001465AD">
          <w:pPr>
            <w:rPr>
              <w:lang w:val="en-AU"/>
            </w:rPr>
          </w:pPr>
        </w:p>
        <w:p w14:paraId="2138755F" w14:textId="77777777" w:rsidR="00CF209E" w:rsidRPr="003C341F" w:rsidRDefault="00CF209E" w:rsidP="001465AD">
          <w:pPr>
            <w:rPr>
              <w:lang w:val="en-AU"/>
            </w:rPr>
          </w:pPr>
        </w:p>
        <w:p w14:paraId="0DFB775C" w14:textId="77777777" w:rsidR="00CF209E" w:rsidRPr="003C341F" w:rsidRDefault="00CF209E" w:rsidP="001465AD">
          <w:pPr>
            <w:rPr>
              <w:lang w:val="en-AU"/>
            </w:rPr>
          </w:pPr>
        </w:p>
        <w:p w14:paraId="031EC098" w14:textId="77777777" w:rsidR="00CF209E" w:rsidRPr="003C341F" w:rsidRDefault="00CF209E" w:rsidP="001465AD">
          <w:pPr>
            <w:rPr>
              <w:lang w:val="en-AU"/>
            </w:rPr>
          </w:pPr>
        </w:p>
        <w:p w14:paraId="4DCF3539" w14:textId="77777777" w:rsidR="00CF209E" w:rsidRPr="003C341F" w:rsidRDefault="00CF209E" w:rsidP="001465AD">
          <w:pPr>
            <w:rPr>
              <w:lang w:val="en-AU"/>
            </w:rPr>
          </w:pPr>
        </w:p>
        <w:p w14:paraId="2139B9C8" w14:textId="77777777" w:rsidR="00CF209E" w:rsidRPr="003C341F" w:rsidRDefault="00CF209E" w:rsidP="001465AD">
          <w:pPr>
            <w:rPr>
              <w:lang w:val="en-AU"/>
            </w:rPr>
          </w:pPr>
        </w:p>
        <w:p w14:paraId="3E98F19E" w14:textId="77777777" w:rsidR="00CF209E" w:rsidRPr="003C341F" w:rsidRDefault="00CF209E" w:rsidP="001465AD">
          <w:pPr>
            <w:rPr>
              <w:lang w:val="en-AU"/>
            </w:rPr>
          </w:pPr>
        </w:p>
        <w:p w14:paraId="0C7A0A93" w14:textId="77777777" w:rsidR="00CF209E" w:rsidRPr="003C341F" w:rsidRDefault="00CF209E" w:rsidP="001465AD">
          <w:pPr>
            <w:rPr>
              <w:lang w:val="en-AU"/>
            </w:rPr>
          </w:pPr>
        </w:p>
        <w:p w14:paraId="40F46A84" w14:textId="77777777" w:rsidR="00CF209E" w:rsidRPr="003C341F" w:rsidRDefault="00CF209E" w:rsidP="001465AD">
          <w:pPr>
            <w:rPr>
              <w:lang w:val="en-AU"/>
            </w:rPr>
          </w:pPr>
        </w:p>
        <w:p w14:paraId="7BA71DDF" w14:textId="77777777" w:rsidR="00CF209E" w:rsidRPr="003C341F" w:rsidRDefault="00CF209E" w:rsidP="00CF209E">
          <w:pPr>
            <w:rPr>
              <w:lang w:val="en-AU"/>
            </w:rPr>
          </w:pPr>
        </w:p>
        <w:p w14:paraId="5077D604" w14:textId="024B174C" w:rsidR="0071265C" w:rsidRPr="003C341F" w:rsidRDefault="0071265C" w:rsidP="00CF209E">
          <w:pPr>
            <w:rPr>
              <w:lang w:val="en-AU"/>
            </w:rPr>
            <w:sectPr w:rsidR="0071265C" w:rsidRPr="003C341F" w:rsidSect="00E63DC4">
              <w:footerReference w:type="first" r:id="rId11"/>
              <w:pgSz w:w="11900" w:h="16840"/>
              <w:pgMar w:top="1440" w:right="1440" w:bottom="1440" w:left="1440" w:header="708" w:footer="708" w:gutter="0"/>
              <w:pgNumType w:start="0"/>
              <w:cols w:space="708"/>
              <w:docGrid w:linePitch="360"/>
            </w:sectPr>
          </w:pPr>
        </w:p>
        <w:p w14:paraId="23175182" w14:textId="76949284" w:rsidR="00CD381C" w:rsidRPr="00CD381C" w:rsidRDefault="00EA437F" w:rsidP="00CD381C">
          <w:pPr>
            <w:rPr>
              <w:rFonts w:asciiTheme="minorHAnsi" w:hAnsiTheme="minorHAnsi"/>
              <w:sz w:val="16"/>
              <w:lang w:val="en-AU"/>
            </w:rPr>
          </w:pPr>
        </w:p>
        <w:bookmarkEnd w:id="1" w:displacedByCustomXml="next"/>
      </w:sdtContent>
    </w:sdt>
    <w:bookmarkEnd w:id="2" w:displacedByCustomXml="prev"/>
    <w:bookmarkEnd w:id="3" w:displacedByCustomXml="prev"/>
    <w:bookmarkEnd w:id="4" w:displacedByCustomXml="prev"/>
    <w:bookmarkEnd w:id="5" w:displacedByCustomXml="prev"/>
    <w:bookmarkStart w:id="6" w:name="_Toc454266250" w:displacedByCustomXml="prev"/>
    <w:p w14:paraId="5E955E65" w14:textId="485067CA" w:rsidR="00CA4014" w:rsidRDefault="00CD381C" w:rsidP="00E63DC4">
      <w:pPr>
        <w:pStyle w:val="NumberedTitle"/>
        <w:numPr>
          <w:ilvl w:val="0"/>
          <w:numId w:val="29"/>
        </w:numPr>
        <w:ind w:left="284" w:hanging="284"/>
        <w:outlineLvl w:val="9"/>
        <w:rPr>
          <w:lang w:val="en-AU"/>
        </w:rPr>
      </w:pPr>
      <w:bookmarkStart w:id="7" w:name="OLE_LINK2"/>
      <w:bookmarkStart w:id="8" w:name="_Toc457572208"/>
      <w:bookmarkStart w:id="9" w:name="_Toc460229624"/>
      <w:bookmarkStart w:id="10" w:name="_Toc460231103"/>
      <w:bookmarkEnd w:id="7"/>
      <w:bookmarkEnd w:id="0"/>
      <w:bookmarkEnd w:id="6"/>
      <w:r>
        <w:rPr>
          <w:lang w:val="en-AU"/>
        </w:rPr>
        <w:t>A</w:t>
      </w:r>
      <w:r w:rsidR="00250807" w:rsidRPr="003C341F">
        <w:rPr>
          <w:lang w:val="en-AU"/>
        </w:rPr>
        <w:t>ppendices</w:t>
      </w:r>
      <w:bookmarkEnd w:id="8"/>
      <w:bookmarkEnd w:id="9"/>
      <w:bookmarkEnd w:id="10"/>
    </w:p>
    <w:sdt>
      <w:sdtPr>
        <w:rPr>
          <w:rFonts w:ascii="Tahoma" w:eastAsia="HGMinchoB" w:hAnsi="Tahoma"/>
          <w:sz w:val="20"/>
          <w:szCs w:val="20"/>
          <w:lang w:val="en-AU" w:eastAsia="ja-JP"/>
        </w:rPr>
        <w:id w:val="1866023298"/>
        <w:docPartObj>
          <w:docPartGallery w:val="Table of Contents"/>
          <w:docPartUnique/>
        </w:docPartObj>
      </w:sdtPr>
      <w:sdtEndPr/>
      <w:sdtContent>
        <w:p w14:paraId="1F718DAA" w14:textId="77777777" w:rsidR="00D27744" w:rsidRPr="00D27744" w:rsidRDefault="00D27744" w:rsidP="00D27744">
          <w:pPr>
            <w:spacing w:after="0"/>
            <w:contextualSpacing/>
            <w:rPr>
              <w:rFonts w:ascii="Calibri" w:eastAsia="HGｺﾞｼｯｸM" w:hAnsi="Calibri" w:cs="Arial"/>
              <w:b/>
              <w:spacing w:val="-10"/>
              <w:sz w:val="24"/>
              <w:szCs w:val="56"/>
              <w:lang w:val="en-AU" w:eastAsia="ja-JP"/>
            </w:rPr>
          </w:pPr>
          <w:r w:rsidRPr="00D27744">
            <w:rPr>
              <w:rFonts w:ascii="Calibri" w:eastAsia="HGｺﾞｼｯｸM" w:hAnsi="Calibri" w:cs="Arial"/>
              <w:b/>
              <w:spacing w:val="-10"/>
              <w:sz w:val="24"/>
              <w:szCs w:val="56"/>
              <w:lang w:val="en-AU" w:eastAsia="ja-JP"/>
            </w:rPr>
            <w:t>Contents</w:t>
          </w:r>
        </w:p>
        <w:p w14:paraId="0DE27C04" w14:textId="62EF2047" w:rsidR="007E1D4A" w:rsidRPr="007E1D4A" w:rsidRDefault="007E1D4A" w:rsidP="00967226">
          <w:pPr>
            <w:pStyle w:val="TOC1"/>
            <w:tabs>
              <w:tab w:val="right" w:leader="dot" w:pos="9010"/>
            </w:tabs>
            <w:spacing w:before="0" w:after="120"/>
            <w:rPr>
              <w:rFonts w:ascii="Calibri" w:hAnsi="Calibri" w:cstheme="minorBidi"/>
              <w:b w:val="0"/>
              <w:bCs w:val="0"/>
              <w:caps w:val="0"/>
              <w:noProof/>
              <w:sz w:val="22"/>
              <w:szCs w:val="22"/>
              <w:lang w:val="en-AU" w:eastAsia="en-AU"/>
            </w:rPr>
          </w:pPr>
          <w:r w:rsidRPr="007E1D4A">
            <w:rPr>
              <w:rFonts w:eastAsia="HGMinchoB" w:cs="Tahoma"/>
              <w:b w:val="0"/>
              <w:bCs w:val="0"/>
              <w:caps w:val="0"/>
              <w:sz w:val="22"/>
              <w:szCs w:val="20"/>
              <w:lang w:eastAsia="ja-JP"/>
            </w:rPr>
            <w:fldChar w:fldCharType="begin"/>
          </w:r>
          <w:r w:rsidRPr="007E1D4A">
            <w:rPr>
              <w:rFonts w:eastAsia="HGMinchoB" w:cs="Tahoma"/>
              <w:b w:val="0"/>
              <w:bCs w:val="0"/>
              <w:caps w:val="0"/>
              <w:sz w:val="22"/>
              <w:szCs w:val="20"/>
              <w:lang w:eastAsia="ja-JP"/>
            </w:rPr>
            <w:instrText xml:space="preserve"> TOC \o "1-1" \u </w:instrText>
          </w:r>
          <w:r w:rsidRPr="007E1D4A">
            <w:rPr>
              <w:rFonts w:eastAsia="HGMinchoB" w:cs="Tahoma"/>
              <w:b w:val="0"/>
              <w:bCs w:val="0"/>
              <w:caps w:val="0"/>
              <w:sz w:val="22"/>
              <w:szCs w:val="20"/>
              <w:lang w:eastAsia="ja-JP"/>
            </w:rPr>
            <w:fldChar w:fldCharType="separate"/>
          </w:r>
          <w:r w:rsidRPr="007E1D4A">
            <w:rPr>
              <w:rFonts w:ascii="Calibri" w:hAnsi="Calibri"/>
              <w:b w:val="0"/>
              <w:caps w:val="0"/>
              <w:noProof/>
              <w:sz w:val="22"/>
              <w:lang w:val="en-AU"/>
            </w:rPr>
            <w:t>Appendix A: Overview of Samoa’s health system</w:t>
          </w:r>
          <w:r w:rsidRPr="007E1D4A">
            <w:rPr>
              <w:rFonts w:ascii="Calibri" w:hAnsi="Calibri"/>
              <w:b w:val="0"/>
              <w:caps w:val="0"/>
              <w:noProof/>
              <w:sz w:val="22"/>
            </w:rPr>
            <w:tab/>
          </w:r>
          <w:r w:rsidRPr="007E1D4A">
            <w:rPr>
              <w:rFonts w:ascii="Calibri" w:hAnsi="Calibri"/>
              <w:b w:val="0"/>
              <w:caps w:val="0"/>
              <w:noProof/>
              <w:sz w:val="22"/>
            </w:rPr>
            <w:fldChar w:fldCharType="begin"/>
          </w:r>
          <w:r w:rsidRPr="007E1D4A">
            <w:rPr>
              <w:rFonts w:ascii="Calibri" w:hAnsi="Calibri"/>
              <w:b w:val="0"/>
              <w:caps w:val="0"/>
              <w:noProof/>
              <w:sz w:val="22"/>
            </w:rPr>
            <w:instrText xml:space="preserve"> PAGEREF _Toc460231382 \h </w:instrText>
          </w:r>
          <w:r w:rsidRPr="007E1D4A">
            <w:rPr>
              <w:rFonts w:ascii="Calibri" w:hAnsi="Calibri"/>
              <w:b w:val="0"/>
              <w:caps w:val="0"/>
              <w:noProof/>
              <w:sz w:val="22"/>
            </w:rPr>
          </w:r>
          <w:r w:rsidRPr="007E1D4A">
            <w:rPr>
              <w:rFonts w:ascii="Calibri" w:hAnsi="Calibri"/>
              <w:b w:val="0"/>
              <w:caps w:val="0"/>
              <w:noProof/>
              <w:sz w:val="22"/>
            </w:rPr>
            <w:fldChar w:fldCharType="separate"/>
          </w:r>
          <w:r w:rsidR="005410B6">
            <w:rPr>
              <w:rFonts w:ascii="Calibri" w:hAnsi="Calibri"/>
              <w:b w:val="0"/>
              <w:caps w:val="0"/>
              <w:noProof/>
              <w:sz w:val="22"/>
            </w:rPr>
            <w:t>1</w:t>
          </w:r>
          <w:r w:rsidRPr="007E1D4A">
            <w:rPr>
              <w:rFonts w:ascii="Calibri" w:hAnsi="Calibri"/>
              <w:b w:val="0"/>
              <w:caps w:val="0"/>
              <w:noProof/>
              <w:sz w:val="22"/>
            </w:rPr>
            <w:fldChar w:fldCharType="end"/>
          </w:r>
        </w:p>
        <w:p w14:paraId="44BC68BD" w14:textId="0B6455F2" w:rsidR="007E1D4A" w:rsidRPr="007E1D4A" w:rsidRDefault="007E1D4A" w:rsidP="00967226">
          <w:pPr>
            <w:pStyle w:val="TOC1"/>
            <w:tabs>
              <w:tab w:val="right" w:leader="dot" w:pos="9010"/>
            </w:tabs>
            <w:spacing w:before="0" w:after="120"/>
            <w:rPr>
              <w:rFonts w:ascii="Calibri" w:hAnsi="Calibri" w:cstheme="minorBidi"/>
              <w:b w:val="0"/>
              <w:bCs w:val="0"/>
              <w:caps w:val="0"/>
              <w:noProof/>
              <w:sz w:val="22"/>
              <w:szCs w:val="22"/>
              <w:lang w:val="en-AU" w:eastAsia="en-AU"/>
            </w:rPr>
          </w:pPr>
          <w:r w:rsidRPr="007E1D4A">
            <w:rPr>
              <w:rFonts w:ascii="Calibri" w:hAnsi="Calibri"/>
              <w:b w:val="0"/>
              <w:caps w:val="0"/>
              <w:noProof/>
              <w:sz w:val="22"/>
              <w:lang w:val="en-AU"/>
            </w:rPr>
            <w:t>Appendix B: Other development partners</w:t>
          </w:r>
          <w:r w:rsidRPr="007E1D4A">
            <w:rPr>
              <w:rFonts w:ascii="Calibri" w:hAnsi="Calibri"/>
              <w:b w:val="0"/>
              <w:caps w:val="0"/>
              <w:noProof/>
              <w:sz w:val="22"/>
            </w:rPr>
            <w:tab/>
          </w:r>
          <w:r w:rsidRPr="007E1D4A">
            <w:rPr>
              <w:rFonts w:ascii="Calibri" w:hAnsi="Calibri"/>
              <w:b w:val="0"/>
              <w:caps w:val="0"/>
              <w:noProof/>
              <w:sz w:val="22"/>
            </w:rPr>
            <w:fldChar w:fldCharType="begin"/>
          </w:r>
          <w:r w:rsidRPr="007E1D4A">
            <w:rPr>
              <w:rFonts w:ascii="Calibri" w:hAnsi="Calibri"/>
              <w:b w:val="0"/>
              <w:caps w:val="0"/>
              <w:noProof/>
              <w:sz w:val="22"/>
            </w:rPr>
            <w:instrText xml:space="preserve"> PAGEREF _Toc460231383 \h </w:instrText>
          </w:r>
          <w:r w:rsidRPr="007E1D4A">
            <w:rPr>
              <w:rFonts w:ascii="Calibri" w:hAnsi="Calibri"/>
              <w:b w:val="0"/>
              <w:caps w:val="0"/>
              <w:noProof/>
              <w:sz w:val="22"/>
            </w:rPr>
          </w:r>
          <w:r w:rsidRPr="007E1D4A">
            <w:rPr>
              <w:rFonts w:ascii="Calibri" w:hAnsi="Calibri"/>
              <w:b w:val="0"/>
              <w:caps w:val="0"/>
              <w:noProof/>
              <w:sz w:val="22"/>
            </w:rPr>
            <w:fldChar w:fldCharType="separate"/>
          </w:r>
          <w:r w:rsidR="005410B6">
            <w:rPr>
              <w:rFonts w:ascii="Calibri" w:hAnsi="Calibri"/>
              <w:b w:val="0"/>
              <w:caps w:val="0"/>
              <w:noProof/>
              <w:sz w:val="22"/>
            </w:rPr>
            <w:t>8</w:t>
          </w:r>
          <w:r w:rsidRPr="007E1D4A">
            <w:rPr>
              <w:rFonts w:ascii="Calibri" w:hAnsi="Calibri"/>
              <w:b w:val="0"/>
              <w:caps w:val="0"/>
              <w:noProof/>
              <w:sz w:val="22"/>
            </w:rPr>
            <w:fldChar w:fldCharType="end"/>
          </w:r>
        </w:p>
        <w:p w14:paraId="0B0AF8D9" w14:textId="2EDDF419" w:rsidR="007E1D4A" w:rsidRPr="007E1D4A" w:rsidRDefault="007E1D4A" w:rsidP="00967226">
          <w:pPr>
            <w:pStyle w:val="TOC1"/>
            <w:tabs>
              <w:tab w:val="right" w:leader="dot" w:pos="9010"/>
            </w:tabs>
            <w:spacing w:before="0" w:after="120"/>
            <w:rPr>
              <w:rFonts w:ascii="Calibri" w:hAnsi="Calibri" w:cstheme="minorBidi"/>
              <w:b w:val="0"/>
              <w:bCs w:val="0"/>
              <w:caps w:val="0"/>
              <w:noProof/>
              <w:sz w:val="22"/>
              <w:szCs w:val="22"/>
              <w:lang w:val="en-AU" w:eastAsia="en-AU"/>
            </w:rPr>
          </w:pPr>
          <w:r w:rsidRPr="007E1D4A">
            <w:rPr>
              <w:rFonts w:ascii="Calibri" w:hAnsi="Calibri"/>
              <w:b w:val="0"/>
              <w:caps w:val="0"/>
              <w:noProof/>
              <w:sz w:val="22"/>
              <w:lang w:val="en-AU"/>
            </w:rPr>
            <w:t>Appendix C: Alignment with Making Performance Count: Enhancing the accountability and effectiveness of Australian aid</w:t>
          </w:r>
          <w:r w:rsidRPr="007E1D4A">
            <w:rPr>
              <w:rFonts w:ascii="Calibri" w:hAnsi="Calibri"/>
              <w:b w:val="0"/>
              <w:caps w:val="0"/>
              <w:noProof/>
              <w:sz w:val="22"/>
            </w:rPr>
            <w:tab/>
          </w:r>
          <w:r w:rsidRPr="007E1D4A">
            <w:rPr>
              <w:rFonts w:ascii="Calibri" w:hAnsi="Calibri"/>
              <w:b w:val="0"/>
              <w:caps w:val="0"/>
              <w:noProof/>
              <w:sz w:val="22"/>
            </w:rPr>
            <w:fldChar w:fldCharType="begin"/>
          </w:r>
          <w:r w:rsidRPr="007E1D4A">
            <w:rPr>
              <w:rFonts w:ascii="Calibri" w:hAnsi="Calibri"/>
              <w:b w:val="0"/>
              <w:caps w:val="0"/>
              <w:noProof/>
              <w:sz w:val="22"/>
            </w:rPr>
            <w:instrText xml:space="preserve"> PAGEREF _Toc460231384 \h </w:instrText>
          </w:r>
          <w:r w:rsidRPr="007E1D4A">
            <w:rPr>
              <w:rFonts w:ascii="Calibri" w:hAnsi="Calibri"/>
              <w:b w:val="0"/>
              <w:caps w:val="0"/>
              <w:noProof/>
              <w:sz w:val="22"/>
            </w:rPr>
          </w:r>
          <w:r w:rsidRPr="007E1D4A">
            <w:rPr>
              <w:rFonts w:ascii="Calibri" w:hAnsi="Calibri"/>
              <w:b w:val="0"/>
              <w:caps w:val="0"/>
              <w:noProof/>
              <w:sz w:val="22"/>
            </w:rPr>
            <w:fldChar w:fldCharType="separate"/>
          </w:r>
          <w:r w:rsidR="005410B6">
            <w:rPr>
              <w:rFonts w:ascii="Calibri" w:hAnsi="Calibri"/>
              <w:b w:val="0"/>
              <w:caps w:val="0"/>
              <w:noProof/>
              <w:sz w:val="22"/>
            </w:rPr>
            <w:t>10</w:t>
          </w:r>
          <w:r w:rsidRPr="007E1D4A">
            <w:rPr>
              <w:rFonts w:ascii="Calibri" w:hAnsi="Calibri"/>
              <w:b w:val="0"/>
              <w:caps w:val="0"/>
              <w:noProof/>
              <w:sz w:val="22"/>
            </w:rPr>
            <w:fldChar w:fldCharType="end"/>
          </w:r>
        </w:p>
        <w:p w14:paraId="3EF95CAC" w14:textId="1A726F74" w:rsidR="007E1D4A" w:rsidRPr="007E1D4A" w:rsidRDefault="007E1D4A" w:rsidP="00967226">
          <w:pPr>
            <w:pStyle w:val="TOC1"/>
            <w:tabs>
              <w:tab w:val="right" w:leader="dot" w:pos="9010"/>
            </w:tabs>
            <w:spacing w:before="0" w:after="120"/>
            <w:rPr>
              <w:rFonts w:ascii="Calibri" w:hAnsi="Calibri" w:cstheme="minorBidi"/>
              <w:b w:val="0"/>
              <w:bCs w:val="0"/>
              <w:caps w:val="0"/>
              <w:noProof/>
              <w:sz w:val="22"/>
              <w:szCs w:val="22"/>
              <w:lang w:val="en-AU" w:eastAsia="en-AU"/>
            </w:rPr>
          </w:pPr>
          <w:r w:rsidRPr="007E1D4A">
            <w:rPr>
              <w:rFonts w:ascii="Calibri" w:hAnsi="Calibri"/>
              <w:b w:val="0"/>
              <w:caps w:val="0"/>
              <w:noProof/>
              <w:sz w:val="22"/>
              <w:lang w:val="en-AU"/>
            </w:rPr>
            <w:t>Appendix D: Intermediate outcome pathways</w:t>
          </w:r>
          <w:r w:rsidRPr="007E1D4A">
            <w:rPr>
              <w:rFonts w:ascii="Calibri" w:hAnsi="Calibri"/>
              <w:b w:val="0"/>
              <w:caps w:val="0"/>
              <w:noProof/>
              <w:sz w:val="22"/>
            </w:rPr>
            <w:tab/>
          </w:r>
          <w:r w:rsidRPr="007E1D4A">
            <w:rPr>
              <w:rFonts w:ascii="Calibri" w:hAnsi="Calibri"/>
              <w:b w:val="0"/>
              <w:caps w:val="0"/>
              <w:noProof/>
              <w:sz w:val="22"/>
            </w:rPr>
            <w:fldChar w:fldCharType="begin"/>
          </w:r>
          <w:r w:rsidRPr="007E1D4A">
            <w:rPr>
              <w:rFonts w:ascii="Calibri" w:hAnsi="Calibri"/>
              <w:b w:val="0"/>
              <w:caps w:val="0"/>
              <w:noProof/>
              <w:sz w:val="22"/>
            </w:rPr>
            <w:instrText xml:space="preserve"> PAGEREF _Toc460231385 \h </w:instrText>
          </w:r>
          <w:r w:rsidRPr="007E1D4A">
            <w:rPr>
              <w:rFonts w:ascii="Calibri" w:hAnsi="Calibri"/>
              <w:b w:val="0"/>
              <w:caps w:val="0"/>
              <w:noProof/>
              <w:sz w:val="22"/>
            </w:rPr>
          </w:r>
          <w:r w:rsidRPr="007E1D4A">
            <w:rPr>
              <w:rFonts w:ascii="Calibri" w:hAnsi="Calibri"/>
              <w:b w:val="0"/>
              <w:caps w:val="0"/>
              <w:noProof/>
              <w:sz w:val="22"/>
            </w:rPr>
            <w:fldChar w:fldCharType="separate"/>
          </w:r>
          <w:r w:rsidR="005410B6">
            <w:rPr>
              <w:rFonts w:ascii="Calibri" w:hAnsi="Calibri"/>
              <w:b w:val="0"/>
              <w:caps w:val="0"/>
              <w:noProof/>
              <w:sz w:val="22"/>
            </w:rPr>
            <w:t>11</w:t>
          </w:r>
          <w:r w:rsidRPr="007E1D4A">
            <w:rPr>
              <w:rFonts w:ascii="Calibri" w:hAnsi="Calibri"/>
              <w:b w:val="0"/>
              <w:caps w:val="0"/>
              <w:noProof/>
              <w:sz w:val="22"/>
            </w:rPr>
            <w:fldChar w:fldCharType="end"/>
          </w:r>
        </w:p>
        <w:p w14:paraId="7F650307" w14:textId="00A83CC9" w:rsidR="007E1D4A" w:rsidRPr="007E1D4A" w:rsidRDefault="007E1D4A" w:rsidP="00292B0A">
          <w:pPr>
            <w:pStyle w:val="TOC1"/>
            <w:tabs>
              <w:tab w:val="right" w:leader="dot" w:pos="9010"/>
            </w:tabs>
            <w:spacing w:before="0" w:after="120"/>
            <w:rPr>
              <w:rFonts w:ascii="Calibri" w:hAnsi="Calibri" w:cstheme="minorBidi"/>
              <w:b w:val="0"/>
              <w:bCs w:val="0"/>
              <w:caps w:val="0"/>
              <w:noProof/>
              <w:sz w:val="22"/>
              <w:szCs w:val="22"/>
              <w:lang w:val="en-AU" w:eastAsia="en-AU"/>
            </w:rPr>
          </w:pPr>
          <w:r w:rsidRPr="007E1D4A">
            <w:rPr>
              <w:rFonts w:ascii="Calibri" w:hAnsi="Calibri"/>
              <w:b w:val="0"/>
              <w:caps w:val="0"/>
              <w:noProof/>
              <w:sz w:val="22"/>
              <w:lang w:val="en-AU"/>
            </w:rPr>
            <w:t>Appendix E: Draft terms of reference for cost-benefit review of health information system options</w:t>
          </w:r>
          <w:r w:rsidRPr="007E1D4A">
            <w:rPr>
              <w:rFonts w:ascii="Calibri" w:hAnsi="Calibri"/>
              <w:b w:val="0"/>
              <w:caps w:val="0"/>
              <w:noProof/>
              <w:sz w:val="22"/>
            </w:rPr>
            <w:tab/>
          </w:r>
          <w:r w:rsidRPr="007E1D4A">
            <w:rPr>
              <w:rFonts w:ascii="Calibri" w:hAnsi="Calibri"/>
              <w:b w:val="0"/>
              <w:caps w:val="0"/>
              <w:noProof/>
              <w:sz w:val="22"/>
            </w:rPr>
            <w:fldChar w:fldCharType="begin"/>
          </w:r>
          <w:r w:rsidRPr="007E1D4A">
            <w:rPr>
              <w:rFonts w:ascii="Calibri" w:hAnsi="Calibri"/>
              <w:b w:val="0"/>
              <w:caps w:val="0"/>
              <w:noProof/>
              <w:sz w:val="22"/>
            </w:rPr>
            <w:instrText xml:space="preserve"> PAGEREF _Toc460231386 \h </w:instrText>
          </w:r>
          <w:r w:rsidRPr="007E1D4A">
            <w:rPr>
              <w:rFonts w:ascii="Calibri" w:hAnsi="Calibri"/>
              <w:b w:val="0"/>
              <w:caps w:val="0"/>
              <w:noProof/>
              <w:sz w:val="22"/>
            </w:rPr>
          </w:r>
          <w:r w:rsidRPr="007E1D4A">
            <w:rPr>
              <w:rFonts w:ascii="Calibri" w:hAnsi="Calibri"/>
              <w:b w:val="0"/>
              <w:caps w:val="0"/>
              <w:noProof/>
              <w:sz w:val="22"/>
            </w:rPr>
            <w:fldChar w:fldCharType="separate"/>
          </w:r>
          <w:r w:rsidR="005410B6">
            <w:rPr>
              <w:rFonts w:ascii="Calibri" w:hAnsi="Calibri"/>
              <w:b w:val="0"/>
              <w:caps w:val="0"/>
              <w:noProof/>
              <w:sz w:val="22"/>
            </w:rPr>
            <w:t>16</w:t>
          </w:r>
          <w:r w:rsidRPr="007E1D4A">
            <w:rPr>
              <w:rFonts w:ascii="Calibri" w:hAnsi="Calibri"/>
              <w:b w:val="0"/>
              <w:caps w:val="0"/>
              <w:noProof/>
              <w:sz w:val="22"/>
            </w:rPr>
            <w:fldChar w:fldCharType="end"/>
          </w:r>
        </w:p>
        <w:p w14:paraId="61322DDC" w14:textId="507128FE" w:rsidR="007E1D4A" w:rsidRPr="007E1D4A" w:rsidRDefault="007E1D4A" w:rsidP="00967226">
          <w:pPr>
            <w:pStyle w:val="TOC1"/>
            <w:tabs>
              <w:tab w:val="right" w:leader="dot" w:pos="9010"/>
            </w:tabs>
            <w:spacing w:before="0" w:after="120"/>
            <w:rPr>
              <w:rFonts w:ascii="Calibri" w:hAnsi="Calibri" w:cstheme="minorBidi"/>
              <w:b w:val="0"/>
              <w:bCs w:val="0"/>
              <w:caps w:val="0"/>
              <w:noProof/>
              <w:sz w:val="22"/>
              <w:szCs w:val="22"/>
              <w:lang w:val="en-AU" w:eastAsia="en-AU"/>
            </w:rPr>
          </w:pPr>
          <w:r w:rsidRPr="007E1D4A">
            <w:rPr>
              <w:rFonts w:ascii="Calibri" w:hAnsi="Calibri"/>
              <w:b w:val="0"/>
              <w:caps w:val="0"/>
              <w:noProof/>
              <w:sz w:val="22"/>
              <w:lang w:val="en-AU"/>
            </w:rPr>
            <w:t>Appendix F: GANTT chart</w:t>
          </w:r>
          <w:r w:rsidRPr="007E1D4A">
            <w:rPr>
              <w:rFonts w:ascii="Calibri" w:hAnsi="Calibri"/>
              <w:b w:val="0"/>
              <w:caps w:val="0"/>
              <w:noProof/>
              <w:sz w:val="22"/>
            </w:rPr>
            <w:tab/>
          </w:r>
          <w:r w:rsidRPr="007E1D4A">
            <w:rPr>
              <w:rFonts w:ascii="Calibri" w:hAnsi="Calibri"/>
              <w:b w:val="0"/>
              <w:caps w:val="0"/>
              <w:noProof/>
              <w:sz w:val="22"/>
            </w:rPr>
            <w:fldChar w:fldCharType="begin"/>
          </w:r>
          <w:r w:rsidRPr="007E1D4A">
            <w:rPr>
              <w:rFonts w:ascii="Calibri" w:hAnsi="Calibri"/>
              <w:b w:val="0"/>
              <w:caps w:val="0"/>
              <w:noProof/>
              <w:sz w:val="22"/>
            </w:rPr>
            <w:instrText xml:space="preserve"> PAGEREF _Toc460231387 \h </w:instrText>
          </w:r>
          <w:r w:rsidRPr="007E1D4A">
            <w:rPr>
              <w:rFonts w:ascii="Calibri" w:hAnsi="Calibri"/>
              <w:b w:val="0"/>
              <w:caps w:val="0"/>
              <w:noProof/>
              <w:sz w:val="22"/>
            </w:rPr>
          </w:r>
          <w:r w:rsidRPr="007E1D4A">
            <w:rPr>
              <w:rFonts w:ascii="Calibri" w:hAnsi="Calibri"/>
              <w:b w:val="0"/>
              <w:caps w:val="0"/>
              <w:noProof/>
              <w:sz w:val="22"/>
            </w:rPr>
            <w:fldChar w:fldCharType="separate"/>
          </w:r>
          <w:r w:rsidR="005410B6">
            <w:rPr>
              <w:rFonts w:ascii="Calibri" w:hAnsi="Calibri"/>
              <w:b w:val="0"/>
              <w:caps w:val="0"/>
              <w:noProof/>
              <w:sz w:val="22"/>
            </w:rPr>
            <w:t>23</w:t>
          </w:r>
          <w:r w:rsidRPr="007E1D4A">
            <w:rPr>
              <w:rFonts w:ascii="Calibri" w:hAnsi="Calibri"/>
              <w:b w:val="0"/>
              <w:caps w:val="0"/>
              <w:noProof/>
              <w:sz w:val="22"/>
            </w:rPr>
            <w:fldChar w:fldCharType="end"/>
          </w:r>
        </w:p>
        <w:p w14:paraId="5D1636BF" w14:textId="162E19E6" w:rsidR="007E1D4A" w:rsidRPr="007E1D4A" w:rsidRDefault="007E1D4A" w:rsidP="00967226">
          <w:pPr>
            <w:pStyle w:val="TOC1"/>
            <w:tabs>
              <w:tab w:val="right" w:leader="dot" w:pos="9010"/>
            </w:tabs>
            <w:spacing w:before="0" w:after="120"/>
            <w:rPr>
              <w:rFonts w:ascii="Calibri" w:hAnsi="Calibri" w:cstheme="minorBidi"/>
              <w:b w:val="0"/>
              <w:bCs w:val="0"/>
              <w:caps w:val="0"/>
              <w:noProof/>
              <w:sz w:val="22"/>
              <w:szCs w:val="22"/>
              <w:lang w:val="en-AU" w:eastAsia="en-AU"/>
            </w:rPr>
          </w:pPr>
          <w:r w:rsidRPr="007E1D4A">
            <w:rPr>
              <w:rFonts w:ascii="Calibri" w:hAnsi="Calibri"/>
              <w:b w:val="0"/>
              <w:caps w:val="0"/>
              <w:noProof/>
              <w:sz w:val="22"/>
              <w:lang w:val="en-AU"/>
            </w:rPr>
            <w:t>Appendix G: M&amp;E framework</w:t>
          </w:r>
          <w:r w:rsidRPr="007E1D4A">
            <w:rPr>
              <w:rFonts w:ascii="Calibri" w:hAnsi="Calibri"/>
              <w:b w:val="0"/>
              <w:caps w:val="0"/>
              <w:noProof/>
              <w:sz w:val="22"/>
            </w:rPr>
            <w:tab/>
          </w:r>
          <w:r w:rsidRPr="007E1D4A">
            <w:rPr>
              <w:rFonts w:ascii="Calibri" w:hAnsi="Calibri"/>
              <w:b w:val="0"/>
              <w:caps w:val="0"/>
              <w:noProof/>
              <w:sz w:val="22"/>
            </w:rPr>
            <w:fldChar w:fldCharType="begin"/>
          </w:r>
          <w:r w:rsidRPr="007E1D4A">
            <w:rPr>
              <w:rFonts w:ascii="Calibri" w:hAnsi="Calibri"/>
              <w:b w:val="0"/>
              <w:caps w:val="0"/>
              <w:noProof/>
              <w:sz w:val="22"/>
            </w:rPr>
            <w:instrText xml:space="preserve"> PAGEREF _Toc460231388 \h </w:instrText>
          </w:r>
          <w:r w:rsidRPr="007E1D4A">
            <w:rPr>
              <w:rFonts w:ascii="Calibri" w:hAnsi="Calibri"/>
              <w:b w:val="0"/>
              <w:caps w:val="0"/>
              <w:noProof/>
              <w:sz w:val="22"/>
            </w:rPr>
          </w:r>
          <w:r w:rsidRPr="007E1D4A">
            <w:rPr>
              <w:rFonts w:ascii="Calibri" w:hAnsi="Calibri"/>
              <w:b w:val="0"/>
              <w:caps w:val="0"/>
              <w:noProof/>
              <w:sz w:val="22"/>
            </w:rPr>
            <w:fldChar w:fldCharType="separate"/>
          </w:r>
          <w:r w:rsidR="005410B6">
            <w:rPr>
              <w:rFonts w:ascii="Calibri" w:hAnsi="Calibri"/>
              <w:b w:val="0"/>
              <w:caps w:val="0"/>
              <w:noProof/>
              <w:sz w:val="22"/>
            </w:rPr>
            <w:t>24</w:t>
          </w:r>
          <w:r w:rsidRPr="007E1D4A">
            <w:rPr>
              <w:rFonts w:ascii="Calibri" w:hAnsi="Calibri"/>
              <w:b w:val="0"/>
              <w:caps w:val="0"/>
              <w:noProof/>
              <w:sz w:val="22"/>
            </w:rPr>
            <w:fldChar w:fldCharType="end"/>
          </w:r>
        </w:p>
        <w:p w14:paraId="383F37D2" w14:textId="1955553F" w:rsidR="007E1D4A" w:rsidRPr="007E1D4A" w:rsidRDefault="007E1D4A" w:rsidP="00967226">
          <w:pPr>
            <w:pStyle w:val="TOC1"/>
            <w:tabs>
              <w:tab w:val="right" w:leader="dot" w:pos="9010"/>
            </w:tabs>
            <w:spacing w:before="0" w:after="120"/>
            <w:rPr>
              <w:rFonts w:ascii="Calibri" w:hAnsi="Calibri" w:cstheme="minorBidi"/>
              <w:b w:val="0"/>
              <w:bCs w:val="0"/>
              <w:caps w:val="0"/>
              <w:noProof/>
              <w:sz w:val="22"/>
              <w:szCs w:val="22"/>
              <w:lang w:val="en-AU" w:eastAsia="en-AU"/>
            </w:rPr>
          </w:pPr>
          <w:r w:rsidRPr="007E1D4A">
            <w:rPr>
              <w:rFonts w:ascii="Calibri" w:hAnsi="Calibri"/>
              <w:b w:val="0"/>
              <w:caps w:val="0"/>
              <w:noProof/>
              <w:sz w:val="22"/>
              <w:lang w:val="en-AU"/>
            </w:rPr>
            <w:t>Appendix H: Risk management plan (external)</w:t>
          </w:r>
          <w:r w:rsidRPr="007E1D4A">
            <w:rPr>
              <w:rFonts w:ascii="Calibri" w:hAnsi="Calibri"/>
              <w:b w:val="0"/>
              <w:caps w:val="0"/>
              <w:noProof/>
              <w:sz w:val="22"/>
            </w:rPr>
            <w:tab/>
          </w:r>
          <w:r w:rsidRPr="007E1D4A">
            <w:rPr>
              <w:rFonts w:ascii="Calibri" w:hAnsi="Calibri"/>
              <w:b w:val="0"/>
              <w:caps w:val="0"/>
              <w:noProof/>
              <w:sz w:val="22"/>
            </w:rPr>
            <w:fldChar w:fldCharType="begin"/>
          </w:r>
          <w:r w:rsidRPr="007E1D4A">
            <w:rPr>
              <w:rFonts w:ascii="Calibri" w:hAnsi="Calibri"/>
              <w:b w:val="0"/>
              <w:caps w:val="0"/>
              <w:noProof/>
              <w:sz w:val="22"/>
            </w:rPr>
            <w:instrText xml:space="preserve"> PAGEREF _Toc460231389 \h </w:instrText>
          </w:r>
          <w:r w:rsidRPr="007E1D4A">
            <w:rPr>
              <w:rFonts w:ascii="Calibri" w:hAnsi="Calibri"/>
              <w:b w:val="0"/>
              <w:caps w:val="0"/>
              <w:noProof/>
              <w:sz w:val="22"/>
            </w:rPr>
          </w:r>
          <w:r w:rsidRPr="007E1D4A">
            <w:rPr>
              <w:rFonts w:ascii="Calibri" w:hAnsi="Calibri"/>
              <w:b w:val="0"/>
              <w:caps w:val="0"/>
              <w:noProof/>
              <w:sz w:val="22"/>
            </w:rPr>
            <w:fldChar w:fldCharType="separate"/>
          </w:r>
          <w:r w:rsidR="005410B6">
            <w:rPr>
              <w:rFonts w:ascii="Calibri" w:hAnsi="Calibri"/>
              <w:b w:val="0"/>
              <w:caps w:val="0"/>
              <w:noProof/>
              <w:sz w:val="22"/>
            </w:rPr>
            <w:t>32</w:t>
          </w:r>
          <w:r w:rsidRPr="007E1D4A">
            <w:rPr>
              <w:rFonts w:ascii="Calibri" w:hAnsi="Calibri"/>
              <w:b w:val="0"/>
              <w:caps w:val="0"/>
              <w:noProof/>
              <w:sz w:val="22"/>
            </w:rPr>
            <w:fldChar w:fldCharType="end"/>
          </w:r>
        </w:p>
        <w:p w14:paraId="6C4D457C" w14:textId="0E1B7179" w:rsidR="007E1D4A" w:rsidRPr="007E1D4A" w:rsidRDefault="007E1D4A" w:rsidP="00967226">
          <w:pPr>
            <w:pStyle w:val="TOC1"/>
            <w:tabs>
              <w:tab w:val="right" w:leader="dot" w:pos="9010"/>
            </w:tabs>
            <w:spacing w:before="0" w:after="120"/>
            <w:rPr>
              <w:rFonts w:ascii="Calibri" w:hAnsi="Calibri" w:cstheme="minorBidi"/>
              <w:b w:val="0"/>
              <w:bCs w:val="0"/>
              <w:caps w:val="0"/>
              <w:noProof/>
              <w:sz w:val="22"/>
              <w:szCs w:val="22"/>
              <w:lang w:val="en-AU" w:eastAsia="en-AU"/>
            </w:rPr>
          </w:pPr>
          <w:r w:rsidRPr="007E1D4A">
            <w:rPr>
              <w:rFonts w:ascii="Calibri" w:hAnsi="Calibri"/>
              <w:b w:val="0"/>
              <w:caps w:val="0"/>
              <w:noProof/>
              <w:sz w:val="22"/>
              <w:lang w:val="en-AU"/>
            </w:rPr>
            <w:t>Appendix I: Position descriptions/Terms of reference</w:t>
          </w:r>
          <w:r w:rsidRPr="007E1D4A">
            <w:rPr>
              <w:rFonts w:ascii="Calibri" w:hAnsi="Calibri"/>
              <w:b w:val="0"/>
              <w:caps w:val="0"/>
              <w:noProof/>
              <w:sz w:val="22"/>
            </w:rPr>
            <w:tab/>
          </w:r>
          <w:r w:rsidRPr="007E1D4A">
            <w:rPr>
              <w:rFonts w:ascii="Calibri" w:hAnsi="Calibri"/>
              <w:b w:val="0"/>
              <w:caps w:val="0"/>
              <w:noProof/>
              <w:sz w:val="22"/>
            </w:rPr>
            <w:fldChar w:fldCharType="begin"/>
          </w:r>
          <w:r w:rsidRPr="007E1D4A">
            <w:rPr>
              <w:rFonts w:ascii="Calibri" w:hAnsi="Calibri"/>
              <w:b w:val="0"/>
              <w:caps w:val="0"/>
              <w:noProof/>
              <w:sz w:val="22"/>
            </w:rPr>
            <w:instrText xml:space="preserve"> PAGEREF _Toc460231390 \h </w:instrText>
          </w:r>
          <w:r w:rsidRPr="007E1D4A">
            <w:rPr>
              <w:rFonts w:ascii="Calibri" w:hAnsi="Calibri"/>
              <w:b w:val="0"/>
              <w:caps w:val="0"/>
              <w:noProof/>
              <w:sz w:val="22"/>
            </w:rPr>
          </w:r>
          <w:r w:rsidRPr="007E1D4A">
            <w:rPr>
              <w:rFonts w:ascii="Calibri" w:hAnsi="Calibri"/>
              <w:b w:val="0"/>
              <w:caps w:val="0"/>
              <w:noProof/>
              <w:sz w:val="22"/>
            </w:rPr>
            <w:fldChar w:fldCharType="separate"/>
          </w:r>
          <w:r w:rsidR="005410B6">
            <w:rPr>
              <w:rFonts w:ascii="Calibri" w:hAnsi="Calibri"/>
              <w:b w:val="0"/>
              <w:caps w:val="0"/>
              <w:noProof/>
              <w:sz w:val="22"/>
            </w:rPr>
            <w:t>33</w:t>
          </w:r>
          <w:r w:rsidRPr="007E1D4A">
            <w:rPr>
              <w:rFonts w:ascii="Calibri" w:hAnsi="Calibri"/>
              <w:b w:val="0"/>
              <w:caps w:val="0"/>
              <w:noProof/>
              <w:sz w:val="22"/>
            </w:rPr>
            <w:fldChar w:fldCharType="end"/>
          </w:r>
        </w:p>
        <w:p w14:paraId="6B6F89D9" w14:textId="5A270935" w:rsidR="007E1D4A" w:rsidRPr="007E1D4A" w:rsidRDefault="007E1D4A" w:rsidP="00967226">
          <w:pPr>
            <w:pStyle w:val="TOC1"/>
            <w:tabs>
              <w:tab w:val="right" w:leader="dot" w:pos="9010"/>
            </w:tabs>
            <w:spacing w:before="0" w:after="120"/>
            <w:rPr>
              <w:rFonts w:ascii="Calibri" w:hAnsi="Calibri" w:cstheme="minorBidi"/>
              <w:b w:val="0"/>
              <w:bCs w:val="0"/>
              <w:caps w:val="0"/>
              <w:noProof/>
              <w:sz w:val="22"/>
              <w:szCs w:val="22"/>
              <w:lang w:val="en-AU" w:eastAsia="en-AU"/>
            </w:rPr>
          </w:pPr>
        </w:p>
        <w:p w14:paraId="6589836E" w14:textId="79F4E4A6" w:rsidR="00D27744" w:rsidRPr="00D27744" w:rsidRDefault="007E1D4A" w:rsidP="00967226">
          <w:pPr>
            <w:tabs>
              <w:tab w:val="right" w:leader="dot" w:pos="9072"/>
            </w:tabs>
            <w:rPr>
              <w:rFonts w:ascii="Calibri" w:eastAsia="HGMinchoB" w:hAnsi="Calibri"/>
              <w:noProof/>
              <w:szCs w:val="20"/>
              <w:lang w:val="en-AU" w:eastAsia="ja-JP"/>
            </w:rPr>
          </w:pPr>
          <w:r w:rsidRPr="007E1D4A">
            <w:rPr>
              <w:rFonts w:eastAsia="HGMinchoB" w:cs="Tahoma"/>
              <w:bCs/>
              <w:szCs w:val="20"/>
              <w:lang w:eastAsia="ja-JP"/>
            </w:rPr>
            <w:fldChar w:fldCharType="end"/>
          </w:r>
        </w:p>
      </w:sdtContent>
    </w:sdt>
    <w:p w14:paraId="4153D487" w14:textId="77777777" w:rsidR="00D27744" w:rsidRDefault="00D27744" w:rsidP="001465AD">
      <w:pPr>
        <w:rPr>
          <w:lang w:val="en-AU" w:eastAsia="ja-JP"/>
        </w:rPr>
      </w:pPr>
    </w:p>
    <w:p w14:paraId="480D2180" w14:textId="77777777" w:rsidR="00D27744" w:rsidRDefault="00D27744" w:rsidP="001465AD">
      <w:pPr>
        <w:rPr>
          <w:lang w:val="en-AU" w:eastAsia="ja-JP"/>
        </w:rPr>
      </w:pPr>
    </w:p>
    <w:p w14:paraId="3ACAF8E7" w14:textId="77777777" w:rsidR="00D27744" w:rsidRDefault="00D27744" w:rsidP="001465AD">
      <w:pPr>
        <w:rPr>
          <w:lang w:val="en-AU" w:eastAsia="ja-JP"/>
        </w:rPr>
      </w:pPr>
    </w:p>
    <w:p w14:paraId="24B494DD" w14:textId="77777777" w:rsidR="00D27744" w:rsidRDefault="00D27744" w:rsidP="001465AD">
      <w:pPr>
        <w:rPr>
          <w:lang w:val="en-AU" w:eastAsia="ja-JP"/>
        </w:rPr>
        <w:sectPr w:rsidR="00D27744" w:rsidSect="00E63DC4">
          <w:footerReference w:type="even" r:id="rId12"/>
          <w:footerReference w:type="default" r:id="rId13"/>
          <w:footnotePr>
            <w:numRestart w:val="eachSect"/>
          </w:footnotePr>
          <w:pgSz w:w="11900" w:h="16840"/>
          <w:pgMar w:top="1440" w:right="1440" w:bottom="1440" w:left="1440" w:header="708" w:footer="708" w:gutter="0"/>
          <w:pgNumType w:fmt="lowerRoman" w:start="1"/>
          <w:cols w:space="708"/>
          <w:docGrid w:linePitch="360"/>
        </w:sectPr>
      </w:pPr>
    </w:p>
    <w:p w14:paraId="23531EDC" w14:textId="03AC6B2A" w:rsidR="00AF14C9" w:rsidRPr="003C341F" w:rsidRDefault="00E7599D" w:rsidP="003A0889">
      <w:pPr>
        <w:pStyle w:val="Appendixtitle"/>
        <w:outlineLvl w:val="1"/>
        <w:rPr>
          <w:lang w:val="en-AU"/>
        </w:rPr>
      </w:pPr>
      <w:bookmarkStart w:id="11" w:name="_Ref453778238"/>
      <w:bookmarkStart w:id="12" w:name="_Toc454266321"/>
      <w:bookmarkStart w:id="13" w:name="_Toc457572209"/>
      <w:bookmarkStart w:id="14" w:name="_Toc460231382"/>
      <w:bookmarkStart w:id="15" w:name="_Ref453677266"/>
      <w:bookmarkStart w:id="16" w:name="_Ref453594945"/>
      <w:r w:rsidRPr="003C341F">
        <w:rPr>
          <w:lang w:val="en-AU"/>
        </w:rPr>
        <w:lastRenderedPageBreak/>
        <w:t xml:space="preserve">Appendix </w:t>
      </w:r>
      <w:r w:rsidR="003C341F" w:rsidRPr="003C341F">
        <w:rPr>
          <w:lang w:val="en-AU"/>
        </w:rPr>
        <w:fldChar w:fldCharType="begin"/>
      </w:r>
      <w:r w:rsidR="003C341F" w:rsidRPr="003C341F">
        <w:rPr>
          <w:lang w:val="en-AU"/>
        </w:rPr>
        <w:instrText xml:space="preserve"> SEQ Appendix \* ALPHABETIC </w:instrText>
      </w:r>
      <w:r w:rsidR="003C341F" w:rsidRPr="003C341F">
        <w:rPr>
          <w:lang w:val="en-AU"/>
        </w:rPr>
        <w:fldChar w:fldCharType="separate"/>
      </w:r>
      <w:r w:rsidR="005410B6">
        <w:rPr>
          <w:noProof/>
          <w:lang w:val="en-AU"/>
        </w:rPr>
        <w:t>A</w:t>
      </w:r>
      <w:r w:rsidR="003C341F" w:rsidRPr="003C341F">
        <w:rPr>
          <w:noProof/>
          <w:lang w:val="en-AU"/>
        </w:rPr>
        <w:fldChar w:fldCharType="end"/>
      </w:r>
      <w:bookmarkEnd w:id="11"/>
      <w:r w:rsidRPr="003C341F">
        <w:rPr>
          <w:lang w:val="en-AU"/>
        </w:rPr>
        <w:t xml:space="preserve">: </w:t>
      </w:r>
      <w:r w:rsidR="00AF14C9" w:rsidRPr="003C341F">
        <w:rPr>
          <w:lang w:val="en-AU"/>
        </w:rPr>
        <w:t>Overview of Samoa’s health system</w:t>
      </w:r>
      <w:bookmarkEnd w:id="12"/>
      <w:bookmarkEnd w:id="13"/>
      <w:bookmarkEnd w:id="14"/>
      <w:r w:rsidR="00C623BA">
        <w:rPr>
          <w:lang w:val="en-AU"/>
        </w:rPr>
        <w:t xml:space="preserve"> (</w:t>
      </w:r>
      <w:r w:rsidR="00921988">
        <w:rPr>
          <w:lang w:val="en-AU"/>
        </w:rPr>
        <w:t>Currently Samoa’s health</w:t>
      </w:r>
      <w:r w:rsidR="00C623BA">
        <w:rPr>
          <w:lang w:val="en-AU"/>
        </w:rPr>
        <w:t xml:space="preserve"> system remains the same and will change overtime when the </w:t>
      </w:r>
      <w:r w:rsidR="00921988">
        <w:rPr>
          <w:lang w:val="en-AU"/>
        </w:rPr>
        <w:t>final details of t</w:t>
      </w:r>
      <w:r w:rsidR="00382728">
        <w:rPr>
          <w:lang w:val="en-AU"/>
        </w:rPr>
        <w:t>he health sector merger</w:t>
      </w:r>
      <w:r w:rsidR="00921988">
        <w:rPr>
          <w:lang w:val="en-AU"/>
        </w:rPr>
        <w:t xml:space="preserve"> are officially relayed</w:t>
      </w:r>
      <w:r w:rsidR="00C623BA">
        <w:rPr>
          <w:lang w:val="en-AU"/>
        </w:rPr>
        <w:t>)</w:t>
      </w:r>
    </w:p>
    <w:p w14:paraId="46D3B36A" w14:textId="367C7EA9" w:rsidR="00922E51" w:rsidRPr="003C341F" w:rsidRDefault="009809EE" w:rsidP="00922E51">
      <w:pPr>
        <w:rPr>
          <w:lang w:val="en-AU" w:eastAsia="ja-JP"/>
        </w:rPr>
      </w:pPr>
      <w:r w:rsidRPr="003C341F">
        <w:rPr>
          <w:lang w:val="en-AU" w:eastAsia="ja-JP"/>
        </w:rPr>
        <w:t xml:space="preserve">This appendix outlines key </w:t>
      </w:r>
      <w:r w:rsidR="00FD28F8" w:rsidRPr="003C341F">
        <w:rPr>
          <w:lang w:val="en-AU" w:eastAsia="ja-JP"/>
        </w:rPr>
        <w:t>features</w:t>
      </w:r>
      <w:r w:rsidRPr="003C341F">
        <w:rPr>
          <w:lang w:val="en-AU" w:eastAsia="ja-JP"/>
        </w:rPr>
        <w:t xml:space="preserve"> of Samoa’s health </w:t>
      </w:r>
      <w:r w:rsidR="00FD28F8" w:rsidRPr="003C341F">
        <w:rPr>
          <w:lang w:val="en-AU" w:eastAsia="ja-JP"/>
        </w:rPr>
        <w:t>system</w:t>
      </w:r>
      <w:r w:rsidRPr="003C341F">
        <w:rPr>
          <w:lang w:val="en-AU" w:eastAsia="ja-JP"/>
        </w:rPr>
        <w:t xml:space="preserve"> by reference to </w:t>
      </w:r>
      <w:r w:rsidR="00FD28F8" w:rsidRPr="003C341F">
        <w:rPr>
          <w:lang w:val="en-AU" w:eastAsia="ja-JP"/>
        </w:rPr>
        <w:t>WHO’s</w:t>
      </w:r>
      <w:r w:rsidR="00967226">
        <w:rPr>
          <w:lang w:val="en-AU" w:eastAsia="ja-JP"/>
        </w:rPr>
        <w:t xml:space="preserve"> six health system “</w:t>
      </w:r>
      <w:r w:rsidRPr="003C341F">
        <w:rPr>
          <w:lang w:val="en-AU" w:eastAsia="ja-JP"/>
        </w:rPr>
        <w:t>building blocks</w:t>
      </w:r>
      <w:r w:rsidR="00967226">
        <w:rPr>
          <w:lang w:val="en-AU" w:eastAsia="ja-JP"/>
        </w:rPr>
        <w:t>”</w:t>
      </w:r>
      <w:r w:rsidR="00FD28F8" w:rsidRPr="003C341F">
        <w:rPr>
          <w:lang w:val="en-AU" w:eastAsia="ja-JP"/>
        </w:rPr>
        <w:t>:</w:t>
      </w:r>
    </w:p>
    <w:p w14:paraId="4296CD03" w14:textId="77777777" w:rsidR="00FD28F8" w:rsidRPr="003C341F" w:rsidRDefault="00FD28F8" w:rsidP="00662F77">
      <w:pPr>
        <w:pStyle w:val="Bullet1-Long"/>
      </w:pPr>
      <w:r w:rsidRPr="003C341F">
        <w:t>Service delivery</w:t>
      </w:r>
    </w:p>
    <w:p w14:paraId="2E43CE52" w14:textId="77777777" w:rsidR="00FD28F8" w:rsidRPr="003C341F" w:rsidRDefault="00FD28F8" w:rsidP="00662F77">
      <w:pPr>
        <w:pStyle w:val="Bullet1-Long"/>
      </w:pPr>
      <w:r w:rsidRPr="003C341F">
        <w:t>Leadership and governance</w:t>
      </w:r>
    </w:p>
    <w:p w14:paraId="7A4EFEA5" w14:textId="77777777" w:rsidR="00FD28F8" w:rsidRPr="003C341F" w:rsidRDefault="00FD28F8" w:rsidP="00662F77">
      <w:pPr>
        <w:pStyle w:val="Bullet1-Long"/>
      </w:pPr>
      <w:r w:rsidRPr="003C341F">
        <w:t>Health workforce</w:t>
      </w:r>
    </w:p>
    <w:p w14:paraId="438BFE7F" w14:textId="77777777" w:rsidR="00FD28F8" w:rsidRPr="003C341F" w:rsidRDefault="00FD28F8" w:rsidP="00662F77">
      <w:pPr>
        <w:pStyle w:val="Bullet1-Long"/>
      </w:pPr>
      <w:r w:rsidRPr="003C341F">
        <w:t>Health information system</w:t>
      </w:r>
    </w:p>
    <w:p w14:paraId="6CAF2008" w14:textId="77777777" w:rsidR="00FD28F8" w:rsidRPr="003C341F" w:rsidRDefault="00FD28F8" w:rsidP="00662F77">
      <w:pPr>
        <w:pStyle w:val="Bullet1-Long"/>
      </w:pPr>
      <w:r w:rsidRPr="003C341F">
        <w:t xml:space="preserve">Medical products, </w:t>
      </w:r>
      <w:proofErr w:type="gramStart"/>
      <w:r w:rsidRPr="003C341F">
        <w:t>vaccines</w:t>
      </w:r>
      <w:proofErr w:type="gramEnd"/>
      <w:r w:rsidRPr="003C341F">
        <w:t xml:space="preserve"> and technologies</w:t>
      </w:r>
    </w:p>
    <w:p w14:paraId="156CC134" w14:textId="77777777" w:rsidR="00FD28F8" w:rsidRPr="003C341F" w:rsidRDefault="00FD28F8" w:rsidP="00662F77">
      <w:pPr>
        <w:pStyle w:val="Bullet1-Long"/>
      </w:pPr>
      <w:r w:rsidRPr="003C341F">
        <w:t>Health system financing</w:t>
      </w:r>
    </w:p>
    <w:p w14:paraId="083CA9C2" w14:textId="77777777" w:rsidR="00AF14C9" w:rsidRPr="003C341F" w:rsidRDefault="00AF14C9" w:rsidP="003A0889">
      <w:pPr>
        <w:pStyle w:val="SecondLevelNumberedTitle"/>
        <w:ind w:left="0"/>
        <w:outlineLvl w:val="9"/>
      </w:pPr>
      <w:r w:rsidRPr="003C341F">
        <w:t>Service delivery</w:t>
      </w:r>
    </w:p>
    <w:p w14:paraId="1A491DFE" w14:textId="77777777" w:rsidR="00AF14C9" w:rsidRPr="003C341F" w:rsidRDefault="00AF14C9" w:rsidP="00D27744">
      <w:pPr>
        <w:pStyle w:val="Default"/>
        <w:spacing w:after="120" w:line="276" w:lineRule="auto"/>
        <w:jc w:val="both"/>
        <w:rPr>
          <w:rFonts w:asciiTheme="majorHAnsi" w:hAnsiTheme="majorHAnsi"/>
          <w:sz w:val="22"/>
        </w:rPr>
      </w:pPr>
      <w:r w:rsidRPr="003C341F">
        <w:rPr>
          <w:rFonts w:asciiTheme="majorHAnsi" w:hAnsiTheme="majorHAnsi"/>
          <w:sz w:val="22"/>
        </w:rPr>
        <w:t>Responsibility for delivery of publicly</w:t>
      </w:r>
      <w:r w:rsidR="003D0541" w:rsidRPr="003C341F">
        <w:rPr>
          <w:rFonts w:asciiTheme="majorHAnsi" w:hAnsiTheme="majorHAnsi"/>
          <w:sz w:val="22"/>
        </w:rPr>
        <w:t xml:space="preserve"> </w:t>
      </w:r>
      <w:r w:rsidRPr="003C341F">
        <w:rPr>
          <w:rFonts w:asciiTheme="majorHAnsi" w:hAnsiTheme="majorHAnsi"/>
          <w:sz w:val="22"/>
        </w:rPr>
        <w:t>funded health services is primarily the responsibility of the NHS</w:t>
      </w:r>
      <w:r w:rsidR="003D0541" w:rsidRPr="003C341F">
        <w:rPr>
          <w:rFonts w:asciiTheme="majorHAnsi" w:hAnsiTheme="majorHAnsi"/>
          <w:sz w:val="22"/>
        </w:rPr>
        <w:t>,</w:t>
      </w:r>
      <w:r w:rsidRPr="003C341F">
        <w:rPr>
          <w:rFonts w:asciiTheme="majorHAnsi" w:hAnsiTheme="majorHAnsi"/>
          <w:sz w:val="22"/>
        </w:rPr>
        <w:t xml:space="preserve"> which was established in 2006 as a state-owned enterprise and governed by a Board of Directors. </w:t>
      </w:r>
    </w:p>
    <w:p w14:paraId="02105AB1" w14:textId="77777777" w:rsidR="00AF14C9" w:rsidRPr="004944B8" w:rsidRDefault="00AF14C9" w:rsidP="00D27744">
      <w:pPr>
        <w:pStyle w:val="Default"/>
        <w:spacing w:after="120" w:line="276" w:lineRule="auto"/>
        <w:jc w:val="both"/>
        <w:rPr>
          <w:rFonts w:asciiTheme="majorHAnsi" w:hAnsiTheme="majorHAnsi"/>
          <w:sz w:val="22"/>
        </w:rPr>
      </w:pPr>
      <w:r w:rsidRPr="003C341F">
        <w:rPr>
          <w:rFonts w:asciiTheme="majorHAnsi" w:hAnsiTheme="majorHAnsi"/>
          <w:sz w:val="22"/>
        </w:rPr>
        <w:t xml:space="preserve">According to the 2016/17 </w:t>
      </w:r>
      <w:r w:rsidR="004944B8" w:rsidRPr="003C341F">
        <w:rPr>
          <w:rFonts w:asciiTheme="majorHAnsi" w:hAnsiTheme="majorHAnsi"/>
          <w:sz w:val="22"/>
        </w:rPr>
        <w:t>budget,</w:t>
      </w:r>
      <w:r w:rsidRPr="003C341F">
        <w:rPr>
          <w:rFonts w:asciiTheme="majorHAnsi" w:hAnsiTheme="majorHAnsi"/>
          <w:sz w:val="22"/>
        </w:rPr>
        <w:t xml:space="preserve"> the NHS is expected to receive just over 80 per cent of government funding for health. It owns and operates all of Samoa’s publicly funded hospitals and health centres (see</w:t>
      </w:r>
      <w:r w:rsidR="005F013B" w:rsidRPr="003C341F">
        <w:rPr>
          <w:rFonts w:asciiTheme="majorHAnsi" w:hAnsiTheme="majorHAnsi"/>
          <w:sz w:val="22"/>
        </w:rPr>
        <w:t xml:space="preserve"> </w:t>
      </w:r>
      <w:r w:rsidR="004944B8">
        <w:rPr>
          <w:rFonts w:asciiTheme="majorHAnsi" w:hAnsiTheme="majorHAnsi"/>
          <w:sz w:val="22"/>
        </w:rPr>
        <w:t>Table</w:t>
      </w:r>
      <w:r w:rsidR="005F013B" w:rsidRPr="003C341F">
        <w:rPr>
          <w:rFonts w:asciiTheme="majorHAnsi" w:hAnsiTheme="majorHAnsi"/>
          <w:sz w:val="22"/>
        </w:rPr>
        <w:t xml:space="preserve"> 1</w:t>
      </w:r>
      <w:r w:rsidRPr="003C341F">
        <w:rPr>
          <w:rFonts w:asciiTheme="majorHAnsi" w:hAnsiTheme="majorHAnsi"/>
          <w:sz w:val="22"/>
        </w:rPr>
        <w:t xml:space="preserve">) and provides diagnostic imaging, </w:t>
      </w:r>
      <w:proofErr w:type="gramStart"/>
      <w:r w:rsidRPr="003C341F">
        <w:rPr>
          <w:rFonts w:asciiTheme="majorHAnsi" w:hAnsiTheme="majorHAnsi"/>
          <w:sz w:val="22"/>
        </w:rPr>
        <w:t>laborato</w:t>
      </w:r>
      <w:r w:rsidR="004944B8">
        <w:rPr>
          <w:rFonts w:asciiTheme="majorHAnsi" w:hAnsiTheme="majorHAnsi"/>
          <w:sz w:val="22"/>
        </w:rPr>
        <w:t>ry</w:t>
      </w:r>
      <w:proofErr w:type="gramEnd"/>
      <w:r w:rsidR="004944B8">
        <w:rPr>
          <w:rFonts w:asciiTheme="majorHAnsi" w:hAnsiTheme="majorHAnsi"/>
          <w:sz w:val="22"/>
        </w:rPr>
        <w:t xml:space="preserve"> and pharmaceutical services.</w:t>
      </w:r>
    </w:p>
    <w:p w14:paraId="4873DB5E" w14:textId="77777777" w:rsidR="00A65B6F" w:rsidRPr="003C341F" w:rsidRDefault="00A65B6F" w:rsidP="00EB1D4A">
      <w:pPr>
        <w:pStyle w:val="Caption"/>
      </w:pPr>
      <w:r w:rsidRPr="003C341F">
        <w:t>Table</w:t>
      </w:r>
      <w:r w:rsidR="003A0889" w:rsidRPr="003C341F">
        <w:t xml:space="preserve"> 1</w:t>
      </w:r>
      <w:r w:rsidRPr="003C341F">
        <w:t>: NHS Facilities</w:t>
      </w:r>
    </w:p>
    <w:tbl>
      <w:tblPr>
        <w:tblStyle w:val="ReportTable2"/>
        <w:tblW w:w="5000" w:type="pct"/>
        <w:tblLook w:val="04A0" w:firstRow="1" w:lastRow="0" w:firstColumn="1" w:lastColumn="0" w:noHBand="0" w:noVBand="1"/>
      </w:tblPr>
      <w:tblGrid>
        <w:gridCol w:w="2971"/>
        <w:gridCol w:w="3125"/>
        <w:gridCol w:w="2914"/>
      </w:tblGrid>
      <w:tr w:rsidR="00B47309" w:rsidRPr="004944B8" w14:paraId="6FEE52D9" w14:textId="77777777" w:rsidTr="00563F29">
        <w:trPr>
          <w:cnfStyle w:val="100000000000" w:firstRow="1" w:lastRow="0" w:firstColumn="0" w:lastColumn="0" w:oddVBand="0" w:evenVBand="0" w:oddHBand="0" w:evenHBand="0" w:firstRowFirstColumn="0" w:firstRowLastColumn="0" w:lastRowFirstColumn="0" w:lastRowLastColumn="0"/>
          <w:trHeight w:val="580"/>
        </w:trPr>
        <w:tc>
          <w:tcPr>
            <w:tcW w:w="1649" w:type="pct"/>
            <w:shd w:val="clear" w:color="auto" w:fill="000000" w:themeFill="text1"/>
          </w:tcPr>
          <w:p w14:paraId="020D9BCA" w14:textId="51A93F73" w:rsidR="00B47309" w:rsidRPr="00563F29" w:rsidRDefault="00563F29" w:rsidP="004944B8">
            <w:pPr>
              <w:spacing w:after="0"/>
              <w:jc w:val="left"/>
              <w:rPr>
                <w:b w:val="0"/>
                <w:color w:val="FFFFFF" w:themeColor="background1"/>
                <w:sz w:val="20"/>
                <w:szCs w:val="22"/>
                <w:lang w:val="en-AU"/>
              </w:rPr>
            </w:pPr>
            <w:r w:rsidRPr="00563F29">
              <w:rPr>
                <w:b w:val="0"/>
                <w:color w:val="FFFFFF" w:themeColor="background1"/>
                <w:sz w:val="20"/>
                <w:szCs w:val="22"/>
                <w:lang w:val="en-AU"/>
              </w:rPr>
              <w:t>Facility Type</w:t>
            </w:r>
          </w:p>
        </w:tc>
        <w:tc>
          <w:tcPr>
            <w:tcW w:w="1734" w:type="pct"/>
            <w:shd w:val="clear" w:color="auto" w:fill="000000" w:themeFill="text1"/>
          </w:tcPr>
          <w:p w14:paraId="5F1E51F9" w14:textId="77777777" w:rsidR="00B47309" w:rsidRPr="00563F29" w:rsidRDefault="00B47309" w:rsidP="004944B8">
            <w:pPr>
              <w:spacing w:after="0"/>
              <w:jc w:val="left"/>
              <w:rPr>
                <w:rFonts w:eastAsiaTheme="minorHAnsi" w:cs="UNFPA-Text"/>
                <w:b w:val="0"/>
                <w:color w:val="FFFFFF" w:themeColor="background1"/>
                <w:sz w:val="20"/>
                <w:szCs w:val="22"/>
                <w:lang w:val="en-AU"/>
              </w:rPr>
            </w:pPr>
            <w:r w:rsidRPr="00563F29">
              <w:rPr>
                <w:rFonts w:eastAsiaTheme="minorHAnsi" w:cs="UNFPA-Text"/>
                <w:b w:val="0"/>
                <w:color w:val="FFFFFF" w:themeColor="background1"/>
                <w:sz w:val="20"/>
                <w:szCs w:val="22"/>
                <w:lang w:val="en-AU"/>
              </w:rPr>
              <w:t>Upolu</w:t>
            </w:r>
          </w:p>
        </w:tc>
        <w:tc>
          <w:tcPr>
            <w:tcW w:w="1617" w:type="pct"/>
            <w:shd w:val="clear" w:color="auto" w:fill="000000" w:themeFill="text1"/>
          </w:tcPr>
          <w:p w14:paraId="293BA324" w14:textId="3957355A" w:rsidR="00B47309" w:rsidRPr="00563F29" w:rsidRDefault="00B47309" w:rsidP="004944B8">
            <w:pPr>
              <w:spacing w:after="0"/>
              <w:jc w:val="left"/>
              <w:rPr>
                <w:rFonts w:eastAsiaTheme="minorHAnsi" w:cs="UNFPA-Text"/>
                <w:b w:val="0"/>
                <w:color w:val="FFFFFF" w:themeColor="background1"/>
                <w:sz w:val="20"/>
                <w:szCs w:val="22"/>
                <w:lang w:val="en-AU"/>
              </w:rPr>
            </w:pPr>
            <w:r w:rsidRPr="00563F29">
              <w:rPr>
                <w:rFonts w:eastAsiaTheme="minorHAnsi" w:cs="UNFPA-Text"/>
                <w:b w:val="0"/>
                <w:color w:val="FFFFFF" w:themeColor="background1"/>
                <w:sz w:val="20"/>
                <w:szCs w:val="22"/>
                <w:lang w:val="en-AU"/>
              </w:rPr>
              <w:t>Savai’</w:t>
            </w:r>
            <w:r w:rsidR="00563F29">
              <w:rPr>
                <w:rFonts w:eastAsiaTheme="minorHAnsi" w:cs="UNFPA-Text"/>
                <w:b w:val="0"/>
                <w:color w:val="FFFFFF" w:themeColor="background1"/>
                <w:sz w:val="20"/>
                <w:szCs w:val="22"/>
                <w:lang w:val="en-AU"/>
              </w:rPr>
              <w:t>i</w:t>
            </w:r>
          </w:p>
        </w:tc>
      </w:tr>
      <w:tr w:rsidR="00B47309" w:rsidRPr="004944B8" w14:paraId="6CD73BA4" w14:textId="77777777" w:rsidTr="00563F29">
        <w:trPr>
          <w:cnfStyle w:val="000000100000" w:firstRow="0" w:lastRow="0" w:firstColumn="0" w:lastColumn="0" w:oddVBand="0" w:evenVBand="0" w:oddHBand="1" w:evenHBand="0" w:firstRowFirstColumn="0" w:firstRowLastColumn="0" w:lastRowFirstColumn="0" w:lastRowLastColumn="0"/>
        </w:trPr>
        <w:tc>
          <w:tcPr>
            <w:tcW w:w="1649" w:type="pct"/>
          </w:tcPr>
          <w:p w14:paraId="24ED4692" w14:textId="77777777" w:rsidR="00B47309" w:rsidRPr="004944B8" w:rsidRDefault="00B47309" w:rsidP="004944B8">
            <w:pPr>
              <w:spacing w:after="0"/>
              <w:jc w:val="left"/>
              <w:rPr>
                <w:sz w:val="20"/>
                <w:szCs w:val="22"/>
                <w:lang w:val="en-AU"/>
              </w:rPr>
            </w:pPr>
            <w:r w:rsidRPr="004944B8">
              <w:rPr>
                <w:sz w:val="20"/>
                <w:szCs w:val="22"/>
                <w:lang w:val="en-AU"/>
              </w:rPr>
              <w:t>Referral hospital</w:t>
            </w:r>
          </w:p>
        </w:tc>
        <w:tc>
          <w:tcPr>
            <w:tcW w:w="1734" w:type="pct"/>
          </w:tcPr>
          <w:p w14:paraId="3DB90CB5" w14:textId="77777777" w:rsidR="00B47309" w:rsidRPr="004944B8" w:rsidRDefault="00B47309" w:rsidP="004944B8">
            <w:pPr>
              <w:spacing w:after="0"/>
              <w:jc w:val="left"/>
              <w:rPr>
                <w:sz w:val="20"/>
                <w:szCs w:val="22"/>
                <w:lang w:val="en-AU"/>
              </w:rPr>
            </w:pPr>
            <w:r w:rsidRPr="004944B8">
              <w:rPr>
                <w:sz w:val="20"/>
                <w:szCs w:val="22"/>
                <w:lang w:val="en-AU"/>
              </w:rPr>
              <w:t>TTM</w:t>
            </w:r>
            <w:r w:rsidR="003D4F37" w:rsidRPr="004944B8">
              <w:rPr>
                <w:sz w:val="20"/>
                <w:szCs w:val="22"/>
                <w:lang w:val="en-AU"/>
              </w:rPr>
              <w:t xml:space="preserve"> Hospital</w:t>
            </w:r>
            <w:r w:rsidRPr="004944B8">
              <w:rPr>
                <w:sz w:val="20"/>
                <w:szCs w:val="22"/>
                <w:lang w:val="en-AU"/>
              </w:rPr>
              <w:t xml:space="preserve"> </w:t>
            </w:r>
          </w:p>
        </w:tc>
        <w:tc>
          <w:tcPr>
            <w:tcW w:w="1617" w:type="pct"/>
          </w:tcPr>
          <w:p w14:paraId="7F294208" w14:textId="77777777" w:rsidR="00B47309" w:rsidRPr="004944B8" w:rsidRDefault="00B47309" w:rsidP="004944B8">
            <w:pPr>
              <w:spacing w:after="0"/>
              <w:jc w:val="left"/>
              <w:rPr>
                <w:sz w:val="20"/>
                <w:szCs w:val="22"/>
                <w:lang w:val="en-AU"/>
              </w:rPr>
            </w:pPr>
            <w:proofErr w:type="spellStart"/>
            <w:r w:rsidRPr="004944B8">
              <w:rPr>
                <w:sz w:val="20"/>
                <w:szCs w:val="22"/>
                <w:lang w:val="en-AU"/>
              </w:rPr>
              <w:t>Malietoa</w:t>
            </w:r>
            <w:proofErr w:type="spellEnd"/>
            <w:r w:rsidRPr="004944B8">
              <w:rPr>
                <w:sz w:val="20"/>
                <w:szCs w:val="22"/>
                <w:lang w:val="en-AU"/>
              </w:rPr>
              <w:t xml:space="preserve"> </w:t>
            </w:r>
            <w:proofErr w:type="spellStart"/>
            <w:r w:rsidRPr="004944B8">
              <w:rPr>
                <w:sz w:val="20"/>
                <w:szCs w:val="22"/>
                <w:lang w:val="en-AU"/>
              </w:rPr>
              <w:t>Tanumafili</w:t>
            </w:r>
            <w:proofErr w:type="spellEnd"/>
            <w:r w:rsidRPr="004944B8">
              <w:rPr>
                <w:sz w:val="20"/>
                <w:szCs w:val="22"/>
                <w:lang w:val="en-AU"/>
              </w:rPr>
              <w:t xml:space="preserve"> II Hospital (MTII)</w:t>
            </w:r>
          </w:p>
        </w:tc>
      </w:tr>
      <w:tr w:rsidR="00B47309" w:rsidRPr="004944B8" w14:paraId="4200A52B" w14:textId="77777777" w:rsidTr="00563F29">
        <w:trPr>
          <w:cnfStyle w:val="000000010000" w:firstRow="0" w:lastRow="0" w:firstColumn="0" w:lastColumn="0" w:oddVBand="0" w:evenVBand="0" w:oddHBand="0" w:evenHBand="1" w:firstRowFirstColumn="0" w:firstRowLastColumn="0" w:lastRowFirstColumn="0" w:lastRowLastColumn="0"/>
        </w:trPr>
        <w:tc>
          <w:tcPr>
            <w:tcW w:w="1649" w:type="pct"/>
          </w:tcPr>
          <w:p w14:paraId="181803D5" w14:textId="77777777" w:rsidR="00B47309" w:rsidRPr="004944B8" w:rsidRDefault="00B47309" w:rsidP="004944B8">
            <w:pPr>
              <w:spacing w:after="0"/>
              <w:jc w:val="left"/>
              <w:rPr>
                <w:rFonts w:eastAsiaTheme="minorHAnsi" w:cs="Univers-Light"/>
                <w:color w:val="231F20"/>
                <w:sz w:val="20"/>
                <w:szCs w:val="22"/>
                <w:lang w:val="en-AU" w:eastAsia="en-US"/>
              </w:rPr>
            </w:pPr>
            <w:r w:rsidRPr="004944B8">
              <w:rPr>
                <w:sz w:val="20"/>
                <w:szCs w:val="22"/>
                <w:lang w:val="en-AU"/>
              </w:rPr>
              <w:t>District hospital</w:t>
            </w:r>
          </w:p>
        </w:tc>
        <w:tc>
          <w:tcPr>
            <w:tcW w:w="1734" w:type="pct"/>
          </w:tcPr>
          <w:p w14:paraId="6C57C297" w14:textId="77777777" w:rsidR="00B47309" w:rsidRPr="004944B8" w:rsidRDefault="00B47309" w:rsidP="004944B8">
            <w:pPr>
              <w:pStyle w:val="Default"/>
              <w:spacing w:after="0" w:line="276" w:lineRule="auto"/>
              <w:rPr>
                <w:rFonts w:asciiTheme="majorHAnsi" w:hAnsiTheme="majorHAnsi"/>
              </w:rPr>
            </w:pPr>
            <w:proofErr w:type="spellStart"/>
            <w:r w:rsidRPr="004944B8">
              <w:rPr>
                <w:rFonts w:asciiTheme="majorHAnsi" w:hAnsiTheme="majorHAnsi"/>
              </w:rPr>
              <w:t>Leulumoega</w:t>
            </w:r>
            <w:proofErr w:type="spellEnd"/>
          </w:p>
          <w:p w14:paraId="7DD10E3E" w14:textId="77777777" w:rsidR="00B47309" w:rsidRPr="004944B8" w:rsidRDefault="00B47309" w:rsidP="004944B8">
            <w:pPr>
              <w:pStyle w:val="Default"/>
              <w:spacing w:after="0" w:line="276" w:lineRule="auto"/>
              <w:rPr>
                <w:rFonts w:asciiTheme="majorHAnsi" w:hAnsiTheme="majorHAnsi"/>
              </w:rPr>
            </w:pPr>
            <w:proofErr w:type="spellStart"/>
            <w:r w:rsidRPr="004944B8">
              <w:rPr>
                <w:rFonts w:asciiTheme="majorHAnsi" w:hAnsiTheme="majorHAnsi"/>
              </w:rPr>
              <w:t>Lalomanu</w:t>
            </w:r>
            <w:proofErr w:type="spellEnd"/>
          </w:p>
          <w:p w14:paraId="581C563C" w14:textId="77777777" w:rsidR="00B47309" w:rsidRPr="004944B8" w:rsidRDefault="00B47309" w:rsidP="004944B8">
            <w:pPr>
              <w:spacing w:after="0"/>
              <w:jc w:val="left"/>
              <w:rPr>
                <w:rFonts w:eastAsiaTheme="minorHAnsi" w:cs="Univers-Light"/>
                <w:color w:val="231F20"/>
                <w:sz w:val="20"/>
                <w:szCs w:val="22"/>
                <w:lang w:val="en-AU" w:eastAsia="en-US"/>
              </w:rPr>
            </w:pPr>
            <w:proofErr w:type="spellStart"/>
            <w:r w:rsidRPr="004944B8">
              <w:rPr>
                <w:sz w:val="20"/>
                <w:szCs w:val="22"/>
                <w:lang w:val="en-AU"/>
              </w:rPr>
              <w:t>Poutasi</w:t>
            </w:r>
            <w:proofErr w:type="spellEnd"/>
          </w:p>
        </w:tc>
        <w:tc>
          <w:tcPr>
            <w:tcW w:w="1617" w:type="pct"/>
          </w:tcPr>
          <w:p w14:paraId="5225236C" w14:textId="77777777" w:rsidR="00B47309" w:rsidRPr="004944B8" w:rsidRDefault="00B47309" w:rsidP="004944B8">
            <w:pPr>
              <w:pStyle w:val="Default"/>
              <w:spacing w:after="0" w:line="276" w:lineRule="auto"/>
              <w:rPr>
                <w:rFonts w:asciiTheme="majorHAnsi" w:hAnsiTheme="majorHAnsi"/>
              </w:rPr>
            </w:pPr>
            <w:proofErr w:type="spellStart"/>
            <w:r w:rsidRPr="004944B8">
              <w:rPr>
                <w:rFonts w:asciiTheme="majorHAnsi" w:hAnsiTheme="majorHAnsi"/>
              </w:rPr>
              <w:t>Foailalo</w:t>
            </w:r>
            <w:proofErr w:type="spellEnd"/>
          </w:p>
          <w:p w14:paraId="75CCC816" w14:textId="77777777" w:rsidR="00B47309" w:rsidRPr="004944B8" w:rsidRDefault="00B47309" w:rsidP="004944B8">
            <w:pPr>
              <w:pStyle w:val="Default"/>
              <w:spacing w:after="0" w:line="276" w:lineRule="auto"/>
              <w:rPr>
                <w:rFonts w:asciiTheme="majorHAnsi" w:hAnsiTheme="majorHAnsi"/>
              </w:rPr>
            </w:pPr>
            <w:proofErr w:type="spellStart"/>
            <w:r w:rsidRPr="004944B8">
              <w:rPr>
                <w:rFonts w:asciiTheme="majorHAnsi" w:hAnsiTheme="majorHAnsi"/>
              </w:rPr>
              <w:t>Sataua</w:t>
            </w:r>
            <w:proofErr w:type="spellEnd"/>
          </w:p>
          <w:p w14:paraId="4C24FCBC" w14:textId="77777777" w:rsidR="00B47309" w:rsidRPr="004944B8" w:rsidRDefault="00B47309" w:rsidP="004944B8">
            <w:pPr>
              <w:spacing w:after="0"/>
              <w:jc w:val="left"/>
              <w:rPr>
                <w:rFonts w:eastAsiaTheme="minorHAnsi" w:cs="Univers-Light"/>
                <w:color w:val="231F20"/>
                <w:sz w:val="20"/>
                <w:szCs w:val="22"/>
                <w:lang w:val="en-AU" w:eastAsia="en-US"/>
              </w:rPr>
            </w:pPr>
            <w:proofErr w:type="spellStart"/>
            <w:r w:rsidRPr="004944B8">
              <w:rPr>
                <w:sz w:val="20"/>
                <w:szCs w:val="22"/>
                <w:lang w:val="en-AU"/>
              </w:rPr>
              <w:t>Safotu</w:t>
            </w:r>
            <w:proofErr w:type="spellEnd"/>
          </w:p>
        </w:tc>
      </w:tr>
      <w:tr w:rsidR="00B47309" w:rsidRPr="004944B8" w14:paraId="036644D8" w14:textId="77777777" w:rsidTr="00563F29">
        <w:trPr>
          <w:cnfStyle w:val="000000100000" w:firstRow="0" w:lastRow="0" w:firstColumn="0" w:lastColumn="0" w:oddVBand="0" w:evenVBand="0" w:oddHBand="1" w:evenHBand="0" w:firstRowFirstColumn="0" w:firstRowLastColumn="0" w:lastRowFirstColumn="0" w:lastRowLastColumn="0"/>
        </w:trPr>
        <w:tc>
          <w:tcPr>
            <w:tcW w:w="1649" w:type="pct"/>
          </w:tcPr>
          <w:p w14:paraId="2DCD398A" w14:textId="77777777" w:rsidR="00B47309" w:rsidRPr="004944B8" w:rsidRDefault="00B47309" w:rsidP="004944B8">
            <w:pPr>
              <w:spacing w:after="0"/>
              <w:jc w:val="left"/>
              <w:rPr>
                <w:rFonts w:eastAsiaTheme="minorHAnsi" w:cs="Univers-Light"/>
                <w:color w:val="231F20"/>
                <w:sz w:val="20"/>
                <w:szCs w:val="22"/>
                <w:lang w:val="en-AU" w:eastAsia="en-US"/>
              </w:rPr>
            </w:pPr>
            <w:r w:rsidRPr="004944B8">
              <w:rPr>
                <w:sz w:val="20"/>
                <w:szCs w:val="22"/>
                <w:lang w:val="en-AU"/>
              </w:rPr>
              <w:t>Community health centre</w:t>
            </w:r>
          </w:p>
        </w:tc>
        <w:tc>
          <w:tcPr>
            <w:tcW w:w="1734" w:type="pct"/>
          </w:tcPr>
          <w:p w14:paraId="35253195" w14:textId="77777777" w:rsidR="00B47309" w:rsidRPr="004944B8" w:rsidRDefault="00B47309" w:rsidP="004944B8">
            <w:pPr>
              <w:pStyle w:val="Default"/>
              <w:spacing w:after="0" w:line="276" w:lineRule="auto"/>
              <w:rPr>
                <w:rFonts w:asciiTheme="majorHAnsi" w:hAnsiTheme="majorHAnsi"/>
              </w:rPr>
            </w:pPr>
            <w:proofErr w:type="spellStart"/>
            <w:r w:rsidRPr="004944B8">
              <w:rPr>
                <w:rFonts w:asciiTheme="majorHAnsi" w:hAnsiTheme="majorHAnsi"/>
              </w:rPr>
              <w:t>Lufilufi</w:t>
            </w:r>
            <w:proofErr w:type="spellEnd"/>
          </w:p>
          <w:p w14:paraId="6EEC01C9" w14:textId="77777777" w:rsidR="00B47309" w:rsidRPr="004944B8" w:rsidRDefault="00B47309" w:rsidP="004944B8">
            <w:pPr>
              <w:pStyle w:val="Default"/>
              <w:spacing w:after="0" w:line="276" w:lineRule="auto"/>
              <w:rPr>
                <w:rFonts w:asciiTheme="majorHAnsi" w:hAnsiTheme="majorHAnsi"/>
              </w:rPr>
            </w:pPr>
            <w:proofErr w:type="spellStart"/>
            <w:r w:rsidRPr="004944B8">
              <w:rPr>
                <w:rFonts w:asciiTheme="majorHAnsi" w:hAnsiTheme="majorHAnsi"/>
              </w:rPr>
              <w:t>Faleolo</w:t>
            </w:r>
            <w:proofErr w:type="spellEnd"/>
          </w:p>
          <w:p w14:paraId="6F0D61FF" w14:textId="77777777" w:rsidR="00B47309" w:rsidRPr="004944B8" w:rsidRDefault="00B47309" w:rsidP="004944B8">
            <w:pPr>
              <w:spacing w:after="0"/>
              <w:jc w:val="left"/>
              <w:rPr>
                <w:rFonts w:eastAsiaTheme="minorHAnsi" w:cs="Univers-Light"/>
                <w:color w:val="231F20"/>
                <w:sz w:val="20"/>
                <w:szCs w:val="22"/>
                <w:lang w:val="en-AU" w:eastAsia="en-US"/>
              </w:rPr>
            </w:pPr>
            <w:proofErr w:type="spellStart"/>
            <w:r w:rsidRPr="004944B8">
              <w:rPr>
                <w:sz w:val="20"/>
                <w:szCs w:val="22"/>
                <w:lang w:val="en-AU"/>
              </w:rPr>
              <w:t>Sa’anapu</w:t>
            </w:r>
            <w:proofErr w:type="spellEnd"/>
          </w:p>
        </w:tc>
        <w:tc>
          <w:tcPr>
            <w:tcW w:w="1617" w:type="pct"/>
          </w:tcPr>
          <w:p w14:paraId="6F7555B7" w14:textId="77777777" w:rsidR="00B47309" w:rsidRPr="004944B8" w:rsidRDefault="00B47309" w:rsidP="004944B8">
            <w:pPr>
              <w:spacing w:after="0"/>
              <w:jc w:val="left"/>
              <w:rPr>
                <w:rFonts w:eastAsiaTheme="minorHAnsi" w:cs="Univers-Light"/>
                <w:color w:val="231F20"/>
                <w:sz w:val="20"/>
                <w:szCs w:val="22"/>
                <w:lang w:val="en-AU" w:eastAsia="en-US"/>
              </w:rPr>
            </w:pPr>
            <w:proofErr w:type="spellStart"/>
            <w:r w:rsidRPr="004944B8">
              <w:rPr>
                <w:sz w:val="20"/>
                <w:szCs w:val="22"/>
                <w:lang w:val="en-AU"/>
              </w:rPr>
              <w:t>Vaipouli</w:t>
            </w:r>
            <w:proofErr w:type="spellEnd"/>
          </w:p>
        </w:tc>
      </w:tr>
    </w:tbl>
    <w:p w14:paraId="056BD396" w14:textId="77777777" w:rsidR="00AF14C9" w:rsidRPr="003C341F" w:rsidRDefault="00931F15" w:rsidP="00931F15">
      <w:pPr>
        <w:pStyle w:val="Default"/>
        <w:spacing w:before="120" w:after="120" w:line="276" w:lineRule="auto"/>
        <w:jc w:val="both"/>
        <w:rPr>
          <w:rFonts w:asciiTheme="majorHAnsi" w:hAnsiTheme="majorHAnsi"/>
          <w:sz w:val="22"/>
        </w:rPr>
      </w:pPr>
      <w:r w:rsidRPr="003C341F">
        <w:rPr>
          <w:rFonts w:asciiTheme="majorHAnsi" w:hAnsiTheme="majorHAnsi"/>
          <w:sz w:val="22"/>
        </w:rPr>
        <w:t xml:space="preserve">The </w:t>
      </w:r>
      <w:r w:rsidR="00AF14C9" w:rsidRPr="003C341F">
        <w:rPr>
          <w:rFonts w:asciiTheme="majorHAnsi" w:hAnsiTheme="majorHAnsi"/>
          <w:sz w:val="22"/>
        </w:rPr>
        <w:t>Samoa National Kidney Foundation</w:t>
      </w:r>
      <w:r w:rsidRPr="003C341F">
        <w:rPr>
          <w:rFonts w:asciiTheme="majorHAnsi" w:hAnsiTheme="majorHAnsi"/>
          <w:sz w:val="22"/>
        </w:rPr>
        <w:t xml:space="preserve"> is a</w:t>
      </w:r>
      <w:r w:rsidR="00AF14C9" w:rsidRPr="003C341F">
        <w:rPr>
          <w:rFonts w:asciiTheme="majorHAnsi" w:hAnsiTheme="majorHAnsi"/>
          <w:sz w:val="22"/>
        </w:rPr>
        <w:t xml:space="preserve"> Government Corporation established in 2004 to deliver </w:t>
      </w:r>
      <w:r w:rsidR="004944B8" w:rsidRPr="003C341F">
        <w:rPr>
          <w:rFonts w:asciiTheme="majorHAnsi" w:hAnsiTheme="majorHAnsi"/>
          <w:sz w:val="22"/>
        </w:rPr>
        <w:t>publicly funded</w:t>
      </w:r>
      <w:r w:rsidR="00AF14C9" w:rsidRPr="003C341F">
        <w:rPr>
          <w:rFonts w:asciiTheme="majorHAnsi" w:hAnsiTheme="majorHAnsi"/>
          <w:sz w:val="22"/>
        </w:rPr>
        <w:t xml:space="preserve"> dialysis services and raise awareness of, and funding for, prevention and treatment of kidney disease</w:t>
      </w:r>
      <w:r w:rsidR="005D102D" w:rsidRPr="003C341F">
        <w:rPr>
          <w:rFonts w:asciiTheme="majorHAnsi" w:hAnsiTheme="majorHAnsi"/>
          <w:sz w:val="22"/>
        </w:rPr>
        <w:t>.</w:t>
      </w:r>
    </w:p>
    <w:p w14:paraId="14A0CF0D" w14:textId="5E53C588"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Following passage of legislation in 2015 the Government of Samoa</w:t>
      </w:r>
      <w:r w:rsidR="00967226">
        <w:rPr>
          <w:rFonts w:asciiTheme="majorHAnsi" w:hAnsiTheme="majorHAnsi"/>
          <w:sz w:val="22"/>
        </w:rPr>
        <w:t xml:space="preserve"> (GOS)</w:t>
      </w:r>
      <w:r w:rsidRPr="003C341F">
        <w:rPr>
          <w:rFonts w:asciiTheme="majorHAnsi" w:hAnsiTheme="majorHAnsi"/>
          <w:sz w:val="22"/>
        </w:rPr>
        <w:t xml:space="preserve"> also plans to establish a Health Promotion Foundation as a body corporate which will undertake advocacy; sponsor sports, the arts and culture; encourage healthy lifestyles and pursuits; and support research.</w:t>
      </w:r>
    </w:p>
    <w:p w14:paraId="7833E9FB" w14:textId="77777777"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 xml:space="preserve">Several </w:t>
      </w:r>
      <w:r w:rsidR="004944B8">
        <w:rPr>
          <w:rFonts w:asciiTheme="majorHAnsi" w:hAnsiTheme="majorHAnsi"/>
          <w:sz w:val="22"/>
        </w:rPr>
        <w:t>NGOs</w:t>
      </w:r>
      <w:r w:rsidRPr="003C341F">
        <w:rPr>
          <w:rFonts w:asciiTheme="majorHAnsi" w:hAnsiTheme="majorHAnsi"/>
          <w:sz w:val="22"/>
        </w:rPr>
        <w:t xml:space="preserve"> are also engaged in service delivery and/or advocacy on health matters. They include:</w:t>
      </w:r>
    </w:p>
    <w:p w14:paraId="7AA42E3A" w14:textId="77777777" w:rsidR="00AF14C9" w:rsidRPr="003C341F" w:rsidRDefault="00615EE8" w:rsidP="00662F77">
      <w:pPr>
        <w:pStyle w:val="Bullet1-Long"/>
      </w:pPr>
      <w:r w:rsidRPr="003C341F">
        <w:t xml:space="preserve">SFHA, </w:t>
      </w:r>
      <w:r w:rsidR="004944B8">
        <w:t xml:space="preserve">the national IPPF affiliate </w:t>
      </w:r>
      <w:r w:rsidR="00AF14C9" w:rsidRPr="003C341F">
        <w:t xml:space="preserve">- provides clinical, advocacy and education </w:t>
      </w:r>
      <w:proofErr w:type="gramStart"/>
      <w:r w:rsidR="00AF14C9" w:rsidRPr="003C341F">
        <w:t>services;</w:t>
      </w:r>
      <w:proofErr w:type="gramEnd"/>
    </w:p>
    <w:p w14:paraId="078E6494" w14:textId="77777777" w:rsidR="00931F15" w:rsidRPr="003C341F" w:rsidRDefault="00AF14C9" w:rsidP="00662F77">
      <w:pPr>
        <w:pStyle w:val="Bullet1-Long"/>
      </w:pPr>
      <w:r w:rsidRPr="003C341F">
        <w:t xml:space="preserve">Samoa Red Cross - which is responsible for managing collection, storage and distribution of blood and blood </w:t>
      </w:r>
      <w:proofErr w:type="gramStart"/>
      <w:r w:rsidRPr="003C341F">
        <w:t>products;</w:t>
      </w:r>
      <w:proofErr w:type="gramEnd"/>
    </w:p>
    <w:p w14:paraId="7CB53ED4" w14:textId="77777777" w:rsidR="00AF14C9" w:rsidRPr="003C341F" w:rsidRDefault="00931F15" w:rsidP="00662F77">
      <w:pPr>
        <w:pStyle w:val="Bullet1-Long"/>
      </w:pPr>
      <w:r w:rsidRPr="003C341F">
        <w:t xml:space="preserve">Samoa Cancer </w:t>
      </w:r>
      <w:r w:rsidR="00F43F6F" w:rsidRPr="003C341F">
        <w:t>Society</w:t>
      </w:r>
      <w:r w:rsidRPr="003C341F">
        <w:t xml:space="preserve"> </w:t>
      </w:r>
      <w:r w:rsidR="00615EE8" w:rsidRPr="003C341F">
        <w:t>-</w:t>
      </w:r>
      <w:r w:rsidRPr="003C341F">
        <w:t xml:space="preserve"> provides support, </w:t>
      </w:r>
      <w:proofErr w:type="gramStart"/>
      <w:r w:rsidRPr="003C341F">
        <w:t>leadership</w:t>
      </w:r>
      <w:proofErr w:type="gramEnd"/>
      <w:r w:rsidRPr="003C341F">
        <w:t xml:space="preserve"> and advocacy in cancer control;</w:t>
      </w:r>
      <w:r w:rsidR="00AF14C9" w:rsidRPr="003C341F">
        <w:t xml:space="preserve"> and</w:t>
      </w:r>
    </w:p>
    <w:p w14:paraId="50384CA4" w14:textId="77777777" w:rsidR="00AF14C9" w:rsidRPr="003C341F" w:rsidRDefault="00AF14C9" w:rsidP="00662F77">
      <w:pPr>
        <w:pStyle w:val="Bullet1-Long"/>
      </w:pPr>
      <w:proofErr w:type="spellStart"/>
      <w:r w:rsidRPr="003C341F">
        <w:lastRenderedPageBreak/>
        <w:t>Nuanua</w:t>
      </w:r>
      <w:proofErr w:type="spellEnd"/>
      <w:r w:rsidRPr="003C341F">
        <w:t xml:space="preserve"> o le </w:t>
      </w:r>
      <w:proofErr w:type="spellStart"/>
      <w:r w:rsidRPr="003C341F">
        <w:t>Alofa</w:t>
      </w:r>
      <w:proofErr w:type="spellEnd"/>
      <w:r w:rsidRPr="003C341F">
        <w:t xml:space="preserve"> </w:t>
      </w:r>
      <w:r w:rsidR="00615EE8" w:rsidRPr="003C341F">
        <w:t>-</w:t>
      </w:r>
      <w:r w:rsidRPr="003C341F">
        <w:t xml:space="preserve"> the national organisation of people living with disabilities which plays a role in advocating on health issues.</w:t>
      </w:r>
    </w:p>
    <w:p w14:paraId="1AE112B6" w14:textId="77777777"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 xml:space="preserve">There is a small private sector made up of </w:t>
      </w:r>
      <w:r w:rsidR="00615EE8" w:rsidRPr="003C341F">
        <w:rPr>
          <w:rFonts w:asciiTheme="majorHAnsi" w:hAnsiTheme="majorHAnsi"/>
          <w:sz w:val="22"/>
        </w:rPr>
        <w:t>general practitioners</w:t>
      </w:r>
      <w:r w:rsidRPr="003C341F">
        <w:rPr>
          <w:rFonts w:asciiTheme="majorHAnsi" w:hAnsiTheme="majorHAnsi"/>
          <w:sz w:val="22"/>
        </w:rPr>
        <w:t xml:space="preserve">, </w:t>
      </w:r>
      <w:proofErr w:type="gramStart"/>
      <w:r w:rsidRPr="003C341F">
        <w:rPr>
          <w:rFonts w:asciiTheme="majorHAnsi" w:hAnsiTheme="majorHAnsi"/>
          <w:sz w:val="22"/>
        </w:rPr>
        <w:t>pharmacies</w:t>
      </w:r>
      <w:proofErr w:type="gramEnd"/>
      <w:r w:rsidRPr="003C341F">
        <w:rPr>
          <w:rFonts w:asciiTheme="majorHAnsi" w:hAnsiTheme="majorHAnsi"/>
          <w:sz w:val="22"/>
        </w:rPr>
        <w:t xml:space="preserve"> and allied health practitioners</w:t>
      </w:r>
      <w:r w:rsidR="00615EE8" w:rsidRPr="003C341F">
        <w:rPr>
          <w:rFonts w:asciiTheme="majorHAnsi" w:hAnsiTheme="majorHAnsi"/>
          <w:sz w:val="22"/>
        </w:rPr>
        <w:t>,</w:t>
      </w:r>
      <w:r w:rsidRPr="003C341F">
        <w:rPr>
          <w:rFonts w:asciiTheme="majorHAnsi" w:hAnsiTheme="majorHAnsi"/>
          <w:sz w:val="22"/>
        </w:rPr>
        <w:t xml:space="preserve"> most of whom are based in Apia.</w:t>
      </w:r>
    </w:p>
    <w:p w14:paraId="47978F82" w14:textId="77777777"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In 2008 it was estimated that some 900 traditional healers (</w:t>
      </w:r>
      <w:proofErr w:type="spellStart"/>
      <w:r w:rsidRPr="003C341F">
        <w:rPr>
          <w:rFonts w:asciiTheme="majorHAnsi" w:hAnsiTheme="majorHAnsi"/>
          <w:sz w:val="22"/>
        </w:rPr>
        <w:t>taulasea</w:t>
      </w:r>
      <w:proofErr w:type="spellEnd"/>
      <w:r w:rsidRPr="003C341F">
        <w:rPr>
          <w:rFonts w:asciiTheme="majorHAnsi" w:hAnsiTheme="majorHAnsi"/>
          <w:sz w:val="22"/>
        </w:rPr>
        <w:t>) and 120 traditional birth attendants (</w:t>
      </w:r>
      <w:proofErr w:type="spellStart"/>
      <w:r w:rsidRPr="003C341F">
        <w:rPr>
          <w:rFonts w:asciiTheme="majorHAnsi" w:hAnsiTheme="majorHAnsi"/>
          <w:sz w:val="22"/>
        </w:rPr>
        <w:t>fa’atosaga</w:t>
      </w:r>
      <w:proofErr w:type="spellEnd"/>
      <w:r w:rsidRPr="003C341F">
        <w:rPr>
          <w:rFonts w:asciiTheme="majorHAnsi" w:hAnsiTheme="majorHAnsi"/>
          <w:sz w:val="22"/>
        </w:rPr>
        <w:t xml:space="preserve">) were also practicing in Samoa </w:t>
      </w:r>
      <w:sdt>
        <w:sdtPr>
          <w:rPr>
            <w:rFonts w:asciiTheme="majorHAnsi" w:hAnsiTheme="majorHAnsi"/>
            <w:sz w:val="22"/>
          </w:rPr>
          <w:id w:val="-1225143234"/>
          <w:citation/>
        </w:sdtPr>
        <w:sdtEndPr/>
        <w:sdtContent>
          <w:r w:rsidRPr="003C341F">
            <w:rPr>
              <w:rFonts w:asciiTheme="majorHAnsi" w:hAnsiTheme="majorHAnsi"/>
              <w:sz w:val="22"/>
            </w:rPr>
            <w:fldChar w:fldCharType="begin"/>
          </w:r>
          <w:r w:rsidRPr="003C341F">
            <w:rPr>
              <w:rFonts w:asciiTheme="majorHAnsi" w:hAnsiTheme="majorHAnsi"/>
              <w:sz w:val="22"/>
            </w:rPr>
            <w:instrText xml:space="preserve"> CITATION Min08 \l 3081 </w:instrText>
          </w:r>
          <w:r w:rsidRPr="003C341F">
            <w:rPr>
              <w:rFonts w:asciiTheme="majorHAnsi" w:hAnsiTheme="majorHAnsi"/>
              <w:sz w:val="22"/>
            </w:rPr>
            <w:fldChar w:fldCharType="separate"/>
          </w:r>
          <w:r w:rsidR="002C597C" w:rsidRPr="003C341F">
            <w:rPr>
              <w:rFonts w:asciiTheme="majorHAnsi" w:hAnsiTheme="majorHAnsi"/>
              <w:noProof/>
              <w:sz w:val="22"/>
            </w:rPr>
            <w:t>(Ministry of Health, 2008)</w:t>
          </w:r>
          <w:r w:rsidRPr="003C341F">
            <w:rPr>
              <w:rFonts w:asciiTheme="majorHAnsi" w:hAnsiTheme="majorHAnsi"/>
              <w:sz w:val="22"/>
            </w:rPr>
            <w:fldChar w:fldCharType="end"/>
          </w:r>
        </w:sdtContent>
      </w:sdt>
      <w:r w:rsidRPr="003C341F">
        <w:rPr>
          <w:rFonts w:asciiTheme="majorHAnsi" w:hAnsiTheme="majorHAnsi"/>
          <w:sz w:val="22"/>
        </w:rPr>
        <w:t>.</w:t>
      </w:r>
    </w:p>
    <w:p w14:paraId="1C693B55" w14:textId="77777777"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 xml:space="preserve">Village Women’s Committees and Village Councils also play important, albeit often informal, roles in health care delivery (as well as leadership). The former, in particular, are engaged extensively in health promotion and community mobilisation and are </w:t>
      </w:r>
      <w:r w:rsidR="004944B8">
        <w:rPr>
          <w:rFonts w:asciiTheme="majorHAnsi" w:hAnsiTheme="majorHAnsi"/>
          <w:sz w:val="22"/>
        </w:rPr>
        <w:t>“</w:t>
      </w:r>
      <w:r w:rsidRPr="003C341F">
        <w:rPr>
          <w:rFonts w:asciiTheme="majorHAnsi" w:hAnsiTheme="majorHAnsi"/>
          <w:sz w:val="22"/>
        </w:rPr>
        <w:t>widely recognised as an important extension of health services</w:t>
      </w:r>
      <w:r w:rsidR="00615EE8" w:rsidRPr="003C341F">
        <w:rPr>
          <w:rFonts w:asciiTheme="majorHAnsi" w:hAnsiTheme="majorHAnsi"/>
          <w:sz w:val="22"/>
        </w:rPr>
        <w:t>”</w:t>
      </w:r>
      <w:r w:rsidRPr="003C341F">
        <w:rPr>
          <w:rFonts w:asciiTheme="majorHAnsi" w:hAnsiTheme="majorHAnsi"/>
          <w:sz w:val="22"/>
        </w:rPr>
        <w:t xml:space="preserve"> </w:t>
      </w:r>
      <w:sdt>
        <w:sdtPr>
          <w:rPr>
            <w:rFonts w:asciiTheme="majorHAnsi" w:hAnsiTheme="majorHAnsi"/>
            <w:sz w:val="22"/>
          </w:rPr>
          <w:id w:val="-1063636297"/>
          <w:citation/>
        </w:sdtPr>
        <w:sdtEndPr/>
        <w:sdtContent>
          <w:r w:rsidRPr="003C341F">
            <w:rPr>
              <w:rFonts w:asciiTheme="majorHAnsi" w:hAnsiTheme="majorHAnsi"/>
              <w:sz w:val="22"/>
            </w:rPr>
            <w:fldChar w:fldCharType="begin"/>
          </w:r>
          <w:r w:rsidRPr="003C341F">
            <w:rPr>
              <w:rFonts w:asciiTheme="majorHAnsi" w:hAnsiTheme="majorHAnsi"/>
              <w:sz w:val="22"/>
            </w:rPr>
            <w:instrText xml:space="preserve"> CITATION Tho14 \l 3081 </w:instrText>
          </w:r>
          <w:r w:rsidRPr="003C341F">
            <w:rPr>
              <w:rFonts w:asciiTheme="majorHAnsi" w:hAnsiTheme="majorHAnsi"/>
              <w:sz w:val="22"/>
            </w:rPr>
            <w:fldChar w:fldCharType="separate"/>
          </w:r>
          <w:r w:rsidR="002C597C" w:rsidRPr="003C341F">
            <w:rPr>
              <w:rFonts w:asciiTheme="majorHAnsi" w:hAnsiTheme="majorHAnsi"/>
              <w:noProof/>
              <w:sz w:val="22"/>
            </w:rPr>
            <w:t>(Thomas, 2014)</w:t>
          </w:r>
          <w:r w:rsidRPr="003C341F">
            <w:rPr>
              <w:rFonts w:asciiTheme="majorHAnsi" w:hAnsiTheme="majorHAnsi"/>
              <w:sz w:val="22"/>
            </w:rPr>
            <w:fldChar w:fldCharType="end"/>
          </w:r>
        </w:sdtContent>
      </w:sdt>
      <w:r w:rsidRPr="003C341F">
        <w:rPr>
          <w:rFonts w:asciiTheme="majorHAnsi" w:hAnsiTheme="majorHAnsi"/>
          <w:sz w:val="22"/>
        </w:rPr>
        <w:t>.</w:t>
      </w:r>
    </w:p>
    <w:p w14:paraId="0C15DBD6" w14:textId="77777777" w:rsidR="00AF14C9" w:rsidRPr="003C341F" w:rsidRDefault="00AF14C9" w:rsidP="003A0889">
      <w:pPr>
        <w:pStyle w:val="SecondLevelNumberedTitle"/>
        <w:ind w:left="0"/>
        <w:outlineLvl w:val="9"/>
      </w:pPr>
      <w:r w:rsidRPr="003C341F">
        <w:t>Leadership and governance</w:t>
      </w:r>
    </w:p>
    <w:p w14:paraId="3D9F5DCF" w14:textId="77777777" w:rsidR="00AF14C9" w:rsidRPr="003C341F" w:rsidRDefault="00AF14C9" w:rsidP="00D27744">
      <w:pPr>
        <w:pStyle w:val="Default"/>
        <w:spacing w:after="120" w:line="276" w:lineRule="auto"/>
        <w:jc w:val="both"/>
        <w:rPr>
          <w:rFonts w:asciiTheme="majorHAnsi" w:hAnsiTheme="majorHAnsi"/>
          <w:sz w:val="22"/>
        </w:rPr>
      </w:pPr>
      <w:r w:rsidRPr="003C341F">
        <w:rPr>
          <w:rFonts w:asciiTheme="majorHAnsi" w:hAnsiTheme="majorHAnsi"/>
          <w:sz w:val="22"/>
        </w:rPr>
        <w:t>The Ministry of Health (</w:t>
      </w:r>
      <w:r w:rsidR="00C62C8E" w:rsidRPr="003C341F">
        <w:rPr>
          <w:rFonts w:asciiTheme="majorHAnsi" w:hAnsiTheme="majorHAnsi"/>
          <w:sz w:val="22"/>
        </w:rPr>
        <w:t>MOH</w:t>
      </w:r>
      <w:r w:rsidRPr="003C341F">
        <w:rPr>
          <w:rFonts w:asciiTheme="majorHAnsi" w:hAnsiTheme="majorHAnsi"/>
          <w:sz w:val="22"/>
        </w:rPr>
        <w:t xml:space="preserve">) is the lead policy agency in the sector, reporting directly to the Minister of Health. Its vision is </w:t>
      </w:r>
      <w:r w:rsidR="004944B8">
        <w:rPr>
          <w:rFonts w:asciiTheme="majorHAnsi" w:hAnsiTheme="majorHAnsi"/>
          <w:sz w:val="22"/>
        </w:rPr>
        <w:t>“</w:t>
      </w:r>
      <w:r w:rsidRPr="003C341F">
        <w:rPr>
          <w:rFonts w:asciiTheme="majorHAnsi" w:hAnsiTheme="majorHAnsi"/>
          <w:sz w:val="22"/>
        </w:rPr>
        <w:t xml:space="preserve">An Effective, Accountable, Safe and People </w:t>
      </w:r>
      <w:proofErr w:type="spellStart"/>
      <w:r w:rsidRPr="003C341F">
        <w:rPr>
          <w:rFonts w:asciiTheme="majorHAnsi" w:hAnsiTheme="majorHAnsi"/>
          <w:sz w:val="22"/>
        </w:rPr>
        <w:t>Centered</w:t>
      </w:r>
      <w:proofErr w:type="spellEnd"/>
      <w:r w:rsidRPr="003C341F">
        <w:rPr>
          <w:rFonts w:asciiTheme="majorHAnsi" w:hAnsiTheme="majorHAnsi"/>
          <w:sz w:val="22"/>
        </w:rPr>
        <w:t xml:space="preserve"> Healt</w:t>
      </w:r>
      <w:r w:rsidR="004944B8">
        <w:rPr>
          <w:rFonts w:asciiTheme="majorHAnsi" w:hAnsiTheme="majorHAnsi"/>
          <w:sz w:val="22"/>
        </w:rPr>
        <w:t>h System” and it has a mission “</w:t>
      </w:r>
      <w:r w:rsidRPr="003C341F">
        <w:rPr>
          <w:rFonts w:asciiTheme="majorHAnsi" w:hAnsiTheme="majorHAnsi"/>
          <w:sz w:val="22"/>
        </w:rPr>
        <w:t xml:space="preserve">To regulate and monitor Samoa's Health System </w:t>
      </w:r>
      <w:proofErr w:type="gramStart"/>
      <w:r w:rsidR="004944B8">
        <w:rPr>
          <w:rFonts w:asciiTheme="majorHAnsi" w:hAnsiTheme="majorHAnsi"/>
          <w:sz w:val="22"/>
        </w:rPr>
        <w:t>in order to</w:t>
      </w:r>
      <w:proofErr w:type="gramEnd"/>
      <w:r w:rsidR="004944B8">
        <w:rPr>
          <w:rFonts w:asciiTheme="majorHAnsi" w:hAnsiTheme="majorHAnsi"/>
          <w:sz w:val="22"/>
        </w:rPr>
        <w:t xml:space="preserve"> achieve the Vision”.</w:t>
      </w:r>
      <w:r w:rsidRPr="003C341F">
        <w:rPr>
          <w:rFonts w:asciiTheme="majorHAnsi" w:hAnsiTheme="majorHAnsi"/>
          <w:sz w:val="22"/>
        </w:rPr>
        <w:t xml:space="preserve"> </w:t>
      </w:r>
    </w:p>
    <w:p w14:paraId="25DEA977" w14:textId="77777777" w:rsidR="00AF14C9" w:rsidRPr="003C341F" w:rsidRDefault="00AF14C9" w:rsidP="00D27744">
      <w:pPr>
        <w:pStyle w:val="Default"/>
        <w:spacing w:after="120" w:line="276" w:lineRule="auto"/>
        <w:jc w:val="both"/>
        <w:rPr>
          <w:rFonts w:asciiTheme="majorHAnsi" w:hAnsiTheme="majorHAnsi"/>
          <w:sz w:val="22"/>
        </w:rPr>
      </w:pPr>
      <w:r w:rsidRPr="003C341F">
        <w:rPr>
          <w:rFonts w:asciiTheme="majorHAnsi" w:hAnsiTheme="majorHAnsi"/>
          <w:sz w:val="22"/>
        </w:rPr>
        <w:t xml:space="preserve">The </w:t>
      </w:r>
      <w:r w:rsidR="00C62C8E" w:rsidRPr="003C341F">
        <w:rPr>
          <w:rFonts w:asciiTheme="majorHAnsi" w:hAnsiTheme="majorHAnsi"/>
          <w:sz w:val="22"/>
        </w:rPr>
        <w:t>MOH</w:t>
      </w:r>
      <w:r w:rsidRPr="003C341F">
        <w:rPr>
          <w:rFonts w:asciiTheme="majorHAnsi" w:hAnsiTheme="majorHAnsi"/>
          <w:sz w:val="22"/>
        </w:rPr>
        <w:t xml:space="preserve"> is not expected to engage directly </w:t>
      </w:r>
      <w:proofErr w:type="gramStart"/>
      <w:r w:rsidRPr="003C341F">
        <w:rPr>
          <w:rFonts w:asciiTheme="majorHAnsi" w:hAnsiTheme="majorHAnsi"/>
          <w:sz w:val="22"/>
        </w:rPr>
        <w:t>in service</w:t>
      </w:r>
      <w:proofErr w:type="gramEnd"/>
      <w:r w:rsidRPr="003C341F">
        <w:rPr>
          <w:rFonts w:asciiTheme="majorHAnsi" w:hAnsiTheme="majorHAnsi"/>
          <w:sz w:val="22"/>
        </w:rPr>
        <w:t xml:space="preserve"> delivery, but rather to focus on strategic planning, policy development and performance and outcome monitoring.</w:t>
      </w:r>
    </w:p>
    <w:p w14:paraId="6A17F6D8" w14:textId="77777777" w:rsidR="00931F15" w:rsidRPr="003C341F" w:rsidRDefault="00931F15" w:rsidP="00D27744">
      <w:pPr>
        <w:pStyle w:val="Default"/>
        <w:spacing w:after="120" w:line="276" w:lineRule="auto"/>
        <w:jc w:val="both"/>
        <w:rPr>
          <w:rFonts w:asciiTheme="majorHAnsi" w:hAnsiTheme="majorHAnsi"/>
          <w:sz w:val="22"/>
        </w:rPr>
      </w:pPr>
      <w:r w:rsidRPr="003C341F">
        <w:rPr>
          <w:rFonts w:asciiTheme="majorHAnsi" w:hAnsiTheme="majorHAnsi"/>
          <w:sz w:val="22"/>
        </w:rPr>
        <w:t>The NHS is overseen by a nine-member, Government-appointed Board of Directors.</w:t>
      </w:r>
    </w:p>
    <w:p w14:paraId="3465BAA6" w14:textId="77777777" w:rsidR="00AF14C9" w:rsidRPr="003C341F" w:rsidRDefault="00AF14C9" w:rsidP="00D27744">
      <w:pPr>
        <w:pStyle w:val="Default"/>
        <w:spacing w:after="120" w:line="276" w:lineRule="auto"/>
        <w:jc w:val="both"/>
        <w:rPr>
          <w:rFonts w:asciiTheme="majorHAnsi" w:hAnsiTheme="majorHAnsi"/>
          <w:sz w:val="22"/>
        </w:rPr>
      </w:pPr>
      <w:r w:rsidRPr="003C341F">
        <w:rPr>
          <w:rFonts w:asciiTheme="majorHAnsi" w:hAnsiTheme="majorHAnsi"/>
          <w:sz w:val="22"/>
        </w:rPr>
        <w:t>The separation of responsibilities for policy (</w:t>
      </w:r>
      <w:r w:rsidR="00C62C8E" w:rsidRPr="003C341F">
        <w:rPr>
          <w:rFonts w:asciiTheme="majorHAnsi" w:hAnsiTheme="majorHAnsi"/>
          <w:sz w:val="22"/>
        </w:rPr>
        <w:t>MOH</w:t>
      </w:r>
      <w:r w:rsidRPr="003C341F">
        <w:rPr>
          <w:rFonts w:asciiTheme="majorHAnsi" w:hAnsiTheme="majorHAnsi"/>
          <w:sz w:val="22"/>
        </w:rPr>
        <w:t xml:space="preserve">) and service delivery (NHS) took effect from 1 July 2006. It sought to provide greater role clarity underpinned by the development of distinct competencies relating to the organisations’ specific functions. In particular, the aim was to free </w:t>
      </w:r>
      <w:r w:rsidR="00C62C8E" w:rsidRPr="003C341F">
        <w:rPr>
          <w:rFonts w:asciiTheme="majorHAnsi" w:hAnsiTheme="majorHAnsi"/>
          <w:sz w:val="22"/>
        </w:rPr>
        <w:t>MOH</w:t>
      </w:r>
      <w:r w:rsidRPr="003C341F">
        <w:rPr>
          <w:rFonts w:asciiTheme="majorHAnsi" w:hAnsiTheme="majorHAnsi"/>
          <w:sz w:val="22"/>
        </w:rPr>
        <w:t xml:space="preserve"> from an undue focus on technical aspects of service </w:t>
      </w:r>
      <w:r w:rsidR="00F04CAC" w:rsidRPr="003C341F">
        <w:rPr>
          <w:rFonts w:asciiTheme="majorHAnsi" w:hAnsiTheme="majorHAnsi"/>
          <w:sz w:val="22"/>
        </w:rPr>
        <w:t>delivery, which</w:t>
      </w:r>
      <w:r w:rsidRPr="003C341F">
        <w:rPr>
          <w:rFonts w:asciiTheme="majorHAnsi" w:hAnsiTheme="majorHAnsi"/>
          <w:sz w:val="22"/>
        </w:rPr>
        <w:t>, it appears, was seen to be detracting from the Ministry’s ability to adopt a considered, independent view on broader issues of policy and regulation for the sector as whole</w:t>
      </w:r>
    </w:p>
    <w:p w14:paraId="3DB647A6" w14:textId="4ECDCEB8" w:rsidR="00AF14C9" w:rsidRPr="003C341F" w:rsidRDefault="00AF14C9" w:rsidP="00D27744">
      <w:pPr>
        <w:pStyle w:val="Default"/>
        <w:spacing w:after="120" w:line="276" w:lineRule="auto"/>
        <w:jc w:val="both"/>
        <w:rPr>
          <w:rFonts w:asciiTheme="majorHAnsi" w:hAnsiTheme="majorHAnsi"/>
          <w:sz w:val="22"/>
        </w:rPr>
      </w:pPr>
      <w:r w:rsidRPr="003C341F">
        <w:rPr>
          <w:rFonts w:asciiTheme="majorHAnsi" w:hAnsiTheme="majorHAnsi"/>
          <w:sz w:val="22"/>
        </w:rPr>
        <w:t xml:space="preserve">A review of the realignment in 2011 found that, </w:t>
      </w:r>
      <w:r w:rsidR="003D0541" w:rsidRPr="003C341F">
        <w:rPr>
          <w:rFonts w:asciiTheme="majorHAnsi" w:hAnsiTheme="majorHAnsi"/>
          <w:sz w:val="22"/>
        </w:rPr>
        <w:t>“</w:t>
      </w:r>
      <w:r w:rsidRPr="003C341F">
        <w:rPr>
          <w:rFonts w:asciiTheme="majorHAnsi" w:hAnsiTheme="majorHAnsi"/>
          <w:sz w:val="22"/>
        </w:rPr>
        <w:t>there was general confusion and misconceptions among staff about the exact roles, responsibilities and linkages between the two new entities</w:t>
      </w:r>
      <w:r w:rsidR="003D0541" w:rsidRPr="003C341F">
        <w:rPr>
          <w:rFonts w:asciiTheme="majorHAnsi" w:hAnsiTheme="majorHAnsi"/>
          <w:sz w:val="22"/>
        </w:rPr>
        <w:t>”</w:t>
      </w:r>
      <w:r w:rsidRPr="003C341F">
        <w:rPr>
          <w:rFonts w:asciiTheme="majorHAnsi" w:hAnsiTheme="majorHAnsi"/>
          <w:sz w:val="22"/>
        </w:rPr>
        <w:t xml:space="preserve"> and </w:t>
      </w:r>
      <w:r w:rsidR="003D0541" w:rsidRPr="003C341F">
        <w:rPr>
          <w:rFonts w:asciiTheme="majorHAnsi" w:hAnsiTheme="majorHAnsi"/>
          <w:sz w:val="22"/>
        </w:rPr>
        <w:t>”</w:t>
      </w:r>
      <w:r w:rsidRPr="003C341F">
        <w:rPr>
          <w:rFonts w:asciiTheme="majorHAnsi" w:hAnsiTheme="majorHAnsi"/>
          <w:sz w:val="22"/>
        </w:rPr>
        <w:t xml:space="preserve">there was seen to be a power struggle between NHS and </w:t>
      </w:r>
      <w:r w:rsidR="00C62C8E" w:rsidRPr="003C341F">
        <w:rPr>
          <w:rFonts w:asciiTheme="majorHAnsi" w:hAnsiTheme="majorHAnsi"/>
          <w:sz w:val="22"/>
        </w:rPr>
        <w:t>MOH</w:t>
      </w:r>
      <w:r w:rsidRPr="003C341F">
        <w:rPr>
          <w:rFonts w:asciiTheme="majorHAnsi" w:hAnsiTheme="majorHAnsi"/>
          <w:sz w:val="22"/>
        </w:rPr>
        <w:t xml:space="preserve"> management over which entity was in control</w:t>
      </w:r>
      <w:r w:rsidR="003D0541" w:rsidRPr="003C341F">
        <w:rPr>
          <w:rFonts w:asciiTheme="majorHAnsi" w:hAnsiTheme="majorHAnsi"/>
          <w:sz w:val="22"/>
        </w:rPr>
        <w:t>”</w:t>
      </w:r>
      <w:sdt>
        <w:sdtPr>
          <w:rPr>
            <w:rFonts w:asciiTheme="majorHAnsi" w:hAnsiTheme="majorHAnsi"/>
            <w:sz w:val="22"/>
          </w:rPr>
          <w:id w:val="-393431170"/>
          <w:citation/>
        </w:sdtPr>
        <w:sdtEndPr/>
        <w:sdtContent>
          <w:r w:rsidRPr="003C341F">
            <w:rPr>
              <w:rFonts w:asciiTheme="majorHAnsi" w:hAnsiTheme="majorHAnsi"/>
              <w:sz w:val="22"/>
            </w:rPr>
            <w:fldChar w:fldCharType="begin"/>
          </w:r>
          <w:r w:rsidRPr="003C341F">
            <w:rPr>
              <w:rFonts w:asciiTheme="majorHAnsi" w:hAnsiTheme="majorHAnsi"/>
              <w:sz w:val="22"/>
            </w:rPr>
            <w:instrText xml:space="preserve">CITATION Gov11 \l 3081 </w:instrText>
          </w:r>
          <w:r w:rsidRPr="003C341F">
            <w:rPr>
              <w:rFonts w:asciiTheme="majorHAnsi" w:hAnsiTheme="majorHAnsi"/>
              <w:sz w:val="22"/>
            </w:rPr>
            <w:fldChar w:fldCharType="separate"/>
          </w:r>
          <w:r w:rsidR="002C597C" w:rsidRPr="003C341F">
            <w:rPr>
              <w:rFonts w:asciiTheme="majorHAnsi" w:hAnsiTheme="majorHAnsi"/>
              <w:noProof/>
              <w:sz w:val="22"/>
            </w:rPr>
            <w:t xml:space="preserve"> (Government of Samoa, 2011)</w:t>
          </w:r>
          <w:r w:rsidRPr="003C341F">
            <w:rPr>
              <w:rFonts w:asciiTheme="majorHAnsi" w:hAnsiTheme="majorHAnsi"/>
              <w:sz w:val="22"/>
            </w:rPr>
            <w:fldChar w:fldCharType="end"/>
          </w:r>
        </w:sdtContent>
      </w:sdt>
      <w:r w:rsidRPr="003C341F">
        <w:rPr>
          <w:rFonts w:asciiTheme="majorHAnsi" w:hAnsiTheme="majorHAnsi"/>
          <w:sz w:val="22"/>
        </w:rPr>
        <w:t xml:space="preserve">. </w:t>
      </w:r>
    </w:p>
    <w:p w14:paraId="14E780E0" w14:textId="48803A4A" w:rsidR="00AF14C9" w:rsidRPr="003C341F" w:rsidRDefault="00AF14C9" w:rsidP="00D27744">
      <w:pPr>
        <w:pStyle w:val="Default"/>
        <w:spacing w:after="120" w:line="276" w:lineRule="auto"/>
        <w:jc w:val="both"/>
        <w:rPr>
          <w:rFonts w:asciiTheme="majorHAnsi" w:hAnsiTheme="majorHAnsi"/>
          <w:sz w:val="22"/>
        </w:rPr>
      </w:pPr>
      <w:r w:rsidRPr="003C341F">
        <w:rPr>
          <w:rFonts w:asciiTheme="majorHAnsi" w:hAnsiTheme="majorHAnsi"/>
          <w:sz w:val="22"/>
        </w:rPr>
        <w:t xml:space="preserve">Subsequently, in 2014, a DFAT-funded review noted that, in relation to procurement roles and responsibilities in the health sector, </w:t>
      </w:r>
      <w:r w:rsidR="003D0541" w:rsidRPr="003C341F">
        <w:rPr>
          <w:rFonts w:asciiTheme="majorHAnsi" w:hAnsiTheme="majorHAnsi"/>
          <w:sz w:val="22"/>
        </w:rPr>
        <w:t>“</w:t>
      </w:r>
      <w:r w:rsidRPr="003C341F">
        <w:rPr>
          <w:rFonts w:asciiTheme="majorHAnsi" w:hAnsiTheme="majorHAnsi"/>
          <w:sz w:val="22"/>
        </w:rPr>
        <w:t>Despite the eight years that have passed since the separation, it is clear that MOH and NHS are still jostling for position and that the lines of demarcation of responsibilities have not been finalised</w:t>
      </w:r>
      <w:r w:rsidR="003D0541" w:rsidRPr="003C341F">
        <w:rPr>
          <w:rFonts w:asciiTheme="majorHAnsi" w:hAnsiTheme="majorHAnsi"/>
          <w:sz w:val="22"/>
        </w:rPr>
        <w:t>”</w:t>
      </w:r>
      <w:r w:rsidRPr="003C341F">
        <w:rPr>
          <w:rFonts w:asciiTheme="majorHAnsi" w:hAnsiTheme="majorHAnsi"/>
          <w:sz w:val="22"/>
        </w:rPr>
        <w:t xml:space="preserve">. </w:t>
      </w:r>
      <w:sdt>
        <w:sdtPr>
          <w:rPr>
            <w:rFonts w:asciiTheme="majorHAnsi" w:hAnsiTheme="majorHAnsi"/>
            <w:sz w:val="22"/>
          </w:rPr>
          <w:id w:val="-278719764"/>
          <w:citation/>
        </w:sdtPr>
        <w:sdtEndPr/>
        <w:sdtContent>
          <w:r w:rsidRPr="003C341F">
            <w:rPr>
              <w:rFonts w:asciiTheme="majorHAnsi" w:hAnsiTheme="majorHAnsi"/>
              <w:sz w:val="22"/>
            </w:rPr>
            <w:fldChar w:fldCharType="begin"/>
          </w:r>
          <w:r w:rsidRPr="003C341F">
            <w:rPr>
              <w:rFonts w:asciiTheme="majorHAnsi" w:hAnsiTheme="majorHAnsi"/>
              <w:sz w:val="22"/>
            </w:rPr>
            <w:instrText xml:space="preserve">CITATION Cha14 \l 3081 </w:instrText>
          </w:r>
          <w:r w:rsidRPr="003C341F">
            <w:rPr>
              <w:rFonts w:asciiTheme="majorHAnsi" w:hAnsiTheme="majorHAnsi"/>
              <w:sz w:val="22"/>
            </w:rPr>
            <w:fldChar w:fldCharType="separate"/>
          </w:r>
          <w:r w:rsidR="002C597C" w:rsidRPr="003C341F">
            <w:rPr>
              <w:rFonts w:asciiTheme="majorHAnsi" w:hAnsiTheme="majorHAnsi"/>
              <w:noProof/>
              <w:sz w:val="22"/>
            </w:rPr>
            <w:t>(Charles Kendall &amp; Partners, 2014)</w:t>
          </w:r>
          <w:r w:rsidRPr="003C341F">
            <w:rPr>
              <w:rFonts w:asciiTheme="majorHAnsi" w:hAnsiTheme="majorHAnsi"/>
              <w:sz w:val="22"/>
            </w:rPr>
            <w:fldChar w:fldCharType="end"/>
          </w:r>
        </w:sdtContent>
      </w:sdt>
      <w:r w:rsidR="00967226">
        <w:rPr>
          <w:rFonts w:asciiTheme="majorHAnsi" w:hAnsiTheme="majorHAnsi"/>
          <w:sz w:val="22"/>
        </w:rPr>
        <w:t>.</w:t>
      </w:r>
    </w:p>
    <w:p w14:paraId="1047D57D" w14:textId="77777777" w:rsidR="00AF14C9" w:rsidRPr="003C341F" w:rsidRDefault="00AF14C9" w:rsidP="00D27744">
      <w:pPr>
        <w:pStyle w:val="Default"/>
        <w:spacing w:after="120" w:line="276" w:lineRule="auto"/>
        <w:jc w:val="both"/>
        <w:rPr>
          <w:rFonts w:asciiTheme="majorHAnsi" w:hAnsiTheme="majorHAnsi"/>
          <w:sz w:val="22"/>
        </w:rPr>
      </w:pPr>
      <w:r w:rsidRPr="003C341F">
        <w:rPr>
          <w:rFonts w:asciiTheme="majorHAnsi" w:hAnsiTheme="majorHAnsi"/>
          <w:sz w:val="22"/>
        </w:rPr>
        <w:t xml:space="preserve">More recently, in reviewing results of the health </w:t>
      </w:r>
      <w:proofErr w:type="spellStart"/>
      <w:r w:rsidRPr="003C341F">
        <w:rPr>
          <w:rFonts w:asciiTheme="majorHAnsi" w:hAnsiTheme="majorHAnsi"/>
          <w:sz w:val="22"/>
        </w:rPr>
        <w:t>SWAp</w:t>
      </w:r>
      <w:proofErr w:type="spellEnd"/>
      <w:r w:rsidRPr="003C341F">
        <w:rPr>
          <w:rFonts w:asciiTheme="majorHAnsi" w:hAnsiTheme="majorHAnsi"/>
          <w:sz w:val="22"/>
        </w:rPr>
        <w:t xml:space="preserve">, the World Bank noted that </w:t>
      </w:r>
      <w:r w:rsidR="00F04CAC">
        <w:rPr>
          <w:rFonts w:asciiTheme="majorHAnsi" w:hAnsiTheme="majorHAnsi"/>
          <w:sz w:val="22"/>
        </w:rPr>
        <w:t>“</w:t>
      </w:r>
      <w:r w:rsidRPr="003C341F">
        <w:rPr>
          <w:rFonts w:asciiTheme="majorHAnsi" w:hAnsiTheme="majorHAnsi"/>
          <w:sz w:val="22"/>
        </w:rPr>
        <w:t xml:space="preserve">The Relationship between the two entities has improved over the course of the </w:t>
      </w:r>
      <w:proofErr w:type="spellStart"/>
      <w:r w:rsidRPr="003C341F">
        <w:rPr>
          <w:rFonts w:asciiTheme="majorHAnsi" w:hAnsiTheme="majorHAnsi"/>
          <w:sz w:val="22"/>
        </w:rPr>
        <w:t>SWAp</w:t>
      </w:r>
      <w:proofErr w:type="spellEnd"/>
      <w:r w:rsidRPr="003C341F">
        <w:rPr>
          <w:rFonts w:asciiTheme="majorHAnsi" w:hAnsiTheme="majorHAnsi"/>
          <w:sz w:val="22"/>
        </w:rPr>
        <w:t>, though there continues to be room for further improvement and synchronization</w:t>
      </w:r>
      <w:r w:rsidR="003D0541" w:rsidRPr="003C341F">
        <w:rPr>
          <w:rFonts w:asciiTheme="majorHAnsi" w:hAnsiTheme="majorHAnsi"/>
          <w:sz w:val="22"/>
        </w:rPr>
        <w:t>”</w:t>
      </w:r>
      <w:r w:rsidRPr="003C341F">
        <w:rPr>
          <w:rFonts w:asciiTheme="majorHAnsi" w:hAnsiTheme="majorHAnsi"/>
          <w:sz w:val="22"/>
        </w:rPr>
        <w:t xml:space="preserve">. </w:t>
      </w:r>
      <w:sdt>
        <w:sdtPr>
          <w:rPr>
            <w:rFonts w:asciiTheme="majorHAnsi" w:hAnsiTheme="majorHAnsi"/>
            <w:sz w:val="22"/>
          </w:rPr>
          <w:id w:val="972949922"/>
          <w:citation/>
        </w:sdtPr>
        <w:sdtEndPr/>
        <w:sdtContent>
          <w:r w:rsidRPr="003C341F">
            <w:rPr>
              <w:rFonts w:asciiTheme="majorHAnsi" w:hAnsiTheme="majorHAnsi"/>
              <w:sz w:val="22"/>
            </w:rPr>
            <w:fldChar w:fldCharType="begin"/>
          </w:r>
          <w:r w:rsidRPr="003C341F">
            <w:rPr>
              <w:rFonts w:asciiTheme="majorHAnsi" w:hAnsiTheme="majorHAnsi"/>
              <w:sz w:val="22"/>
            </w:rPr>
            <w:instrText xml:space="preserve">CITATION Wor16 \l 3081 </w:instrText>
          </w:r>
          <w:r w:rsidRPr="003C341F">
            <w:rPr>
              <w:rFonts w:asciiTheme="majorHAnsi" w:hAnsiTheme="majorHAnsi"/>
              <w:sz w:val="22"/>
            </w:rPr>
            <w:fldChar w:fldCharType="separate"/>
          </w:r>
          <w:r w:rsidR="002C597C" w:rsidRPr="003C341F">
            <w:rPr>
              <w:rFonts w:asciiTheme="majorHAnsi" w:hAnsiTheme="majorHAnsi"/>
              <w:noProof/>
              <w:sz w:val="22"/>
            </w:rPr>
            <w:t>(World Bank, 2016)</w:t>
          </w:r>
          <w:r w:rsidRPr="003C341F">
            <w:rPr>
              <w:rFonts w:asciiTheme="majorHAnsi" w:hAnsiTheme="majorHAnsi"/>
              <w:sz w:val="22"/>
            </w:rPr>
            <w:fldChar w:fldCharType="end"/>
          </w:r>
        </w:sdtContent>
      </w:sdt>
    </w:p>
    <w:p w14:paraId="1337500F" w14:textId="77777777" w:rsidR="00AF14C9" w:rsidRPr="003C341F" w:rsidRDefault="00AF14C9" w:rsidP="00D27744">
      <w:pPr>
        <w:pStyle w:val="Default"/>
        <w:spacing w:after="120" w:line="276" w:lineRule="auto"/>
        <w:jc w:val="both"/>
        <w:rPr>
          <w:rFonts w:asciiTheme="majorHAnsi" w:hAnsiTheme="majorHAnsi"/>
          <w:sz w:val="22"/>
        </w:rPr>
      </w:pPr>
      <w:r w:rsidRPr="003C341F">
        <w:rPr>
          <w:rFonts w:asciiTheme="majorHAnsi" w:hAnsiTheme="majorHAnsi"/>
          <w:sz w:val="22"/>
        </w:rPr>
        <w:t xml:space="preserve">While the Ministry is expected to hold the NHS to account it lacks the information and incentives to do so (in part because the NHS is funded directly from the Ministry of Finance). On the other hand, the NHS appears to consider that the Ministry’s inability (or unwillingness) to focus on more strategic issues results in ‘micro-management’ of the NHS by the Ministry which has limited the former’s ability to innovate. </w:t>
      </w:r>
    </w:p>
    <w:p w14:paraId="4C0703D3" w14:textId="77777777"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lastRenderedPageBreak/>
        <w:t>Many of the Ministry’s staff have strengths in operational service delivery which might be better aligned to the work of the NHS. At the same time there are few staff anywhere in the sector who have the expertise the Ministry needs to be fully effective in a policy and legislative role</w:t>
      </w:r>
      <w:r w:rsidRPr="003C341F">
        <w:rPr>
          <w:rFonts w:asciiTheme="majorHAnsi" w:hAnsiTheme="majorHAnsi"/>
          <w:sz w:val="22"/>
          <w:vertAlign w:val="superscript"/>
        </w:rPr>
        <w:footnoteReference w:id="1"/>
      </w:r>
      <w:r w:rsidRPr="003C341F">
        <w:rPr>
          <w:rFonts w:asciiTheme="majorHAnsi" w:hAnsiTheme="majorHAnsi"/>
          <w:sz w:val="22"/>
        </w:rPr>
        <w:t xml:space="preserve">. </w:t>
      </w:r>
    </w:p>
    <w:p w14:paraId="442AA538" w14:textId="77777777" w:rsidR="00AF14C9" w:rsidRPr="003C341F" w:rsidRDefault="00AF14C9" w:rsidP="003A0889">
      <w:pPr>
        <w:pStyle w:val="SecondLevelNumberedTitle"/>
        <w:ind w:left="0"/>
        <w:outlineLvl w:val="9"/>
      </w:pPr>
      <w:r w:rsidRPr="003C341F">
        <w:t>Health workforce</w:t>
      </w:r>
    </w:p>
    <w:p w14:paraId="331140F1" w14:textId="6086C785" w:rsidR="00931F15" w:rsidRPr="003C341F" w:rsidRDefault="00931F15" w:rsidP="00D27744">
      <w:pPr>
        <w:pStyle w:val="Default"/>
        <w:spacing w:after="120" w:line="276" w:lineRule="auto"/>
        <w:jc w:val="both"/>
        <w:rPr>
          <w:rFonts w:asciiTheme="majorHAnsi" w:hAnsiTheme="majorHAnsi"/>
          <w:sz w:val="22"/>
        </w:rPr>
      </w:pPr>
      <w:r w:rsidRPr="003C341F">
        <w:rPr>
          <w:rFonts w:asciiTheme="majorHAnsi" w:hAnsiTheme="majorHAnsi"/>
          <w:sz w:val="22"/>
        </w:rPr>
        <w:t>In 201</w:t>
      </w:r>
      <w:r w:rsidR="00112E8F" w:rsidRPr="003C341F">
        <w:rPr>
          <w:rFonts w:asciiTheme="majorHAnsi" w:hAnsiTheme="majorHAnsi"/>
          <w:sz w:val="22"/>
        </w:rPr>
        <w:t>0</w:t>
      </w:r>
      <w:r w:rsidRPr="003C341F">
        <w:rPr>
          <w:rFonts w:asciiTheme="majorHAnsi" w:hAnsiTheme="majorHAnsi"/>
          <w:sz w:val="22"/>
        </w:rPr>
        <w:t xml:space="preserve"> Samoa had 1.85 nurses per 1,000 population, a ratio which is lower than in most other comparable </w:t>
      </w:r>
      <w:r w:rsidR="00A65B6F" w:rsidRPr="003C341F">
        <w:rPr>
          <w:rFonts w:asciiTheme="majorHAnsi" w:hAnsiTheme="majorHAnsi"/>
          <w:sz w:val="22"/>
        </w:rPr>
        <w:t>P</w:t>
      </w:r>
      <w:r w:rsidRPr="003C341F">
        <w:rPr>
          <w:rFonts w:asciiTheme="majorHAnsi" w:hAnsiTheme="majorHAnsi"/>
          <w:sz w:val="22"/>
        </w:rPr>
        <w:t xml:space="preserve">acific countries but slightly above the average for lower </w:t>
      </w:r>
      <w:proofErr w:type="gramStart"/>
      <w:r w:rsidRPr="003C341F">
        <w:rPr>
          <w:rFonts w:asciiTheme="majorHAnsi" w:hAnsiTheme="majorHAnsi"/>
          <w:sz w:val="22"/>
        </w:rPr>
        <w:t>middle income</w:t>
      </w:r>
      <w:proofErr w:type="gramEnd"/>
      <w:r w:rsidRPr="003C341F">
        <w:rPr>
          <w:rFonts w:asciiTheme="majorHAnsi" w:hAnsiTheme="majorHAnsi"/>
          <w:sz w:val="22"/>
        </w:rPr>
        <w:t xml:space="preserve"> countries globally. In the case of doc</w:t>
      </w:r>
      <w:r w:rsidR="00967226">
        <w:rPr>
          <w:rFonts w:asciiTheme="majorHAnsi" w:hAnsiTheme="majorHAnsi"/>
          <w:sz w:val="22"/>
        </w:rPr>
        <w:t>t</w:t>
      </w:r>
      <w:r w:rsidRPr="003C341F">
        <w:rPr>
          <w:rFonts w:asciiTheme="majorHAnsi" w:hAnsiTheme="majorHAnsi"/>
          <w:sz w:val="22"/>
        </w:rPr>
        <w:t>o</w:t>
      </w:r>
      <w:r w:rsidR="00967226">
        <w:rPr>
          <w:rFonts w:asciiTheme="majorHAnsi" w:hAnsiTheme="majorHAnsi"/>
          <w:sz w:val="22"/>
        </w:rPr>
        <w:t>r</w:t>
      </w:r>
      <w:r w:rsidRPr="003C341F">
        <w:rPr>
          <w:rFonts w:asciiTheme="majorHAnsi" w:hAnsiTheme="majorHAnsi"/>
          <w:sz w:val="22"/>
        </w:rPr>
        <w:t>s, however, Samoa is relatively well-supplied by Pacific standards but, in keeping with the overall under-supply of medical practitioners in the region has only about two-thirds of the number found in the average lower middle income country.</w:t>
      </w:r>
    </w:p>
    <w:p w14:paraId="37F53119" w14:textId="77777777" w:rsidR="00AF14C9" w:rsidRPr="003C341F" w:rsidRDefault="00931F15" w:rsidP="00D27744">
      <w:pPr>
        <w:pStyle w:val="Default"/>
        <w:spacing w:after="120" w:line="276" w:lineRule="auto"/>
        <w:jc w:val="both"/>
        <w:rPr>
          <w:rFonts w:asciiTheme="majorHAnsi" w:hAnsiTheme="majorHAnsi"/>
          <w:sz w:val="22"/>
        </w:rPr>
      </w:pPr>
      <w:r w:rsidRPr="003C341F">
        <w:rPr>
          <w:rFonts w:asciiTheme="majorHAnsi" w:hAnsiTheme="majorHAnsi"/>
          <w:sz w:val="22"/>
        </w:rPr>
        <w:t xml:space="preserve">There are also shortages </w:t>
      </w:r>
      <w:r w:rsidR="00AF14C9" w:rsidRPr="003C341F">
        <w:rPr>
          <w:rFonts w:asciiTheme="majorHAnsi" w:hAnsiTheme="majorHAnsi"/>
          <w:sz w:val="22"/>
        </w:rPr>
        <w:t xml:space="preserve">among skilled managerial (e.g. finance), allied health and professional/technical groups (such as biomedical engineers and pharmacists). </w:t>
      </w:r>
    </w:p>
    <w:p w14:paraId="546953DD" w14:textId="77777777" w:rsidR="00931F15" w:rsidRPr="003C341F" w:rsidRDefault="00AF14C9" w:rsidP="00D27744">
      <w:pPr>
        <w:pStyle w:val="Default"/>
        <w:spacing w:after="120" w:line="276" w:lineRule="auto"/>
        <w:jc w:val="both"/>
        <w:rPr>
          <w:rFonts w:asciiTheme="majorHAnsi" w:hAnsiTheme="majorHAnsi"/>
          <w:sz w:val="22"/>
        </w:rPr>
      </w:pPr>
      <w:r w:rsidRPr="003C341F">
        <w:rPr>
          <w:rFonts w:asciiTheme="majorHAnsi" w:hAnsiTheme="majorHAnsi"/>
          <w:sz w:val="22"/>
        </w:rPr>
        <w:t xml:space="preserve">Distribution of doctors is a problem with all but a few choosing to live and practice in Apia. </w:t>
      </w:r>
    </w:p>
    <w:p w14:paraId="67C31F92" w14:textId="5CB14108" w:rsidR="00AF14C9" w:rsidRPr="003C341F" w:rsidRDefault="005F6FAE" w:rsidP="00D27744">
      <w:pPr>
        <w:pStyle w:val="Default"/>
        <w:spacing w:after="120" w:line="276" w:lineRule="auto"/>
        <w:jc w:val="both"/>
        <w:rPr>
          <w:rFonts w:asciiTheme="majorHAnsi" w:hAnsiTheme="majorHAnsi"/>
          <w:sz w:val="22"/>
        </w:rPr>
      </w:pPr>
      <w:r>
        <w:rPr>
          <w:rFonts w:asciiTheme="majorHAnsi" w:hAnsiTheme="majorHAnsi"/>
          <w:sz w:val="22"/>
        </w:rPr>
        <w:t>P</w:t>
      </w:r>
      <w:r w:rsidR="00AF14C9" w:rsidRPr="003C341F">
        <w:rPr>
          <w:rFonts w:asciiTheme="majorHAnsi" w:hAnsiTheme="majorHAnsi"/>
          <w:sz w:val="22"/>
        </w:rPr>
        <w:t>rofessional regulations and remuneration arrangements also constrain the system’s capacity to use human resources flexibly (e.g. by allowing nurses to prescribe from a limited formulary or to offer financial incentives to encourage staff to work in underserved communities).</w:t>
      </w:r>
    </w:p>
    <w:p w14:paraId="439F1F85" w14:textId="77777777" w:rsidR="00A65B6F" w:rsidRPr="003C341F" w:rsidRDefault="00AF14C9" w:rsidP="004944B8">
      <w:pPr>
        <w:pStyle w:val="Default"/>
        <w:keepNext/>
        <w:spacing w:after="0" w:line="276" w:lineRule="auto"/>
        <w:jc w:val="both"/>
      </w:pPr>
      <w:r w:rsidRPr="003C341F">
        <w:rPr>
          <w:rFonts w:asciiTheme="majorHAnsi" w:hAnsiTheme="majorHAnsi"/>
          <w:noProof/>
          <w:sz w:val="22"/>
          <w:lang w:eastAsia="en-AU"/>
        </w:rPr>
        <w:drawing>
          <wp:inline distT="0" distB="0" distL="0" distR="0" wp14:anchorId="613E216F" wp14:editId="2B1DC5CB">
            <wp:extent cx="5553075" cy="3209925"/>
            <wp:effectExtent l="0" t="0" r="9525" b="9525"/>
            <wp:docPr id="5" name="Chart 5" descr="Physicians per 1,000: Fiji 0.42, Kiribati 0.38, Lower middle income 0.76, Samoa 0.48, Solomon Islands 0.25, Tonga 0.6, Vanuatu 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891858" w14:textId="77777777" w:rsidR="00AF14C9" w:rsidRPr="003C341F" w:rsidRDefault="00A65B6F" w:rsidP="005D102D">
      <w:pPr>
        <w:pStyle w:val="Caption"/>
      </w:pPr>
      <w:r w:rsidRPr="003C341F">
        <w:t>Figure 1: Physicians per 1,000 people (2010*)</w:t>
      </w:r>
    </w:p>
    <w:p w14:paraId="0877B872" w14:textId="0D070530" w:rsidR="00AF14C9" w:rsidRPr="003C341F" w:rsidRDefault="004944B8" w:rsidP="00922E51">
      <w:pPr>
        <w:pStyle w:val="Default"/>
        <w:spacing w:after="120" w:line="276" w:lineRule="auto"/>
        <w:jc w:val="both"/>
        <w:rPr>
          <w:rFonts w:asciiTheme="majorHAnsi" w:hAnsiTheme="majorHAnsi"/>
          <w:sz w:val="22"/>
        </w:rPr>
      </w:pPr>
      <w:r>
        <w:rPr>
          <w:rFonts w:asciiTheme="majorHAnsi" w:hAnsiTheme="majorHAnsi"/>
          <w:sz w:val="22"/>
        </w:rPr>
        <w:t xml:space="preserve">* </w:t>
      </w:r>
      <w:r w:rsidR="00967226">
        <w:rPr>
          <w:rFonts w:asciiTheme="majorHAnsi" w:hAnsiTheme="majorHAnsi"/>
          <w:sz w:val="22"/>
        </w:rPr>
        <w:t>Data for “</w:t>
      </w:r>
      <w:r w:rsidR="00AF14C9" w:rsidRPr="003C341F">
        <w:rPr>
          <w:rFonts w:asciiTheme="majorHAnsi" w:hAnsiTheme="majorHAnsi"/>
          <w:sz w:val="22"/>
        </w:rPr>
        <w:t>Lower middle income</w:t>
      </w:r>
      <w:r w:rsidR="00967226">
        <w:rPr>
          <w:rFonts w:asciiTheme="majorHAnsi" w:hAnsiTheme="majorHAnsi"/>
          <w:sz w:val="22"/>
        </w:rPr>
        <w:t>”</w:t>
      </w:r>
      <w:r w:rsidR="00AF14C9" w:rsidRPr="003C341F">
        <w:rPr>
          <w:rFonts w:asciiTheme="majorHAnsi" w:hAnsiTheme="majorHAnsi"/>
          <w:sz w:val="22"/>
        </w:rPr>
        <w:t xml:space="preserve"> countries are from 2011</w:t>
      </w:r>
    </w:p>
    <w:p w14:paraId="73EBA409" w14:textId="77777777" w:rsidR="00AF14C9" w:rsidRPr="003C341F" w:rsidRDefault="00AF14C9" w:rsidP="00922E51">
      <w:pPr>
        <w:pStyle w:val="Default"/>
        <w:keepNext/>
        <w:spacing w:after="120" w:line="276" w:lineRule="auto"/>
        <w:jc w:val="both"/>
        <w:rPr>
          <w:rFonts w:asciiTheme="majorHAnsi" w:hAnsiTheme="majorHAnsi"/>
          <w:b/>
          <w:iCs/>
          <w:sz w:val="22"/>
        </w:rPr>
      </w:pPr>
    </w:p>
    <w:p w14:paraId="3200D712" w14:textId="77777777" w:rsidR="00A65B6F" w:rsidRPr="003C341F" w:rsidRDefault="00AF14C9" w:rsidP="004944B8">
      <w:pPr>
        <w:pStyle w:val="Default"/>
        <w:keepNext/>
        <w:spacing w:after="0" w:line="276" w:lineRule="auto"/>
        <w:jc w:val="both"/>
      </w:pPr>
      <w:r w:rsidRPr="003C341F">
        <w:rPr>
          <w:rFonts w:asciiTheme="majorHAnsi" w:hAnsiTheme="majorHAnsi"/>
          <w:noProof/>
          <w:sz w:val="22"/>
          <w:lang w:eastAsia="en-AU"/>
        </w:rPr>
        <w:drawing>
          <wp:inline distT="0" distB="0" distL="0" distR="0" wp14:anchorId="2D7E249C" wp14:editId="35A5DA48">
            <wp:extent cx="5495925" cy="3124200"/>
            <wp:effectExtent l="0" t="0" r="9525" b="0"/>
            <wp:docPr id="6" name="Chart 6" descr="Nurses and midwives per 1,000 people: Fiji 2.25, Kiribati 3.75, Lower middle income 1.7, Samoa 1.8, Solomon Islands 2.05, Tonga 3.9, Vanuatu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47934C" w14:textId="77777777" w:rsidR="00AF14C9" w:rsidRPr="003C341F" w:rsidRDefault="00A65B6F" w:rsidP="005D102D">
      <w:pPr>
        <w:pStyle w:val="Caption"/>
      </w:pPr>
      <w:r w:rsidRPr="003C341F">
        <w:t>Figure 2: Nurses and midwives per 1,000 people (2010*)</w:t>
      </w:r>
    </w:p>
    <w:p w14:paraId="05EAA893" w14:textId="68D0E625" w:rsidR="00AF14C9" w:rsidRPr="003C341F" w:rsidRDefault="004944B8" w:rsidP="00922E51">
      <w:pPr>
        <w:pStyle w:val="Default"/>
        <w:spacing w:after="120" w:line="276" w:lineRule="auto"/>
        <w:jc w:val="both"/>
        <w:rPr>
          <w:rFonts w:asciiTheme="majorHAnsi" w:hAnsiTheme="majorHAnsi"/>
          <w:sz w:val="22"/>
        </w:rPr>
      </w:pPr>
      <w:r>
        <w:rPr>
          <w:rFonts w:asciiTheme="majorHAnsi" w:hAnsiTheme="majorHAnsi"/>
          <w:sz w:val="22"/>
        </w:rPr>
        <w:t xml:space="preserve">* </w:t>
      </w:r>
      <w:r w:rsidR="00AF14C9" w:rsidRPr="003C341F">
        <w:rPr>
          <w:rFonts w:asciiTheme="majorHAnsi" w:hAnsiTheme="majorHAnsi"/>
          <w:sz w:val="22"/>
        </w:rPr>
        <w:t xml:space="preserve">Data for </w:t>
      </w:r>
      <w:r w:rsidR="00967226">
        <w:rPr>
          <w:rFonts w:asciiTheme="majorHAnsi" w:hAnsiTheme="majorHAnsi"/>
          <w:sz w:val="22"/>
        </w:rPr>
        <w:t>“</w:t>
      </w:r>
      <w:r w:rsidR="00AF14C9" w:rsidRPr="003C341F">
        <w:rPr>
          <w:rFonts w:asciiTheme="majorHAnsi" w:hAnsiTheme="majorHAnsi"/>
          <w:sz w:val="22"/>
        </w:rPr>
        <w:t>Lower middle income</w:t>
      </w:r>
      <w:r w:rsidR="00967226">
        <w:rPr>
          <w:rFonts w:asciiTheme="majorHAnsi" w:hAnsiTheme="majorHAnsi"/>
          <w:sz w:val="22"/>
        </w:rPr>
        <w:t>”</w:t>
      </w:r>
      <w:r w:rsidR="00AF14C9" w:rsidRPr="003C341F">
        <w:rPr>
          <w:rFonts w:asciiTheme="majorHAnsi" w:hAnsiTheme="majorHAnsi"/>
          <w:sz w:val="22"/>
        </w:rPr>
        <w:t xml:space="preserve"> countries are from 2011</w:t>
      </w:r>
    </w:p>
    <w:p w14:paraId="58665227" w14:textId="77777777" w:rsidR="00AF14C9" w:rsidRPr="003C341F" w:rsidRDefault="00AF14C9" w:rsidP="003A0889">
      <w:pPr>
        <w:pStyle w:val="SecondLevelNumberedTitle"/>
        <w:ind w:left="0"/>
        <w:outlineLvl w:val="9"/>
      </w:pPr>
      <w:r w:rsidRPr="003C341F">
        <w:t>Health information system</w:t>
      </w:r>
    </w:p>
    <w:p w14:paraId="686A84FF" w14:textId="0978838E" w:rsidR="00AF14C9" w:rsidRPr="003C341F" w:rsidRDefault="004944B8" w:rsidP="00922E51">
      <w:pPr>
        <w:pStyle w:val="Default"/>
        <w:spacing w:after="120" w:line="276" w:lineRule="auto"/>
        <w:jc w:val="both"/>
        <w:rPr>
          <w:rFonts w:asciiTheme="majorHAnsi" w:hAnsiTheme="majorHAnsi"/>
          <w:sz w:val="22"/>
        </w:rPr>
      </w:pPr>
      <w:r>
        <w:rPr>
          <w:rFonts w:asciiTheme="majorHAnsi" w:hAnsiTheme="majorHAnsi"/>
          <w:sz w:val="22"/>
        </w:rPr>
        <w:t>According to WHO, “</w:t>
      </w:r>
      <w:r w:rsidR="00AF14C9" w:rsidRPr="003C341F">
        <w:rPr>
          <w:rFonts w:asciiTheme="majorHAnsi" w:hAnsiTheme="majorHAnsi"/>
          <w:sz w:val="22"/>
        </w:rPr>
        <w:t>A well-functioning health information system is one that ensures the production, analysis, dissemination and use of reliable and timely information on health determinants, health system</w:t>
      </w:r>
      <w:r>
        <w:rPr>
          <w:rFonts w:asciiTheme="majorHAnsi" w:hAnsiTheme="majorHAnsi"/>
          <w:sz w:val="22"/>
        </w:rPr>
        <w:t xml:space="preserve"> performance and health status”</w:t>
      </w:r>
      <w:r w:rsidR="00AF14C9" w:rsidRPr="003C341F">
        <w:rPr>
          <w:rFonts w:asciiTheme="majorHAnsi" w:hAnsiTheme="majorHAnsi"/>
          <w:sz w:val="22"/>
        </w:rPr>
        <w:t xml:space="preserve"> </w:t>
      </w:r>
      <w:sdt>
        <w:sdtPr>
          <w:rPr>
            <w:rFonts w:asciiTheme="majorHAnsi" w:hAnsiTheme="majorHAnsi"/>
            <w:sz w:val="22"/>
          </w:rPr>
          <w:id w:val="-1413770147"/>
          <w:citation/>
        </w:sdtPr>
        <w:sdtEndPr/>
        <w:sdtContent>
          <w:r w:rsidR="00AF14C9" w:rsidRPr="003C341F">
            <w:rPr>
              <w:rFonts w:asciiTheme="majorHAnsi" w:hAnsiTheme="majorHAnsi"/>
              <w:sz w:val="22"/>
            </w:rPr>
            <w:fldChar w:fldCharType="begin"/>
          </w:r>
          <w:r w:rsidR="00AF14C9" w:rsidRPr="003C341F">
            <w:rPr>
              <w:rFonts w:asciiTheme="majorHAnsi" w:hAnsiTheme="majorHAnsi"/>
              <w:sz w:val="22"/>
            </w:rPr>
            <w:instrText xml:space="preserve"> CITATION Wor07 \l 3081 </w:instrText>
          </w:r>
          <w:r w:rsidR="00AF14C9" w:rsidRPr="003C341F">
            <w:rPr>
              <w:rFonts w:asciiTheme="majorHAnsi" w:hAnsiTheme="majorHAnsi"/>
              <w:sz w:val="22"/>
            </w:rPr>
            <w:fldChar w:fldCharType="separate"/>
          </w:r>
          <w:r w:rsidR="002C597C" w:rsidRPr="003C341F">
            <w:rPr>
              <w:rFonts w:asciiTheme="majorHAnsi" w:hAnsiTheme="majorHAnsi"/>
              <w:noProof/>
              <w:sz w:val="22"/>
            </w:rPr>
            <w:t>(World Health Organization, 2007)</w:t>
          </w:r>
          <w:r w:rsidR="00AF14C9" w:rsidRPr="003C341F">
            <w:rPr>
              <w:rFonts w:asciiTheme="majorHAnsi" w:hAnsiTheme="majorHAnsi"/>
              <w:sz w:val="22"/>
            </w:rPr>
            <w:fldChar w:fldCharType="end"/>
          </w:r>
        </w:sdtContent>
      </w:sdt>
      <w:r w:rsidR="00967226">
        <w:rPr>
          <w:rFonts w:asciiTheme="majorHAnsi" w:hAnsiTheme="majorHAnsi"/>
          <w:sz w:val="22"/>
        </w:rPr>
        <w:t>.</w:t>
      </w:r>
    </w:p>
    <w:p w14:paraId="597D1AE1" w14:textId="77777777" w:rsidR="00AF14C9" w:rsidRPr="003C341F" w:rsidRDefault="00AF14C9" w:rsidP="00922E51">
      <w:pPr>
        <w:pStyle w:val="Default"/>
        <w:spacing w:after="120" w:line="276" w:lineRule="auto"/>
        <w:jc w:val="both"/>
        <w:rPr>
          <w:rFonts w:asciiTheme="majorHAnsi" w:hAnsiTheme="majorHAnsi"/>
          <w:sz w:val="22"/>
        </w:rPr>
      </w:pPr>
      <w:proofErr w:type="gramStart"/>
      <w:r w:rsidRPr="003C341F">
        <w:rPr>
          <w:rFonts w:asciiTheme="majorHAnsi" w:hAnsiTheme="majorHAnsi"/>
          <w:sz w:val="22"/>
        </w:rPr>
        <w:t>It is clear that Samoa</w:t>
      </w:r>
      <w:proofErr w:type="gramEnd"/>
      <w:r w:rsidRPr="003C341F">
        <w:rPr>
          <w:rFonts w:asciiTheme="majorHAnsi" w:hAnsiTheme="majorHAnsi"/>
          <w:sz w:val="22"/>
        </w:rPr>
        <w:t xml:space="preserve"> does not currently have a health information sy</w:t>
      </w:r>
      <w:r w:rsidR="004944B8">
        <w:rPr>
          <w:rFonts w:asciiTheme="majorHAnsi" w:hAnsiTheme="majorHAnsi"/>
          <w:sz w:val="22"/>
        </w:rPr>
        <w:t>stem that WHO would deem to be “well-functioning”</w:t>
      </w:r>
      <w:r w:rsidRPr="003C341F">
        <w:rPr>
          <w:rFonts w:asciiTheme="majorHAnsi" w:hAnsiTheme="majorHAnsi"/>
          <w:sz w:val="22"/>
        </w:rPr>
        <w:t>.  Several recent reviews of development assistance provided to Samoa’s health sector have highlighted the lack of a comprehensive and reliable HIS as a major barrier to effective monitoring and evaluation.</w:t>
      </w:r>
    </w:p>
    <w:p w14:paraId="071DA396" w14:textId="77777777" w:rsidR="00D27744"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 xml:space="preserve">In addition to the need for information to address system-wide issues (as anticipated by the WHO definition) much basic management information is also often rudimentary. Systems for procurement, asset management and inventory control are weak </w:t>
      </w:r>
      <w:sdt>
        <w:sdtPr>
          <w:rPr>
            <w:rFonts w:asciiTheme="majorHAnsi" w:hAnsiTheme="majorHAnsi"/>
            <w:sz w:val="22"/>
          </w:rPr>
          <w:id w:val="227425528"/>
          <w:citation/>
        </w:sdtPr>
        <w:sdtEndPr/>
        <w:sdtContent>
          <w:r w:rsidRPr="003C341F">
            <w:rPr>
              <w:rFonts w:asciiTheme="majorHAnsi" w:hAnsiTheme="majorHAnsi"/>
              <w:sz w:val="22"/>
            </w:rPr>
            <w:fldChar w:fldCharType="begin"/>
          </w:r>
          <w:r w:rsidRPr="003C341F">
            <w:rPr>
              <w:rFonts w:asciiTheme="majorHAnsi" w:hAnsiTheme="majorHAnsi"/>
              <w:sz w:val="22"/>
            </w:rPr>
            <w:instrText xml:space="preserve"> CITATION Cha14 \l 3081 </w:instrText>
          </w:r>
          <w:r w:rsidRPr="003C341F">
            <w:rPr>
              <w:rFonts w:asciiTheme="majorHAnsi" w:hAnsiTheme="majorHAnsi"/>
              <w:sz w:val="22"/>
            </w:rPr>
            <w:fldChar w:fldCharType="separate"/>
          </w:r>
          <w:r w:rsidR="002C597C" w:rsidRPr="003C341F">
            <w:rPr>
              <w:rFonts w:asciiTheme="majorHAnsi" w:hAnsiTheme="majorHAnsi"/>
              <w:noProof/>
              <w:sz w:val="22"/>
            </w:rPr>
            <w:t>(Charles Kendall &amp; Partners, 2014)</w:t>
          </w:r>
          <w:r w:rsidRPr="003C341F">
            <w:rPr>
              <w:rFonts w:asciiTheme="majorHAnsi" w:hAnsiTheme="majorHAnsi"/>
              <w:sz w:val="22"/>
            </w:rPr>
            <w:fldChar w:fldCharType="end"/>
          </w:r>
        </w:sdtContent>
      </w:sdt>
      <w:r w:rsidRPr="003C341F">
        <w:rPr>
          <w:rFonts w:asciiTheme="majorHAnsi" w:hAnsiTheme="majorHAnsi"/>
          <w:sz w:val="22"/>
        </w:rPr>
        <w:t xml:space="preserve">. Clinical records are typically maintained in paper format and, in smaller facilities, may comprise only handwritten notes.  There is at best limited sharing of patient information between services and facilities, and linkages between clinical, </w:t>
      </w:r>
      <w:proofErr w:type="gramStart"/>
      <w:r w:rsidRPr="003C341F">
        <w:rPr>
          <w:rFonts w:asciiTheme="majorHAnsi" w:hAnsiTheme="majorHAnsi"/>
          <w:sz w:val="22"/>
        </w:rPr>
        <w:t>financial</w:t>
      </w:r>
      <w:proofErr w:type="gramEnd"/>
      <w:r w:rsidRPr="003C341F">
        <w:rPr>
          <w:rFonts w:asciiTheme="majorHAnsi" w:hAnsiTheme="majorHAnsi"/>
          <w:sz w:val="22"/>
        </w:rPr>
        <w:t xml:space="preserve"> and human resource data are poor or non-existent. As a result, both efficiency and safety may be compromised.</w:t>
      </w:r>
    </w:p>
    <w:p w14:paraId="6A8ECFF8" w14:textId="17195D41"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 xml:space="preserve">Samoa’s experience with computerised information systems in health is mixed. </w:t>
      </w:r>
      <w:r w:rsidR="00FF1FF3" w:rsidRPr="003C341F">
        <w:rPr>
          <w:rFonts w:asciiTheme="majorHAnsi" w:hAnsiTheme="majorHAnsi"/>
          <w:sz w:val="22"/>
        </w:rPr>
        <w:t xml:space="preserve">A computerised immunisation register has recently been introduced. </w:t>
      </w:r>
      <w:r w:rsidRPr="003C341F">
        <w:rPr>
          <w:rFonts w:asciiTheme="majorHAnsi" w:hAnsiTheme="majorHAnsi"/>
          <w:sz w:val="22"/>
        </w:rPr>
        <w:t xml:space="preserve">The only </w:t>
      </w:r>
      <w:r w:rsidR="00FF1FF3" w:rsidRPr="003C341F">
        <w:rPr>
          <w:rFonts w:asciiTheme="majorHAnsi" w:hAnsiTheme="majorHAnsi"/>
          <w:sz w:val="22"/>
        </w:rPr>
        <w:t xml:space="preserve">other </w:t>
      </w:r>
      <w:r w:rsidRPr="003C341F">
        <w:rPr>
          <w:rFonts w:asciiTheme="majorHAnsi" w:hAnsiTheme="majorHAnsi"/>
          <w:sz w:val="22"/>
        </w:rPr>
        <w:t xml:space="preserve">systems which appear currently </w:t>
      </w:r>
      <w:r w:rsidR="00D27744">
        <w:rPr>
          <w:rFonts w:asciiTheme="majorHAnsi" w:hAnsiTheme="majorHAnsi"/>
          <w:sz w:val="22"/>
        </w:rPr>
        <w:t>t</w:t>
      </w:r>
      <w:r w:rsidRPr="003C341F">
        <w:rPr>
          <w:rFonts w:asciiTheme="majorHAnsi" w:hAnsiTheme="majorHAnsi"/>
          <w:sz w:val="22"/>
        </w:rPr>
        <w:t>o be in routine use are a pharmacy management system (LOTS)</w:t>
      </w:r>
      <w:r w:rsidRPr="003C341F">
        <w:rPr>
          <w:rFonts w:asciiTheme="majorHAnsi" w:hAnsiTheme="majorHAnsi"/>
          <w:sz w:val="22"/>
          <w:vertAlign w:val="superscript"/>
        </w:rPr>
        <w:footnoteReference w:id="2"/>
      </w:r>
      <w:r w:rsidRPr="003C341F">
        <w:rPr>
          <w:rFonts w:asciiTheme="majorHAnsi" w:hAnsiTheme="majorHAnsi"/>
          <w:sz w:val="22"/>
        </w:rPr>
        <w:t xml:space="preserve"> together with ad hoc, </w:t>
      </w:r>
      <w:proofErr w:type="gramStart"/>
      <w:r w:rsidRPr="003C341F">
        <w:rPr>
          <w:rFonts w:asciiTheme="majorHAnsi" w:hAnsiTheme="majorHAnsi"/>
          <w:sz w:val="22"/>
        </w:rPr>
        <w:t>locally-developed</w:t>
      </w:r>
      <w:proofErr w:type="gramEnd"/>
      <w:r w:rsidRPr="003C341F">
        <w:rPr>
          <w:rFonts w:asciiTheme="majorHAnsi" w:hAnsiTheme="majorHAnsi"/>
          <w:sz w:val="22"/>
        </w:rPr>
        <w:t xml:space="preserve"> systems in the laboratory and X-ray departments. </w:t>
      </w:r>
    </w:p>
    <w:p w14:paraId="03CD4E9D" w14:textId="77777777"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lastRenderedPageBreak/>
        <w:t>A patient information system (PATIS) was implemented to provide diagnostic and procedure information for inpatients and outpatients at the two main hospitals on Upol</w:t>
      </w:r>
      <w:r w:rsidR="00E50489" w:rsidRPr="003C341F">
        <w:rPr>
          <w:rFonts w:asciiTheme="majorHAnsi" w:hAnsiTheme="majorHAnsi"/>
          <w:sz w:val="22"/>
        </w:rPr>
        <w:t>u</w:t>
      </w:r>
      <w:r w:rsidRPr="003C341F">
        <w:rPr>
          <w:rFonts w:asciiTheme="majorHAnsi" w:hAnsiTheme="majorHAnsi"/>
          <w:sz w:val="22"/>
        </w:rPr>
        <w:t xml:space="preserve"> and Savai’i but, at the time of writing, is reported as having fallen into disuse due to lack of user acceptance and inability to obtain maintenance/updates from the original vendor. A community health nursing information system that was previously in use was abandoned some 10 years ago.</w:t>
      </w:r>
    </w:p>
    <w:p w14:paraId="764D97A0" w14:textId="77777777"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 xml:space="preserve">The </w:t>
      </w:r>
      <w:r w:rsidRPr="003C341F">
        <w:rPr>
          <w:rFonts w:asciiTheme="majorHAnsi" w:hAnsiTheme="majorHAnsi"/>
          <w:i/>
          <w:sz w:val="22"/>
        </w:rPr>
        <w:t>Samoa eHealth Policy &amp; Strategy 2016 – 2021</w:t>
      </w:r>
      <w:r w:rsidRPr="003C341F">
        <w:rPr>
          <w:rFonts w:asciiTheme="majorHAnsi" w:hAnsiTheme="majorHAnsi"/>
          <w:sz w:val="22"/>
        </w:rPr>
        <w:t xml:space="preserve"> </w:t>
      </w:r>
      <w:sdt>
        <w:sdtPr>
          <w:rPr>
            <w:rFonts w:asciiTheme="majorHAnsi" w:hAnsiTheme="majorHAnsi"/>
            <w:sz w:val="22"/>
          </w:rPr>
          <w:id w:val="985975444"/>
          <w:citation/>
        </w:sdtPr>
        <w:sdtEndPr/>
        <w:sdtContent>
          <w:r w:rsidRPr="003C341F">
            <w:rPr>
              <w:rFonts w:asciiTheme="majorHAnsi" w:hAnsiTheme="majorHAnsi"/>
              <w:sz w:val="22"/>
            </w:rPr>
            <w:fldChar w:fldCharType="begin"/>
          </w:r>
          <w:r w:rsidRPr="003C341F">
            <w:rPr>
              <w:rFonts w:asciiTheme="majorHAnsi" w:hAnsiTheme="majorHAnsi"/>
              <w:sz w:val="22"/>
            </w:rPr>
            <w:instrText xml:space="preserve">CITATION Min \l 3081 </w:instrText>
          </w:r>
          <w:r w:rsidRPr="003C341F">
            <w:rPr>
              <w:rFonts w:asciiTheme="majorHAnsi" w:hAnsiTheme="majorHAnsi"/>
              <w:sz w:val="22"/>
            </w:rPr>
            <w:fldChar w:fldCharType="separate"/>
          </w:r>
          <w:r w:rsidR="002C597C" w:rsidRPr="003C341F">
            <w:rPr>
              <w:rFonts w:asciiTheme="majorHAnsi" w:hAnsiTheme="majorHAnsi"/>
              <w:noProof/>
              <w:sz w:val="22"/>
            </w:rPr>
            <w:t>(Ministry of Health, 2016)</w:t>
          </w:r>
          <w:r w:rsidRPr="003C341F">
            <w:rPr>
              <w:rFonts w:asciiTheme="majorHAnsi" w:hAnsiTheme="majorHAnsi"/>
              <w:sz w:val="22"/>
            </w:rPr>
            <w:fldChar w:fldCharType="end"/>
          </w:r>
        </w:sdtContent>
      </w:sdt>
      <w:r w:rsidRPr="003C341F">
        <w:rPr>
          <w:rFonts w:asciiTheme="majorHAnsi" w:hAnsiTheme="majorHAnsi"/>
          <w:sz w:val="22"/>
        </w:rPr>
        <w:t xml:space="preserve"> identifies a total of 17 strategies to guide e-health developments. While those strategies address many key areas, they provide little detail on the overall architecture for e-health or the specific systems </w:t>
      </w:r>
      <w:r w:rsidR="004944B8" w:rsidRPr="003C341F">
        <w:rPr>
          <w:rFonts w:asciiTheme="majorHAnsi" w:hAnsiTheme="majorHAnsi"/>
          <w:sz w:val="22"/>
        </w:rPr>
        <w:t>etc.</w:t>
      </w:r>
      <w:r w:rsidRPr="003C341F">
        <w:rPr>
          <w:rFonts w:asciiTheme="majorHAnsi" w:hAnsiTheme="majorHAnsi"/>
          <w:sz w:val="22"/>
        </w:rPr>
        <w:t xml:space="preserve"> that will be required to meet information needs. </w:t>
      </w:r>
    </w:p>
    <w:p w14:paraId="19BED6FA" w14:textId="77777777" w:rsidR="00AF14C9" w:rsidRPr="003C341F" w:rsidRDefault="00AF14C9" w:rsidP="003A0889">
      <w:pPr>
        <w:pStyle w:val="SecondLevelNumberedTitle"/>
        <w:ind w:left="0"/>
        <w:outlineLvl w:val="9"/>
      </w:pPr>
      <w:r w:rsidRPr="003C341F">
        <w:t xml:space="preserve">Medical products, </w:t>
      </w:r>
      <w:proofErr w:type="gramStart"/>
      <w:r w:rsidRPr="003C341F">
        <w:t>vaccines</w:t>
      </w:r>
      <w:proofErr w:type="gramEnd"/>
      <w:r w:rsidRPr="003C341F">
        <w:t xml:space="preserve"> and technologies</w:t>
      </w:r>
    </w:p>
    <w:p w14:paraId="494A066B" w14:textId="2E5ACCFC"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 xml:space="preserve">Samoa relies almost exclusively on offshore suppliers for medical products, </w:t>
      </w:r>
      <w:proofErr w:type="gramStart"/>
      <w:r w:rsidRPr="003C341F">
        <w:rPr>
          <w:rFonts w:asciiTheme="majorHAnsi" w:hAnsiTheme="majorHAnsi"/>
          <w:sz w:val="22"/>
        </w:rPr>
        <w:t>vaccines</w:t>
      </w:r>
      <w:proofErr w:type="gramEnd"/>
      <w:r w:rsidRPr="003C341F">
        <w:rPr>
          <w:rFonts w:asciiTheme="majorHAnsi" w:hAnsiTheme="majorHAnsi"/>
          <w:sz w:val="22"/>
        </w:rPr>
        <w:t xml:space="preserve"> and equipment. Given occasional long lead times for supply, and the complex nature of logistics involved in servicing an island country</w:t>
      </w:r>
      <w:r w:rsidR="00DE62E1">
        <w:rPr>
          <w:rFonts w:asciiTheme="majorHAnsi" w:hAnsiTheme="majorHAnsi"/>
          <w:sz w:val="22"/>
        </w:rPr>
        <w:t>,</w:t>
      </w:r>
      <w:r w:rsidRPr="003C341F">
        <w:rPr>
          <w:rFonts w:asciiTheme="majorHAnsi" w:hAnsiTheme="majorHAnsi"/>
          <w:sz w:val="22"/>
        </w:rPr>
        <w:t xml:space="preserve"> robust procurement arrangements are a vital element in the health system.</w:t>
      </w:r>
    </w:p>
    <w:p w14:paraId="37E5094B" w14:textId="77777777"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 xml:space="preserve">Data from 2012 report a two per cent stock out rate for medicines in rural areas and 95 per cent availability of essential medicines </w:t>
      </w:r>
      <w:r w:rsidR="004944B8">
        <w:rPr>
          <w:rFonts w:asciiTheme="majorHAnsi" w:hAnsiTheme="majorHAnsi"/>
          <w:sz w:val="22"/>
        </w:rPr>
        <w:t>at all public health facilities</w:t>
      </w:r>
      <w:r w:rsidRPr="003C341F">
        <w:rPr>
          <w:rFonts w:asciiTheme="majorHAnsi" w:hAnsiTheme="majorHAnsi"/>
          <w:sz w:val="22"/>
        </w:rPr>
        <w:t xml:space="preserve"> </w:t>
      </w:r>
      <w:sdt>
        <w:sdtPr>
          <w:rPr>
            <w:rFonts w:asciiTheme="majorHAnsi" w:hAnsiTheme="majorHAnsi"/>
            <w:sz w:val="22"/>
          </w:rPr>
          <w:id w:val="103393644"/>
          <w:citation/>
        </w:sdtPr>
        <w:sdtEndPr/>
        <w:sdtContent>
          <w:r w:rsidRPr="003C341F">
            <w:rPr>
              <w:rFonts w:asciiTheme="majorHAnsi" w:hAnsiTheme="majorHAnsi"/>
              <w:sz w:val="22"/>
            </w:rPr>
            <w:fldChar w:fldCharType="begin"/>
          </w:r>
          <w:r w:rsidRPr="003C341F">
            <w:rPr>
              <w:rFonts w:asciiTheme="majorHAnsi" w:hAnsiTheme="majorHAnsi"/>
              <w:sz w:val="22"/>
            </w:rPr>
            <w:instrText xml:space="preserve"> CITATION Wor16 \l 3081 </w:instrText>
          </w:r>
          <w:r w:rsidRPr="003C341F">
            <w:rPr>
              <w:rFonts w:asciiTheme="majorHAnsi" w:hAnsiTheme="majorHAnsi"/>
              <w:sz w:val="22"/>
            </w:rPr>
            <w:fldChar w:fldCharType="separate"/>
          </w:r>
          <w:r w:rsidR="002C597C" w:rsidRPr="003C341F">
            <w:rPr>
              <w:rFonts w:asciiTheme="majorHAnsi" w:hAnsiTheme="majorHAnsi"/>
              <w:noProof/>
              <w:sz w:val="22"/>
            </w:rPr>
            <w:t>(World Bank, 2016)</w:t>
          </w:r>
          <w:r w:rsidRPr="003C341F">
            <w:rPr>
              <w:rFonts w:asciiTheme="majorHAnsi" w:hAnsiTheme="majorHAnsi"/>
              <w:sz w:val="22"/>
            </w:rPr>
            <w:fldChar w:fldCharType="end"/>
          </w:r>
        </w:sdtContent>
      </w:sdt>
      <w:r w:rsidR="004944B8">
        <w:rPr>
          <w:rFonts w:asciiTheme="majorHAnsi" w:hAnsiTheme="majorHAnsi"/>
          <w:sz w:val="22"/>
        </w:rPr>
        <w:t>.</w:t>
      </w:r>
    </w:p>
    <w:p w14:paraId="68A25497" w14:textId="185AFA75"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 xml:space="preserve">A recent extensive and detailed review of procurement arrangements found that the underlying framework for procurement in the sector is </w:t>
      </w:r>
      <w:r w:rsidR="004944B8">
        <w:rPr>
          <w:rFonts w:asciiTheme="majorHAnsi" w:hAnsiTheme="majorHAnsi"/>
          <w:sz w:val="22"/>
        </w:rPr>
        <w:t>“satisfactory”</w:t>
      </w:r>
      <w:r w:rsidRPr="003C341F">
        <w:rPr>
          <w:rFonts w:asciiTheme="majorHAnsi" w:hAnsiTheme="majorHAnsi"/>
          <w:sz w:val="22"/>
        </w:rPr>
        <w:t xml:space="preserve"> </w:t>
      </w:r>
      <w:r w:rsidR="004944B8">
        <w:rPr>
          <w:rFonts w:asciiTheme="majorHAnsi" w:hAnsiTheme="majorHAnsi"/>
          <w:sz w:val="22"/>
        </w:rPr>
        <w:t>and, in particular, found that “</w:t>
      </w:r>
      <w:r w:rsidRPr="003C341F">
        <w:rPr>
          <w:rFonts w:asciiTheme="majorHAnsi" w:hAnsiTheme="majorHAnsi"/>
          <w:sz w:val="22"/>
        </w:rPr>
        <w:t>overarchin</w:t>
      </w:r>
      <w:r w:rsidR="004944B8">
        <w:rPr>
          <w:rFonts w:asciiTheme="majorHAnsi" w:hAnsiTheme="majorHAnsi"/>
          <w:sz w:val="22"/>
        </w:rPr>
        <w:t>g legal framework is acceptable”</w:t>
      </w:r>
      <w:r w:rsidRPr="003C341F">
        <w:rPr>
          <w:rFonts w:asciiTheme="majorHAnsi" w:hAnsiTheme="majorHAnsi"/>
          <w:sz w:val="22"/>
        </w:rPr>
        <w:t xml:space="preserve">. While numerous opportunities for </w:t>
      </w:r>
      <w:r w:rsidR="00C70110">
        <w:rPr>
          <w:rFonts w:asciiTheme="majorHAnsi" w:hAnsiTheme="majorHAnsi"/>
          <w:sz w:val="22"/>
        </w:rPr>
        <w:t>improvement were identified, a</w:t>
      </w:r>
      <w:r w:rsidRPr="003C341F">
        <w:rPr>
          <w:rFonts w:asciiTheme="majorHAnsi" w:hAnsiTheme="majorHAnsi"/>
          <w:sz w:val="22"/>
        </w:rPr>
        <w:t xml:space="preserve"> lack of reliable management information precludes detailed assessment of performance, procurement systems and processes appear to be broadly satisfactory. </w:t>
      </w:r>
    </w:p>
    <w:p w14:paraId="36941699" w14:textId="6F5B8D7D"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 xml:space="preserve">As part of the recent health </w:t>
      </w:r>
      <w:proofErr w:type="spellStart"/>
      <w:r w:rsidRPr="003C341F">
        <w:rPr>
          <w:rFonts w:asciiTheme="majorHAnsi" w:hAnsiTheme="majorHAnsi"/>
          <w:sz w:val="22"/>
        </w:rPr>
        <w:t>SWAp</w:t>
      </w:r>
      <w:proofErr w:type="spellEnd"/>
      <w:r w:rsidRPr="003C341F">
        <w:rPr>
          <w:rFonts w:asciiTheme="majorHAnsi" w:hAnsiTheme="majorHAnsi"/>
          <w:sz w:val="22"/>
        </w:rPr>
        <w:t xml:space="preserve"> a new pharmaceutical warehouse has been built in Apia and recently commenced operations. DFAT has also funded technical assistance </w:t>
      </w:r>
      <w:r w:rsidR="00967226">
        <w:rPr>
          <w:rFonts w:asciiTheme="majorHAnsi" w:hAnsiTheme="majorHAnsi"/>
          <w:sz w:val="22"/>
        </w:rPr>
        <w:t xml:space="preserve">(TA) </w:t>
      </w:r>
      <w:r w:rsidRPr="003C341F">
        <w:rPr>
          <w:rFonts w:asciiTheme="majorHAnsi" w:hAnsiTheme="majorHAnsi"/>
          <w:sz w:val="22"/>
        </w:rPr>
        <w:t>for biomedical engineering as well as pharmaceutical and biomedical procurement.</w:t>
      </w:r>
    </w:p>
    <w:p w14:paraId="6A33BB14" w14:textId="77777777" w:rsidR="00AF14C9" w:rsidRPr="003C341F" w:rsidRDefault="00AF14C9" w:rsidP="003A0889">
      <w:pPr>
        <w:pStyle w:val="SecondLevelNumberedTitle"/>
        <w:ind w:left="0"/>
        <w:outlineLvl w:val="9"/>
      </w:pPr>
      <w:r w:rsidRPr="003C341F">
        <w:t>Health system financing</w:t>
      </w:r>
    </w:p>
    <w:p w14:paraId="5D9CE3C0" w14:textId="77777777" w:rsidR="00AF14C9" w:rsidRPr="003C341F" w:rsidRDefault="00AF14C9" w:rsidP="00922E51">
      <w:pPr>
        <w:pStyle w:val="Default"/>
        <w:spacing w:after="120" w:line="276" w:lineRule="auto"/>
        <w:jc w:val="both"/>
        <w:rPr>
          <w:rFonts w:asciiTheme="majorHAnsi" w:hAnsiTheme="majorHAnsi"/>
          <w:sz w:val="22"/>
        </w:rPr>
      </w:pPr>
      <w:r w:rsidRPr="003C341F">
        <w:rPr>
          <w:rFonts w:asciiTheme="majorHAnsi" w:hAnsiTheme="majorHAnsi"/>
          <w:sz w:val="22"/>
        </w:rPr>
        <w:t>The health sector in Samoa is relatively well-resourced. Data from the World Bank indicate that Samoa spent 7.2 per cent of GDP on health in 2014</w:t>
      </w:r>
      <w:r w:rsidR="008A02C2">
        <w:rPr>
          <w:rFonts w:asciiTheme="majorHAnsi" w:hAnsiTheme="majorHAnsi"/>
          <w:sz w:val="22"/>
        </w:rPr>
        <w:t>,</w:t>
      </w:r>
      <w:r w:rsidRPr="003C341F">
        <w:rPr>
          <w:rFonts w:asciiTheme="majorHAnsi" w:hAnsiTheme="majorHAnsi"/>
          <w:sz w:val="22"/>
        </w:rPr>
        <w:t xml:space="preserve"> which is between one third and two thirds higher than the equivalent figure in Fiji, Solomon Islands, </w:t>
      </w:r>
      <w:proofErr w:type="gramStart"/>
      <w:r w:rsidRPr="003C341F">
        <w:rPr>
          <w:rFonts w:asciiTheme="majorHAnsi" w:hAnsiTheme="majorHAnsi"/>
          <w:sz w:val="22"/>
        </w:rPr>
        <w:t>Tonga</w:t>
      </w:r>
      <w:proofErr w:type="gramEnd"/>
      <w:r w:rsidRPr="003C341F">
        <w:rPr>
          <w:rFonts w:asciiTheme="majorHAnsi" w:hAnsiTheme="majorHAnsi"/>
          <w:sz w:val="22"/>
        </w:rPr>
        <w:t xml:space="preserve"> and Vanuatu (</w:t>
      </w:r>
      <w:r w:rsidR="008A02C2">
        <w:rPr>
          <w:rFonts w:asciiTheme="majorHAnsi" w:hAnsiTheme="majorHAnsi"/>
          <w:sz w:val="22"/>
        </w:rPr>
        <w:t>Figure 3</w:t>
      </w:r>
      <w:r w:rsidRPr="003C341F">
        <w:rPr>
          <w:rFonts w:asciiTheme="majorHAnsi" w:hAnsiTheme="majorHAnsi"/>
          <w:sz w:val="22"/>
        </w:rPr>
        <w:t xml:space="preserve">). Spending by Government accounted for 90.6 per cent of total health spending. </w:t>
      </w:r>
    </w:p>
    <w:p w14:paraId="66DA35C2" w14:textId="77777777" w:rsidR="00A65B6F" w:rsidRPr="003C341F" w:rsidRDefault="00AF14C9" w:rsidP="008A02C2">
      <w:pPr>
        <w:pStyle w:val="Default"/>
        <w:keepNext/>
        <w:spacing w:after="0" w:line="276" w:lineRule="auto"/>
        <w:jc w:val="both"/>
      </w:pPr>
      <w:r w:rsidRPr="003C341F">
        <w:rPr>
          <w:rFonts w:asciiTheme="majorHAnsi" w:hAnsiTheme="majorHAnsi"/>
          <w:noProof/>
          <w:sz w:val="22"/>
          <w:lang w:eastAsia="en-AU"/>
        </w:rPr>
        <w:lastRenderedPageBreak/>
        <w:drawing>
          <wp:inline distT="0" distB="0" distL="0" distR="0" wp14:anchorId="0C13AE4F" wp14:editId="0187D74C">
            <wp:extent cx="5270500" cy="3435985"/>
            <wp:effectExtent l="0" t="0" r="6350" b="12065"/>
            <wp:docPr id="7" name="Chart 7" descr="Chart explaining health expenditure relative to GDP as described in the preceding para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4D3ABA" w14:textId="77777777" w:rsidR="00AF14C9" w:rsidRPr="003C341F" w:rsidRDefault="00A65B6F" w:rsidP="005D102D">
      <w:pPr>
        <w:pStyle w:val="Caption"/>
      </w:pPr>
      <w:r w:rsidRPr="003C341F">
        <w:t>Figure 3: Health spending relative to GDP (2014)</w:t>
      </w:r>
    </w:p>
    <w:p w14:paraId="19D2D6F3" w14:textId="77777777" w:rsidR="00AF14C9" w:rsidRPr="003C341F" w:rsidRDefault="00AF14C9" w:rsidP="00C60629">
      <w:pPr>
        <w:pStyle w:val="Default"/>
        <w:spacing w:after="120" w:line="276" w:lineRule="auto"/>
        <w:jc w:val="both"/>
        <w:rPr>
          <w:rFonts w:asciiTheme="majorHAnsi" w:hAnsiTheme="majorHAnsi"/>
          <w:sz w:val="22"/>
        </w:rPr>
      </w:pPr>
      <w:r w:rsidRPr="003C341F">
        <w:rPr>
          <w:rFonts w:asciiTheme="majorHAnsi" w:hAnsiTheme="majorHAnsi"/>
          <w:sz w:val="22"/>
        </w:rPr>
        <w:t>Health accounted for 15.1 per cent of Government expenditure in Samoa in 2014, a figure which was higher than other, comparable Pacific nations. Samoa’s total health spending per capita (on a purchasing power parity basis) was also high relative to comparator countries (</w:t>
      </w:r>
      <w:r w:rsidR="00A65B6F" w:rsidRPr="003C341F">
        <w:rPr>
          <w:rFonts w:asciiTheme="majorHAnsi" w:hAnsiTheme="majorHAnsi"/>
          <w:sz w:val="22"/>
        </w:rPr>
        <w:t xml:space="preserve">Figure </w:t>
      </w:r>
      <w:r w:rsidR="008A02C2">
        <w:rPr>
          <w:rFonts w:asciiTheme="majorHAnsi" w:hAnsiTheme="majorHAnsi"/>
          <w:sz w:val="22"/>
        </w:rPr>
        <w:t>4</w:t>
      </w:r>
      <w:r w:rsidRPr="003C341F">
        <w:rPr>
          <w:rFonts w:asciiTheme="majorHAnsi" w:hAnsiTheme="majorHAnsi"/>
          <w:sz w:val="22"/>
        </w:rPr>
        <w:t>)</w:t>
      </w:r>
      <w:r w:rsidR="00A65B6F" w:rsidRPr="003C341F">
        <w:rPr>
          <w:rFonts w:asciiTheme="majorHAnsi" w:hAnsiTheme="majorHAnsi"/>
          <w:sz w:val="22"/>
        </w:rPr>
        <w:t>.</w:t>
      </w:r>
    </w:p>
    <w:p w14:paraId="488CF8E6" w14:textId="77777777" w:rsidR="00A65B6F" w:rsidRPr="003C341F" w:rsidRDefault="00AF14C9" w:rsidP="005D102D">
      <w:pPr>
        <w:pStyle w:val="Default"/>
        <w:keepNext/>
        <w:spacing w:after="120" w:line="276" w:lineRule="auto"/>
        <w:jc w:val="both"/>
      </w:pPr>
      <w:r w:rsidRPr="003C341F">
        <w:rPr>
          <w:rFonts w:asciiTheme="majorHAnsi" w:hAnsiTheme="majorHAnsi"/>
          <w:noProof/>
          <w:sz w:val="22"/>
          <w:lang w:eastAsia="en-AU"/>
        </w:rPr>
        <w:drawing>
          <wp:inline distT="0" distB="0" distL="0" distR="0" wp14:anchorId="6D68E440" wp14:editId="42D10C74">
            <wp:extent cx="5270500" cy="3435985"/>
            <wp:effectExtent l="0" t="0" r="6350" b="12065"/>
            <wp:docPr id="8" name="Chart 8" descr="Chart showing health expenditure in Samoa relative to other Pacific countri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357A7A" w14:textId="77777777" w:rsidR="00AF14C9" w:rsidRPr="003C341F" w:rsidRDefault="00A65B6F" w:rsidP="005D102D">
      <w:pPr>
        <w:pStyle w:val="Caption"/>
      </w:pPr>
      <w:r w:rsidRPr="003C341F">
        <w:t>Figure 4: Health expenditure (2014)</w:t>
      </w:r>
    </w:p>
    <w:p w14:paraId="15A87BE1" w14:textId="77777777" w:rsidR="00AF14C9" w:rsidRPr="003C341F" w:rsidRDefault="00AF14C9" w:rsidP="00922E51">
      <w:pPr>
        <w:pStyle w:val="Default"/>
        <w:spacing w:after="120" w:line="276" w:lineRule="auto"/>
        <w:jc w:val="both"/>
        <w:rPr>
          <w:rFonts w:asciiTheme="majorHAnsi" w:hAnsiTheme="majorHAnsi"/>
          <w:bCs/>
          <w:sz w:val="22"/>
        </w:rPr>
      </w:pPr>
      <w:r w:rsidRPr="003C341F">
        <w:rPr>
          <w:rFonts w:asciiTheme="majorHAnsi" w:hAnsiTheme="majorHAnsi"/>
          <w:sz w:val="22"/>
        </w:rPr>
        <w:t xml:space="preserve">In 2014 DFAT undertook a review of financial management capability and capacity, together with associated risks and benefits, in </w:t>
      </w:r>
      <w:r w:rsidR="00C62C8E" w:rsidRPr="003C341F">
        <w:rPr>
          <w:rFonts w:asciiTheme="majorHAnsi" w:hAnsiTheme="majorHAnsi"/>
          <w:sz w:val="22"/>
        </w:rPr>
        <w:t>MOH</w:t>
      </w:r>
      <w:r w:rsidRPr="003C341F">
        <w:rPr>
          <w:rFonts w:asciiTheme="majorHAnsi" w:hAnsiTheme="majorHAnsi"/>
          <w:sz w:val="22"/>
        </w:rPr>
        <w:t xml:space="preserve">, NHS and SFHA. The review acknowledged some befits but also </w:t>
      </w:r>
      <w:r w:rsidRPr="003C341F">
        <w:rPr>
          <w:rFonts w:asciiTheme="majorHAnsi" w:hAnsiTheme="majorHAnsi"/>
          <w:sz w:val="22"/>
        </w:rPr>
        <w:lastRenderedPageBreak/>
        <w:t xml:space="preserve">identified </w:t>
      </w:r>
      <w:proofErr w:type="gramStart"/>
      <w:r w:rsidRPr="003C341F">
        <w:rPr>
          <w:rFonts w:asciiTheme="majorHAnsi" w:hAnsiTheme="majorHAnsi"/>
          <w:sz w:val="22"/>
        </w:rPr>
        <w:t>a number of</w:t>
      </w:r>
      <w:proofErr w:type="gramEnd"/>
      <w:r w:rsidRPr="003C341F">
        <w:rPr>
          <w:rFonts w:asciiTheme="majorHAnsi" w:hAnsiTheme="majorHAnsi"/>
          <w:sz w:val="22"/>
        </w:rPr>
        <w:t xml:space="preserve"> significant risks associated with DFAT channelling funds through health sector agency systems and procedures. It recommended that DFAT should not conduct a future programme of support to the agencies concerned until a framework to implement relevant risk mitigation measures is agreed with </w:t>
      </w:r>
      <w:r w:rsidR="004944B8">
        <w:rPr>
          <w:rFonts w:asciiTheme="majorHAnsi" w:hAnsiTheme="majorHAnsi"/>
          <w:sz w:val="22"/>
        </w:rPr>
        <w:t>GOS</w:t>
      </w:r>
      <w:r w:rsidRPr="003C341F">
        <w:rPr>
          <w:rFonts w:asciiTheme="majorHAnsi" w:hAnsiTheme="majorHAnsi"/>
          <w:sz w:val="22"/>
        </w:rPr>
        <w:t xml:space="preserve"> and those measures are implemented in a number of critical areas.</w:t>
      </w:r>
      <w:sdt>
        <w:sdtPr>
          <w:rPr>
            <w:rFonts w:asciiTheme="majorHAnsi" w:hAnsiTheme="majorHAnsi"/>
            <w:sz w:val="22"/>
          </w:rPr>
          <w:id w:val="-1938350294"/>
          <w:citation/>
        </w:sdtPr>
        <w:sdtEndPr/>
        <w:sdtContent>
          <w:r w:rsidRPr="003C341F">
            <w:rPr>
              <w:rFonts w:asciiTheme="majorHAnsi" w:hAnsiTheme="majorHAnsi"/>
              <w:sz w:val="22"/>
            </w:rPr>
            <w:fldChar w:fldCharType="begin"/>
          </w:r>
          <w:r w:rsidRPr="003C341F">
            <w:rPr>
              <w:rFonts w:asciiTheme="majorHAnsi" w:hAnsiTheme="majorHAnsi"/>
              <w:sz w:val="22"/>
            </w:rPr>
            <w:instrText xml:space="preserve">CITATION DFA141 \l 3081 </w:instrText>
          </w:r>
          <w:r w:rsidRPr="003C341F">
            <w:rPr>
              <w:rFonts w:asciiTheme="majorHAnsi" w:hAnsiTheme="majorHAnsi"/>
              <w:sz w:val="22"/>
            </w:rPr>
            <w:fldChar w:fldCharType="separate"/>
          </w:r>
          <w:r w:rsidR="002C597C" w:rsidRPr="003C341F">
            <w:rPr>
              <w:rFonts w:asciiTheme="majorHAnsi" w:hAnsiTheme="majorHAnsi"/>
              <w:noProof/>
              <w:sz w:val="22"/>
            </w:rPr>
            <w:t xml:space="preserve"> (DFAT, 2014)</w:t>
          </w:r>
          <w:r w:rsidRPr="003C341F">
            <w:rPr>
              <w:rFonts w:asciiTheme="majorHAnsi" w:hAnsiTheme="majorHAnsi"/>
              <w:sz w:val="22"/>
            </w:rPr>
            <w:fldChar w:fldCharType="end"/>
          </w:r>
        </w:sdtContent>
      </w:sdt>
    </w:p>
    <w:p w14:paraId="7BA52D3E" w14:textId="77777777" w:rsidR="00922E51" w:rsidRPr="003C341F" w:rsidRDefault="00922E51">
      <w:pPr>
        <w:spacing w:after="0"/>
        <w:rPr>
          <w:rFonts w:cs="Calibri"/>
          <w:color w:val="000000"/>
          <w:szCs w:val="22"/>
          <w:lang w:val="en-AU"/>
        </w:rPr>
      </w:pPr>
      <w:r w:rsidRPr="003C341F">
        <w:rPr>
          <w:lang w:val="en-AU"/>
        </w:rPr>
        <w:br w:type="page"/>
      </w:r>
    </w:p>
    <w:p w14:paraId="0AC5A0CF" w14:textId="24898F0F" w:rsidR="002E693C" w:rsidRPr="003C341F" w:rsidRDefault="00AF14C9" w:rsidP="003A0889">
      <w:pPr>
        <w:pStyle w:val="Appendixtitle"/>
        <w:outlineLvl w:val="1"/>
        <w:rPr>
          <w:lang w:val="en-AU"/>
        </w:rPr>
      </w:pPr>
      <w:bookmarkStart w:id="17" w:name="_Ref454121489"/>
      <w:bookmarkStart w:id="18" w:name="_Toc457572210"/>
      <w:bookmarkStart w:id="19" w:name="_Toc460231383"/>
      <w:bookmarkStart w:id="20" w:name="_Toc454266322"/>
      <w:r w:rsidRPr="003C341F">
        <w:rPr>
          <w:lang w:val="en-AU"/>
        </w:rPr>
        <w:lastRenderedPageBreak/>
        <w:t xml:space="preserve">Appendix </w:t>
      </w:r>
      <w:r w:rsidR="003C341F" w:rsidRPr="003C341F">
        <w:rPr>
          <w:lang w:val="en-AU"/>
        </w:rPr>
        <w:fldChar w:fldCharType="begin"/>
      </w:r>
      <w:r w:rsidR="003C341F" w:rsidRPr="003C341F">
        <w:rPr>
          <w:lang w:val="en-AU"/>
        </w:rPr>
        <w:instrText xml:space="preserve"> SEQ Appendix \* ALPHABETIC </w:instrText>
      </w:r>
      <w:r w:rsidR="003C341F" w:rsidRPr="003C341F">
        <w:rPr>
          <w:lang w:val="en-AU"/>
        </w:rPr>
        <w:fldChar w:fldCharType="separate"/>
      </w:r>
      <w:r w:rsidR="005410B6">
        <w:rPr>
          <w:noProof/>
          <w:lang w:val="en-AU"/>
        </w:rPr>
        <w:t>B</w:t>
      </w:r>
      <w:r w:rsidR="003C341F" w:rsidRPr="003C341F">
        <w:rPr>
          <w:noProof/>
          <w:lang w:val="en-AU"/>
        </w:rPr>
        <w:fldChar w:fldCharType="end"/>
      </w:r>
      <w:bookmarkEnd w:id="17"/>
      <w:r w:rsidRPr="003C341F">
        <w:rPr>
          <w:lang w:val="en-AU"/>
        </w:rPr>
        <w:t xml:space="preserve">: </w:t>
      </w:r>
      <w:r w:rsidR="002E693C" w:rsidRPr="003C341F">
        <w:rPr>
          <w:lang w:val="en-AU"/>
        </w:rPr>
        <w:t>Other development partners</w:t>
      </w:r>
      <w:bookmarkEnd w:id="18"/>
      <w:bookmarkEnd w:id="19"/>
    </w:p>
    <w:p w14:paraId="5AB6CD49" w14:textId="77777777" w:rsidR="002E693C" w:rsidRPr="003C341F" w:rsidRDefault="002E693C" w:rsidP="003A0889">
      <w:pPr>
        <w:pStyle w:val="SecondLevelNumberedTitle"/>
        <w:ind w:left="0"/>
        <w:outlineLvl w:val="9"/>
      </w:pPr>
      <w:r w:rsidRPr="003C341F">
        <w:t>New Zealand Ministry of Foreign Affairs and Trade</w:t>
      </w:r>
    </w:p>
    <w:p w14:paraId="31EE4A2E" w14:textId="77777777" w:rsidR="002E693C" w:rsidRPr="003C341F" w:rsidRDefault="002E693C" w:rsidP="00C60629">
      <w:pPr>
        <w:rPr>
          <w:lang w:val="en-AU"/>
        </w:rPr>
      </w:pPr>
      <w:r w:rsidRPr="003C341F">
        <w:rPr>
          <w:lang w:val="en-AU"/>
        </w:rPr>
        <w:t xml:space="preserve">New Zealand was a partner in the health </w:t>
      </w:r>
      <w:proofErr w:type="spellStart"/>
      <w:r w:rsidRPr="003C341F">
        <w:rPr>
          <w:lang w:val="en-AU"/>
        </w:rPr>
        <w:t>SWAp</w:t>
      </w:r>
      <w:proofErr w:type="spellEnd"/>
      <w:r w:rsidRPr="003C341F">
        <w:rPr>
          <w:lang w:val="en-AU"/>
        </w:rPr>
        <w:t xml:space="preserve"> contributing NZ$16.3 million to the program over the period 2008 – 201</w:t>
      </w:r>
      <w:r w:rsidR="008E1EE3">
        <w:rPr>
          <w:lang w:val="en-AU"/>
        </w:rPr>
        <w:t>6</w:t>
      </w:r>
      <w:r w:rsidRPr="003C341F">
        <w:rPr>
          <w:lang w:val="en-AU"/>
        </w:rPr>
        <w:t xml:space="preserve">. </w:t>
      </w:r>
    </w:p>
    <w:p w14:paraId="1DA08654" w14:textId="77777777" w:rsidR="002E693C" w:rsidRPr="003C341F" w:rsidRDefault="002E693C" w:rsidP="00C60629">
      <w:pPr>
        <w:rPr>
          <w:lang w:val="en-AU"/>
        </w:rPr>
      </w:pPr>
      <w:r w:rsidRPr="003C341F">
        <w:rPr>
          <w:lang w:val="en-AU"/>
        </w:rPr>
        <w:t xml:space="preserve">Alongside its involvement in the </w:t>
      </w:r>
      <w:proofErr w:type="spellStart"/>
      <w:r w:rsidRPr="003C341F">
        <w:rPr>
          <w:lang w:val="en-AU"/>
        </w:rPr>
        <w:t>SWAp</w:t>
      </w:r>
      <w:proofErr w:type="spellEnd"/>
      <w:r w:rsidRPr="003C341F">
        <w:rPr>
          <w:lang w:val="en-AU"/>
        </w:rPr>
        <w:t xml:space="preserve"> New Zealand has also allocated NZ$5.02 million over four years from 2010 to support collaboration between the NHS in Samoa and Counties Manukau District Health Board via an Institutional Linkages Programme (ILP) which seeks to use peer-to-peer relationships to strengthen governance and management, and build clinical service capacity within the NHS. It also funds visiting medical specialist services and contributes towards the costs of Samoa’s overseas referral scheme which provides access to specialist hospital services in New Zealand.</w:t>
      </w:r>
    </w:p>
    <w:p w14:paraId="324E0029" w14:textId="77777777" w:rsidR="002E693C" w:rsidRPr="003C341F" w:rsidRDefault="002E693C" w:rsidP="00C60629">
      <w:pPr>
        <w:rPr>
          <w:lang w:val="en-AU"/>
        </w:rPr>
      </w:pPr>
      <w:r w:rsidRPr="003C341F">
        <w:rPr>
          <w:lang w:val="en-AU"/>
        </w:rPr>
        <w:t xml:space="preserve">A review of the ILP in 2014 </w:t>
      </w:r>
      <w:sdt>
        <w:sdtPr>
          <w:rPr>
            <w:lang w:val="en-AU"/>
          </w:rPr>
          <w:id w:val="441499479"/>
          <w:citation/>
        </w:sdtPr>
        <w:sdtEndPr/>
        <w:sdtContent>
          <w:r w:rsidRPr="003C341F">
            <w:rPr>
              <w:lang w:val="en-AU"/>
            </w:rPr>
            <w:fldChar w:fldCharType="begin"/>
          </w:r>
          <w:r w:rsidRPr="003C341F">
            <w:rPr>
              <w:lang w:val="en-AU"/>
            </w:rPr>
            <w:instrText xml:space="preserve"> CITATION Sap14 \l 3081 </w:instrText>
          </w:r>
          <w:r w:rsidRPr="003C341F">
            <w:rPr>
              <w:lang w:val="en-AU"/>
            </w:rPr>
            <w:fldChar w:fldCharType="separate"/>
          </w:r>
          <w:r w:rsidR="002C597C" w:rsidRPr="003C341F">
            <w:rPr>
              <w:noProof/>
              <w:lang w:val="en-AU"/>
            </w:rPr>
            <w:t>(Sapere Research Group, 2014)</w:t>
          </w:r>
          <w:r w:rsidRPr="003C341F">
            <w:rPr>
              <w:lang w:val="en-AU"/>
            </w:rPr>
            <w:fldChar w:fldCharType="end"/>
          </w:r>
        </w:sdtContent>
      </w:sdt>
      <w:r w:rsidRPr="003C341F">
        <w:rPr>
          <w:lang w:val="en-AU"/>
        </w:rPr>
        <w:t xml:space="preserve"> drew generally positive conclusions. Areas where there </w:t>
      </w:r>
      <w:proofErr w:type="gramStart"/>
      <w:r w:rsidRPr="003C341F">
        <w:rPr>
          <w:lang w:val="en-AU"/>
        </w:rPr>
        <w:t>was considered to be</w:t>
      </w:r>
      <w:proofErr w:type="gramEnd"/>
      <w:r w:rsidRPr="003C341F">
        <w:rPr>
          <w:lang w:val="en-AU"/>
        </w:rPr>
        <w:t xml:space="preserve"> scope for improvement centred on the need for more explicit criteria to guide overseas referral decisions, improvements to monitoring patient outcomes and better alignment between the strategic goals of the ILP and the NHS.</w:t>
      </w:r>
    </w:p>
    <w:p w14:paraId="7568EED9" w14:textId="77777777" w:rsidR="002E693C" w:rsidRPr="003C341F" w:rsidRDefault="002E693C" w:rsidP="00C60629">
      <w:pPr>
        <w:rPr>
          <w:lang w:val="en-AU"/>
        </w:rPr>
      </w:pPr>
      <w:r w:rsidRPr="003C341F">
        <w:rPr>
          <w:lang w:val="en-AU"/>
        </w:rPr>
        <w:t xml:space="preserve">A subsequent review of the whole of New Zealand’s country programme in Samoa concluded that, in relation to the heath sector, results had been mixed but noted some significant gains in policy and institutional strengthening, particularly within NHS. Specific recommendations for improvement included providing long term predictability for the ILP and better engagement with civil </w:t>
      </w:r>
      <w:r w:rsidR="008A02C2">
        <w:rPr>
          <w:lang w:val="en-AU"/>
        </w:rPr>
        <w:t xml:space="preserve">society and the private sector </w:t>
      </w:r>
      <w:sdt>
        <w:sdtPr>
          <w:rPr>
            <w:lang w:val="en-AU"/>
          </w:rPr>
          <w:id w:val="1198049037"/>
          <w:citation/>
        </w:sdtPr>
        <w:sdtEndPr/>
        <w:sdtContent>
          <w:r w:rsidRPr="003C341F">
            <w:rPr>
              <w:lang w:val="en-AU"/>
            </w:rPr>
            <w:fldChar w:fldCharType="begin"/>
          </w:r>
          <w:r w:rsidRPr="003C341F">
            <w:rPr>
              <w:lang w:val="en-AU"/>
            </w:rPr>
            <w:instrText xml:space="preserve"> CITATION Ada15 \l 3081 </w:instrText>
          </w:r>
          <w:r w:rsidRPr="003C341F">
            <w:rPr>
              <w:lang w:val="en-AU"/>
            </w:rPr>
            <w:fldChar w:fldCharType="separate"/>
          </w:r>
          <w:r w:rsidR="002C597C" w:rsidRPr="003C341F">
            <w:rPr>
              <w:noProof/>
              <w:lang w:val="en-AU"/>
            </w:rPr>
            <w:t>(Adam Smith International, 2015)</w:t>
          </w:r>
          <w:r w:rsidRPr="003C341F">
            <w:rPr>
              <w:lang w:val="en-AU"/>
            </w:rPr>
            <w:fldChar w:fldCharType="end"/>
          </w:r>
        </w:sdtContent>
      </w:sdt>
      <w:r w:rsidR="008A02C2">
        <w:rPr>
          <w:lang w:val="en-AU"/>
        </w:rPr>
        <w:t>.</w:t>
      </w:r>
    </w:p>
    <w:p w14:paraId="559FDF63" w14:textId="77777777" w:rsidR="002E693C" w:rsidRPr="003C341F" w:rsidRDefault="002E693C" w:rsidP="00C60629">
      <w:pPr>
        <w:rPr>
          <w:lang w:val="en-AU"/>
        </w:rPr>
      </w:pPr>
      <w:r w:rsidRPr="003C341F">
        <w:rPr>
          <w:lang w:val="en-AU"/>
        </w:rPr>
        <w:t xml:space="preserve">New Zealand’s MFAT has also indicated a commitment to continue support for health in Samoa and work to design the next New Zealand program is proceeding broadly in parallel with Australia’s design process. </w:t>
      </w:r>
    </w:p>
    <w:p w14:paraId="7149A9CF" w14:textId="77777777" w:rsidR="002E693C" w:rsidRPr="003C341F" w:rsidRDefault="002E693C" w:rsidP="00C60629">
      <w:pPr>
        <w:rPr>
          <w:lang w:val="en-AU"/>
        </w:rPr>
      </w:pPr>
      <w:r w:rsidRPr="003C341F">
        <w:rPr>
          <w:lang w:val="en-AU"/>
        </w:rPr>
        <w:t xml:space="preserve">Early indications are that New Zealand’s program may include </w:t>
      </w:r>
      <w:r w:rsidRPr="003C341F">
        <w:rPr>
          <w:i/>
          <w:lang w:val="en-AU"/>
        </w:rPr>
        <w:t>inter alia</w:t>
      </w:r>
      <w:r w:rsidR="008A02C2">
        <w:rPr>
          <w:lang w:val="en-AU"/>
        </w:rPr>
        <w:t>:</w:t>
      </w:r>
    </w:p>
    <w:p w14:paraId="32046A07" w14:textId="77777777" w:rsidR="002E693C" w:rsidRPr="003C341F" w:rsidRDefault="002E693C" w:rsidP="00662F77">
      <w:pPr>
        <w:pStyle w:val="Bullet1-Long"/>
      </w:pPr>
      <w:r w:rsidRPr="003C341F">
        <w:t>continuation (in a modified form) of the overseas referral and visiting health specialist schemes; and</w:t>
      </w:r>
    </w:p>
    <w:p w14:paraId="6E6463E2" w14:textId="22C65430" w:rsidR="002E693C" w:rsidRPr="003C341F" w:rsidRDefault="00EE5D5C" w:rsidP="00662F77">
      <w:pPr>
        <w:pStyle w:val="Bullet1-Long"/>
      </w:pPr>
      <w:r>
        <w:t xml:space="preserve">the possibility of </w:t>
      </w:r>
      <w:r w:rsidR="0074514C">
        <w:t xml:space="preserve">supporting </w:t>
      </w:r>
      <w:proofErr w:type="spellStart"/>
      <w:r w:rsidR="0074514C">
        <w:t>intiatives</w:t>
      </w:r>
      <w:proofErr w:type="spellEnd"/>
      <w:r w:rsidR="0074514C">
        <w:t xml:space="preserve"> (such as building </w:t>
      </w:r>
      <w:r w:rsidR="002E693C" w:rsidRPr="003C341F">
        <w:t xml:space="preserve">on the current PEN </w:t>
      </w:r>
      <w:proofErr w:type="spellStart"/>
      <w:r w:rsidR="002E693C" w:rsidRPr="003C341F">
        <w:t>Fa’a</w:t>
      </w:r>
      <w:proofErr w:type="spellEnd"/>
      <w:r w:rsidR="002E693C" w:rsidRPr="003C341F">
        <w:t xml:space="preserve"> Samoa initiative</w:t>
      </w:r>
      <w:r w:rsidR="0074514C">
        <w:t>)</w:t>
      </w:r>
      <w:r w:rsidR="002E693C" w:rsidRPr="003C341F">
        <w:t xml:space="preserve"> to deliver improved health services for rural communities.</w:t>
      </w:r>
    </w:p>
    <w:p w14:paraId="1C58D109" w14:textId="77777777" w:rsidR="002E693C" w:rsidRPr="003C341F" w:rsidRDefault="002E693C" w:rsidP="003A0889">
      <w:pPr>
        <w:pStyle w:val="SecondLevelNumberedTitle"/>
        <w:ind w:left="0"/>
        <w:outlineLvl w:val="9"/>
      </w:pPr>
      <w:bookmarkStart w:id="21" w:name="_Toc454266274"/>
      <w:r w:rsidRPr="003C341F">
        <w:t>World Health Organization</w:t>
      </w:r>
      <w:bookmarkEnd w:id="21"/>
    </w:p>
    <w:p w14:paraId="16580A88" w14:textId="77777777" w:rsidR="002E693C" w:rsidRPr="003C341F" w:rsidRDefault="002E693C" w:rsidP="00BF0EF0">
      <w:pPr>
        <w:rPr>
          <w:lang w:val="en-AU"/>
        </w:rPr>
      </w:pPr>
      <w:r w:rsidRPr="003C341F">
        <w:rPr>
          <w:lang w:val="en-AU"/>
        </w:rPr>
        <w:t xml:space="preserve">The World Health Organization (WHO) was a partner in the health </w:t>
      </w:r>
      <w:proofErr w:type="spellStart"/>
      <w:r w:rsidRPr="003C341F">
        <w:rPr>
          <w:lang w:val="en-AU"/>
        </w:rPr>
        <w:t>SWAp</w:t>
      </w:r>
      <w:proofErr w:type="spellEnd"/>
      <w:r w:rsidRPr="003C341F">
        <w:rPr>
          <w:lang w:val="en-AU"/>
        </w:rPr>
        <w:t xml:space="preserve"> and, through its country and regional offices, is continuing to provide support to Samoa’s health sector in </w:t>
      </w:r>
      <w:proofErr w:type="gramStart"/>
      <w:r w:rsidRPr="003C341F">
        <w:rPr>
          <w:lang w:val="en-AU"/>
        </w:rPr>
        <w:t>a number of</w:t>
      </w:r>
      <w:proofErr w:type="gramEnd"/>
      <w:r w:rsidRPr="003C341F">
        <w:rPr>
          <w:lang w:val="en-AU"/>
        </w:rPr>
        <w:t xml:space="preserve"> ways.</w:t>
      </w:r>
    </w:p>
    <w:p w14:paraId="4A98C917" w14:textId="77777777" w:rsidR="002E693C" w:rsidRPr="003C341F" w:rsidRDefault="002E693C" w:rsidP="00BF0EF0">
      <w:pPr>
        <w:rPr>
          <w:lang w:val="en-AU"/>
        </w:rPr>
      </w:pPr>
      <w:r w:rsidRPr="003C341F">
        <w:rPr>
          <w:lang w:val="en-AU"/>
        </w:rPr>
        <w:t xml:space="preserve">The PEN </w:t>
      </w:r>
      <w:proofErr w:type="spellStart"/>
      <w:r w:rsidRPr="003C341F">
        <w:rPr>
          <w:lang w:val="en-AU"/>
        </w:rPr>
        <w:t>Fa’a</w:t>
      </w:r>
      <w:proofErr w:type="spellEnd"/>
      <w:r w:rsidRPr="003C341F">
        <w:rPr>
          <w:lang w:val="en-AU"/>
        </w:rPr>
        <w:t xml:space="preserve"> Samoa initiative, which is being led by the Ministry of Health with support from WHO, is showing promise as a means to improve early identification of NCD risk factors using a set of low technology, cost effective and evidence based interventions at primary care level.</w:t>
      </w:r>
    </w:p>
    <w:p w14:paraId="62674E58" w14:textId="77777777" w:rsidR="002E693C" w:rsidRPr="003C341F" w:rsidRDefault="002E693C" w:rsidP="00BF0EF0">
      <w:pPr>
        <w:rPr>
          <w:lang w:val="en-AU"/>
        </w:rPr>
      </w:pPr>
      <w:r w:rsidRPr="003C341F">
        <w:rPr>
          <w:lang w:val="en-AU"/>
        </w:rPr>
        <w:t xml:space="preserve">WHO has also supported Samoa by providing technical assistance with planning for health information </w:t>
      </w:r>
      <w:proofErr w:type="gramStart"/>
      <w:r w:rsidRPr="003C341F">
        <w:rPr>
          <w:lang w:val="en-AU"/>
        </w:rPr>
        <w:t>systems.</w:t>
      </w:r>
      <w:proofErr w:type="gramEnd"/>
      <w:r w:rsidRPr="003C341F">
        <w:rPr>
          <w:lang w:val="en-AU"/>
        </w:rPr>
        <w:t xml:space="preserve"> It has funded a series of reviews and development of recommendations for the design and implementation of health information systems </w:t>
      </w:r>
      <w:sdt>
        <w:sdtPr>
          <w:rPr>
            <w:lang w:val="en-AU"/>
          </w:rPr>
          <w:id w:val="-145737826"/>
          <w:citation/>
        </w:sdtPr>
        <w:sdtEndPr/>
        <w:sdtContent>
          <w:r w:rsidRPr="003C341F">
            <w:rPr>
              <w:lang w:val="en-AU"/>
            </w:rPr>
            <w:fldChar w:fldCharType="begin"/>
          </w:r>
          <w:r w:rsidRPr="003C341F">
            <w:rPr>
              <w:lang w:val="en-AU"/>
            </w:rPr>
            <w:instrText xml:space="preserve"> CITATION Fes15 \l 3081 </w:instrText>
          </w:r>
          <w:r w:rsidRPr="003C341F">
            <w:rPr>
              <w:lang w:val="en-AU"/>
            </w:rPr>
            <w:fldChar w:fldCharType="separate"/>
          </w:r>
          <w:r w:rsidR="002C597C" w:rsidRPr="003C341F">
            <w:rPr>
              <w:noProof/>
              <w:lang w:val="en-AU"/>
            </w:rPr>
            <w:t>(Festin, 2015)</w:t>
          </w:r>
          <w:r w:rsidRPr="003C341F">
            <w:rPr>
              <w:lang w:val="en-AU"/>
            </w:rPr>
            <w:fldChar w:fldCharType="end"/>
          </w:r>
        </w:sdtContent>
      </w:sdt>
      <w:sdt>
        <w:sdtPr>
          <w:rPr>
            <w:lang w:val="en-AU"/>
          </w:rPr>
          <w:id w:val="-1976441278"/>
          <w:citation/>
        </w:sdtPr>
        <w:sdtEndPr/>
        <w:sdtContent>
          <w:r w:rsidRPr="003C341F">
            <w:rPr>
              <w:lang w:val="en-AU"/>
            </w:rPr>
            <w:fldChar w:fldCharType="begin"/>
          </w:r>
          <w:r w:rsidRPr="003C341F">
            <w:rPr>
              <w:lang w:val="en-AU"/>
            </w:rPr>
            <w:instrText xml:space="preserve"> CITATION Spo13 \l 3081 </w:instrText>
          </w:r>
          <w:r w:rsidRPr="003C341F">
            <w:rPr>
              <w:lang w:val="en-AU"/>
            </w:rPr>
            <w:fldChar w:fldCharType="separate"/>
          </w:r>
          <w:r w:rsidR="002C597C" w:rsidRPr="003C341F">
            <w:rPr>
              <w:noProof/>
              <w:lang w:val="en-AU"/>
            </w:rPr>
            <w:t xml:space="preserve"> (Spohr, 2013)</w:t>
          </w:r>
          <w:r w:rsidRPr="003C341F">
            <w:rPr>
              <w:lang w:val="en-AU"/>
            </w:rPr>
            <w:fldChar w:fldCharType="end"/>
          </w:r>
        </w:sdtContent>
      </w:sdt>
      <w:r w:rsidR="008A02C2">
        <w:rPr>
          <w:lang w:val="en-AU"/>
        </w:rPr>
        <w:t xml:space="preserve"> and recently circulated a </w:t>
      </w:r>
      <w:r w:rsidRPr="003C341F">
        <w:rPr>
          <w:lang w:val="en-AU"/>
        </w:rPr>
        <w:t>concept note for development of a health information system.</w:t>
      </w:r>
      <w:sdt>
        <w:sdtPr>
          <w:rPr>
            <w:lang w:val="en-AU"/>
          </w:rPr>
          <w:id w:val="-657299473"/>
          <w:citation/>
        </w:sdtPr>
        <w:sdtEndPr/>
        <w:sdtContent>
          <w:r w:rsidRPr="003C341F">
            <w:rPr>
              <w:lang w:val="en-AU"/>
            </w:rPr>
            <w:fldChar w:fldCharType="begin"/>
          </w:r>
          <w:r w:rsidRPr="003C341F">
            <w:rPr>
              <w:lang w:val="en-AU"/>
            </w:rPr>
            <w:instrText xml:space="preserve"> CITATION Wor \l 3081 </w:instrText>
          </w:r>
          <w:r w:rsidRPr="003C341F">
            <w:rPr>
              <w:lang w:val="en-AU"/>
            </w:rPr>
            <w:fldChar w:fldCharType="separate"/>
          </w:r>
          <w:r w:rsidR="002C597C" w:rsidRPr="003C341F">
            <w:rPr>
              <w:noProof/>
              <w:lang w:val="en-AU"/>
            </w:rPr>
            <w:t xml:space="preserve"> (World Health Organization, Samoa Country Office)</w:t>
          </w:r>
          <w:r w:rsidRPr="003C341F">
            <w:rPr>
              <w:lang w:val="en-AU"/>
            </w:rPr>
            <w:fldChar w:fldCharType="end"/>
          </w:r>
        </w:sdtContent>
      </w:sdt>
    </w:p>
    <w:p w14:paraId="0723AB4C" w14:textId="77777777" w:rsidR="009076A9" w:rsidRPr="003C341F" w:rsidRDefault="009076A9" w:rsidP="009076A9">
      <w:pPr>
        <w:pStyle w:val="SecondLevelNumberedTitle"/>
        <w:ind w:left="0"/>
        <w:outlineLvl w:val="9"/>
      </w:pPr>
      <w:bookmarkStart w:id="22" w:name="_Toc454266275"/>
      <w:r>
        <w:lastRenderedPageBreak/>
        <w:t>The World</w:t>
      </w:r>
      <w:r w:rsidRPr="003C341F">
        <w:t xml:space="preserve"> Bank</w:t>
      </w:r>
    </w:p>
    <w:p w14:paraId="5F50644D" w14:textId="462579E9" w:rsidR="009076A9" w:rsidRPr="00317388" w:rsidRDefault="009076A9" w:rsidP="009076A9">
      <w:pPr>
        <w:rPr>
          <w:lang w:val="en-AU"/>
        </w:rPr>
      </w:pPr>
      <w:r>
        <w:rPr>
          <w:lang w:val="en-AU"/>
        </w:rPr>
        <w:t xml:space="preserve">The World Bank </w:t>
      </w:r>
      <w:r w:rsidRPr="009076A9">
        <w:rPr>
          <w:lang w:val="en-AU"/>
        </w:rPr>
        <w:t>was a</w:t>
      </w:r>
      <w:r>
        <w:rPr>
          <w:lang w:val="en-AU"/>
        </w:rPr>
        <w:t>lso a</w:t>
      </w:r>
      <w:r w:rsidRPr="009076A9">
        <w:rPr>
          <w:lang w:val="en-AU"/>
        </w:rPr>
        <w:t xml:space="preserve"> partner in the </w:t>
      </w:r>
      <w:proofErr w:type="spellStart"/>
      <w:r w:rsidRPr="009076A9">
        <w:rPr>
          <w:lang w:val="en-AU"/>
        </w:rPr>
        <w:t>SWAp</w:t>
      </w:r>
      <w:proofErr w:type="spellEnd"/>
      <w:r>
        <w:rPr>
          <w:lang w:val="en-AU"/>
        </w:rPr>
        <w:t xml:space="preserve"> and</w:t>
      </w:r>
      <w:r w:rsidRPr="009076A9">
        <w:rPr>
          <w:lang w:val="en-AU"/>
        </w:rPr>
        <w:t xml:space="preserve"> provided a total of US$6 million for th</w:t>
      </w:r>
      <w:r>
        <w:rPr>
          <w:lang w:val="en-AU"/>
        </w:rPr>
        <w:t xml:space="preserve">e program between 2008 and 2015. The World Bank was responsible for </w:t>
      </w:r>
      <w:proofErr w:type="spellStart"/>
      <w:r>
        <w:rPr>
          <w:lang w:val="en-AU"/>
        </w:rPr>
        <w:t>fisuciary</w:t>
      </w:r>
      <w:proofErr w:type="spellEnd"/>
      <w:r>
        <w:rPr>
          <w:lang w:val="en-AU"/>
        </w:rPr>
        <w:t xml:space="preserve"> oversight of the </w:t>
      </w:r>
      <w:proofErr w:type="spellStart"/>
      <w:r>
        <w:rPr>
          <w:lang w:val="en-AU"/>
        </w:rPr>
        <w:t>SWAp</w:t>
      </w:r>
      <w:proofErr w:type="spellEnd"/>
      <w:r>
        <w:rPr>
          <w:lang w:val="en-AU"/>
        </w:rPr>
        <w:t xml:space="preserve">. Recently under IDA10, the World Bank will provide USD10 million to the Government of Samoa to assist addressing health sector priorities. </w:t>
      </w:r>
      <w:r w:rsidR="00317388">
        <w:rPr>
          <w:lang w:val="en-AU"/>
        </w:rPr>
        <w:t xml:space="preserve">In November 2017, a World Bank Project Identification Mission was conducted in Apia. As an outcome of the mission, it was proposed that the Project Development Objective for the new health program will be </w:t>
      </w:r>
      <w:r w:rsidR="00317388">
        <w:rPr>
          <w:i/>
          <w:lang w:val="en-AU"/>
        </w:rPr>
        <w:t>to strengthen NCD control in Samoa through enhanced health promotion and disease prevention as well as establishing people-</w:t>
      </w:r>
      <w:proofErr w:type="spellStart"/>
      <w:r w:rsidR="00317388">
        <w:rPr>
          <w:i/>
          <w:lang w:val="en-AU"/>
        </w:rPr>
        <w:t>centered</w:t>
      </w:r>
      <w:proofErr w:type="spellEnd"/>
      <w:r w:rsidR="00317388">
        <w:rPr>
          <w:i/>
          <w:lang w:val="en-AU"/>
        </w:rPr>
        <w:t xml:space="preserve"> disease management with strengthened primary health care. </w:t>
      </w:r>
      <w:r w:rsidR="00317388">
        <w:rPr>
          <w:lang w:val="en-AU"/>
        </w:rPr>
        <w:t xml:space="preserve">A design mission is planned for early 2018 and DFAT plans to support the development and implementation of this new program. </w:t>
      </w:r>
    </w:p>
    <w:p w14:paraId="303581C0" w14:textId="00307DA2" w:rsidR="002E693C" w:rsidRPr="003C341F" w:rsidRDefault="002E693C" w:rsidP="003A0889">
      <w:pPr>
        <w:pStyle w:val="SecondLevelNumberedTitle"/>
        <w:ind w:left="0"/>
        <w:outlineLvl w:val="9"/>
      </w:pPr>
      <w:r w:rsidRPr="003C341F">
        <w:t>Asian Development Bank</w:t>
      </w:r>
      <w:bookmarkEnd w:id="22"/>
    </w:p>
    <w:p w14:paraId="5BA50D6F" w14:textId="41D74EC8" w:rsidR="009076A9" w:rsidRPr="009076A9" w:rsidRDefault="002E693C" w:rsidP="009076A9">
      <w:pPr>
        <w:rPr>
          <w:rFonts w:eastAsiaTheme="majorEastAsia"/>
          <w:color w:val="404040" w:themeColor="text1" w:themeTint="BF"/>
          <w:szCs w:val="32"/>
          <w:lang w:val="en-AU"/>
        </w:rPr>
      </w:pPr>
      <w:r w:rsidRPr="003C341F">
        <w:rPr>
          <w:lang w:val="en-AU"/>
        </w:rPr>
        <w:t xml:space="preserve">In 2015 the </w:t>
      </w:r>
      <w:r w:rsidR="008A02C2">
        <w:rPr>
          <w:lang w:val="en-AU"/>
        </w:rPr>
        <w:t>ADB</w:t>
      </w:r>
      <w:r w:rsidRPr="003C341F">
        <w:rPr>
          <w:lang w:val="en-AU"/>
        </w:rPr>
        <w:t xml:space="preserve"> agreed to fund a US$25 million Samoa Submarine Cable Project</w:t>
      </w:r>
      <w:sdt>
        <w:sdtPr>
          <w:rPr>
            <w:lang w:val="en-AU"/>
          </w:rPr>
          <w:id w:val="-1761829113"/>
          <w:citation/>
        </w:sdtPr>
        <w:sdtEndPr/>
        <w:sdtContent>
          <w:r w:rsidRPr="003C341F">
            <w:rPr>
              <w:lang w:val="en-AU"/>
            </w:rPr>
            <w:fldChar w:fldCharType="begin"/>
          </w:r>
          <w:r w:rsidRPr="003C341F">
            <w:rPr>
              <w:lang w:val="en-AU"/>
            </w:rPr>
            <w:instrText xml:space="preserve"> CITATION Asi15 \l 3081 </w:instrText>
          </w:r>
          <w:r w:rsidRPr="003C341F">
            <w:rPr>
              <w:lang w:val="en-AU"/>
            </w:rPr>
            <w:fldChar w:fldCharType="separate"/>
          </w:r>
          <w:r w:rsidR="002C597C" w:rsidRPr="003C341F">
            <w:rPr>
              <w:noProof/>
              <w:lang w:val="en-AU"/>
            </w:rPr>
            <w:t xml:space="preserve"> (Asian Development Bank, 2015)</w:t>
          </w:r>
          <w:r w:rsidRPr="003C341F">
            <w:rPr>
              <w:lang w:val="en-AU"/>
            </w:rPr>
            <w:fldChar w:fldCharType="end"/>
          </w:r>
        </w:sdtContent>
      </w:sdt>
      <w:r w:rsidRPr="003C341F">
        <w:rPr>
          <w:lang w:val="en-AU"/>
        </w:rPr>
        <w:t>. One output from that project (valued at US$6.5 million) is support for development of a health information system that is tailored to Samoa’s needs. It is intended that the ADB funding will help to meet the costs of hardware, software, installation, testing, and training</w:t>
      </w:r>
      <w:r w:rsidRPr="003C341F">
        <w:rPr>
          <w:rFonts w:eastAsiaTheme="majorEastAsia"/>
          <w:color w:val="404040" w:themeColor="text1" w:themeTint="BF"/>
          <w:szCs w:val="32"/>
          <w:lang w:val="en-AU"/>
        </w:rPr>
        <w:t xml:space="preserve">. </w:t>
      </w:r>
      <w:bookmarkStart w:id="23" w:name="_Toc454266276"/>
    </w:p>
    <w:p w14:paraId="4082F9DF" w14:textId="6201018B" w:rsidR="002E693C" w:rsidRPr="003C341F" w:rsidRDefault="002E693C" w:rsidP="003A0889">
      <w:pPr>
        <w:pStyle w:val="SecondLevelNumberedTitle"/>
        <w:ind w:left="0"/>
        <w:outlineLvl w:val="9"/>
      </w:pPr>
      <w:r w:rsidRPr="003C341F">
        <w:t>Other partners</w:t>
      </w:r>
      <w:bookmarkEnd w:id="23"/>
    </w:p>
    <w:p w14:paraId="7BB8BE7E" w14:textId="77777777" w:rsidR="002E693C" w:rsidRPr="003C341F" w:rsidRDefault="002E693C" w:rsidP="00BF0EF0">
      <w:pPr>
        <w:rPr>
          <w:lang w:val="en-AU"/>
        </w:rPr>
      </w:pPr>
      <w:r w:rsidRPr="003C341F">
        <w:rPr>
          <w:lang w:val="en-AU"/>
        </w:rPr>
        <w:t>Several other bilateral and multilateral partners are also engaged with Samoa’</w:t>
      </w:r>
      <w:r w:rsidR="00250807" w:rsidRPr="003C341F">
        <w:rPr>
          <w:lang w:val="en-AU"/>
        </w:rPr>
        <w:t>s health sector. They include:</w:t>
      </w:r>
    </w:p>
    <w:p w14:paraId="7BC81041" w14:textId="77777777" w:rsidR="002E693C" w:rsidRPr="003C341F" w:rsidRDefault="002E693C" w:rsidP="00662F77">
      <w:pPr>
        <w:pStyle w:val="Bullet1-Long"/>
      </w:pPr>
      <w:r w:rsidRPr="003C341F">
        <w:t xml:space="preserve">UNFPA and UNICEF were also </w:t>
      </w:r>
      <w:proofErr w:type="gramStart"/>
      <w:r w:rsidRPr="003C341F">
        <w:t>partners</w:t>
      </w:r>
      <w:proofErr w:type="gramEnd"/>
      <w:r w:rsidRPr="003C341F">
        <w:t xml:space="preserve"> in the </w:t>
      </w:r>
      <w:proofErr w:type="spellStart"/>
      <w:r w:rsidRPr="003C341F">
        <w:t>SWAp</w:t>
      </w:r>
      <w:proofErr w:type="spellEnd"/>
      <w:r w:rsidRPr="003C341F">
        <w:t>;</w:t>
      </w:r>
    </w:p>
    <w:p w14:paraId="45249981" w14:textId="77777777" w:rsidR="002E693C" w:rsidRPr="003C341F" w:rsidRDefault="002E693C" w:rsidP="00662F77">
      <w:pPr>
        <w:pStyle w:val="Bullet1-Long"/>
      </w:pPr>
      <w:r w:rsidRPr="003C341F">
        <w:t xml:space="preserve">the People’s Republic of China provided an estimated US$70.1 million between 2009 and 2014 in the form of grant funding for capital expenditure on the new </w:t>
      </w:r>
      <w:r w:rsidR="00C62C8E" w:rsidRPr="003C341F">
        <w:t>MOH</w:t>
      </w:r>
      <w:r w:rsidRPr="003C341F">
        <w:t xml:space="preserve"> headquarters building and the new </w:t>
      </w:r>
      <w:r w:rsidR="003D4F37" w:rsidRPr="003C341F">
        <w:t xml:space="preserve">TTM </w:t>
      </w:r>
      <w:r w:rsidRPr="003C341F">
        <w:t>Hospital.</w:t>
      </w:r>
    </w:p>
    <w:p w14:paraId="2821C880" w14:textId="77777777" w:rsidR="002E693C" w:rsidRPr="003C341F" w:rsidRDefault="002E693C" w:rsidP="00BF0EF0">
      <w:pPr>
        <w:rPr>
          <w:lang w:val="en-AU"/>
        </w:rPr>
      </w:pPr>
      <w:r w:rsidRPr="003C341F">
        <w:rPr>
          <w:lang w:val="en-AU"/>
        </w:rPr>
        <w:t xml:space="preserve">In addition the Global Fund for AIDS, TB &amp; Malaria (US$3.4million), Japan International Cooperation Agency (US$1.2 million) were significant donors over the period 2009 – 2014 while the Global Environment Facility, the Government of Italy, </w:t>
      </w:r>
      <w:r w:rsidR="008A02C2">
        <w:rPr>
          <w:lang w:val="en-AU"/>
        </w:rPr>
        <w:t>Secretariat of the Pacific Community</w:t>
      </w:r>
      <w:r w:rsidRPr="003C341F">
        <w:rPr>
          <w:lang w:val="en-AU"/>
        </w:rPr>
        <w:t xml:space="preserve"> and the European Union also contributed lesser sums to the sector over the same period </w:t>
      </w:r>
      <w:sdt>
        <w:sdtPr>
          <w:rPr>
            <w:lang w:val="en-AU"/>
          </w:rPr>
          <w:id w:val="973252766"/>
          <w:citation/>
        </w:sdtPr>
        <w:sdtEndPr/>
        <w:sdtContent>
          <w:r w:rsidRPr="003C341F">
            <w:rPr>
              <w:lang w:val="en-AU"/>
            </w:rPr>
            <w:fldChar w:fldCharType="begin"/>
          </w:r>
          <w:r w:rsidRPr="003C341F">
            <w:rPr>
              <w:lang w:val="en-AU"/>
            </w:rPr>
            <w:instrText xml:space="preserve">CITATION Gov1 \l 3081 </w:instrText>
          </w:r>
          <w:r w:rsidRPr="003C341F">
            <w:rPr>
              <w:lang w:val="en-AU"/>
            </w:rPr>
            <w:fldChar w:fldCharType="separate"/>
          </w:r>
          <w:r w:rsidR="002C597C" w:rsidRPr="003C341F">
            <w:rPr>
              <w:noProof/>
              <w:lang w:val="en-AU"/>
            </w:rPr>
            <w:t>(Ministry of Health, 2011)</w:t>
          </w:r>
          <w:r w:rsidRPr="003C341F">
            <w:rPr>
              <w:lang w:val="en-AU"/>
            </w:rPr>
            <w:fldChar w:fldCharType="end"/>
          </w:r>
        </w:sdtContent>
      </w:sdt>
      <w:r w:rsidRPr="003C341F">
        <w:rPr>
          <w:lang w:val="en-AU"/>
        </w:rPr>
        <w:t>.</w:t>
      </w:r>
    </w:p>
    <w:p w14:paraId="331599C9" w14:textId="77777777" w:rsidR="002E693C" w:rsidRPr="003C341F" w:rsidRDefault="002E693C" w:rsidP="00C60629"/>
    <w:p w14:paraId="5EB99234" w14:textId="77777777" w:rsidR="002E693C" w:rsidRPr="003C341F" w:rsidRDefault="002E693C">
      <w:pPr>
        <w:spacing w:after="0"/>
        <w:rPr>
          <w:rFonts w:ascii="Arial" w:eastAsiaTheme="majorEastAsia" w:hAnsi="Arial" w:cs="Arial"/>
          <w:color w:val="404040" w:themeColor="text1" w:themeTint="BF"/>
          <w:szCs w:val="32"/>
          <w:lang w:val="en-AU" w:eastAsia="ja-JP"/>
        </w:rPr>
      </w:pPr>
      <w:r w:rsidRPr="003C341F">
        <w:rPr>
          <w:lang w:val="en-AU"/>
        </w:rPr>
        <w:br w:type="page"/>
      </w:r>
    </w:p>
    <w:p w14:paraId="102ABB19" w14:textId="77777777" w:rsidR="00DF56AB" w:rsidRPr="003C341F" w:rsidRDefault="002E693C" w:rsidP="00C60629">
      <w:pPr>
        <w:pStyle w:val="Appendixtitle"/>
        <w:outlineLvl w:val="1"/>
        <w:rPr>
          <w:lang w:val="en-AU"/>
        </w:rPr>
      </w:pPr>
      <w:bookmarkStart w:id="24" w:name="_Toc457572211"/>
      <w:bookmarkStart w:id="25" w:name="_Toc460231384"/>
      <w:r w:rsidRPr="003C341F">
        <w:rPr>
          <w:lang w:val="en-AU"/>
        </w:rPr>
        <w:lastRenderedPageBreak/>
        <w:t xml:space="preserve">Appendix C: </w:t>
      </w:r>
      <w:r w:rsidR="00DF56AB" w:rsidRPr="003C341F">
        <w:rPr>
          <w:lang w:val="en-AU"/>
        </w:rPr>
        <w:t>Alignment with Making Performance Count: Enhancing the accountability and effectiveness of Australian aid</w:t>
      </w:r>
      <w:bookmarkEnd w:id="20"/>
      <w:bookmarkEnd w:id="24"/>
      <w:bookmarkEnd w:id="25"/>
    </w:p>
    <w:p w14:paraId="52585844" w14:textId="77777777" w:rsidR="00250807" w:rsidRPr="003C341F" w:rsidRDefault="00250807" w:rsidP="00250807">
      <w:pPr>
        <w:spacing w:after="0"/>
        <w:rPr>
          <w:lang w:val="en-AU"/>
        </w:rPr>
      </w:pPr>
    </w:p>
    <w:tbl>
      <w:tblPr>
        <w:tblStyle w:val="PlainTable11"/>
        <w:tblW w:w="5000" w:type="pct"/>
        <w:tblLook w:val="04A0" w:firstRow="1" w:lastRow="0" w:firstColumn="1" w:lastColumn="0" w:noHBand="0" w:noVBand="1"/>
      </w:tblPr>
      <w:tblGrid>
        <w:gridCol w:w="3107"/>
        <w:gridCol w:w="5903"/>
      </w:tblGrid>
      <w:tr w:rsidR="00DF56AB" w:rsidRPr="003C341F" w14:paraId="02050241" w14:textId="77777777" w:rsidTr="00F04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shd w:val="clear" w:color="auto" w:fill="A6A6A6" w:themeFill="background1" w:themeFillShade="A6"/>
          </w:tcPr>
          <w:p w14:paraId="223F0CA9" w14:textId="77777777" w:rsidR="00DF56AB" w:rsidRPr="003C341F" w:rsidRDefault="00DF56AB" w:rsidP="00F67832">
            <w:pPr>
              <w:spacing w:after="0"/>
              <w:rPr>
                <w:sz w:val="20"/>
                <w:lang w:val="en-AU"/>
              </w:rPr>
            </w:pPr>
            <w:r w:rsidRPr="003C341F">
              <w:rPr>
                <w:sz w:val="20"/>
                <w:lang w:val="en-AU"/>
              </w:rPr>
              <w:t>Target</w:t>
            </w:r>
          </w:p>
        </w:tc>
        <w:tc>
          <w:tcPr>
            <w:tcW w:w="3276" w:type="pct"/>
            <w:shd w:val="clear" w:color="auto" w:fill="A6A6A6" w:themeFill="background1" w:themeFillShade="A6"/>
          </w:tcPr>
          <w:p w14:paraId="67D56EB5" w14:textId="77777777" w:rsidR="00DF56AB" w:rsidRPr="003C341F" w:rsidRDefault="00DF56AB" w:rsidP="00F67832">
            <w:pPr>
              <w:spacing w:after="0"/>
              <w:cnfStyle w:val="100000000000" w:firstRow="1" w:lastRow="0" w:firstColumn="0" w:lastColumn="0" w:oddVBand="0" w:evenVBand="0" w:oddHBand="0" w:evenHBand="0" w:firstRowFirstColumn="0" w:firstRowLastColumn="0" w:lastRowFirstColumn="0" w:lastRowLastColumn="0"/>
              <w:rPr>
                <w:sz w:val="20"/>
                <w:lang w:val="en-AU"/>
              </w:rPr>
            </w:pPr>
            <w:r w:rsidRPr="003C341F">
              <w:rPr>
                <w:sz w:val="20"/>
                <w:lang w:val="en-AU"/>
              </w:rPr>
              <w:t>Alignment</w:t>
            </w:r>
          </w:p>
        </w:tc>
      </w:tr>
      <w:tr w:rsidR="00DF56AB" w:rsidRPr="003C341F" w14:paraId="37A604F8" w14:textId="77777777" w:rsidTr="00F04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Pr>
          <w:p w14:paraId="15342BB1" w14:textId="77777777" w:rsidR="00DF56AB" w:rsidRPr="003C341F" w:rsidRDefault="00DF56AB" w:rsidP="00F67832">
            <w:pPr>
              <w:spacing w:after="0"/>
              <w:rPr>
                <w:b w:val="0"/>
                <w:sz w:val="20"/>
                <w:lang w:val="en-AU"/>
              </w:rPr>
            </w:pPr>
            <w:r w:rsidRPr="003C341F">
              <w:rPr>
                <w:b w:val="0"/>
                <w:sz w:val="20"/>
                <w:lang w:val="en-AU"/>
              </w:rPr>
              <w:t>Promoting prosperity</w:t>
            </w:r>
          </w:p>
        </w:tc>
        <w:tc>
          <w:tcPr>
            <w:tcW w:w="3276" w:type="pct"/>
          </w:tcPr>
          <w:p w14:paraId="0D7CE200" w14:textId="70A81F45" w:rsidR="00DF56AB" w:rsidRPr="003C341F" w:rsidRDefault="00DF56AB" w:rsidP="00F67832">
            <w:pPr>
              <w:pStyle w:val="Tablebullet"/>
              <w:spacing w:after="0"/>
              <w:cnfStyle w:val="000000100000" w:firstRow="0" w:lastRow="0" w:firstColumn="0" w:lastColumn="0" w:oddVBand="0" w:evenVBand="0" w:oddHBand="1" w:evenHBand="0" w:firstRowFirstColumn="0" w:firstRowLastColumn="0" w:lastRowFirstColumn="0" w:lastRowLastColumn="0"/>
              <w:rPr>
                <w:sz w:val="20"/>
              </w:rPr>
            </w:pPr>
            <w:r w:rsidRPr="003C341F">
              <w:rPr>
                <w:sz w:val="20"/>
              </w:rPr>
              <w:t>Measures to tackle NCDs</w:t>
            </w:r>
            <w:r w:rsidR="00733ED3">
              <w:rPr>
                <w:sz w:val="20"/>
              </w:rPr>
              <w:t xml:space="preserve"> and CDs</w:t>
            </w:r>
            <w:r w:rsidRPr="003C341F">
              <w:rPr>
                <w:sz w:val="20"/>
              </w:rPr>
              <w:t xml:space="preserve"> should support economic growth.</w:t>
            </w:r>
          </w:p>
          <w:p w14:paraId="0AF6C310" w14:textId="77777777" w:rsidR="00DF56AB" w:rsidRPr="003C341F" w:rsidRDefault="00DF56AB" w:rsidP="00F67832">
            <w:pPr>
              <w:pStyle w:val="Tablebullet"/>
              <w:spacing w:after="0"/>
              <w:cnfStyle w:val="000000100000" w:firstRow="0" w:lastRow="0" w:firstColumn="0" w:lastColumn="0" w:oddVBand="0" w:evenVBand="0" w:oddHBand="1" w:evenHBand="0" w:firstRowFirstColumn="0" w:firstRowLastColumn="0" w:lastRowFirstColumn="0" w:lastRowLastColumn="0"/>
              <w:rPr>
                <w:sz w:val="20"/>
              </w:rPr>
            </w:pPr>
            <w:r w:rsidRPr="003C341F">
              <w:rPr>
                <w:sz w:val="20"/>
              </w:rPr>
              <w:t>The program will not have any clear ‘aid-for-trade’ component.</w:t>
            </w:r>
          </w:p>
        </w:tc>
      </w:tr>
      <w:tr w:rsidR="00DF56AB" w:rsidRPr="003C341F" w14:paraId="23693516" w14:textId="77777777" w:rsidTr="00F04CAC">
        <w:tc>
          <w:tcPr>
            <w:cnfStyle w:val="001000000000" w:firstRow="0" w:lastRow="0" w:firstColumn="1" w:lastColumn="0" w:oddVBand="0" w:evenVBand="0" w:oddHBand="0" w:evenHBand="0" w:firstRowFirstColumn="0" w:firstRowLastColumn="0" w:lastRowFirstColumn="0" w:lastRowLastColumn="0"/>
            <w:tcW w:w="1724" w:type="pct"/>
          </w:tcPr>
          <w:p w14:paraId="771974DC" w14:textId="77777777" w:rsidR="00DF56AB" w:rsidRPr="003C341F" w:rsidRDefault="00DF56AB" w:rsidP="00F67832">
            <w:pPr>
              <w:spacing w:after="0"/>
              <w:rPr>
                <w:b w:val="0"/>
                <w:sz w:val="20"/>
                <w:lang w:val="en-AU"/>
              </w:rPr>
            </w:pPr>
            <w:r w:rsidRPr="003C341F">
              <w:rPr>
                <w:b w:val="0"/>
                <w:sz w:val="20"/>
                <w:lang w:val="en-AU"/>
              </w:rPr>
              <w:t>Engaging the private sector</w:t>
            </w:r>
          </w:p>
        </w:tc>
        <w:tc>
          <w:tcPr>
            <w:tcW w:w="3276" w:type="pct"/>
          </w:tcPr>
          <w:p w14:paraId="26A502CD" w14:textId="77777777" w:rsidR="00DF56AB" w:rsidRPr="003C341F" w:rsidRDefault="00DF56AB" w:rsidP="00F67832">
            <w:pPr>
              <w:pStyle w:val="Tablebullet"/>
              <w:spacing w:after="0"/>
              <w:cnfStyle w:val="000000000000" w:firstRow="0" w:lastRow="0" w:firstColumn="0" w:lastColumn="0" w:oddVBand="0" w:evenVBand="0" w:oddHBand="0" w:evenHBand="0" w:firstRowFirstColumn="0" w:firstRowLastColumn="0" w:lastRowFirstColumn="0" w:lastRowLastColumn="0"/>
              <w:rPr>
                <w:sz w:val="20"/>
              </w:rPr>
            </w:pPr>
            <w:r w:rsidRPr="003C341F">
              <w:rPr>
                <w:sz w:val="20"/>
              </w:rPr>
              <w:t>The private health sector in Samoa is small but there is scope for extensive private sector engagement in development of health information systems and, potentially, innovative approaches to clinical and support service delivery.</w:t>
            </w:r>
          </w:p>
        </w:tc>
      </w:tr>
      <w:tr w:rsidR="00DF56AB" w:rsidRPr="003C341F" w14:paraId="72611A4D" w14:textId="77777777" w:rsidTr="00F04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Pr>
          <w:p w14:paraId="162652D4" w14:textId="77777777" w:rsidR="00DF56AB" w:rsidRPr="003C341F" w:rsidRDefault="00DF56AB" w:rsidP="00F67832">
            <w:pPr>
              <w:spacing w:after="0"/>
              <w:rPr>
                <w:b w:val="0"/>
                <w:sz w:val="20"/>
                <w:lang w:val="en-AU"/>
              </w:rPr>
            </w:pPr>
            <w:r w:rsidRPr="003C341F">
              <w:rPr>
                <w:b w:val="0"/>
                <w:sz w:val="20"/>
                <w:lang w:val="en-AU"/>
              </w:rPr>
              <w:t>Reducing poverty</w:t>
            </w:r>
          </w:p>
        </w:tc>
        <w:tc>
          <w:tcPr>
            <w:tcW w:w="3276" w:type="pct"/>
          </w:tcPr>
          <w:p w14:paraId="57444D94" w14:textId="77777777" w:rsidR="00DF56AB" w:rsidRPr="003C341F" w:rsidRDefault="00DF56AB" w:rsidP="00F67832">
            <w:pPr>
              <w:pStyle w:val="Tablebullet"/>
              <w:spacing w:after="0"/>
              <w:cnfStyle w:val="000000100000" w:firstRow="0" w:lastRow="0" w:firstColumn="0" w:lastColumn="0" w:oddVBand="0" w:evenVBand="0" w:oddHBand="1" w:evenHBand="0" w:firstRowFirstColumn="0" w:firstRowLastColumn="0" w:lastRowFirstColumn="0" w:lastRowLastColumn="0"/>
              <w:rPr>
                <w:sz w:val="20"/>
              </w:rPr>
            </w:pPr>
            <w:r w:rsidRPr="003C341F">
              <w:rPr>
                <w:sz w:val="20"/>
              </w:rPr>
              <w:t>A strong health system, especially one which effectively targets NCDs, can increase individuals’ ability to join or remain in the workforce and thus protect against poverty.</w:t>
            </w:r>
          </w:p>
        </w:tc>
      </w:tr>
      <w:tr w:rsidR="00DF56AB" w:rsidRPr="003C341F" w14:paraId="416B23B2" w14:textId="77777777" w:rsidTr="00F04CAC">
        <w:tc>
          <w:tcPr>
            <w:cnfStyle w:val="001000000000" w:firstRow="0" w:lastRow="0" w:firstColumn="1" w:lastColumn="0" w:oddVBand="0" w:evenVBand="0" w:oddHBand="0" w:evenHBand="0" w:firstRowFirstColumn="0" w:firstRowLastColumn="0" w:lastRowFirstColumn="0" w:lastRowLastColumn="0"/>
            <w:tcW w:w="1724" w:type="pct"/>
          </w:tcPr>
          <w:p w14:paraId="123AFFA0" w14:textId="77777777" w:rsidR="00DF56AB" w:rsidRPr="003C341F" w:rsidRDefault="00DF56AB" w:rsidP="00F67832">
            <w:pPr>
              <w:spacing w:after="0"/>
              <w:rPr>
                <w:b w:val="0"/>
                <w:sz w:val="20"/>
                <w:lang w:val="en-AU"/>
              </w:rPr>
            </w:pPr>
            <w:r w:rsidRPr="003C341F">
              <w:rPr>
                <w:b w:val="0"/>
                <w:sz w:val="20"/>
                <w:lang w:val="en-AU"/>
              </w:rPr>
              <w:t>Empowering women and girls</w:t>
            </w:r>
          </w:p>
        </w:tc>
        <w:tc>
          <w:tcPr>
            <w:tcW w:w="3276" w:type="pct"/>
          </w:tcPr>
          <w:p w14:paraId="7C6D5624" w14:textId="1A781847" w:rsidR="00DF56AB" w:rsidRPr="003C341F" w:rsidRDefault="00DF56AB" w:rsidP="00F67832">
            <w:pPr>
              <w:pStyle w:val="Tablebullet"/>
              <w:spacing w:after="0"/>
              <w:cnfStyle w:val="000000000000" w:firstRow="0" w:lastRow="0" w:firstColumn="0" w:lastColumn="0" w:oddVBand="0" w:evenVBand="0" w:oddHBand="0" w:evenHBand="0" w:firstRowFirstColumn="0" w:firstRowLastColumn="0" w:lastRowFirstColumn="0" w:lastRowLastColumn="0"/>
              <w:rPr>
                <w:sz w:val="20"/>
              </w:rPr>
            </w:pPr>
            <w:r w:rsidRPr="003C341F">
              <w:rPr>
                <w:sz w:val="20"/>
              </w:rPr>
              <w:t xml:space="preserve">Investments in sexual and reproductive health </w:t>
            </w:r>
            <w:r w:rsidR="00967226">
              <w:rPr>
                <w:sz w:val="20"/>
              </w:rPr>
              <w:t xml:space="preserve">(SRH) </w:t>
            </w:r>
            <w:r w:rsidRPr="003C341F">
              <w:rPr>
                <w:sz w:val="20"/>
              </w:rPr>
              <w:t>will benefit women and girls.</w:t>
            </w:r>
          </w:p>
          <w:p w14:paraId="098EAC0D" w14:textId="77777777" w:rsidR="00DF56AB" w:rsidRPr="003C341F" w:rsidRDefault="00DF56AB" w:rsidP="00F67832">
            <w:pPr>
              <w:pStyle w:val="Tablebullet"/>
              <w:spacing w:after="0"/>
              <w:cnfStyle w:val="000000000000" w:firstRow="0" w:lastRow="0" w:firstColumn="0" w:lastColumn="0" w:oddVBand="0" w:evenVBand="0" w:oddHBand="0" w:evenHBand="0" w:firstRowFirstColumn="0" w:firstRowLastColumn="0" w:lastRowFirstColumn="0" w:lastRowLastColumn="0"/>
              <w:rPr>
                <w:sz w:val="20"/>
              </w:rPr>
            </w:pPr>
            <w:r w:rsidRPr="003C341F">
              <w:rPr>
                <w:sz w:val="20"/>
              </w:rPr>
              <w:t>Improved health information systems will permit more sophisticated analysis of health needs and service utilisation by gender</w:t>
            </w:r>
          </w:p>
        </w:tc>
      </w:tr>
      <w:tr w:rsidR="00DF56AB" w:rsidRPr="003C341F" w14:paraId="25FC02A7" w14:textId="77777777" w:rsidTr="00F04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Pr>
          <w:p w14:paraId="46454D9D" w14:textId="77777777" w:rsidR="00DF56AB" w:rsidRPr="003C341F" w:rsidRDefault="00DF56AB" w:rsidP="00F67832">
            <w:pPr>
              <w:spacing w:after="0"/>
              <w:rPr>
                <w:b w:val="0"/>
                <w:sz w:val="20"/>
                <w:lang w:val="en-AU"/>
              </w:rPr>
            </w:pPr>
            <w:r w:rsidRPr="003C341F">
              <w:rPr>
                <w:b w:val="0"/>
                <w:sz w:val="20"/>
                <w:lang w:val="en-AU"/>
              </w:rPr>
              <w:t>Focusing on the Indo-Pacific region</w:t>
            </w:r>
          </w:p>
        </w:tc>
        <w:tc>
          <w:tcPr>
            <w:tcW w:w="3276" w:type="pct"/>
          </w:tcPr>
          <w:p w14:paraId="6BBF53BA" w14:textId="77777777" w:rsidR="00DF56AB" w:rsidRPr="003C341F" w:rsidRDefault="00DF56AB" w:rsidP="00F67832">
            <w:pPr>
              <w:pStyle w:val="Tablebullet"/>
              <w:spacing w:after="0"/>
              <w:cnfStyle w:val="000000100000" w:firstRow="0" w:lastRow="0" w:firstColumn="0" w:lastColumn="0" w:oddVBand="0" w:evenVBand="0" w:oddHBand="1" w:evenHBand="0" w:firstRowFirstColumn="0" w:firstRowLastColumn="0" w:lastRowFirstColumn="0" w:lastRowLastColumn="0"/>
              <w:rPr>
                <w:sz w:val="20"/>
              </w:rPr>
            </w:pPr>
            <w:r w:rsidRPr="003C341F">
              <w:rPr>
                <w:sz w:val="20"/>
              </w:rPr>
              <w:t>Samoa lies in the Pacific region</w:t>
            </w:r>
          </w:p>
        </w:tc>
      </w:tr>
      <w:tr w:rsidR="00DF56AB" w:rsidRPr="003C341F" w14:paraId="69013B20" w14:textId="77777777" w:rsidTr="00F04CAC">
        <w:tc>
          <w:tcPr>
            <w:cnfStyle w:val="001000000000" w:firstRow="0" w:lastRow="0" w:firstColumn="1" w:lastColumn="0" w:oddVBand="0" w:evenVBand="0" w:oddHBand="0" w:evenHBand="0" w:firstRowFirstColumn="0" w:firstRowLastColumn="0" w:lastRowFirstColumn="0" w:lastRowLastColumn="0"/>
            <w:tcW w:w="1724" w:type="pct"/>
          </w:tcPr>
          <w:p w14:paraId="4FFE92B7" w14:textId="77777777" w:rsidR="00DF56AB" w:rsidRPr="003C341F" w:rsidRDefault="00DF56AB" w:rsidP="00F67832">
            <w:pPr>
              <w:spacing w:after="0"/>
              <w:rPr>
                <w:b w:val="0"/>
                <w:sz w:val="20"/>
                <w:lang w:val="en-AU"/>
              </w:rPr>
            </w:pPr>
            <w:r w:rsidRPr="003C341F">
              <w:rPr>
                <w:b w:val="0"/>
                <w:sz w:val="20"/>
                <w:lang w:val="en-AU"/>
              </w:rPr>
              <w:t>Delivering on commitments</w:t>
            </w:r>
          </w:p>
        </w:tc>
        <w:tc>
          <w:tcPr>
            <w:tcW w:w="3276" w:type="pct"/>
          </w:tcPr>
          <w:p w14:paraId="744F4C58" w14:textId="77777777" w:rsidR="00DF56AB" w:rsidRPr="003C341F" w:rsidRDefault="00DF56AB" w:rsidP="00F67832">
            <w:pPr>
              <w:pStyle w:val="Tablebullet"/>
              <w:spacing w:after="0"/>
              <w:cnfStyle w:val="000000000000" w:firstRow="0" w:lastRow="0" w:firstColumn="0" w:lastColumn="0" w:oddVBand="0" w:evenVBand="0" w:oddHBand="0" w:evenHBand="0" w:firstRowFirstColumn="0" w:firstRowLastColumn="0" w:lastRowFirstColumn="0" w:lastRowLastColumn="0"/>
              <w:rPr>
                <w:sz w:val="20"/>
              </w:rPr>
            </w:pPr>
            <w:r w:rsidRPr="003C341F">
              <w:rPr>
                <w:sz w:val="20"/>
              </w:rPr>
              <w:t>Focus on TA in the early stages will help to ensure that Samoa is equipped to deliver on commitments.</w:t>
            </w:r>
          </w:p>
          <w:p w14:paraId="2130D251" w14:textId="77777777" w:rsidR="00DF56AB" w:rsidRPr="003C341F" w:rsidRDefault="00DF56AB" w:rsidP="00F67832">
            <w:pPr>
              <w:pStyle w:val="Tablebullet"/>
              <w:spacing w:after="0"/>
              <w:cnfStyle w:val="000000000000" w:firstRow="0" w:lastRow="0" w:firstColumn="0" w:lastColumn="0" w:oddVBand="0" w:evenVBand="0" w:oddHBand="0" w:evenHBand="0" w:firstRowFirstColumn="0" w:firstRowLastColumn="0" w:lastRowFirstColumn="0" w:lastRowLastColumn="0"/>
              <w:rPr>
                <w:sz w:val="20"/>
              </w:rPr>
            </w:pPr>
            <w:r w:rsidRPr="003C341F">
              <w:rPr>
                <w:sz w:val="20"/>
              </w:rPr>
              <w:t xml:space="preserve">Formal oversight arrangements established under the health </w:t>
            </w:r>
            <w:proofErr w:type="spellStart"/>
            <w:r w:rsidRPr="003C341F">
              <w:rPr>
                <w:sz w:val="20"/>
              </w:rPr>
              <w:t>SWAp</w:t>
            </w:r>
            <w:proofErr w:type="spellEnd"/>
            <w:r w:rsidRPr="003C341F">
              <w:rPr>
                <w:sz w:val="20"/>
              </w:rPr>
              <w:t xml:space="preserve"> will be maintained as an effective means to ensure ongoing dialogue.</w:t>
            </w:r>
          </w:p>
        </w:tc>
      </w:tr>
      <w:tr w:rsidR="00DF56AB" w:rsidRPr="003C341F" w14:paraId="16C66F62" w14:textId="77777777" w:rsidTr="00F04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Pr>
          <w:p w14:paraId="6F462253" w14:textId="77777777" w:rsidR="00DF56AB" w:rsidRPr="003C341F" w:rsidRDefault="00DF56AB" w:rsidP="00F67832">
            <w:pPr>
              <w:spacing w:after="0"/>
              <w:rPr>
                <w:b w:val="0"/>
                <w:sz w:val="20"/>
                <w:lang w:val="en-AU"/>
              </w:rPr>
            </w:pPr>
            <w:r w:rsidRPr="003C341F">
              <w:rPr>
                <w:b w:val="0"/>
                <w:sz w:val="20"/>
                <w:lang w:val="en-AU"/>
              </w:rPr>
              <w:t>Working with the most effective partners</w:t>
            </w:r>
          </w:p>
        </w:tc>
        <w:tc>
          <w:tcPr>
            <w:tcW w:w="3276" w:type="pct"/>
          </w:tcPr>
          <w:p w14:paraId="709FB2F9" w14:textId="77777777" w:rsidR="00DF56AB" w:rsidRPr="003C341F" w:rsidRDefault="00C62C8E" w:rsidP="00F67832">
            <w:pPr>
              <w:pStyle w:val="Tablebullet"/>
              <w:spacing w:after="0"/>
              <w:cnfStyle w:val="000000100000" w:firstRow="0" w:lastRow="0" w:firstColumn="0" w:lastColumn="0" w:oddVBand="0" w:evenVBand="0" w:oddHBand="1" w:evenHBand="0" w:firstRowFirstColumn="0" w:firstRowLastColumn="0" w:lastRowFirstColumn="0" w:lastRowLastColumn="0"/>
              <w:rPr>
                <w:sz w:val="20"/>
              </w:rPr>
            </w:pPr>
            <w:r w:rsidRPr="003C341F">
              <w:rPr>
                <w:sz w:val="20"/>
              </w:rPr>
              <w:t>MOH</w:t>
            </w:r>
            <w:r w:rsidR="00DF56AB" w:rsidRPr="003C341F">
              <w:rPr>
                <w:sz w:val="20"/>
              </w:rPr>
              <w:t xml:space="preserve"> and NHS are the principal partners. Concerns have been expressed regarding their effectiveness </w:t>
            </w:r>
            <w:proofErr w:type="gramStart"/>
            <w:r w:rsidR="00DF56AB" w:rsidRPr="003C341F">
              <w:rPr>
                <w:sz w:val="20"/>
              </w:rPr>
              <w:t>in light of</w:t>
            </w:r>
            <w:proofErr w:type="gramEnd"/>
            <w:r w:rsidR="00DF56AB" w:rsidRPr="003C341F">
              <w:rPr>
                <w:sz w:val="20"/>
              </w:rPr>
              <w:t xml:space="preserve"> poor role clarity. The design seeks to support measures which will enhance their effectiveness as key players in the sector.</w:t>
            </w:r>
          </w:p>
          <w:p w14:paraId="39A1FF28" w14:textId="4BF9829F" w:rsidR="00DF56AB" w:rsidRPr="003C341F" w:rsidRDefault="00DF56AB" w:rsidP="00F67832">
            <w:pPr>
              <w:pStyle w:val="Tablebullet"/>
              <w:spacing w:after="0"/>
              <w:cnfStyle w:val="000000100000" w:firstRow="0" w:lastRow="0" w:firstColumn="0" w:lastColumn="0" w:oddVBand="0" w:evenVBand="0" w:oddHBand="1" w:evenHBand="0" w:firstRowFirstColumn="0" w:firstRowLastColumn="0" w:lastRowFirstColumn="0" w:lastRowLastColumn="0"/>
              <w:rPr>
                <w:sz w:val="20"/>
              </w:rPr>
            </w:pPr>
            <w:r w:rsidRPr="003C341F">
              <w:rPr>
                <w:sz w:val="20"/>
              </w:rPr>
              <w:t>Work with SFHA provide</w:t>
            </w:r>
            <w:r w:rsidR="00733ED3">
              <w:rPr>
                <w:sz w:val="20"/>
              </w:rPr>
              <w:t xml:space="preserve">s the opportunity to build the </w:t>
            </w:r>
            <w:r w:rsidRPr="003C341F">
              <w:rPr>
                <w:sz w:val="20"/>
              </w:rPr>
              <w:t>organisation’s effectiveness as a key NGO in the sector.</w:t>
            </w:r>
          </w:p>
        </w:tc>
      </w:tr>
      <w:tr w:rsidR="00DF56AB" w:rsidRPr="003C341F" w14:paraId="08D80BC2" w14:textId="77777777" w:rsidTr="00F04CAC">
        <w:tc>
          <w:tcPr>
            <w:cnfStyle w:val="001000000000" w:firstRow="0" w:lastRow="0" w:firstColumn="1" w:lastColumn="0" w:oddVBand="0" w:evenVBand="0" w:oddHBand="0" w:evenHBand="0" w:firstRowFirstColumn="0" w:firstRowLastColumn="0" w:lastRowFirstColumn="0" w:lastRowLastColumn="0"/>
            <w:tcW w:w="1724" w:type="pct"/>
          </w:tcPr>
          <w:p w14:paraId="55ABD1E0" w14:textId="77777777" w:rsidR="00DF56AB" w:rsidRPr="003C341F" w:rsidRDefault="00DF56AB" w:rsidP="00F67832">
            <w:pPr>
              <w:spacing w:after="0"/>
              <w:rPr>
                <w:b w:val="0"/>
                <w:sz w:val="20"/>
                <w:lang w:val="en-AU"/>
              </w:rPr>
            </w:pPr>
            <w:r w:rsidRPr="003C341F">
              <w:rPr>
                <w:b w:val="0"/>
                <w:sz w:val="20"/>
                <w:lang w:val="en-AU"/>
              </w:rPr>
              <w:t>Ensuring value-for-money</w:t>
            </w:r>
          </w:p>
        </w:tc>
        <w:tc>
          <w:tcPr>
            <w:tcW w:w="3276" w:type="pct"/>
          </w:tcPr>
          <w:p w14:paraId="3B9F5EF5" w14:textId="77777777" w:rsidR="00DF56AB" w:rsidRPr="003C341F" w:rsidRDefault="00DF56AB" w:rsidP="00F67832">
            <w:pPr>
              <w:pStyle w:val="Tablebullet"/>
              <w:spacing w:after="0"/>
              <w:cnfStyle w:val="000000000000" w:firstRow="0" w:lastRow="0" w:firstColumn="0" w:lastColumn="0" w:oddVBand="0" w:evenVBand="0" w:oddHBand="0" w:evenHBand="0" w:firstRowFirstColumn="0" w:firstRowLastColumn="0" w:lastRowFirstColumn="0" w:lastRowLastColumn="0"/>
              <w:rPr>
                <w:sz w:val="20"/>
              </w:rPr>
            </w:pPr>
            <w:r w:rsidRPr="003C341F">
              <w:rPr>
                <w:sz w:val="20"/>
              </w:rPr>
              <w:t>DFAT investment in health information systems will be conditional on results of cost-benefit assessment of options.</w:t>
            </w:r>
          </w:p>
          <w:p w14:paraId="6C0ABC03" w14:textId="77777777" w:rsidR="00DF56AB" w:rsidRPr="003C341F" w:rsidRDefault="00DF56AB" w:rsidP="00F67832">
            <w:pPr>
              <w:pStyle w:val="Tablebullet"/>
              <w:spacing w:after="0"/>
              <w:cnfStyle w:val="000000000000" w:firstRow="0" w:lastRow="0" w:firstColumn="0" w:lastColumn="0" w:oddVBand="0" w:evenVBand="0" w:oddHBand="0" w:evenHBand="0" w:firstRowFirstColumn="0" w:firstRowLastColumn="0" w:lastRowFirstColumn="0" w:lastRowLastColumn="0"/>
              <w:rPr>
                <w:sz w:val="20"/>
              </w:rPr>
            </w:pPr>
            <w:r w:rsidRPr="003C341F">
              <w:rPr>
                <w:sz w:val="20"/>
              </w:rPr>
              <w:t>Any subsequent development of health information systems will facilitate improved M&amp;E.</w:t>
            </w:r>
          </w:p>
          <w:p w14:paraId="6F5E1EFF" w14:textId="77777777" w:rsidR="00DF56AB" w:rsidRPr="003C341F" w:rsidRDefault="00DF56AB" w:rsidP="00F67832">
            <w:pPr>
              <w:pStyle w:val="Tablebullet"/>
              <w:spacing w:after="0"/>
              <w:cnfStyle w:val="000000000000" w:firstRow="0" w:lastRow="0" w:firstColumn="0" w:lastColumn="0" w:oddVBand="0" w:evenVBand="0" w:oddHBand="0" w:evenHBand="0" w:firstRowFirstColumn="0" w:firstRowLastColumn="0" w:lastRowFirstColumn="0" w:lastRowLastColumn="0"/>
              <w:rPr>
                <w:sz w:val="20"/>
              </w:rPr>
            </w:pPr>
            <w:r w:rsidRPr="003C341F">
              <w:rPr>
                <w:sz w:val="20"/>
              </w:rPr>
              <w:t>Support for procurement of pharmaceuticals and biomedical equipment will increase value for money in those areas of spending</w:t>
            </w:r>
          </w:p>
        </w:tc>
      </w:tr>
      <w:tr w:rsidR="00DF56AB" w:rsidRPr="003C341F" w14:paraId="3071BF76" w14:textId="77777777" w:rsidTr="00F04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Pr>
          <w:p w14:paraId="6347D356" w14:textId="77777777" w:rsidR="00DF56AB" w:rsidRPr="003C341F" w:rsidRDefault="00DF56AB" w:rsidP="00F67832">
            <w:pPr>
              <w:spacing w:after="0"/>
              <w:rPr>
                <w:b w:val="0"/>
                <w:sz w:val="20"/>
                <w:lang w:val="en-AU"/>
              </w:rPr>
            </w:pPr>
            <w:r w:rsidRPr="003C341F">
              <w:rPr>
                <w:b w:val="0"/>
                <w:sz w:val="20"/>
                <w:lang w:val="en-AU"/>
              </w:rPr>
              <w:t>Increasing consolidation</w:t>
            </w:r>
          </w:p>
        </w:tc>
        <w:tc>
          <w:tcPr>
            <w:tcW w:w="3276" w:type="pct"/>
          </w:tcPr>
          <w:p w14:paraId="55837D7B" w14:textId="06A39BEF" w:rsidR="00DF56AB" w:rsidRPr="003C341F" w:rsidRDefault="00DF56AB" w:rsidP="006C7A2C">
            <w:pPr>
              <w:pStyle w:val="Tablebullet"/>
              <w:spacing w:after="0"/>
              <w:ind w:left="346" w:hanging="284"/>
              <w:cnfStyle w:val="000000100000" w:firstRow="0" w:lastRow="0" w:firstColumn="0" w:lastColumn="0" w:oddVBand="0" w:evenVBand="0" w:oddHBand="1" w:evenHBand="0" w:firstRowFirstColumn="0" w:firstRowLastColumn="0" w:lastRowFirstColumn="0" w:lastRowLastColumn="0"/>
              <w:rPr>
                <w:sz w:val="20"/>
              </w:rPr>
            </w:pPr>
            <w:r w:rsidRPr="003C341F">
              <w:rPr>
                <w:sz w:val="20"/>
              </w:rPr>
              <w:t>Coordination of investments</w:t>
            </w:r>
            <w:r w:rsidR="006C7A2C">
              <w:rPr>
                <w:sz w:val="20"/>
              </w:rPr>
              <w:t xml:space="preserve"> will be ensured through the HPAC</w:t>
            </w:r>
          </w:p>
        </w:tc>
      </w:tr>
      <w:tr w:rsidR="00DF56AB" w:rsidRPr="003C341F" w14:paraId="19FAA8EF" w14:textId="77777777" w:rsidTr="00F04CAC">
        <w:tc>
          <w:tcPr>
            <w:cnfStyle w:val="001000000000" w:firstRow="0" w:lastRow="0" w:firstColumn="1" w:lastColumn="0" w:oddVBand="0" w:evenVBand="0" w:oddHBand="0" w:evenHBand="0" w:firstRowFirstColumn="0" w:firstRowLastColumn="0" w:lastRowFirstColumn="0" w:lastRowLastColumn="0"/>
            <w:tcW w:w="1724" w:type="pct"/>
          </w:tcPr>
          <w:p w14:paraId="16CADB4D" w14:textId="77777777" w:rsidR="00DF56AB" w:rsidRPr="003C341F" w:rsidRDefault="00DF56AB" w:rsidP="00F67832">
            <w:pPr>
              <w:spacing w:after="0"/>
              <w:rPr>
                <w:b w:val="0"/>
                <w:sz w:val="20"/>
                <w:lang w:val="en-AU"/>
              </w:rPr>
            </w:pPr>
            <w:r w:rsidRPr="003C341F">
              <w:rPr>
                <w:b w:val="0"/>
                <w:sz w:val="20"/>
                <w:lang w:val="en-AU"/>
              </w:rPr>
              <w:t>Combatting corruption</w:t>
            </w:r>
          </w:p>
        </w:tc>
        <w:tc>
          <w:tcPr>
            <w:tcW w:w="3276" w:type="pct"/>
          </w:tcPr>
          <w:p w14:paraId="7F4BCCBF" w14:textId="77777777" w:rsidR="00DF56AB" w:rsidRPr="003C341F" w:rsidRDefault="00DF56AB" w:rsidP="00F67832">
            <w:pPr>
              <w:pStyle w:val="Tablebullet"/>
              <w:spacing w:after="0"/>
              <w:ind w:left="346" w:hanging="284"/>
              <w:cnfStyle w:val="000000000000" w:firstRow="0" w:lastRow="0" w:firstColumn="0" w:lastColumn="0" w:oddVBand="0" w:evenVBand="0" w:oddHBand="0" w:evenHBand="0" w:firstRowFirstColumn="0" w:firstRowLastColumn="0" w:lastRowFirstColumn="0" w:lastRowLastColumn="0"/>
              <w:rPr>
                <w:sz w:val="20"/>
              </w:rPr>
            </w:pPr>
            <w:r w:rsidRPr="003C341F">
              <w:rPr>
                <w:sz w:val="20"/>
              </w:rPr>
              <w:t xml:space="preserve">In light of previous concerns regarding PFM (albeit not specifically corruption) in </w:t>
            </w:r>
            <w:r w:rsidR="00C62C8E" w:rsidRPr="003C341F">
              <w:rPr>
                <w:sz w:val="20"/>
              </w:rPr>
              <w:t>MOH</w:t>
            </w:r>
            <w:r w:rsidRPr="003C341F">
              <w:rPr>
                <w:sz w:val="20"/>
              </w:rPr>
              <w:t xml:space="preserve">, NHS and SFHA use of partner systems will be limited and dependent on implementation of recommended improvements </w:t>
            </w:r>
            <w:sdt>
              <w:sdtPr>
                <w:rPr>
                  <w:sz w:val="20"/>
                </w:rPr>
                <w:id w:val="-1026635033"/>
                <w:citation/>
              </w:sdtPr>
              <w:sdtEndPr/>
              <w:sdtContent>
                <w:r w:rsidRPr="003C341F">
                  <w:rPr>
                    <w:sz w:val="20"/>
                  </w:rPr>
                  <w:fldChar w:fldCharType="begin"/>
                </w:r>
                <w:r w:rsidRPr="003C341F">
                  <w:rPr>
                    <w:sz w:val="20"/>
                  </w:rPr>
                  <w:instrText xml:space="preserve"> CITATION DFA141 \l 3081 </w:instrText>
                </w:r>
                <w:r w:rsidRPr="003C341F">
                  <w:rPr>
                    <w:sz w:val="20"/>
                  </w:rPr>
                  <w:fldChar w:fldCharType="separate"/>
                </w:r>
                <w:r w:rsidR="002C597C" w:rsidRPr="003C341F">
                  <w:rPr>
                    <w:noProof/>
                    <w:sz w:val="20"/>
                  </w:rPr>
                  <w:t>(DFAT, 2014)</w:t>
                </w:r>
                <w:r w:rsidRPr="003C341F">
                  <w:rPr>
                    <w:sz w:val="20"/>
                  </w:rPr>
                  <w:fldChar w:fldCharType="end"/>
                </w:r>
              </w:sdtContent>
            </w:sdt>
            <w:r w:rsidRPr="003C341F">
              <w:rPr>
                <w:sz w:val="20"/>
              </w:rPr>
              <w:t>.</w:t>
            </w:r>
          </w:p>
        </w:tc>
      </w:tr>
    </w:tbl>
    <w:p w14:paraId="402FA1E1" w14:textId="77777777" w:rsidR="00922E51" w:rsidRPr="003C341F" w:rsidRDefault="00922E51" w:rsidP="001F73DD">
      <w:pPr>
        <w:rPr>
          <w:lang w:val="en-AU"/>
        </w:rPr>
        <w:sectPr w:rsidR="00922E51" w:rsidRPr="003C341F" w:rsidSect="00E63DC4">
          <w:footnotePr>
            <w:numRestart w:val="eachSect"/>
          </w:footnotePr>
          <w:pgSz w:w="11900" w:h="16840"/>
          <w:pgMar w:top="1440" w:right="1440" w:bottom="1440" w:left="1440" w:header="709" w:footer="709" w:gutter="0"/>
          <w:pgNumType w:start="1"/>
          <w:cols w:space="708"/>
          <w:docGrid w:linePitch="360"/>
        </w:sectPr>
      </w:pPr>
    </w:p>
    <w:p w14:paraId="7E621265" w14:textId="77777777" w:rsidR="00555ABF" w:rsidRPr="003C341F" w:rsidRDefault="00555ABF" w:rsidP="00C60629">
      <w:pPr>
        <w:pStyle w:val="Appendixtitle"/>
        <w:outlineLvl w:val="1"/>
        <w:rPr>
          <w:lang w:val="en-AU"/>
        </w:rPr>
      </w:pPr>
      <w:bookmarkStart w:id="26" w:name="_Ref454461556"/>
      <w:bookmarkStart w:id="27" w:name="_Ref454461550"/>
      <w:bookmarkStart w:id="28" w:name="_Toc457572212"/>
      <w:bookmarkStart w:id="29" w:name="_Toc460231385"/>
      <w:bookmarkStart w:id="30" w:name="_Ref454121886"/>
      <w:bookmarkStart w:id="31" w:name="_Toc454266323"/>
      <w:r w:rsidRPr="003C341F">
        <w:rPr>
          <w:lang w:val="en-AU"/>
        </w:rPr>
        <w:lastRenderedPageBreak/>
        <w:t xml:space="preserve">Appendix </w:t>
      </w:r>
      <w:bookmarkEnd w:id="26"/>
      <w:r w:rsidR="00BF0EF0" w:rsidRPr="003C341F">
        <w:rPr>
          <w:lang w:val="en-AU"/>
        </w:rPr>
        <w:t>D</w:t>
      </w:r>
      <w:r w:rsidRPr="003C341F">
        <w:rPr>
          <w:lang w:val="en-AU"/>
        </w:rPr>
        <w:t xml:space="preserve">: </w:t>
      </w:r>
      <w:r w:rsidR="00967BE4" w:rsidRPr="003C341F">
        <w:rPr>
          <w:lang w:val="en-AU"/>
        </w:rPr>
        <w:t>Intermediate outcome pathways</w:t>
      </w:r>
      <w:bookmarkEnd w:id="27"/>
      <w:bookmarkEnd w:id="28"/>
      <w:bookmarkEnd w:id="29"/>
    </w:p>
    <w:p w14:paraId="1368AED8" w14:textId="0C48169D" w:rsidR="00967BE4" w:rsidRPr="003C341F" w:rsidRDefault="00967BE4" w:rsidP="00922E51">
      <w:pPr>
        <w:rPr>
          <w:lang w:val="en-AU"/>
        </w:rPr>
      </w:pPr>
      <w:r w:rsidRPr="003C341F">
        <w:rPr>
          <w:lang w:val="en-AU"/>
        </w:rPr>
        <w:t xml:space="preserve">The </w:t>
      </w:r>
      <w:r w:rsidR="00D50023" w:rsidRPr="003C341F">
        <w:rPr>
          <w:lang w:val="en-AU"/>
        </w:rPr>
        <w:t>t</w:t>
      </w:r>
      <w:r w:rsidRPr="003C341F">
        <w:rPr>
          <w:lang w:val="en-AU"/>
        </w:rPr>
        <w:t>heory of change</w:t>
      </w:r>
      <w:r w:rsidR="00D50023" w:rsidRPr="003C341F">
        <w:rPr>
          <w:lang w:val="en-AU"/>
        </w:rPr>
        <w:t xml:space="preserve"> identifies a series of intermediate outcomes for each of the design’s three end of program outcomes (EOPO</w:t>
      </w:r>
      <w:r w:rsidR="00967226">
        <w:rPr>
          <w:lang w:val="en-AU"/>
        </w:rPr>
        <w:t>s</w:t>
      </w:r>
      <w:r w:rsidR="00D50023" w:rsidRPr="003C341F">
        <w:rPr>
          <w:lang w:val="en-AU"/>
        </w:rPr>
        <w:t>) as detailed below:</w:t>
      </w:r>
    </w:p>
    <w:tbl>
      <w:tblPr>
        <w:tblStyle w:val="PlainTable11"/>
        <w:tblW w:w="5000" w:type="pct"/>
        <w:tblLook w:val="04A0" w:firstRow="1" w:lastRow="0" w:firstColumn="1" w:lastColumn="0" w:noHBand="0" w:noVBand="1"/>
      </w:tblPr>
      <w:tblGrid>
        <w:gridCol w:w="3004"/>
        <w:gridCol w:w="3004"/>
        <w:gridCol w:w="3002"/>
      </w:tblGrid>
      <w:tr w:rsidR="00D50023" w:rsidRPr="003C341F" w14:paraId="4D1BC873" w14:textId="77777777" w:rsidTr="00EE0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000000" w:themeFill="text1"/>
          </w:tcPr>
          <w:p w14:paraId="32085B94" w14:textId="77777777" w:rsidR="00D50023" w:rsidRPr="003C341F" w:rsidRDefault="00D50023" w:rsidP="00C80BAE">
            <w:pPr>
              <w:pStyle w:val="Default"/>
              <w:spacing w:after="0" w:line="276" w:lineRule="auto"/>
              <w:rPr>
                <w:rFonts w:asciiTheme="majorHAnsi" w:hAnsiTheme="majorHAnsi"/>
                <w:color w:val="FFFFFF" w:themeColor="background1"/>
                <w:sz w:val="20"/>
              </w:rPr>
            </w:pPr>
            <w:r w:rsidRPr="003C341F">
              <w:rPr>
                <w:rFonts w:asciiTheme="majorHAnsi" w:hAnsiTheme="majorHAnsi"/>
                <w:color w:val="FFFFFF" w:themeColor="background1"/>
                <w:sz w:val="20"/>
              </w:rPr>
              <w:t>EOPO 1 - Better resourcing and approaches for district-level primary health care</w:t>
            </w:r>
          </w:p>
        </w:tc>
        <w:tc>
          <w:tcPr>
            <w:tcW w:w="1667" w:type="pct"/>
            <w:shd w:val="clear" w:color="auto" w:fill="000000" w:themeFill="text1"/>
          </w:tcPr>
          <w:p w14:paraId="05ADFEB5" w14:textId="77777777" w:rsidR="00D50023" w:rsidRPr="003C341F" w:rsidRDefault="00D50023" w:rsidP="00C80BAE">
            <w:pPr>
              <w:pStyle w:val="Default"/>
              <w:spacing w:after="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0"/>
              </w:rPr>
            </w:pPr>
            <w:r w:rsidRPr="003C341F">
              <w:rPr>
                <w:rFonts w:asciiTheme="majorHAnsi" w:hAnsiTheme="majorHAnsi"/>
                <w:color w:val="FFFFFF" w:themeColor="background1"/>
                <w:sz w:val="20"/>
              </w:rPr>
              <w:t xml:space="preserve">EOPO 2 - Health sector staff are better equipped to develop policy, deliver </w:t>
            </w:r>
            <w:proofErr w:type="gramStart"/>
            <w:r w:rsidRPr="003C341F">
              <w:rPr>
                <w:rFonts w:asciiTheme="majorHAnsi" w:hAnsiTheme="majorHAnsi"/>
                <w:color w:val="FFFFFF" w:themeColor="background1"/>
                <w:sz w:val="20"/>
              </w:rPr>
              <w:t>services</w:t>
            </w:r>
            <w:proofErr w:type="gramEnd"/>
            <w:r w:rsidRPr="003C341F">
              <w:rPr>
                <w:rFonts w:asciiTheme="majorHAnsi" w:hAnsiTheme="majorHAnsi"/>
                <w:color w:val="FFFFFF" w:themeColor="background1"/>
                <w:sz w:val="20"/>
              </w:rPr>
              <w:t xml:space="preserve"> and monitor performance</w:t>
            </w:r>
          </w:p>
        </w:tc>
        <w:tc>
          <w:tcPr>
            <w:tcW w:w="1666" w:type="pct"/>
            <w:shd w:val="clear" w:color="auto" w:fill="000000" w:themeFill="text1"/>
          </w:tcPr>
          <w:p w14:paraId="7F11133B" w14:textId="77777777" w:rsidR="00D50023" w:rsidRPr="003C341F" w:rsidRDefault="00D50023" w:rsidP="00C80BAE">
            <w:pPr>
              <w:pStyle w:val="Default"/>
              <w:spacing w:after="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iCs/>
                <w:color w:val="FFFFFF" w:themeColor="background1"/>
                <w:sz w:val="20"/>
              </w:rPr>
            </w:pPr>
            <w:r w:rsidRPr="003C341F">
              <w:rPr>
                <w:rFonts w:asciiTheme="majorHAnsi" w:hAnsiTheme="majorHAnsi"/>
                <w:iCs/>
                <w:color w:val="FFFFFF" w:themeColor="background1"/>
                <w:sz w:val="20"/>
              </w:rPr>
              <w:t>EOPO 3 - Improved access to sexual and reproductive health services</w:t>
            </w:r>
          </w:p>
        </w:tc>
      </w:tr>
      <w:tr w:rsidR="00D50023" w:rsidRPr="003C341F" w14:paraId="16755C85" w14:textId="77777777" w:rsidTr="00C80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DE5D418" w14:textId="29587AA8" w:rsidR="00D50023" w:rsidRPr="00172BEF" w:rsidRDefault="00722124" w:rsidP="0079796B">
            <w:pPr>
              <w:pStyle w:val="Default"/>
              <w:spacing w:after="0" w:line="276" w:lineRule="auto"/>
              <w:rPr>
                <w:rFonts w:asciiTheme="majorHAnsi" w:hAnsiTheme="majorHAnsi"/>
                <w:b w:val="0"/>
                <w:i/>
                <w:sz w:val="20"/>
              </w:rPr>
            </w:pPr>
            <w:r>
              <w:rPr>
                <w:rFonts w:asciiTheme="majorHAnsi" w:hAnsiTheme="majorHAnsi"/>
                <w:b w:val="0"/>
                <w:iCs/>
                <w:sz w:val="20"/>
              </w:rPr>
              <w:t xml:space="preserve">1.1 – The new Primary Health </w:t>
            </w:r>
            <w:r w:rsidR="00487E1D">
              <w:rPr>
                <w:rFonts w:asciiTheme="majorHAnsi" w:hAnsiTheme="majorHAnsi"/>
                <w:b w:val="0"/>
                <w:iCs/>
                <w:sz w:val="20"/>
              </w:rPr>
              <w:t xml:space="preserve">Care </w:t>
            </w:r>
            <w:r>
              <w:rPr>
                <w:rFonts w:asciiTheme="majorHAnsi" w:hAnsiTheme="majorHAnsi"/>
                <w:b w:val="0"/>
                <w:iCs/>
                <w:sz w:val="20"/>
              </w:rPr>
              <w:t>Program</w:t>
            </w:r>
            <w:r w:rsidR="00D50023" w:rsidRPr="003C341F">
              <w:rPr>
                <w:rFonts w:asciiTheme="majorHAnsi" w:hAnsiTheme="majorHAnsi"/>
                <w:b w:val="0"/>
                <w:iCs/>
                <w:sz w:val="20"/>
              </w:rPr>
              <w:t xml:space="preserve"> explores and replicates effective approaches for delivering district level primary health care</w:t>
            </w:r>
            <w:r w:rsidR="0079796B">
              <w:rPr>
                <w:rFonts w:asciiTheme="majorHAnsi" w:hAnsiTheme="majorHAnsi"/>
                <w:b w:val="0"/>
                <w:iCs/>
                <w:sz w:val="20"/>
              </w:rPr>
              <w:t>.</w:t>
            </w:r>
          </w:p>
        </w:tc>
        <w:tc>
          <w:tcPr>
            <w:tcW w:w="1667" w:type="pct"/>
          </w:tcPr>
          <w:p w14:paraId="35068146" w14:textId="77777777" w:rsidR="00D50023" w:rsidRPr="003C341F" w:rsidRDefault="00D50023" w:rsidP="00C80BAE">
            <w:pPr>
              <w:pStyle w:val="Default"/>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C341F">
              <w:rPr>
                <w:rFonts w:asciiTheme="majorHAnsi" w:hAnsiTheme="majorHAnsi"/>
                <w:iCs/>
                <w:sz w:val="20"/>
              </w:rPr>
              <w:t>2.1 - Senior leaders and managers have access to reliable information and analysis to inform policy and oversight</w:t>
            </w:r>
          </w:p>
        </w:tc>
        <w:tc>
          <w:tcPr>
            <w:tcW w:w="1666" w:type="pct"/>
          </w:tcPr>
          <w:p w14:paraId="559A2B20" w14:textId="77777777" w:rsidR="00D50023" w:rsidRPr="003C341F" w:rsidRDefault="001B53D0" w:rsidP="00C80BAE">
            <w:pPr>
              <w:pStyle w:val="Default"/>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C341F">
              <w:rPr>
                <w:rFonts w:asciiTheme="majorHAnsi" w:hAnsiTheme="majorHAnsi"/>
                <w:iCs/>
                <w:sz w:val="20"/>
              </w:rPr>
              <w:t>3.1 - SFHA has improved organisational performance</w:t>
            </w:r>
          </w:p>
        </w:tc>
      </w:tr>
      <w:tr w:rsidR="00D50023" w:rsidRPr="003C341F" w14:paraId="66AB224C" w14:textId="77777777" w:rsidTr="00C80BAE">
        <w:tc>
          <w:tcPr>
            <w:cnfStyle w:val="001000000000" w:firstRow="0" w:lastRow="0" w:firstColumn="1" w:lastColumn="0" w:oddVBand="0" w:evenVBand="0" w:oddHBand="0" w:evenHBand="0" w:firstRowFirstColumn="0" w:firstRowLastColumn="0" w:lastRowFirstColumn="0" w:lastRowLastColumn="0"/>
            <w:tcW w:w="1667" w:type="pct"/>
          </w:tcPr>
          <w:p w14:paraId="2F6B1164" w14:textId="487ADF7B" w:rsidR="00D50023" w:rsidRPr="003C341F" w:rsidRDefault="00D50023" w:rsidP="00722124">
            <w:pPr>
              <w:pStyle w:val="Default"/>
              <w:spacing w:after="0" w:line="276" w:lineRule="auto"/>
              <w:rPr>
                <w:rFonts w:asciiTheme="majorHAnsi" w:hAnsiTheme="majorHAnsi"/>
                <w:b w:val="0"/>
                <w:sz w:val="20"/>
              </w:rPr>
            </w:pPr>
            <w:r w:rsidRPr="003C341F">
              <w:rPr>
                <w:rFonts w:asciiTheme="majorHAnsi" w:hAnsiTheme="majorHAnsi"/>
                <w:b w:val="0"/>
                <w:iCs/>
                <w:sz w:val="20"/>
              </w:rPr>
              <w:t xml:space="preserve">1.2 </w:t>
            </w:r>
            <w:r w:rsidR="00722124">
              <w:rPr>
                <w:rFonts w:asciiTheme="majorHAnsi" w:hAnsiTheme="majorHAnsi"/>
                <w:b w:val="0"/>
                <w:iCs/>
                <w:sz w:val="20"/>
              </w:rPr>
              <w:t>–</w:t>
            </w:r>
            <w:r w:rsidRPr="003C341F">
              <w:rPr>
                <w:rFonts w:asciiTheme="majorHAnsi" w:hAnsiTheme="majorHAnsi"/>
                <w:b w:val="0"/>
                <w:iCs/>
                <w:sz w:val="20"/>
              </w:rPr>
              <w:t xml:space="preserve"> </w:t>
            </w:r>
            <w:r w:rsidR="00722124">
              <w:rPr>
                <w:rFonts w:asciiTheme="majorHAnsi" w:hAnsiTheme="majorHAnsi"/>
                <w:b w:val="0"/>
                <w:iCs/>
                <w:sz w:val="20"/>
              </w:rPr>
              <w:t>Health services, including primary health care services have access to informed surveillance interventions.</w:t>
            </w:r>
          </w:p>
        </w:tc>
        <w:tc>
          <w:tcPr>
            <w:tcW w:w="1667" w:type="pct"/>
          </w:tcPr>
          <w:p w14:paraId="3986F036" w14:textId="77777777" w:rsidR="00D50023" w:rsidRPr="003C341F" w:rsidRDefault="00D50023" w:rsidP="00C80BAE">
            <w:pPr>
              <w:pStyle w:val="Default"/>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C341F">
              <w:rPr>
                <w:rFonts w:asciiTheme="majorHAnsi" w:hAnsiTheme="majorHAnsi"/>
                <w:iCs/>
                <w:sz w:val="20"/>
              </w:rPr>
              <w:t xml:space="preserve">2.2 - The health workforce has access to information required to plan, </w:t>
            </w:r>
            <w:proofErr w:type="gramStart"/>
            <w:r w:rsidRPr="003C341F">
              <w:rPr>
                <w:rFonts w:asciiTheme="majorHAnsi" w:hAnsiTheme="majorHAnsi"/>
                <w:iCs/>
                <w:sz w:val="20"/>
              </w:rPr>
              <w:t>deliver</w:t>
            </w:r>
            <w:proofErr w:type="gramEnd"/>
            <w:r w:rsidRPr="003C341F">
              <w:rPr>
                <w:rFonts w:asciiTheme="majorHAnsi" w:hAnsiTheme="majorHAnsi"/>
                <w:iCs/>
                <w:sz w:val="20"/>
              </w:rPr>
              <w:t xml:space="preserve"> and monitor services</w:t>
            </w:r>
          </w:p>
        </w:tc>
        <w:tc>
          <w:tcPr>
            <w:tcW w:w="1666" w:type="pct"/>
          </w:tcPr>
          <w:p w14:paraId="08BA1B04" w14:textId="77777777" w:rsidR="00D50023" w:rsidRPr="003C341F" w:rsidRDefault="001B53D0" w:rsidP="00C80BAE">
            <w:pPr>
              <w:pStyle w:val="Default"/>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C341F">
              <w:rPr>
                <w:rFonts w:asciiTheme="majorHAnsi" w:hAnsiTheme="majorHAnsi"/>
                <w:iCs/>
                <w:sz w:val="20"/>
              </w:rPr>
              <w:t xml:space="preserve">3.2 - SFHA services are delivered in locations and in ways that are affordable, </w:t>
            </w:r>
            <w:proofErr w:type="gramStart"/>
            <w:r w:rsidRPr="003C341F">
              <w:rPr>
                <w:rFonts w:asciiTheme="majorHAnsi" w:hAnsiTheme="majorHAnsi"/>
                <w:iCs/>
                <w:sz w:val="20"/>
              </w:rPr>
              <w:t>accessible</w:t>
            </w:r>
            <w:proofErr w:type="gramEnd"/>
            <w:r w:rsidRPr="003C341F">
              <w:rPr>
                <w:rFonts w:asciiTheme="majorHAnsi" w:hAnsiTheme="majorHAnsi"/>
                <w:iCs/>
                <w:sz w:val="20"/>
              </w:rPr>
              <w:t xml:space="preserve"> and appropriate  </w:t>
            </w:r>
          </w:p>
        </w:tc>
      </w:tr>
      <w:tr w:rsidR="00D50023" w:rsidRPr="003C341F" w14:paraId="426A605E" w14:textId="77777777" w:rsidTr="00C80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E4FA024" w14:textId="77777777" w:rsidR="00D50023" w:rsidRPr="003C341F" w:rsidRDefault="00D50023" w:rsidP="00C80BAE">
            <w:pPr>
              <w:pStyle w:val="Default"/>
              <w:spacing w:after="0" w:line="276" w:lineRule="auto"/>
              <w:rPr>
                <w:rFonts w:asciiTheme="majorHAnsi" w:hAnsiTheme="majorHAnsi"/>
                <w:b w:val="0"/>
                <w:iCs/>
                <w:sz w:val="20"/>
              </w:rPr>
            </w:pPr>
            <w:r w:rsidRPr="003C341F">
              <w:rPr>
                <w:rFonts w:asciiTheme="majorHAnsi" w:hAnsiTheme="majorHAnsi"/>
                <w:b w:val="0"/>
                <w:iCs/>
                <w:sz w:val="20"/>
              </w:rPr>
              <w:t>1.3 - Health services, including primary care services, have access to the supplies and equipment they need to be effective</w:t>
            </w:r>
          </w:p>
        </w:tc>
        <w:tc>
          <w:tcPr>
            <w:tcW w:w="1667" w:type="pct"/>
          </w:tcPr>
          <w:p w14:paraId="5FBF5972" w14:textId="77777777" w:rsidR="00D50023" w:rsidRPr="003C341F" w:rsidRDefault="00D50023" w:rsidP="00C80BAE">
            <w:pPr>
              <w:pStyle w:val="Default"/>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C341F">
              <w:rPr>
                <w:rFonts w:asciiTheme="majorHAnsi" w:hAnsiTheme="majorHAnsi"/>
                <w:iCs/>
                <w:sz w:val="20"/>
              </w:rPr>
              <w:t>2.3 - Health sector institutional arrangements are better adapted to Samoa’s health needs</w:t>
            </w:r>
          </w:p>
        </w:tc>
        <w:tc>
          <w:tcPr>
            <w:tcW w:w="1666" w:type="pct"/>
          </w:tcPr>
          <w:p w14:paraId="4AD7587C" w14:textId="77777777" w:rsidR="00D50023" w:rsidRPr="003C341F" w:rsidRDefault="001B53D0" w:rsidP="00C80BAE">
            <w:pPr>
              <w:pStyle w:val="Default"/>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C341F">
              <w:rPr>
                <w:rFonts w:asciiTheme="majorHAnsi" w:hAnsiTheme="majorHAnsi"/>
                <w:iCs/>
                <w:sz w:val="20"/>
              </w:rPr>
              <w:t>3.3 - SFHA implements innovative solution(s) to improve sexual and reproductive health service delivery</w:t>
            </w:r>
          </w:p>
        </w:tc>
      </w:tr>
    </w:tbl>
    <w:p w14:paraId="05FFCF64" w14:textId="77777777" w:rsidR="008A02C2" w:rsidRDefault="008A02C2" w:rsidP="003A0889">
      <w:pPr>
        <w:rPr>
          <w:b/>
          <w:iCs/>
          <w:lang w:val="en-AU"/>
        </w:rPr>
      </w:pPr>
    </w:p>
    <w:p w14:paraId="41C3EF9E" w14:textId="62E564FD" w:rsidR="00242428" w:rsidRPr="003C341F" w:rsidRDefault="0082067C" w:rsidP="003A0889">
      <w:pPr>
        <w:rPr>
          <w:lang w:val="en-AU"/>
        </w:rPr>
      </w:pPr>
      <w:r>
        <w:rPr>
          <w:b/>
          <w:iCs/>
          <w:lang w:val="en-AU"/>
        </w:rPr>
        <w:t xml:space="preserve">1.1 – </w:t>
      </w:r>
      <w:r w:rsidR="00487E1D">
        <w:rPr>
          <w:b/>
          <w:iCs/>
          <w:lang w:val="en-AU"/>
        </w:rPr>
        <w:t>The new Primary Health Care Program</w:t>
      </w:r>
      <w:r w:rsidR="00242428" w:rsidRPr="003C341F">
        <w:rPr>
          <w:b/>
          <w:iCs/>
          <w:lang w:val="en-AU"/>
        </w:rPr>
        <w:t xml:space="preserve"> explores and replicates effective approaches for delivering district level primary health care</w:t>
      </w:r>
      <w:r w:rsidR="00242428" w:rsidRPr="003C341F">
        <w:rPr>
          <w:b/>
          <w:lang w:val="en-AU"/>
        </w:rPr>
        <w:tab/>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30"/>
        <w:gridCol w:w="3946"/>
        <w:gridCol w:w="601"/>
        <w:gridCol w:w="3933"/>
      </w:tblGrid>
      <w:tr w:rsidR="00794D46" w:rsidRPr="003C341F" w14:paraId="6C99C6A9" w14:textId="77777777" w:rsidTr="006835EF">
        <w:tc>
          <w:tcPr>
            <w:tcW w:w="293" w:type="pct"/>
            <w:shd w:val="clear" w:color="auto" w:fill="F2F2F2" w:themeFill="background1" w:themeFillShade="F2"/>
          </w:tcPr>
          <w:p w14:paraId="14CC5465" w14:textId="77777777" w:rsidR="00794D46" w:rsidRPr="003C341F" w:rsidRDefault="00794D46" w:rsidP="00C80BAE">
            <w:pPr>
              <w:spacing w:after="0"/>
              <w:rPr>
                <w:b/>
                <w:sz w:val="20"/>
                <w:lang w:val="en-AU"/>
              </w:rPr>
            </w:pPr>
            <w:r w:rsidRPr="003C341F">
              <w:rPr>
                <w:b/>
                <w:sz w:val="20"/>
                <w:lang w:val="en-AU"/>
              </w:rPr>
              <w:t>If</w:t>
            </w:r>
          </w:p>
        </w:tc>
        <w:tc>
          <w:tcPr>
            <w:tcW w:w="2211" w:type="pct"/>
            <w:shd w:val="clear" w:color="auto" w:fill="F2F2F2" w:themeFill="background1" w:themeFillShade="F2"/>
          </w:tcPr>
          <w:p w14:paraId="7DCE71EA" w14:textId="2A1A4537" w:rsidR="00794D46" w:rsidRPr="003C341F" w:rsidRDefault="0082067C" w:rsidP="00540468">
            <w:pPr>
              <w:spacing w:after="0"/>
              <w:jc w:val="left"/>
              <w:rPr>
                <w:b/>
                <w:sz w:val="20"/>
                <w:lang w:val="en-AU"/>
              </w:rPr>
            </w:pPr>
            <w:r>
              <w:rPr>
                <w:sz w:val="20"/>
                <w:lang w:val="en-AU"/>
              </w:rPr>
              <w:t>As part of the design process</w:t>
            </w:r>
            <w:r w:rsidR="00CB6FDC">
              <w:rPr>
                <w:sz w:val="20"/>
                <w:lang w:val="en-AU"/>
              </w:rPr>
              <w:t xml:space="preserve"> for the new primary</w:t>
            </w:r>
            <w:r w:rsidR="00487E1D">
              <w:rPr>
                <w:sz w:val="20"/>
                <w:lang w:val="en-AU"/>
              </w:rPr>
              <w:t xml:space="preserve"> health care program</w:t>
            </w:r>
            <w:r>
              <w:rPr>
                <w:sz w:val="20"/>
                <w:lang w:val="en-AU"/>
              </w:rPr>
              <w:t>, the designers</w:t>
            </w:r>
            <w:r w:rsidR="00794D46" w:rsidRPr="003C341F">
              <w:rPr>
                <w:sz w:val="20"/>
                <w:lang w:val="en-AU"/>
              </w:rPr>
              <w:t xml:space="preserve"> </w:t>
            </w:r>
            <w:proofErr w:type="gramStart"/>
            <w:r w:rsidR="00794D46" w:rsidRPr="003C341F">
              <w:rPr>
                <w:sz w:val="20"/>
                <w:lang w:val="en-AU"/>
              </w:rPr>
              <w:t>consults</w:t>
            </w:r>
            <w:proofErr w:type="gramEnd"/>
            <w:r w:rsidR="00794D46" w:rsidRPr="003C341F">
              <w:rPr>
                <w:sz w:val="20"/>
                <w:lang w:val="en-AU"/>
              </w:rPr>
              <w:t xml:space="preserve"> with district hospitals and health centres and undertakes analysis to better understand their particular needs for primary health care</w:t>
            </w:r>
          </w:p>
        </w:tc>
        <w:tc>
          <w:tcPr>
            <w:tcW w:w="293" w:type="pct"/>
            <w:shd w:val="clear" w:color="auto" w:fill="F2F2F2" w:themeFill="background1" w:themeFillShade="F2"/>
          </w:tcPr>
          <w:p w14:paraId="73F52C4B" w14:textId="77777777" w:rsidR="00794D46" w:rsidRPr="003C341F" w:rsidRDefault="00242428" w:rsidP="00C80BAE">
            <w:pPr>
              <w:spacing w:after="0"/>
              <w:rPr>
                <w:b/>
                <w:sz w:val="20"/>
                <w:lang w:val="en-AU"/>
              </w:rPr>
            </w:pPr>
            <w:r w:rsidRPr="003C341F">
              <w:rPr>
                <w:b/>
                <w:sz w:val="20"/>
                <w:lang w:val="en-AU"/>
              </w:rPr>
              <w:t>t</w:t>
            </w:r>
            <w:r w:rsidR="00794D46" w:rsidRPr="003C341F">
              <w:rPr>
                <w:b/>
                <w:sz w:val="20"/>
                <w:lang w:val="en-AU"/>
              </w:rPr>
              <w:t>hen</w:t>
            </w:r>
          </w:p>
        </w:tc>
        <w:tc>
          <w:tcPr>
            <w:tcW w:w="2204" w:type="pct"/>
            <w:shd w:val="clear" w:color="auto" w:fill="F2F2F2" w:themeFill="background1" w:themeFillShade="F2"/>
          </w:tcPr>
          <w:p w14:paraId="1FB1370E" w14:textId="6E5A7BA5" w:rsidR="00794D46" w:rsidRPr="003C341F" w:rsidRDefault="0082067C" w:rsidP="006835EF">
            <w:pPr>
              <w:spacing w:after="0"/>
              <w:jc w:val="left"/>
              <w:rPr>
                <w:b/>
                <w:sz w:val="20"/>
                <w:lang w:val="en-AU"/>
              </w:rPr>
            </w:pPr>
            <w:r>
              <w:rPr>
                <w:sz w:val="20"/>
                <w:lang w:val="en-AU"/>
              </w:rPr>
              <w:t>The health</w:t>
            </w:r>
            <w:r w:rsidR="0079796B">
              <w:rPr>
                <w:sz w:val="20"/>
                <w:lang w:val="en-AU"/>
              </w:rPr>
              <w:t xml:space="preserve"> sector</w:t>
            </w:r>
            <w:r w:rsidR="00242428" w:rsidRPr="003C341F">
              <w:rPr>
                <w:sz w:val="20"/>
                <w:lang w:val="en-AU"/>
              </w:rPr>
              <w:t xml:space="preserve"> will be better able to develop approaches which are tailored to the needs of each district</w:t>
            </w:r>
          </w:p>
        </w:tc>
      </w:tr>
      <w:tr w:rsidR="00242428" w:rsidRPr="003C341F" w14:paraId="2BF4F2D9" w14:textId="77777777" w:rsidTr="006835EF">
        <w:tc>
          <w:tcPr>
            <w:tcW w:w="293" w:type="pct"/>
          </w:tcPr>
          <w:p w14:paraId="62673289" w14:textId="77777777" w:rsidR="00242428" w:rsidRPr="003C341F" w:rsidRDefault="00242428" w:rsidP="00C80BAE">
            <w:pPr>
              <w:spacing w:after="0"/>
              <w:rPr>
                <w:b/>
                <w:sz w:val="20"/>
                <w:lang w:val="en-AU"/>
              </w:rPr>
            </w:pPr>
            <w:r w:rsidRPr="003C341F">
              <w:rPr>
                <w:b/>
                <w:sz w:val="20"/>
                <w:lang w:val="en-AU"/>
              </w:rPr>
              <w:t>If</w:t>
            </w:r>
          </w:p>
        </w:tc>
        <w:tc>
          <w:tcPr>
            <w:tcW w:w="2211" w:type="pct"/>
          </w:tcPr>
          <w:p w14:paraId="2C0A9666" w14:textId="53A3FBD3" w:rsidR="00242428" w:rsidRPr="003C341F" w:rsidRDefault="0082067C" w:rsidP="00654D11">
            <w:pPr>
              <w:spacing w:after="0"/>
              <w:jc w:val="left"/>
              <w:rPr>
                <w:b/>
                <w:sz w:val="20"/>
                <w:lang w:val="en-AU"/>
              </w:rPr>
            </w:pPr>
            <w:r>
              <w:rPr>
                <w:sz w:val="20"/>
                <w:lang w:val="en-AU"/>
              </w:rPr>
              <w:t xml:space="preserve">As part of the design </w:t>
            </w:r>
            <w:r w:rsidR="00654D11">
              <w:rPr>
                <w:sz w:val="20"/>
                <w:lang w:val="en-AU"/>
              </w:rPr>
              <w:t xml:space="preserve">process, </w:t>
            </w:r>
            <w:r>
              <w:rPr>
                <w:sz w:val="20"/>
                <w:lang w:val="en-AU"/>
              </w:rPr>
              <w:t xml:space="preserve">the designers design </w:t>
            </w:r>
            <w:r w:rsidR="00242428" w:rsidRPr="003C341F">
              <w:rPr>
                <w:sz w:val="20"/>
                <w:lang w:val="en-AU"/>
              </w:rPr>
              <w:t>approaches to strengthen district-level primary health care which are tailored to the needs of each district</w:t>
            </w:r>
            <w:r w:rsidR="00654D11">
              <w:rPr>
                <w:sz w:val="20"/>
                <w:lang w:val="en-AU"/>
              </w:rPr>
              <w:t xml:space="preserve">. </w:t>
            </w:r>
            <w:r w:rsidR="00BD64A9">
              <w:rPr>
                <w:sz w:val="20"/>
                <w:lang w:val="en-AU"/>
              </w:rPr>
              <w:t>(</w:t>
            </w:r>
            <w:r w:rsidR="00BD64A9" w:rsidRPr="00BD64A9">
              <w:rPr>
                <w:i/>
                <w:sz w:val="20"/>
                <w:lang w:val="en-AU"/>
              </w:rPr>
              <w:t xml:space="preserve">Note: </w:t>
            </w:r>
            <w:r w:rsidR="00654D11" w:rsidRPr="00BD64A9">
              <w:rPr>
                <w:i/>
                <w:sz w:val="20"/>
                <w:lang w:val="en-AU"/>
              </w:rPr>
              <w:t>DFAT plans to fund a specific part of the new PHC design where there is value for Australia to invest</w:t>
            </w:r>
            <w:r w:rsidR="00BD64A9">
              <w:rPr>
                <w:i/>
                <w:sz w:val="20"/>
                <w:lang w:val="en-AU"/>
              </w:rPr>
              <w:t>)</w:t>
            </w:r>
            <w:r w:rsidR="00654D11" w:rsidRPr="00BD64A9">
              <w:rPr>
                <w:i/>
                <w:sz w:val="20"/>
                <w:lang w:val="en-AU"/>
              </w:rPr>
              <w:t xml:space="preserve">. </w:t>
            </w:r>
          </w:p>
        </w:tc>
        <w:tc>
          <w:tcPr>
            <w:tcW w:w="293" w:type="pct"/>
            <w:vMerge w:val="restart"/>
            <w:vAlign w:val="center"/>
          </w:tcPr>
          <w:p w14:paraId="2D389EB9" w14:textId="77777777" w:rsidR="00242428" w:rsidRPr="003C341F" w:rsidRDefault="00242428" w:rsidP="00C80BAE">
            <w:pPr>
              <w:spacing w:after="0"/>
              <w:rPr>
                <w:b/>
                <w:sz w:val="20"/>
                <w:lang w:val="en-AU"/>
              </w:rPr>
            </w:pPr>
            <w:r w:rsidRPr="003C341F">
              <w:rPr>
                <w:b/>
                <w:sz w:val="20"/>
                <w:lang w:val="en-AU"/>
              </w:rPr>
              <w:t>then</w:t>
            </w:r>
          </w:p>
        </w:tc>
        <w:tc>
          <w:tcPr>
            <w:tcW w:w="2204" w:type="pct"/>
            <w:vMerge w:val="restart"/>
            <w:vAlign w:val="center"/>
          </w:tcPr>
          <w:p w14:paraId="702DE69C" w14:textId="40E34D04" w:rsidR="00242428" w:rsidRPr="003C341F" w:rsidRDefault="0082067C" w:rsidP="006835EF">
            <w:pPr>
              <w:spacing w:after="0"/>
              <w:jc w:val="left"/>
              <w:rPr>
                <w:b/>
                <w:sz w:val="20"/>
                <w:lang w:val="en-AU"/>
              </w:rPr>
            </w:pPr>
            <w:r>
              <w:rPr>
                <w:sz w:val="20"/>
                <w:lang w:val="en-AU"/>
              </w:rPr>
              <w:t>MOH</w:t>
            </w:r>
            <w:r w:rsidR="00242428" w:rsidRPr="003C341F">
              <w:rPr>
                <w:sz w:val="20"/>
                <w:lang w:val="en-AU"/>
              </w:rPr>
              <w:t xml:space="preserve"> will be able to demonstrate which approaches most effectively improve district-level primary health care</w:t>
            </w:r>
          </w:p>
        </w:tc>
      </w:tr>
      <w:tr w:rsidR="00242428" w:rsidRPr="003C341F" w14:paraId="04824835" w14:textId="77777777" w:rsidTr="006835EF">
        <w:tc>
          <w:tcPr>
            <w:tcW w:w="293" w:type="pct"/>
          </w:tcPr>
          <w:p w14:paraId="6F153231" w14:textId="77777777" w:rsidR="00242428" w:rsidRPr="003C341F" w:rsidRDefault="00242428" w:rsidP="00C80BAE">
            <w:pPr>
              <w:spacing w:after="0"/>
              <w:rPr>
                <w:b/>
                <w:sz w:val="20"/>
                <w:lang w:val="en-AU"/>
              </w:rPr>
            </w:pPr>
            <w:r w:rsidRPr="003C341F">
              <w:rPr>
                <w:b/>
                <w:sz w:val="20"/>
                <w:lang w:val="en-AU"/>
              </w:rPr>
              <w:t>and</w:t>
            </w:r>
          </w:p>
        </w:tc>
        <w:tc>
          <w:tcPr>
            <w:tcW w:w="2211" w:type="pct"/>
          </w:tcPr>
          <w:p w14:paraId="1B3366F5" w14:textId="77777777" w:rsidR="00242428" w:rsidRPr="003C341F" w:rsidRDefault="00C62C8E" w:rsidP="006835EF">
            <w:pPr>
              <w:spacing w:after="0"/>
              <w:jc w:val="left"/>
              <w:rPr>
                <w:b/>
                <w:sz w:val="20"/>
                <w:lang w:val="en-AU"/>
              </w:rPr>
            </w:pPr>
            <w:r w:rsidRPr="003C341F">
              <w:rPr>
                <w:sz w:val="20"/>
                <w:lang w:val="en-AU"/>
              </w:rPr>
              <w:t>MOH</w:t>
            </w:r>
            <w:r w:rsidR="00242428" w:rsidRPr="003C341F">
              <w:rPr>
                <w:sz w:val="20"/>
                <w:lang w:val="en-AU"/>
              </w:rPr>
              <w:t xml:space="preserve"> monitors and evaluates these approaches including the associated costs and benefits</w:t>
            </w:r>
          </w:p>
        </w:tc>
        <w:tc>
          <w:tcPr>
            <w:tcW w:w="293" w:type="pct"/>
            <w:vMerge/>
          </w:tcPr>
          <w:p w14:paraId="1E0180E0" w14:textId="77777777" w:rsidR="00242428" w:rsidRPr="003C341F" w:rsidRDefault="00242428" w:rsidP="00C80BAE">
            <w:pPr>
              <w:spacing w:after="0"/>
              <w:rPr>
                <w:b/>
                <w:sz w:val="20"/>
                <w:lang w:val="en-AU"/>
              </w:rPr>
            </w:pPr>
          </w:p>
        </w:tc>
        <w:tc>
          <w:tcPr>
            <w:tcW w:w="2204" w:type="pct"/>
            <w:vMerge/>
          </w:tcPr>
          <w:p w14:paraId="3AB9C9DF" w14:textId="77777777" w:rsidR="00242428" w:rsidRPr="003C341F" w:rsidRDefault="00242428" w:rsidP="006835EF">
            <w:pPr>
              <w:spacing w:after="0"/>
              <w:jc w:val="left"/>
              <w:rPr>
                <w:b/>
                <w:sz w:val="20"/>
                <w:lang w:val="en-AU"/>
              </w:rPr>
            </w:pPr>
          </w:p>
        </w:tc>
      </w:tr>
      <w:tr w:rsidR="00242428" w:rsidRPr="003C341F" w14:paraId="0B9E6BA1" w14:textId="77777777" w:rsidTr="006835EF">
        <w:tc>
          <w:tcPr>
            <w:tcW w:w="293" w:type="pct"/>
            <w:shd w:val="clear" w:color="auto" w:fill="F2F2F2" w:themeFill="background1" w:themeFillShade="F2"/>
          </w:tcPr>
          <w:p w14:paraId="1518C4B7" w14:textId="77777777" w:rsidR="00242428" w:rsidRPr="003C341F" w:rsidRDefault="00242428" w:rsidP="00C80BAE">
            <w:pPr>
              <w:spacing w:after="0"/>
              <w:rPr>
                <w:b/>
                <w:sz w:val="20"/>
                <w:lang w:val="en-AU"/>
              </w:rPr>
            </w:pPr>
            <w:r w:rsidRPr="003C341F">
              <w:rPr>
                <w:b/>
                <w:sz w:val="20"/>
                <w:lang w:val="en-AU"/>
              </w:rPr>
              <w:t>If</w:t>
            </w:r>
          </w:p>
        </w:tc>
        <w:tc>
          <w:tcPr>
            <w:tcW w:w="2211" w:type="pct"/>
            <w:shd w:val="clear" w:color="auto" w:fill="F2F2F2" w:themeFill="background1" w:themeFillShade="F2"/>
          </w:tcPr>
          <w:p w14:paraId="723F6171" w14:textId="004B3CD1" w:rsidR="00242428" w:rsidRPr="003C341F" w:rsidRDefault="00D05590" w:rsidP="006835EF">
            <w:pPr>
              <w:spacing w:after="0"/>
              <w:jc w:val="left"/>
              <w:rPr>
                <w:sz w:val="20"/>
                <w:lang w:val="en-AU"/>
              </w:rPr>
            </w:pPr>
            <w:r>
              <w:rPr>
                <w:sz w:val="20"/>
                <w:lang w:val="en-AU"/>
              </w:rPr>
              <w:t xml:space="preserve">If the </w:t>
            </w:r>
            <w:r w:rsidR="0082067C">
              <w:rPr>
                <w:sz w:val="20"/>
                <w:lang w:val="en-AU"/>
              </w:rPr>
              <w:t>new primary health care program</w:t>
            </w:r>
            <w:r w:rsidR="00242428" w:rsidRPr="003C341F">
              <w:rPr>
                <w:sz w:val="20"/>
                <w:lang w:val="en-AU"/>
              </w:rPr>
              <w:t xml:space="preserve"> funds and replicates effective approaches to improving district-level primary health care</w:t>
            </w:r>
          </w:p>
        </w:tc>
        <w:tc>
          <w:tcPr>
            <w:tcW w:w="293" w:type="pct"/>
            <w:shd w:val="clear" w:color="auto" w:fill="F2F2F2" w:themeFill="background1" w:themeFillShade="F2"/>
          </w:tcPr>
          <w:p w14:paraId="048A1867" w14:textId="77777777" w:rsidR="00242428" w:rsidRPr="003C341F" w:rsidRDefault="00242428" w:rsidP="00C80BAE">
            <w:pPr>
              <w:spacing w:after="0"/>
              <w:rPr>
                <w:b/>
                <w:sz w:val="20"/>
                <w:lang w:val="en-AU"/>
              </w:rPr>
            </w:pPr>
            <w:r w:rsidRPr="003C341F">
              <w:rPr>
                <w:b/>
                <w:sz w:val="20"/>
                <w:lang w:val="en-AU"/>
              </w:rPr>
              <w:t>then</w:t>
            </w:r>
          </w:p>
        </w:tc>
        <w:tc>
          <w:tcPr>
            <w:tcW w:w="2204" w:type="pct"/>
            <w:shd w:val="clear" w:color="auto" w:fill="F2F2F2" w:themeFill="background1" w:themeFillShade="F2"/>
          </w:tcPr>
          <w:p w14:paraId="40D6CDB5" w14:textId="77777777" w:rsidR="00242428" w:rsidRPr="003C341F" w:rsidRDefault="00242428" w:rsidP="006835EF">
            <w:pPr>
              <w:spacing w:after="0"/>
              <w:jc w:val="left"/>
              <w:rPr>
                <w:b/>
                <w:sz w:val="20"/>
                <w:lang w:val="en-AU"/>
              </w:rPr>
            </w:pPr>
            <w:r w:rsidRPr="003C341F">
              <w:rPr>
                <w:sz w:val="20"/>
                <w:lang w:val="en-AU"/>
              </w:rPr>
              <w:t>There will be increased resources, better incentives for health workers and better service delivery approaches for district-level primary health care that meet each district’s needs</w:t>
            </w:r>
          </w:p>
        </w:tc>
      </w:tr>
    </w:tbl>
    <w:p w14:paraId="2A3508A7" w14:textId="77777777" w:rsidR="004D08AA" w:rsidRDefault="004D08AA" w:rsidP="00C80BAE">
      <w:pPr>
        <w:spacing w:before="120"/>
        <w:rPr>
          <w:lang w:val="en-AU"/>
        </w:rPr>
      </w:pPr>
    </w:p>
    <w:p w14:paraId="1762EE01" w14:textId="77777777" w:rsidR="004D08AA" w:rsidRDefault="004D08AA" w:rsidP="00C80BAE">
      <w:pPr>
        <w:spacing w:before="120"/>
        <w:rPr>
          <w:lang w:val="en-AU"/>
        </w:rPr>
      </w:pPr>
    </w:p>
    <w:p w14:paraId="5793AEEB" w14:textId="6CA880D2" w:rsidR="00905B41" w:rsidRPr="003C341F" w:rsidRDefault="00905B41" w:rsidP="00C80BAE">
      <w:pPr>
        <w:spacing w:before="120"/>
        <w:rPr>
          <w:lang w:val="en-AU"/>
        </w:rPr>
      </w:pPr>
      <w:r w:rsidRPr="003C341F">
        <w:rPr>
          <w:lang w:val="en-AU"/>
        </w:rPr>
        <w:lastRenderedPageBreak/>
        <w:t>The following assumptions underpin the above outcome pathway:</w:t>
      </w:r>
    </w:p>
    <w:p w14:paraId="56420CC3" w14:textId="026A4A9C" w:rsidR="0082067C" w:rsidRDefault="0082067C" w:rsidP="00662F77">
      <w:pPr>
        <w:pStyle w:val="Bullet1-Long"/>
      </w:pPr>
      <w:r>
        <w:t xml:space="preserve">DFAT is closely involved with the World Bank </w:t>
      </w:r>
      <w:r w:rsidR="00540468">
        <w:t xml:space="preserve">and health sector </w:t>
      </w:r>
      <w:r w:rsidR="004D08AA">
        <w:t>in the design of Samoa’s</w:t>
      </w:r>
      <w:r>
        <w:t xml:space="preserve"> new primary health care program and that DFAT agrees to fund implementation of specific approaches. </w:t>
      </w:r>
    </w:p>
    <w:p w14:paraId="57AA4663" w14:textId="43F983CC" w:rsidR="00905B41" w:rsidRPr="003C341F" w:rsidRDefault="0082067C" w:rsidP="00662F77">
      <w:pPr>
        <w:pStyle w:val="Bullet1-Long"/>
      </w:pPr>
      <w:r>
        <w:t>The health sector has</w:t>
      </w:r>
      <w:r w:rsidR="00905B41" w:rsidRPr="003C341F">
        <w:t xml:space="preserve"> adequate funding and supply of appropriately skilled doctors and nurses. The key issue is how these resources are allocated towards district-level primary health care. </w:t>
      </w:r>
    </w:p>
    <w:p w14:paraId="535CC779" w14:textId="77777777" w:rsidR="001B53D0" w:rsidRPr="003C341F" w:rsidRDefault="00905B41" w:rsidP="00662F77">
      <w:pPr>
        <w:pStyle w:val="Bullet1-Long"/>
      </w:pPr>
      <w:r w:rsidRPr="003C341F">
        <w:t>Doctors and nurses will have the capacity and motivation to remain and perform in their positions at the district level.</w:t>
      </w:r>
    </w:p>
    <w:p w14:paraId="295D5D6D" w14:textId="75A31F53" w:rsidR="00242428" w:rsidRPr="003C341F" w:rsidRDefault="00242428" w:rsidP="003A0889">
      <w:pPr>
        <w:rPr>
          <w:b/>
          <w:iCs/>
          <w:lang w:val="en-AU"/>
        </w:rPr>
      </w:pPr>
      <w:r w:rsidRPr="003C341F">
        <w:rPr>
          <w:b/>
          <w:iCs/>
          <w:lang w:val="en-AU"/>
        </w:rPr>
        <w:t xml:space="preserve">1.2 - </w:t>
      </w:r>
      <w:r w:rsidR="00CB6FDC" w:rsidRPr="00CB6FDC">
        <w:rPr>
          <w:b/>
          <w:iCs/>
          <w:lang w:val="en-AU"/>
        </w:rPr>
        <w:t>Health services, including primary health care services have access to informed surveillance interventions.</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3"/>
        <w:gridCol w:w="3959"/>
        <w:gridCol w:w="601"/>
        <w:gridCol w:w="3947"/>
      </w:tblGrid>
      <w:tr w:rsidR="00242428" w:rsidRPr="003C341F" w14:paraId="6A45A77F" w14:textId="77777777" w:rsidTr="00271EE3">
        <w:trPr>
          <w:cantSplit/>
        </w:trPr>
        <w:tc>
          <w:tcPr>
            <w:tcW w:w="282" w:type="pct"/>
            <w:shd w:val="clear" w:color="auto" w:fill="F2F2F2" w:themeFill="background1" w:themeFillShade="F2"/>
          </w:tcPr>
          <w:p w14:paraId="7DD5EAB9" w14:textId="77777777" w:rsidR="00242428" w:rsidRPr="003C341F" w:rsidRDefault="00242428" w:rsidP="00C80BAE">
            <w:pPr>
              <w:spacing w:after="0"/>
              <w:rPr>
                <w:b/>
                <w:sz w:val="20"/>
                <w:lang w:val="en-AU"/>
              </w:rPr>
            </w:pPr>
            <w:r w:rsidRPr="003C341F">
              <w:rPr>
                <w:b/>
                <w:sz w:val="20"/>
                <w:lang w:val="en-AU"/>
              </w:rPr>
              <w:t>If</w:t>
            </w:r>
          </w:p>
        </w:tc>
        <w:tc>
          <w:tcPr>
            <w:tcW w:w="2200" w:type="pct"/>
            <w:shd w:val="clear" w:color="auto" w:fill="F2F2F2" w:themeFill="background1" w:themeFillShade="F2"/>
          </w:tcPr>
          <w:p w14:paraId="129AAA07" w14:textId="10480DBD" w:rsidR="00242428" w:rsidRPr="003C341F" w:rsidRDefault="00CB6FDC" w:rsidP="00CB6FDC">
            <w:pPr>
              <w:spacing w:after="0"/>
              <w:jc w:val="left"/>
              <w:rPr>
                <w:b/>
                <w:sz w:val="20"/>
                <w:lang w:val="en-AU"/>
              </w:rPr>
            </w:pPr>
            <w:r>
              <w:rPr>
                <w:sz w:val="20"/>
                <w:lang w:val="en-AU"/>
              </w:rPr>
              <w:t>MOH</w:t>
            </w:r>
            <w:r w:rsidRPr="003C341F">
              <w:rPr>
                <w:sz w:val="20"/>
                <w:lang w:val="en-AU"/>
              </w:rPr>
              <w:t xml:space="preserve"> has better functioning systems and sufficient staff with the skills and motivation needed for effective </w:t>
            </w:r>
            <w:r>
              <w:rPr>
                <w:sz w:val="20"/>
                <w:lang w:val="en-AU"/>
              </w:rPr>
              <w:t xml:space="preserve">surveillance </w:t>
            </w:r>
          </w:p>
        </w:tc>
        <w:tc>
          <w:tcPr>
            <w:tcW w:w="325" w:type="pct"/>
            <w:shd w:val="clear" w:color="auto" w:fill="F2F2F2" w:themeFill="background1" w:themeFillShade="F2"/>
          </w:tcPr>
          <w:p w14:paraId="52799AE5" w14:textId="77777777" w:rsidR="00242428" w:rsidRPr="003C341F" w:rsidRDefault="00242428" w:rsidP="00C80BAE">
            <w:pPr>
              <w:spacing w:after="0"/>
              <w:rPr>
                <w:b/>
                <w:sz w:val="20"/>
                <w:lang w:val="en-AU"/>
              </w:rPr>
            </w:pPr>
            <w:r w:rsidRPr="003C341F">
              <w:rPr>
                <w:b/>
                <w:sz w:val="20"/>
                <w:lang w:val="en-AU"/>
              </w:rPr>
              <w:t>then</w:t>
            </w:r>
          </w:p>
        </w:tc>
        <w:tc>
          <w:tcPr>
            <w:tcW w:w="2193" w:type="pct"/>
            <w:shd w:val="clear" w:color="auto" w:fill="F2F2F2" w:themeFill="background1" w:themeFillShade="F2"/>
          </w:tcPr>
          <w:p w14:paraId="494DC710" w14:textId="58221C78" w:rsidR="00242428" w:rsidRDefault="00C62C8E" w:rsidP="00CB6FDC">
            <w:pPr>
              <w:spacing w:after="0"/>
              <w:jc w:val="left"/>
              <w:rPr>
                <w:sz w:val="20"/>
                <w:lang w:val="en-AU"/>
              </w:rPr>
            </w:pPr>
            <w:r w:rsidRPr="003C341F">
              <w:rPr>
                <w:sz w:val="20"/>
                <w:lang w:val="en-AU"/>
              </w:rPr>
              <w:t>MOH</w:t>
            </w:r>
            <w:r w:rsidR="00242428" w:rsidRPr="003C341F">
              <w:rPr>
                <w:sz w:val="20"/>
                <w:lang w:val="en-AU"/>
              </w:rPr>
              <w:t xml:space="preserve"> will</w:t>
            </w:r>
            <w:r w:rsidR="00CB6FDC">
              <w:rPr>
                <w:sz w:val="20"/>
                <w:lang w:val="en-AU"/>
              </w:rPr>
              <w:t xml:space="preserve"> more</w:t>
            </w:r>
            <w:r w:rsidR="00242428" w:rsidRPr="003C341F">
              <w:rPr>
                <w:sz w:val="20"/>
                <w:lang w:val="en-AU"/>
              </w:rPr>
              <w:t xml:space="preserve"> effectively </w:t>
            </w:r>
            <w:r w:rsidR="00CB6FDC">
              <w:rPr>
                <w:sz w:val="20"/>
                <w:lang w:val="en-AU"/>
              </w:rPr>
              <w:t xml:space="preserve">plan, conduct and mange public health interventions. </w:t>
            </w:r>
          </w:p>
          <w:p w14:paraId="1E38208E" w14:textId="1DA475F4" w:rsidR="00CB6FDC" w:rsidRPr="003C341F" w:rsidRDefault="00CB6FDC" w:rsidP="00CB6FDC">
            <w:pPr>
              <w:spacing w:after="0"/>
              <w:jc w:val="left"/>
              <w:rPr>
                <w:b/>
                <w:sz w:val="20"/>
                <w:lang w:val="en-AU"/>
              </w:rPr>
            </w:pPr>
          </w:p>
        </w:tc>
      </w:tr>
      <w:tr w:rsidR="0064528A" w:rsidRPr="003C341F" w14:paraId="44DBA55C" w14:textId="77777777" w:rsidTr="00271EE3">
        <w:trPr>
          <w:trHeight w:val="1084"/>
        </w:trPr>
        <w:tc>
          <w:tcPr>
            <w:tcW w:w="282" w:type="pct"/>
          </w:tcPr>
          <w:p w14:paraId="0D37B105" w14:textId="77777777" w:rsidR="0064528A" w:rsidRPr="003C341F" w:rsidRDefault="0064528A" w:rsidP="00C80BAE">
            <w:pPr>
              <w:spacing w:after="0"/>
              <w:rPr>
                <w:b/>
                <w:sz w:val="20"/>
                <w:lang w:val="en-AU"/>
              </w:rPr>
            </w:pPr>
            <w:r w:rsidRPr="003C341F">
              <w:rPr>
                <w:b/>
                <w:sz w:val="20"/>
                <w:lang w:val="en-AU"/>
              </w:rPr>
              <w:t>If</w:t>
            </w:r>
          </w:p>
        </w:tc>
        <w:tc>
          <w:tcPr>
            <w:tcW w:w="2200" w:type="pct"/>
          </w:tcPr>
          <w:p w14:paraId="2C8EC64A" w14:textId="4A284140" w:rsidR="0064528A" w:rsidRPr="003C341F" w:rsidRDefault="00C62C8E" w:rsidP="00CB6FDC">
            <w:pPr>
              <w:spacing w:after="0"/>
              <w:jc w:val="left"/>
              <w:rPr>
                <w:b/>
                <w:sz w:val="20"/>
                <w:lang w:val="en-AU"/>
              </w:rPr>
            </w:pPr>
            <w:r w:rsidRPr="003C341F">
              <w:rPr>
                <w:sz w:val="20"/>
                <w:lang w:val="en-AU"/>
              </w:rPr>
              <w:t>MOH</w:t>
            </w:r>
            <w:r w:rsidR="0064528A" w:rsidRPr="003C341F">
              <w:rPr>
                <w:sz w:val="20"/>
                <w:lang w:val="en-AU"/>
              </w:rPr>
              <w:t xml:space="preserve"> </w:t>
            </w:r>
            <w:r w:rsidR="00CB6FDC">
              <w:rPr>
                <w:sz w:val="20"/>
                <w:lang w:val="en-AU"/>
              </w:rPr>
              <w:t>undertakes more effective surveillance</w:t>
            </w:r>
            <w:r w:rsidR="0064528A" w:rsidRPr="003C341F">
              <w:rPr>
                <w:b/>
                <w:sz w:val="20"/>
                <w:lang w:val="en-AU"/>
              </w:rPr>
              <w:t xml:space="preserve"> </w:t>
            </w:r>
            <w:r w:rsidR="00271EE3" w:rsidRPr="00271EE3">
              <w:rPr>
                <w:sz w:val="20"/>
                <w:lang w:val="en-AU"/>
              </w:rPr>
              <w:t>that produces well informed and timely information</w:t>
            </w:r>
            <w:r w:rsidR="00271EE3">
              <w:rPr>
                <w:b/>
                <w:sz w:val="20"/>
                <w:lang w:val="en-AU"/>
              </w:rPr>
              <w:t xml:space="preserve"> </w:t>
            </w:r>
          </w:p>
        </w:tc>
        <w:tc>
          <w:tcPr>
            <w:tcW w:w="325" w:type="pct"/>
          </w:tcPr>
          <w:p w14:paraId="7C59C492" w14:textId="77777777" w:rsidR="0064528A" w:rsidRPr="003C341F" w:rsidRDefault="0064528A" w:rsidP="00C80BAE">
            <w:pPr>
              <w:spacing w:after="0"/>
              <w:rPr>
                <w:b/>
                <w:sz w:val="20"/>
                <w:lang w:val="en-AU"/>
              </w:rPr>
            </w:pPr>
            <w:r w:rsidRPr="003C341F">
              <w:rPr>
                <w:b/>
                <w:sz w:val="20"/>
                <w:lang w:val="en-AU"/>
              </w:rPr>
              <w:t>then</w:t>
            </w:r>
          </w:p>
        </w:tc>
        <w:tc>
          <w:tcPr>
            <w:tcW w:w="2193" w:type="pct"/>
          </w:tcPr>
          <w:p w14:paraId="1AD6FE04" w14:textId="2EDFB260" w:rsidR="0064528A" w:rsidRPr="003C341F" w:rsidRDefault="00271EE3" w:rsidP="006835EF">
            <w:pPr>
              <w:spacing w:after="0"/>
              <w:jc w:val="left"/>
              <w:rPr>
                <w:b/>
                <w:sz w:val="20"/>
                <w:lang w:val="en-AU"/>
              </w:rPr>
            </w:pPr>
            <w:r w:rsidRPr="00271EE3">
              <w:rPr>
                <w:sz w:val="20"/>
                <w:lang w:val="en-AU"/>
              </w:rPr>
              <w:t xml:space="preserve">Primary health care services, including at </w:t>
            </w:r>
            <w:proofErr w:type="spellStart"/>
            <w:r w:rsidRPr="00271EE3">
              <w:rPr>
                <w:sz w:val="20"/>
                <w:lang w:val="en-AU"/>
              </w:rPr>
              <w:t>dirtict</w:t>
            </w:r>
            <w:proofErr w:type="spellEnd"/>
            <w:r w:rsidRPr="00271EE3">
              <w:rPr>
                <w:sz w:val="20"/>
                <w:lang w:val="en-AU"/>
              </w:rPr>
              <w:t xml:space="preserve"> level have access to </w:t>
            </w:r>
            <w:r>
              <w:rPr>
                <w:sz w:val="20"/>
                <w:lang w:val="en-AU"/>
              </w:rPr>
              <w:t xml:space="preserve">informed public health </w:t>
            </w:r>
            <w:r w:rsidRPr="00271EE3">
              <w:rPr>
                <w:sz w:val="20"/>
                <w:lang w:val="en-AU"/>
              </w:rPr>
              <w:t>interventions</w:t>
            </w:r>
          </w:p>
        </w:tc>
      </w:tr>
    </w:tbl>
    <w:p w14:paraId="2E9BE7B0" w14:textId="77777777" w:rsidR="00905B41" w:rsidRPr="003C341F" w:rsidRDefault="00905B41" w:rsidP="00C80BAE">
      <w:pPr>
        <w:spacing w:before="120"/>
        <w:rPr>
          <w:lang w:val="en-AU"/>
        </w:rPr>
      </w:pPr>
      <w:r w:rsidRPr="003C341F">
        <w:rPr>
          <w:lang w:val="en-AU"/>
        </w:rPr>
        <w:t>The following assumptions underpin the above outcome pathway:</w:t>
      </w:r>
    </w:p>
    <w:p w14:paraId="02FF79DC" w14:textId="4CDE7588" w:rsidR="00905B41" w:rsidRDefault="00271EE3" w:rsidP="00662F77">
      <w:pPr>
        <w:pStyle w:val="Bullet1-Long"/>
      </w:pPr>
      <w:r>
        <w:t>MOH has sufficient staff and motivation to improve surveillance.</w:t>
      </w:r>
    </w:p>
    <w:p w14:paraId="56B3ED76" w14:textId="40C310B7" w:rsidR="00271EE3" w:rsidRPr="003C341F" w:rsidRDefault="00271EE3" w:rsidP="00662F77">
      <w:pPr>
        <w:pStyle w:val="Bullet1-Long"/>
      </w:pPr>
      <w:r>
        <w:t>There is sufficient</w:t>
      </w:r>
      <w:r w:rsidR="00F40A8A">
        <w:t xml:space="preserve"> funding to fund </w:t>
      </w:r>
      <w:r>
        <w:t>effective and efficient public health interventions.</w:t>
      </w:r>
    </w:p>
    <w:p w14:paraId="1DF2A366" w14:textId="77777777" w:rsidR="00967BE4" w:rsidRPr="003C341F" w:rsidRDefault="0064528A" w:rsidP="003A0889">
      <w:pPr>
        <w:rPr>
          <w:b/>
          <w:iCs/>
          <w:lang w:val="en-AU"/>
        </w:rPr>
      </w:pPr>
      <w:r w:rsidRPr="003C341F">
        <w:rPr>
          <w:b/>
          <w:iCs/>
          <w:lang w:val="en-AU"/>
        </w:rPr>
        <w:t>1.3 - Health services, including primary care services, have access to the supplies and equipment they need to be effective</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3"/>
        <w:gridCol w:w="3960"/>
        <w:gridCol w:w="601"/>
        <w:gridCol w:w="3946"/>
      </w:tblGrid>
      <w:tr w:rsidR="0064528A" w:rsidRPr="003C341F" w14:paraId="764FCA3A" w14:textId="77777777" w:rsidTr="00C80BAE">
        <w:trPr>
          <w:cantSplit/>
        </w:trPr>
        <w:tc>
          <w:tcPr>
            <w:tcW w:w="293" w:type="pct"/>
            <w:shd w:val="clear" w:color="auto" w:fill="F2F2F2" w:themeFill="background1" w:themeFillShade="F2"/>
          </w:tcPr>
          <w:p w14:paraId="0073358F" w14:textId="77777777" w:rsidR="0064528A" w:rsidRPr="003C341F" w:rsidRDefault="0064528A" w:rsidP="00C80BAE">
            <w:pPr>
              <w:spacing w:after="0"/>
              <w:rPr>
                <w:b/>
                <w:sz w:val="20"/>
                <w:lang w:val="en-AU"/>
              </w:rPr>
            </w:pPr>
            <w:r w:rsidRPr="003C341F">
              <w:rPr>
                <w:b/>
                <w:sz w:val="20"/>
                <w:lang w:val="en-AU"/>
              </w:rPr>
              <w:t>If</w:t>
            </w:r>
          </w:p>
        </w:tc>
        <w:tc>
          <w:tcPr>
            <w:tcW w:w="2211" w:type="pct"/>
            <w:shd w:val="clear" w:color="auto" w:fill="F2F2F2" w:themeFill="background1" w:themeFillShade="F2"/>
          </w:tcPr>
          <w:p w14:paraId="5EDA6D96" w14:textId="264FE960" w:rsidR="0064528A" w:rsidRPr="003C341F" w:rsidRDefault="0064528A" w:rsidP="00967226">
            <w:pPr>
              <w:spacing w:after="0"/>
              <w:jc w:val="left"/>
              <w:rPr>
                <w:b/>
                <w:sz w:val="20"/>
                <w:lang w:val="en-AU"/>
              </w:rPr>
            </w:pPr>
            <w:r w:rsidRPr="003C341F">
              <w:rPr>
                <w:sz w:val="20"/>
                <w:lang w:val="en-AU"/>
              </w:rPr>
              <w:t>NHS has better functioning systems and sufficient staff with the skills and motivation needed for effective procurement of pharmaceuticals and biomedical equipment</w:t>
            </w:r>
            <w:r w:rsidRPr="003C341F">
              <w:rPr>
                <w:b/>
                <w:sz w:val="20"/>
                <w:lang w:val="en-AU"/>
              </w:rPr>
              <w:t xml:space="preserve"> </w:t>
            </w:r>
          </w:p>
        </w:tc>
        <w:tc>
          <w:tcPr>
            <w:tcW w:w="293" w:type="pct"/>
            <w:shd w:val="clear" w:color="auto" w:fill="F2F2F2" w:themeFill="background1" w:themeFillShade="F2"/>
          </w:tcPr>
          <w:p w14:paraId="7CAB0DFF" w14:textId="77777777" w:rsidR="0064528A" w:rsidRPr="003C341F" w:rsidRDefault="0064528A" w:rsidP="00C80BAE">
            <w:pPr>
              <w:spacing w:after="0"/>
              <w:rPr>
                <w:b/>
                <w:sz w:val="20"/>
                <w:lang w:val="en-AU"/>
              </w:rPr>
            </w:pPr>
            <w:r w:rsidRPr="003C341F">
              <w:rPr>
                <w:b/>
                <w:sz w:val="20"/>
                <w:lang w:val="en-AU"/>
              </w:rPr>
              <w:t>then</w:t>
            </w:r>
          </w:p>
        </w:tc>
        <w:tc>
          <w:tcPr>
            <w:tcW w:w="2204" w:type="pct"/>
            <w:shd w:val="clear" w:color="auto" w:fill="F2F2F2" w:themeFill="background1" w:themeFillShade="F2"/>
          </w:tcPr>
          <w:p w14:paraId="4944FAA1" w14:textId="6717596A" w:rsidR="0064528A" w:rsidRPr="003C341F" w:rsidRDefault="0064528A" w:rsidP="006835EF">
            <w:pPr>
              <w:spacing w:after="0"/>
              <w:jc w:val="left"/>
              <w:rPr>
                <w:sz w:val="20"/>
                <w:lang w:val="en-AU"/>
              </w:rPr>
            </w:pPr>
            <w:r w:rsidRPr="003C341F">
              <w:rPr>
                <w:sz w:val="20"/>
                <w:lang w:val="en-AU"/>
              </w:rPr>
              <w:t>NHS will more effectively plan, conduct, manage and monitor procure</w:t>
            </w:r>
            <w:r w:rsidR="00967226">
              <w:rPr>
                <w:sz w:val="20"/>
                <w:lang w:val="en-AU"/>
              </w:rPr>
              <w:t>ment of pharmaceuticals and bio</w:t>
            </w:r>
            <w:r w:rsidRPr="003C341F">
              <w:rPr>
                <w:sz w:val="20"/>
                <w:lang w:val="en-AU"/>
              </w:rPr>
              <w:t>medical equipment.</w:t>
            </w:r>
          </w:p>
        </w:tc>
      </w:tr>
      <w:tr w:rsidR="0064528A" w:rsidRPr="003C341F" w14:paraId="3E1187D6" w14:textId="77777777" w:rsidTr="008A02C2">
        <w:trPr>
          <w:trHeight w:val="557"/>
        </w:trPr>
        <w:tc>
          <w:tcPr>
            <w:tcW w:w="293" w:type="pct"/>
          </w:tcPr>
          <w:p w14:paraId="6E0E07CE" w14:textId="77777777" w:rsidR="0064528A" w:rsidRPr="003C341F" w:rsidRDefault="0064528A" w:rsidP="00C80BAE">
            <w:pPr>
              <w:spacing w:after="0"/>
              <w:rPr>
                <w:b/>
                <w:sz w:val="20"/>
                <w:lang w:val="en-AU"/>
              </w:rPr>
            </w:pPr>
            <w:r w:rsidRPr="003C341F">
              <w:rPr>
                <w:b/>
                <w:sz w:val="20"/>
                <w:lang w:val="en-AU"/>
              </w:rPr>
              <w:t>If</w:t>
            </w:r>
          </w:p>
        </w:tc>
        <w:tc>
          <w:tcPr>
            <w:tcW w:w="2211" w:type="pct"/>
          </w:tcPr>
          <w:p w14:paraId="2B4E6A0A" w14:textId="05CE1625" w:rsidR="0064528A" w:rsidRPr="003C341F" w:rsidRDefault="00C566CA" w:rsidP="00967226">
            <w:pPr>
              <w:spacing w:after="0"/>
              <w:jc w:val="left"/>
              <w:rPr>
                <w:b/>
                <w:sz w:val="20"/>
                <w:lang w:val="en-AU"/>
              </w:rPr>
            </w:pPr>
            <w:r w:rsidRPr="003C341F">
              <w:rPr>
                <w:sz w:val="20"/>
                <w:lang w:val="en-AU"/>
              </w:rPr>
              <w:t>NHS undertakes more effective procurement of pharmaceuticals and biomedical equipment</w:t>
            </w:r>
            <w:r w:rsidRPr="003C341F">
              <w:rPr>
                <w:b/>
                <w:sz w:val="20"/>
                <w:lang w:val="en-AU"/>
              </w:rPr>
              <w:t xml:space="preserve"> </w:t>
            </w:r>
          </w:p>
        </w:tc>
        <w:tc>
          <w:tcPr>
            <w:tcW w:w="293" w:type="pct"/>
          </w:tcPr>
          <w:p w14:paraId="7A46D360" w14:textId="77777777" w:rsidR="0064528A" w:rsidRPr="003C341F" w:rsidRDefault="0064528A" w:rsidP="008A02C2">
            <w:pPr>
              <w:spacing w:after="0"/>
              <w:jc w:val="center"/>
              <w:rPr>
                <w:b/>
                <w:sz w:val="20"/>
                <w:lang w:val="en-AU"/>
              </w:rPr>
            </w:pPr>
            <w:r w:rsidRPr="003C341F">
              <w:rPr>
                <w:b/>
                <w:sz w:val="20"/>
                <w:lang w:val="en-AU"/>
              </w:rPr>
              <w:t>then</w:t>
            </w:r>
          </w:p>
        </w:tc>
        <w:tc>
          <w:tcPr>
            <w:tcW w:w="2204" w:type="pct"/>
            <w:vAlign w:val="center"/>
          </w:tcPr>
          <w:p w14:paraId="0A28109A" w14:textId="53C0B185" w:rsidR="0064528A" w:rsidRPr="003C341F" w:rsidRDefault="00C566CA" w:rsidP="00967226">
            <w:pPr>
              <w:spacing w:after="0"/>
              <w:jc w:val="left"/>
              <w:rPr>
                <w:b/>
                <w:sz w:val="20"/>
                <w:lang w:val="en-AU"/>
              </w:rPr>
            </w:pPr>
            <w:r w:rsidRPr="003C341F">
              <w:rPr>
                <w:sz w:val="20"/>
                <w:lang w:val="en-AU"/>
              </w:rPr>
              <w:t xml:space="preserve">Primary health care services, including at district-level, will have a more consistent and timely supply of pharmaceuticals and biomedical equipment of the appropriate type, </w:t>
            </w:r>
            <w:proofErr w:type="gramStart"/>
            <w:r w:rsidRPr="003C341F">
              <w:rPr>
                <w:sz w:val="20"/>
                <w:lang w:val="en-AU"/>
              </w:rPr>
              <w:t>quantity</w:t>
            </w:r>
            <w:proofErr w:type="gramEnd"/>
            <w:r w:rsidRPr="003C341F">
              <w:rPr>
                <w:sz w:val="20"/>
                <w:lang w:val="en-AU"/>
              </w:rPr>
              <w:t xml:space="preserve"> and quality for their needs</w:t>
            </w:r>
            <w:r w:rsidR="00C80BAE" w:rsidRPr="003C341F">
              <w:rPr>
                <w:sz w:val="20"/>
                <w:lang w:val="en-AU"/>
              </w:rPr>
              <w:t>.</w:t>
            </w:r>
          </w:p>
        </w:tc>
      </w:tr>
      <w:tr w:rsidR="00C566CA" w:rsidRPr="003C341F" w14:paraId="0ACD236B" w14:textId="77777777" w:rsidTr="00C80BAE">
        <w:tc>
          <w:tcPr>
            <w:tcW w:w="5000" w:type="pct"/>
            <w:gridSpan w:val="4"/>
            <w:shd w:val="clear" w:color="auto" w:fill="F2F2F2" w:themeFill="background1" w:themeFillShade="F2"/>
          </w:tcPr>
          <w:p w14:paraId="4194F6CE" w14:textId="77777777" w:rsidR="00C566CA" w:rsidRPr="003C341F" w:rsidRDefault="00C566CA" w:rsidP="006835EF">
            <w:pPr>
              <w:spacing w:after="0"/>
              <w:jc w:val="left"/>
              <w:rPr>
                <w:b/>
                <w:sz w:val="20"/>
                <w:lang w:val="en-AU"/>
              </w:rPr>
            </w:pPr>
            <w:r w:rsidRPr="003C341F">
              <w:rPr>
                <w:b/>
                <w:sz w:val="20"/>
                <w:lang w:val="en-AU"/>
              </w:rPr>
              <w:t>at the same time</w:t>
            </w:r>
          </w:p>
        </w:tc>
      </w:tr>
      <w:tr w:rsidR="0064528A" w:rsidRPr="003C341F" w14:paraId="52A5D726" w14:textId="77777777" w:rsidTr="00C80BAE">
        <w:tc>
          <w:tcPr>
            <w:tcW w:w="293" w:type="pct"/>
          </w:tcPr>
          <w:p w14:paraId="7AD46688" w14:textId="77777777" w:rsidR="0064528A" w:rsidRPr="003C341F" w:rsidRDefault="0064528A" w:rsidP="00C80BAE">
            <w:pPr>
              <w:spacing w:after="0"/>
              <w:rPr>
                <w:b/>
                <w:sz w:val="20"/>
                <w:lang w:val="en-AU"/>
              </w:rPr>
            </w:pPr>
            <w:r w:rsidRPr="003C341F">
              <w:rPr>
                <w:b/>
                <w:sz w:val="20"/>
                <w:lang w:val="en-AU"/>
              </w:rPr>
              <w:t>If</w:t>
            </w:r>
          </w:p>
        </w:tc>
        <w:tc>
          <w:tcPr>
            <w:tcW w:w="2211" w:type="pct"/>
          </w:tcPr>
          <w:p w14:paraId="416E651E" w14:textId="221E0456" w:rsidR="0064528A" w:rsidRPr="003C341F" w:rsidRDefault="00C566CA" w:rsidP="00967226">
            <w:pPr>
              <w:spacing w:after="0"/>
              <w:jc w:val="left"/>
              <w:rPr>
                <w:sz w:val="20"/>
                <w:lang w:val="en-AU"/>
              </w:rPr>
            </w:pPr>
            <w:r w:rsidRPr="003C341F">
              <w:rPr>
                <w:sz w:val="20"/>
                <w:lang w:val="en-AU"/>
              </w:rPr>
              <w:t>NHS has better functioning systems and sufficient staff with the skills and motivation to effe</w:t>
            </w:r>
            <w:r w:rsidR="00967226">
              <w:rPr>
                <w:sz w:val="20"/>
                <w:lang w:val="en-AU"/>
              </w:rPr>
              <w:t>ctively maintain and manage biom</w:t>
            </w:r>
            <w:r w:rsidRPr="003C341F">
              <w:rPr>
                <w:sz w:val="20"/>
                <w:lang w:val="en-AU"/>
              </w:rPr>
              <w:t>edical equipment</w:t>
            </w:r>
          </w:p>
        </w:tc>
        <w:tc>
          <w:tcPr>
            <w:tcW w:w="293" w:type="pct"/>
          </w:tcPr>
          <w:p w14:paraId="432A1786" w14:textId="77777777" w:rsidR="0064528A" w:rsidRPr="003C341F" w:rsidRDefault="0064528A" w:rsidP="00C80BAE">
            <w:pPr>
              <w:spacing w:after="0"/>
              <w:rPr>
                <w:b/>
                <w:sz w:val="20"/>
                <w:lang w:val="en-AU"/>
              </w:rPr>
            </w:pPr>
            <w:r w:rsidRPr="003C341F">
              <w:rPr>
                <w:b/>
                <w:sz w:val="20"/>
                <w:lang w:val="en-AU"/>
              </w:rPr>
              <w:t>then</w:t>
            </w:r>
          </w:p>
        </w:tc>
        <w:tc>
          <w:tcPr>
            <w:tcW w:w="2204" w:type="pct"/>
          </w:tcPr>
          <w:p w14:paraId="40D55189" w14:textId="1E611EFA" w:rsidR="0064528A" w:rsidRPr="003C341F" w:rsidRDefault="00C566CA" w:rsidP="00967226">
            <w:pPr>
              <w:spacing w:after="0"/>
              <w:jc w:val="left"/>
              <w:rPr>
                <w:b/>
                <w:sz w:val="20"/>
                <w:lang w:val="en-AU"/>
              </w:rPr>
            </w:pPr>
            <w:r w:rsidRPr="003C341F">
              <w:rPr>
                <w:sz w:val="20"/>
                <w:lang w:val="en-AU"/>
              </w:rPr>
              <w:t>NHS will better maintain and manage biomedical equipment</w:t>
            </w:r>
          </w:p>
        </w:tc>
      </w:tr>
      <w:tr w:rsidR="00C566CA" w:rsidRPr="003C341F" w14:paraId="6C2E5680" w14:textId="77777777" w:rsidTr="00C80BAE">
        <w:tc>
          <w:tcPr>
            <w:tcW w:w="293" w:type="pct"/>
            <w:vMerge w:val="restart"/>
            <w:shd w:val="clear" w:color="auto" w:fill="F2F2F2" w:themeFill="background1" w:themeFillShade="F2"/>
            <w:vAlign w:val="center"/>
          </w:tcPr>
          <w:p w14:paraId="3F3BB99A" w14:textId="77777777" w:rsidR="00C566CA" w:rsidRPr="003C341F" w:rsidRDefault="00C566CA" w:rsidP="00C80BAE">
            <w:pPr>
              <w:spacing w:after="0"/>
              <w:rPr>
                <w:b/>
                <w:sz w:val="20"/>
                <w:lang w:val="en-AU"/>
              </w:rPr>
            </w:pPr>
            <w:r w:rsidRPr="003C341F">
              <w:rPr>
                <w:b/>
                <w:sz w:val="20"/>
                <w:lang w:val="en-AU"/>
              </w:rPr>
              <w:t>If</w:t>
            </w:r>
          </w:p>
        </w:tc>
        <w:tc>
          <w:tcPr>
            <w:tcW w:w="2211" w:type="pct"/>
            <w:vMerge w:val="restart"/>
            <w:shd w:val="clear" w:color="auto" w:fill="F2F2F2" w:themeFill="background1" w:themeFillShade="F2"/>
            <w:vAlign w:val="center"/>
          </w:tcPr>
          <w:p w14:paraId="714C18E4" w14:textId="5F7813D2" w:rsidR="00C566CA" w:rsidRPr="003C341F" w:rsidRDefault="00967226" w:rsidP="006835EF">
            <w:pPr>
              <w:spacing w:after="0"/>
              <w:jc w:val="left"/>
              <w:rPr>
                <w:sz w:val="20"/>
                <w:lang w:val="en-AU"/>
              </w:rPr>
            </w:pPr>
            <w:r>
              <w:rPr>
                <w:sz w:val="20"/>
                <w:lang w:val="en-AU"/>
              </w:rPr>
              <w:t>Bio</w:t>
            </w:r>
            <w:r w:rsidR="00C566CA" w:rsidRPr="003C341F">
              <w:rPr>
                <w:sz w:val="20"/>
                <w:lang w:val="en-AU"/>
              </w:rPr>
              <w:t xml:space="preserve">medical equipment is better managed and maintained, </w:t>
            </w:r>
          </w:p>
        </w:tc>
        <w:tc>
          <w:tcPr>
            <w:tcW w:w="293" w:type="pct"/>
            <w:shd w:val="clear" w:color="auto" w:fill="F2F2F2" w:themeFill="background1" w:themeFillShade="F2"/>
          </w:tcPr>
          <w:p w14:paraId="0F63DBC4" w14:textId="77777777" w:rsidR="00C566CA" w:rsidRPr="003C341F" w:rsidRDefault="00C566CA" w:rsidP="00C80BAE">
            <w:pPr>
              <w:spacing w:after="0"/>
              <w:rPr>
                <w:b/>
                <w:sz w:val="20"/>
                <w:lang w:val="en-AU"/>
              </w:rPr>
            </w:pPr>
            <w:r w:rsidRPr="003C341F">
              <w:rPr>
                <w:b/>
                <w:sz w:val="20"/>
                <w:lang w:val="en-AU"/>
              </w:rPr>
              <w:t>then</w:t>
            </w:r>
          </w:p>
        </w:tc>
        <w:tc>
          <w:tcPr>
            <w:tcW w:w="2204" w:type="pct"/>
            <w:shd w:val="clear" w:color="auto" w:fill="F2F2F2" w:themeFill="background1" w:themeFillShade="F2"/>
          </w:tcPr>
          <w:p w14:paraId="04F2A847" w14:textId="77777777" w:rsidR="00C566CA" w:rsidRPr="003C341F" w:rsidRDefault="00C566CA" w:rsidP="006835EF">
            <w:pPr>
              <w:spacing w:after="0"/>
              <w:jc w:val="left"/>
              <w:rPr>
                <w:sz w:val="20"/>
                <w:lang w:val="en-AU"/>
              </w:rPr>
            </w:pPr>
            <w:r w:rsidRPr="003C341F">
              <w:rPr>
                <w:sz w:val="20"/>
                <w:lang w:val="en-AU"/>
              </w:rPr>
              <w:t xml:space="preserve">District primary health care services will have continued access to functioning equipment for their health needs </w:t>
            </w:r>
          </w:p>
        </w:tc>
      </w:tr>
      <w:tr w:rsidR="00C566CA" w:rsidRPr="003C341F" w14:paraId="44B6901C" w14:textId="77777777" w:rsidTr="00C80BAE">
        <w:tc>
          <w:tcPr>
            <w:tcW w:w="293" w:type="pct"/>
            <w:vMerge/>
          </w:tcPr>
          <w:p w14:paraId="48B95ADF" w14:textId="77777777" w:rsidR="00C566CA" w:rsidRPr="003C341F" w:rsidRDefault="00C566CA" w:rsidP="00C80BAE">
            <w:pPr>
              <w:spacing w:after="0"/>
              <w:rPr>
                <w:b/>
                <w:sz w:val="20"/>
                <w:lang w:val="en-AU"/>
              </w:rPr>
            </w:pPr>
          </w:p>
        </w:tc>
        <w:tc>
          <w:tcPr>
            <w:tcW w:w="2211" w:type="pct"/>
            <w:vMerge/>
          </w:tcPr>
          <w:p w14:paraId="09DFE5EC" w14:textId="77777777" w:rsidR="00C566CA" w:rsidRPr="003C341F" w:rsidRDefault="00C566CA" w:rsidP="00C80BAE">
            <w:pPr>
              <w:spacing w:after="0"/>
              <w:rPr>
                <w:sz w:val="20"/>
                <w:lang w:val="en-AU"/>
              </w:rPr>
            </w:pPr>
          </w:p>
        </w:tc>
        <w:tc>
          <w:tcPr>
            <w:tcW w:w="293" w:type="pct"/>
            <w:shd w:val="clear" w:color="auto" w:fill="F2F2F2" w:themeFill="background1" w:themeFillShade="F2"/>
          </w:tcPr>
          <w:p w14:paraId="6D843818" w14:textId="77777777" w:rsidR="00C566CA" w:rsidRPr="003C341F" w:rsidRDefault="00C566CA" w:rsidP="00C80BAE">
            <w:pPr>
              <w:spacing w:after="0"/>
              <w:rPr>
                <w:b/>
                <w:sz w:val="20"/>
                <w:lang w:val="en-AU"/>
              </w:rPr>
            </w:pPr>
            <w:r w:rsidRPr="003C341F">
              <w:rPr>
                <w:b/>
                <w:sz w:val="20"/>
                <w:lang w:val="en-AU"/>
              </w:rPr>
              <w:t>and</w:t>
            </w:r>
          </w:p>
        </w:tc>
        <w:tc>
          <w:tcPr>
            <w:tcW w:w="2204" w:type="pct"/>
            <w:shd w:val="clear" w:color="auto" w:fill="F2F2F2" w:themeFill="background1" w:themeFillShade="F2"/>
          </w:tcPr>
          <w:p w14:paraId="0468D4C1" w14:textId="77777777" w:rsidR="00C566CA" w:rsidRPr="003C341F" w:rsidRDefault="00C566CA" w:rsidP="006835EF">
            <w:pPr>
              <w:spacing w:after="0"/>
              <w:jc w:val="left"/>
              <w:rPr>
                <w:sz w:val="20"/>
                <w:lang w:val="en-AU"/>
              </w:rPr>
            </w:pPr>
            <w:r w:rsidRPr="003C341F">
              <w:rPr>
                <w:sz w:val="20"/>
                <w:lang w:val="en-AU"/>
              </w:rPr>
              <w:t>there will be less unnecessary spending on early replacement of poorly maintained equipment.</w:t>
            </w:r>
          </w:p>
        </w:tc>
      </w:tr>
    </w:tbl>
    <w:p w14:paraId="2AC34B27" w14:textId="4F0361B5" w:rsidR="0044462B" w:rsidRPr="003C341F" w:rsidRDefault="0044462B" w:rsidP="00C80BAE">
      <w:pPr>
        <w:spacing w:before="120"/>
        <w:rPr>
          <w:lang w:val="en-AU"/>
        </w:rPr>
      </w:pPr>
      <w:r w:rsidRPr="003C341F">
        <w:rPr>
          <w:lang w:val="en-AU"/>
        </w:rPr>
        <w:lastRenderedPageBreak/>
        <w:t>Key assumptions underpinning the above outcome pathway are:</w:t>
      </w:r>
    </w:p>
    <w:p w14:paraId="2126EDDD" w14:textId="59713875" w:rsidR="0044462B" w:rsidRPr="003C341F" w:rsidRDefault="0044462B" w:rsidP="00662F77">
      <w:pPr>
        <w:pStyle w:val="Bullet1-Long"/>
      </w:pPr>
      <w:r w:rsidRPr="003C341F">
        <w:t>NHS has sufficient staff and motivation to improve procurement of pharmaceuticals and biomedical equipment and maintenance of biomedical equipment.</w:t>
      </w:r>
    </w:p>
    <w:p w14:paraId="6D7FF0D4" w14:textId="23276DF3" w:rsidR="0044462B" w:rsidRPr="003C341F" w:rsidRDefault="0044462B" w:rsidP="00662F77">
      <w:pPr>
        <w:pStyle w:val="Bullet1-Long"/>
      </w:pPr>
      <w:r w:rsidRPr="003C341F">
        <w:t xml:space="preserve">There are private sector suppliers that can </w:t>
      </w:r>
      <w:r w:rsidR="00967226">
        <w:t>provide pharmaceuticals and biom</w:t>
      </w:r>
      <w:r w:rsidRPr="003C341F">
        <w:t xml:space="preserve">edical equipment in the quality, quantity and timeframe required. </w:t>
      </w:r>
    </w:p>
    <w:p w14:paraId="6046E209" w14:textId="77777777" w:rsidR="008E2D10" w:rsidRPr="003C341F" w:rsidRDefault="008E2D10" w:rsidP="00922E51">
      <w:pPr>
        <w:pStyle w:val="Default"/>
        <w:spacing w:after="120" w:line="276" w:lineRule="auto"/>
        <w:rPr>
          <w:rFonts w:asciiTheme="majorHAnsi" w:hAnsiTheme="majorHAnsi"/>
          <w:b/>
          <w:sz w:val="22"/>
        </w:rPr>
      </w:pPr>
      <w:r w:rsidRPr="003C341F">
        <w:rPr>
          <w:rFonts w:asciiTheme="majorHAnsi" w:hAnsiTheme="majorHAnsi"/>
          <w:b/>
          <w:iCs/>
          <w:sz w:val="22"/>
        </w:rPr>
        <w:t>2.1 - Senior leaders and managers have access to reliable information and analysis to inform policy and oversight</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3"/>
        <w:gridCol w:w="3960"/>
        <w:gridCol w:w="601"/>
        <w:gridCol w:w="3946"/>
      </w:tblGrid>
      <w:tr w:rsidR="008E2D10" w:rsidRPr="003C341F" w14:paraId="1F90092C" w14:textId="77777777" w:rsidTr="00C80BAE">
        <w:trPr>
          <w:cantSplit/>
        </w:trPr>
        <w:tc>
          <w:tcPr>
            <w:tcW w:w="293" w:type="pct"/>
            <w:shd w:val="clear" w:color="auto" w:fill="F2F2F2" w:themeFill="background1" w:themeFillShade="F2"/>
          </w:tcPr>
          <w:p w14:paraId="1A5A5833" w14:textId="77777777" w:rsidR="008E2D10" w:rsidRPr="003C341F" w:rsidRDefault="008E2D10" w:rsidP="00C80BAE">
            <w:pPr>
              <w:spacing w:after="0"/>
              <w:rPr>
                <w:b/>
                <w:sz w:val="20"/>
                <w:lang w:val="en-AU"/>
              </w:rPr>
            </w:pPr>
            <w:r w:rsidRPr="003C341F">
              <w:rPr>
                <w:b/>
                <w:sz w:val="20"/>
                <w:lang w:val="en-AU"/>
              </w:rPr>
              <w:t>If</w:t>
            </w:r>
          </w:p>
        </w:tc>
        <w:tc>
          <w:tcPr>
            <w:tcW w:w="2211" w:type="pct"/>
            <w:shd w:val="clear" w:color="auto" w:fill="F2F2F2" w:themeFill="background1" w:themeFillShade="F2"/>
          </w:tcPr>
          <w:p w14:paraId="16F669B5" w14:textId="77777777" w:rsidR="008E2D10" w:rsidRPr="003C341F" w:rsidRDefault="00C62C8E" w:rsidP="006835EF">
            <w:pPr>
              <w:spacing w:after="0"/>
              <w:jc w:val="left"/>
              <w:rPr>
                <w:b/>
                <w:sz w:val="20"/>
                <w:lang w:val="en-AU"/>
              </w:rPr>
            </w:pPr>
            <w:r w:rsidRPr="003C341F">
              <w:rPr>
                <w:sz w:val="20"/>
                <w:lang w:val="en-AU"/>
              </w:rPr>
              <w:t>MOH</w:t>
            </w:r>
            <w:r w:rsidR="008E2D10" w:rsidRPr="003C341F">
              <w:rPr>
                <w:sz w:val="20"/>
                <w:lang w:val="en-AU"/>
              </w:rPr>
              <w:t xml:space="preserve"> has the knowledge, capacity and motivation to co-invest in and establish a HIS </w:t>
            </w:r>
            <w:proofErr w:type="gramStart"/>
            <w:r w:rsidR="008E2D10" w:rsidRPr="003C341F">
              <w:rPr>
                <w:sz w:val="20"/>
                <w:lang w:val="en-AU"/>
              </w:rPr>
              <w:t>based on</w:t>
            </w:r>
            <w:proofErr w:type="gramEnd"/>
            <w:r w:rsidR="008E2D10" w:rsidRPr="003C341F">
              <w:rPr>
                <w:sz w:val="20"/>
                <w:lang w:val="en-AU"/>
              </w:rPr>
              <w:t xml:space="preserve"> advice from the HIS cost-benefit assessment</w:t>
            </w:r>
          </w:p>
        </w:tc>
        <w:tc>
          <w:tcPr>
            <w:tcW w:w="293" w:type="pct"/>
            <w:shd w:val="clear" w:color="auto" w:fill="F2F2F2" w:themeFill="background1" w:themeFillShade="F2"/>
          </w:tcPr>
          <w:p w14:paraId="0641FBAE" w14:textId="77777777" w:rsidR="008E2D10" w:rsidRPr="003C341F" w:rsidRDefault="008E2D10" w:rsidP="00C80BAE">
            <w:pPr>
              <w:spacing w:after="0"/>
              <w:rPr>
                <w:b/>
                <w:sz w:val="20"/>
                <w:lang w:val="en-AU"/>
              </w:rPr>
            </w:pPr>
            <w:r w:rsidRPr="003C341F">
              <w:rPr>
                <w:b/>
                <w:sz w:val="20"/>
                <w:lang w:val="en-AU"/>
              </w:rPr>
              <w:t>then</w:t>
            </w:r>
          </w:p>
        </w:tc>
        <w:tc>
          <w:tcPr>
            <w:tcW w:w="2204" w:type="pct"/>
            <w:shd w:val="clear" w:color="auto" w:fill="F2F2F2" w:themeFill="background1" w:themeFillShade="F2"/>
          </w:tcPr>
          <w:p w14:paraId="2C60FB28" w14:textId="77777777" w:rsidR="008E2D10" w:rsidRPr="003C341F" w:rsidRDefault="00C62C8E" w:rsidP="006835EF">
            <w:pPr>
              <w:spacing w:after="0"/>
              <w:jc w:val="left"/>
              <w:rPr>
                <w:b/>
                <w:sz w:val="20"/>
                <w:lang w:val="en-AU"/>
              </w:rPr>
            </w:pPr>
            <w:r w:rsidRPr="003C341F">
              <w:rPr>
                <w:sz w:val="20"/>
                <w:lang w:val="en-AU"/>
              </w:rPr>
              <w:t>MOH</w:t>
            </w:r>
            <w:r w:rsidR="008E2D10" w:rsidRPr="003C341F">
              <w:rPr>
                <w:sz w:val="20"/>
                <w:lang w:val="en-AU"/>
              </w:rPr>
              <w:t xml:space="preserve"> will establish and maintain a HIS which is affordable and appropriate to the Samoan context and the information needs of health sector stakeholders.</w:t>
            </w:r>
          </w:p>
        </w:tc>
      </w:tr>
      <w:tr w:rsidR="008E2D10" w:rsidRPr="003C341F" w14:paraId="348B3B9A" w14:textId="77777777" w:rsidTr="00C80BAE">
        <w:trPr>
          <w:trHeight w:val="762"/>
        </w:trPr>
        <w:tc>
          <w:tcPr>
            <w:tcW w:w="293" w:type="pct"/>
          </w:tcPr>
          <w:p w14:paraId="73BC9614" w14:textId="77777777" w:rsidR="008E2D10" w:rsidRPr="003C341F" w:rsidRDefault="008E2D10" w:rsidP="00C80BAE">
            <w:pPr>
              <w:spacing w:after="0"/>
              <w:rPr>
                <w:b/>
                <w:sz w:val="20"/>
                <w:lang w:val="en-AU"/>
              </w:rPr>
            </w:pPr>
            <w:r w:rsidRPr="003C341F">
              <w:rPr>
                <w:b/>
                <w:sz w:val="20"/>
                <w:lang w:val="en-AU"/>
              </w:rPr>
              <w:t>If</w:t>
            </w:r>
          </w:p>
        </w:tc>
        <w:tc>
          <w:tcPr>
            <w:tcW w:w="2211" w:type="pct"/>
          </w:tcPr>
          <w:p w14:paraId="24D666D7" w14:textId="77777777" w:rsidR="008E2D10" w:rsidRPr="003C341F" w:rsidRDefault="008E2D10" w:rsidP="006835EF">
            <w:pPr>
              <w:spacing w:after="0"/>
              <w:jc w:val="left"/>
              <w:rPr>
                <w:b/>
                <w:sz w:val="20"/>
                <w:lang w:val="en-AU"/>
              </w:rPr>
            </w:pPr>
            <w:r w:rsidRPr="003C341F">
              <w:rPr>
                <w:sz w:val="20"/>
                <w:lang w:val="en-AU"/>
              </w:rPr>
              <w:t>An affordable and appropriate HIS is implemented and maintained</w:t>
            </w:r>
          </w:p>
        </w:tc>
        <w:tc>
          <w:tcPr>
            <w:tcW w:w="293" w:type="pct"/>
          </w:tcPr>
          <w:p w14:paraId="50341D65" w14:textId="77777777" w:rsidR="008E2D10" w:rsidRPr="003C341F" w:rsidRDefault="008E2D10" w:rsidP="00C80BAE">
            <w:pPr>
              <w:spacing w:after="0"/>
              <w:rPr>
                <w:b/>
                <w:sz w:val="20"/>
                <w:lang w:val="en-AU"/>
              </w:rPr>
            </w:pPr>
            <w:r w:rsidRPr="003C341F">
              <w:rPr>
                <w:b/>
                <w:sz w:val="20"/>
                <w:lang w:val="en-AU"/>
              </w:rPr>
              <w:t>then</w:t>
            </w:r>
          </w:p>
        </w:tc>
        <w:tc>
          <w:tcPr>
            <w:tcW w:w="2204" w:type="pct"/>
          </w:tcPr>
          <w:p w14:paraId="7A589CFB" w14:textId="77777777" w:rsidR="008E2D10" w:rsidRPr="003C341F" w:rsidRDefault="008E2D10" w:rsidP="006835EF">
            <w:pPr>
              <w:spacing w:after="0"/>
              <w:jc w:val="left"/>
              <w:rPr>
                <w:b/>
                <w:sz w:val="20"/>
                <w:lang w:val="en-AU"/>
              </w:rPr>
            </w:pPr>
            <w:r w:rsidRPr="003C341F">
              <w:rPr>
                <w:sz w:val="20"/>
                <w:lang w:val="en-AU"/>
              </w:rPr>
              <w:t>It will produce accurate, appropriate, timely and sex-disaggregated health data and information</w:t>
            </w:r>
          </w:p>
        </w:tc>
      </w:tr>
      <w:tr w:rsidR="008E2D10" w:rsidRPr="003C341F" w14:paraId="4D9E5A3E" w14:textId="77777777" w:rsidTr="00C80BAE">
        <w:tc>
          <w:tcPr>
            <w:tcW w:w="293" w:type="pct"/>
            <w:shd w:val="clear" w:color="auto" w:fill="F2F2F2" w:themeFill="background1" w:themeFillShade="F2"/>
          </w:tcPr>
          <w:p w14:paraId="5C7A4482" w14:textId="77777777" w:rsidR="008E2D10" w:rsidRPr="003C341F" w:rsidRDefault="008E2D10" w:rsidP="00C80BAE">
            <w:pPr>
              <w:spacing w:after="0"/>
              <w:rPr>
                <w:b/>
                <w:sz w:val="20"/>
                <w:lang w:val="en-AU"/>
              </w:rPr>
            </w:pPr>
            <w:r w:rsidRPr="003C341F">
              <w:rPr>
                <w:b/>
                <w:sz w:val="20"/>
                <w:lang w:val="en-AU"/>
              </w:rPr>
              <w:t>If</w:t>
            </w:r>
          </w:p>
        </w:tc>
        <w:tc>
          <w:tcPr>
            <w:tcW w:w="2211" w:type="pct"/>
            <w:shd w:val="clear" w:color="auto" w:fill="F2F2F2" w:themeFill="background1" w:themeFillShade="F2"/>
          </w:tcPr>
          <w:p w14:paraId="59A30697" w14:textId="513B1497" w:rsidR="008E2D10" w:rsidRPr="003C341F" w:rsidRDefault="008E2D10" w:rsidP="006835EF">
            <w:pPr>
              <w:spacing w:after="0"/>
              <w:jc w:val="left"/>
              <w:rPr>
                <w:sz w:val="20"/>
                <w:lang w:val="en-AU"/>
              </w:rPr>
            </w:pPr>
            <w:r w:rsidRPr="003C341F">
              <w:rPr>
                <w:sz w:val="20"/>
                <w:lang w:val="en-AU"/>
              </w:rPr>
              <w:t>those data and information are analysed and reported in an accurate, timely and appropriate manner and disseminated in a way which is user-friendly and accessible to its intended audiences,</w:t>
            </w:r>
          </w:p>
        </w:tc>
        <w:tc>
          <w:tcPr>
            <w:tcW w:w="293" w:type="pct"/>
            <w:shd w:val="clear" w:color="auto" w:fill="F2F2F2" w:themeFill="background1" w:themeFillShade="F2"/>
          </w:tcPr>
          <w:p w14:paraId="5E40C71D" w14:textId="77777777" w:rsidR="008E2D10" w:rsidRPr="003C341F" w:rsidRDefault="008E2D10" w:rsidP="00C80BAE">
            <w:pPr>
              <w:spacing w:after="0"/>
              <w:rPr>
                <w:b/>
                <w:sz w:val="20"/>
                <w:lang w:val="en-AU"/>
              </w:rPr>
            </w:pPr>
            <w:r w:rsidRPr="003C341F">
              <w:rPr>
                <w:b/>
                <w:sz w:val="20"/>
                <w:lang w:val="en-AU"/>
              </w:rPr>
              <w:t>then</w:t>
            </w:r>
          </w:p>
        </w:tc>
        <w:tc>
          <w:tcPr>
            <w:tcW w:w="2204" w:type="pct"/>
            <w:shd w:val="clear" w:color="auto" w:fill="F2F2F2" w:themeFill="background1" w:themeFillShade="F2"/>
          </w:tcPr>
          <w:p w14:paraId="762391D4" w14:textId="77777777" w:rsidR="008E2D10" w:rsidRPr="003C341F" w:rsidRDefault="008E2D10" w:rsidP="006835EF">
            <w:pPr>
              <w:spacing w:after="0"/>
              <w:jc w:val="left"/>
              <w:rPr>
                <w:b/>
                <w:sz w:val="20"/>
                <w:lang w:val="en-AU"/>
              </w:rPr>
            </w:pPr>
            <w:r w:rsidRPr="003C341F">
              <w:rPr>
                <w:sz w:val="20"/>
                <w:lang w:val="en-AU"/>
              </w:rPr>
              <w:t xml:space="preserve">Senior leaders and managers in the health sector, particularly the Minister of Health, </w:t>
            </w:r>
            <w:proofErr w:type="gramStart"/>
            <w:r w:rsidRPr="003C341F">
              <w:rPr>
                <w:sz w:val="20"/>
                <w:lang w:val="en-AU"/>
              </w:rPr>
              <w:t>Cabinet</w:t>
            </w:r>
            <w:proofErr w:type="gramEnd"/>
            <w:r w:rsidRPr="003C341F">
              <w:rPr>
                <w:sz w:val="20"/>
                <w:lang w:val="en-AU"/>
              </w:rPr>
              <w:t xml:space="preserve"> and senior leaders in </w:t>
            </w:r>
            <w:r w:rsidR="00C62C8E" w:rsidRPr="003C341F">
              <w:rPr>
                <w:sz w:val="20"/>
                <w:lang w:val="en-AU"/>
              </w:rPr>
              <w:t>MOH</w:t>
            </w:r>
            <w:r w:rsidRPr="003C341F">
              <w:rPr>
                <w:sz w:val="20"/>
                <w:lang w:val="en-AU"/>
              </w:rPr>
              <w:t>, will have reliable evidence available to inform health policy and oversight</w:t>
            </w:r>
          </w:p>
        </w:tc>
      </w:tr>
    </w:tbl>
    <w:p w14:paraId="4EF8C979" w14:textId="77777777" w:rsidR="0044462B" w:rsidRPr="003C341F" w:rsidRDefault="0044462B" w:rsidP="00C80BAE">
      <w:pPr>
        <w:spacing w:before="120"/>
        <w:rPr>
          <w:lang w:val="en-AU"/>
        </w:rPr>
      </w:pPr>
      <w:r w:rsidRPr="003C341F">
        <w:rPr>
          <w:lang w:val="en-AU"/>
        </w:rPr>
        <w:t>The following assumptions underpin the above outcome pathway:</w:t>
      </w:r>
    </w:p>
    <w:p w14:paraId="395615B4" w14:textId="77777777" w:rsidR="0044462B" w:rsidRPr="003C341F" w:rsidRDefault="00C62C8E" w:rsidP="00662F77">
      <w:pPr>
        <w:pStyle w:val="Bullet1-Long"/>
      </w:pPr>
      <w:r w:rsidRPr="003C341F">
        <w:t>MOH</w:t>
      </w:r>
      <w:r w:rsidR="0044462B" w:rsidRPr="003C341F">
        <w:t xml:space="preserve"> has the motivation, </w:t>
      </w:r>
      <w:proofErr w:type="gramStart"/>
      <w:r w:rsidR="0044462B" w:rsidRPr="003C341F">
        <w:t>resources</w:t>
      </w:r>
      <w:proofErr w:type="gramEnd"/>
      <w:r w:rsidR="0044462B" w:rsidRPr="003C341F">
        <w:t xml:space="preserve"> and capacity to co-invest, establish, operate and maintain a HIS and is willing to consider different HIS options.</w:t>
      </w:r>
    </w:p>
    <w:p w14:paraId="368B5FB3" w14:textId="2E0AB224" w:rsidR="0044462B" w:rsidRDefault="0044462B" w:rsidP="00662F77">
      <w:pPr>
        <w:pStyle w:val="Bullet1-Long"/>
      </w:pPr>
      <w:r w:rsidRPr="003C341F">
        <w:t xml:space="preserve">There is demand from users across the health sector, particularly the Minister of Health, Cabinet and </w:t>
      </w:r>
      <w:r w:rsidR="00C62C8E" w:rsidRPr="003C341F">
        <w:t>MOH</w:t>
      </w:r>
      <w:r w:rsidRPr="003C341F">
        <w:t xml:space="preserve"> for health-related data and information and they have the motivation and capacity to use this data to inform health sector planning, monitoring and regulation.</w:t>
      </w:r>
    </w:p>
    <w:p w14:paraId="6B60D090" w14:textId="7E7E416C" w:rsidR="004F606B" w:rsidRPr="003C341F" w:rsidRDefault="004F606B" w:rsidP="00662F77">
      <w:pPr>
        <w:pStyle w:val="Bullet1-Long"/>
      </w:pPr>
      <w:r>
        <w:t xml:space="preserve">DFAT is involved in key phases of </w:t>
      </w:r>
      <w:proofErr w:type="spellStart"/>
      <w:r>
        <w:t>Samoas</w:t>
      </w:r>
      <w:proofErr w:type="spellEnd"/>
      <w:r>
        <w:t xml:space="preserve"> HIS project (currently funded by ADB).</w:t>
      </w:r>
    </w:p>
    <w:p w14:paraId="1BE3308B" w14:textId="77777777" w:rsidR="008E2D10" w:rsidRPr="003C341F" w:rsidRDefault="008E2D10" w:rsidP="00922E51">
      <w:pPr>
        <w:pStyle w:val="Default"/>
        <w:spacing w:after="120" w:line="276" w:lineRule="auto"/>
        <w:rPr>
          <w:rFonts w:asciiTheme="majorHAnsi" w:hAnsiTheme="majorHAnsi"/>
          <w:b/>
          <w:sz w:val="22"/>
        </w:rPr>
      </w:pPr>
      <w:r w:rsidRPr="003C341F">
        <w:rPr>
          <w:rFonts w:asciiTheme="majorHAnsi" w:hAnsiTheme="majorHAnsi"/>
          <w:b/>
          <w:sz w:val="22"/>
        </w:rPr>
        <w:t xml:space="preserve">2.2 - The health workforce has access to information required to plan, </w:t>
      </w:r>
      <w:proofErr w:type="gramStart"/>
      <w:r w:rsidRPr="003C341F">
        <w:rPr>
          <w:rFonts w:asciiTheme="majorHAnsi" w:hAnsiTheme="majorHAnsi"/>
          <w:b/>
          <w:sz w:val="22"/>
        </w:rPr>
        <w:t>deliver</w:t>
      </w:r>
      <w:proofErr w:type="gramEnd"/>
      <w:r w:rsidRPr="003C341F">
        <w:rPr>
          <w:rFonts w:asciiTheme="majorHAnsi" w:hAnsiTheme="majorHAnsi"/>
          <w:b/>
          <w:sz w:val="22"/>
        </w:rPr>
        <w:t xml:space="preserve"> and monitor services</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530"/>
        <w:gridCol w:w="3946"/>
        <w:gridCol w:w="601"/>
        <w:gridCol w:w="3933"/>
      </w:tblGrid>
      <w:tr w:rsidR="00992969" w:rsidRPr="003C341F" w14:paraId="6D275FA9" w14:textId="77777777" w:rsidTr="00C80BAE">
        <w:trPr>
          <w:cantSplit/>
        </w:trPr>
        <w:tc>
          <w:tcPr>
            <w:tcW w:w="293" w:type="pct"/>
            <w:shd w:val="clear" w:color="auto" w:fill="F2F2F2" w:themeFill="background1" w:themeFillShade="F2"/>
          </w:tcPr>
          <w:p w14:paraId="75CA0827" w14:textId="77777777" w:rsidR="00992969" w:rsidRPr="003C341F" w:rsidRDefault="00992969" w:rsidP="00C80BAE">
            <w:pPr>
              <w:spacing w:after="0"/>
              <w:rPr>
                <w:b/>
                <w:sz w:val="20"/>
                <w:lang w:val="en-AU"/>
              </w:rPr>
            </w:pPr>
            <w:r w:rsidRPr="003C341F">
              <w:rPr>
                <w:b/>
                <w:sz w:val="20"/>
                <w:lang w:val="en-AU"/>
              </w:rPr>
              <w:t>If</w:t>
            </w:r>
          </w:p>
        </w:tc>
        <w:tc>
          <w:tcPr>
            <w:tcW w:w="2211" w:type="pct"/>
            <w:shd w:val="clear" w:color="auto" w:fill="F2F2F2" w:themeFill="background1" w:themeFillShade="F2"/>
          </w:tcPr>
          <w:p w14:paraId="62A7C131" w14:textId="77777777" w:rsidR="00992969" w:rsidRPr="003C341F" w:rsidRDefault="00C62C8E" w:rsidP="006835EF">
            <w:pPr>
              <w:spacing w:after="0"/>
              <w:jc w:val="left"/>
              <w:rPr>
                <w:b/>
                <w:sz w:val="20"/>
                <w:lang w:val="en-AU"/>
              </w:rPr>
            </w:pPr>
            <w:r w:rsidRPr="003C341F">
              <w:rPr>
                <w:sz w:val="20"/>
                <w:lang w:val="en-AU"/>
              </w:rPr>
              <w:t>MOH</w:t>
            </w:r>
            <w:r w:rsidR="00992969" w:rsidRPr="003C341F">
              <w:rPr>
                <w:sz w:val="20"/>
                <w:lang w:val="en-AU"/>
              </w:rPr>
              <w:t xml:space="preserve"> establishes and maintains a HIS which produces health data and information</w:t>
            </w:r>
          </w:p>
        </w:tc>
        <w:tc>
          <w:tcPr>
            <w:tcW w:w="293" w:type="pct"/>
            <w:vMerge w:val="restart"/>
            <w:shd w:val="clear" w:color="auto" w:fill="F2F2F2" w:themeFill="background1" w:themeFillShade="F2"/>
            <w:vAlign w:val="center"/>
          </w:tcPr>
          <w:p w14:paraId="58AB6CE9" w14:textId="77777777" w:rsidR="00C80BAE" w:rsidRPr="003C341F" w:rsidRDefault="00992969" w:rsidP="00C80BAE">
            <w:pPr>
              <w:spacing w:after="0"/>
              <w:rPr>
                <w:b/>
                <w:sz w:val="20"/>
                <w:lang w:val="en-AU"/>
              </w:rPr>
            </w:pPr>
            <w:r w:rsidRPr="003C341F">
              <w:rPr>
                <w:b/>
                <w:sz w:val="20"/>
                <w:lang w:val="en-AU"/>
              </w:rPr>
              <w:t>then</w:t>
            </w:r>
          </w:p>
          <w:p w14:paraId="437E0701" w14:textId="77777777" w:rsidR="00C80BAE" w:rsidRPr="003C341F" w:rsidRDefault="00C80BAE" w:rsidP="00C80BAE">
            <w:pPr>
              <w:spacing w:after="0"/>
              <w:rPr>
                <w:sz w:val="20"/>
                <w:lang w:val="en-AU"/>
              </w:rPr>
            </w:pPr>
          </w:p>
          <w:p w14:paraId="54DF7B77" w14:textId="77777777" w:rsidR="00992969" w:rsidRPr="003C341F" w:rsidRDefault="00992969" w:rsidP="00C80BAE">
            <w:pPr>
              <w:spacing w:after="0"/>
              <w:rPr>
                <w:sz w:val="20"/>
                <w:lang w:val="en-AU"/>
              </w:rPr>
            </w:pPr>
          </w:p>
        </w:tc>
        <w:tc>
          <w:tcPr>
            <w:tcW w:w="2204" w:type="pct"/>
            <w:vMerge w:val="restart"/>
            <w:shd w:val="clear" w:color="auto" w:fill="F2F2F2" w:themeFill="background1" w:themeFillShade="F2"/>
            <w:vAlign w:val="center"/>
          </w:tcPr>
          <w:p w14:paraId="1C9076B9" w14:textId="77777777" w:rsidR="00992969" w:rsidRPr="003C341F" w:rsidRDefault="00992969" w:rsidP="006835EF">
            <w:pPr>
              <w:spacing w:after="0"/>
              <w:jc w:val="left"/>
              <w:rPr>
                <w:b/>
                <w:sz w:val="20"/>
                <w:lang w:val="en-AU"/>
              </w:rPr>
            </w:pPr>
            <w:r w:rsidRPr="003C341F">
              <w:rPr>
                <w:sz w:val="20"/>
                <w:lang w:val="en-AU"/>
              </w:rPr>
              <w:t xml:space="preserve">the health workforce will have the information it needs to plan, </w:t>
            </w:r>
            <w:proofErr w:type="gramStart"/>
            <w:r w:rsidRPr="003C341F">
              <w:rPr>
                <w:sz w:val="20"/>
                <w:lang w:val="en-AU"/>
              </w:rPr>
              <w:t>deliver</w:t>
            </w:r>
            <w:proofErr w:type="gramEnd"/>
            <w:r w:rsidRPr="003C341F">
              <w:rPr>
                <w:sz w:val="20"/>
                <w:lang w:val="en-AU"/>
              </w:rPr>
              <w:t xml:space="preserve"> and monitor services</w:t>
            </w:r>
          </w:p>
        </w:tc>
      </w:tr>
      <w:tr w:rsidR="00992969" w:rsidRPr="003C341F" w14:paraId="2DF86B3A" w14:textId="77777777" w:rsidTr="00C80BAE">
        <w:tc>
          <w:tcPr>
            <w:tcW w:w="293" w:type="pct"/>
            <w:shd w:val="clear" w:color="auto" w:fill="F2F2F2" w:themeFill="background1" w:themeFillShade="F2"/>
          </w:tcPr>
          <w:p w14:paraId="1A8DC90A" w14:textId="77777777" w:rsidR="00992969" w:rsidRPr="003C341F" w:rsidRDefault="00992969" w:rsidP="00C80BAE">
            <w:pPr>
              <w:spacing w:after="0"/>
              <w:rPr>
                <w:b/>
                <w:sz w:val="20"/>
                <w:lang w:val="en-AU"/>
              </w:rPr>
            </w:pPr>
            <w:r w:rsidRPr="003C341F">
              <w:rPr>
                <w:b/>
                <w:sz w:val="20"/>
                <w:lang w:val="en-AU"/>
              </w:rPr>
              <w:t>and</w:t>
            </w:r>
          </w:p>
        </w:tc>
        <w:tc>
          <w:tcPr>
            <w:tcW w:w="2211" w:type="pct"/>
            <w:shd w:val="clear" w:color="auto" w:fill="F2F2F2" w:themeFill="background1" w:themeFillShade="F2"/>
          </w:tcPr>
          <w:p w14:paraId="4C6634D0" w14:textId="77777777" w:rsidR="00992969" w:rsidRPr="003C341F" w:rsidRDefault="00992969" w:rsidP="006835EF">
            <w:pPr>
              <w:spacing w:after="0"/>
              <w:jc w:val="left"/>
              <w:rPr>
                <w:sz w:val="20"/>
                <w:lang w:val="en-AU"/>
              </w:rPr>
            </w:pPr>
            <w:r w:rsidRPr="003C341F">
              <w:rPr>
                <w:sz w:val="20"/>
                <w:lang w:val="en-AU"/>
              </w:rPr>
              <w:t>those data and information are analysed and reported in an accurate, timely and appropriate manner and disseminated in a way which is user-friendly and accessible to its intended audiences</w:t>
            </w:r>
          </w:p>
        </w:tc>
        <w:tc>
          <w:tcPr>
            <w:tcW w:w="293" w:type="pct"/>
            <w:vMerge/>
            <w:shd w:val="clear" w:color="auto" w:fill="F2F2F2" w:themeFill="background1" w:themeFillShade="F2"/>
          </w:tcPr>
          <w:p w14:paraId="0804E18A" w14:textId="77777777" w:rsidR="00992969" w:rsidRPr="003C341F" w:rsidRDefault="00992969" w:rsidP="00C80BAE">
            <w:pPr>
              <w:spacing w:after="0"/>
              <w:rPr>
                <w:b/>
                <w:sz w:val="20"/>
                <w:lang w:val="en-AU"/>
              </w:rPr>
            </w:pPr>
          </w:p>
        </w:tc>
        <w:tc>
          <w:tcPr>
            <w:tcW w:w="2204" w:type="pct"/>
            <w:vMerge/>
            <w:shd w:val="clear" w:color="auto" w:fill="F2F2F2" w:themeFill="background1" w:themeFillShade="F2"/>
          </w:tcPr>
          <w:p w14:paraId="3E4D13AB" w14:textId="77777777" w:rsidR="00992969" w:rsidRPr="003C341F" w:rsidRDefault="00992969" w:rsidP="00C80BAE">
            <w:pPr>
              <w:spacing w:after="0"/>
              <w:rPr>
                <w:b/>
                <w:sz w:val="20"/>
                <w:lang w:val="en-AU"/>
              </w:rPr>
            </w:pPr>
          </w:p>
        </w:tc>
      </w:tr>
    </w:tbl>
    <w:p w14:paraId="2E365D53" w14:textId="77777777" w:rsidR="0044462B" w:rsidRPr="003C341F" w:rsidRDefault="0044462B" w:rsidP="00C80BAE">
      <w:pPr>
        <w:spacing w:before="120"/>
        <w:rPr>
          <w:lang w:val="en-AU"/>
        </w:rPr>
      </w:pPr>
      <w:r w:rsidRPr="003C341F">
        <w:rPr>
          <w:lang w:val="en-AU"/>
        </w:rPr>
        <w:t>The following key assumption underpins the above outcome pathway:</w:t>
      </w:r>
    </w:p>
    <w:p w14:paraId="7E603C2E" w14:textId="6B0A06A8" w:rsidR="0044462B" w:rsidRDefault="0044462B" w:rsidP="00662F77">
      <w:pPr>
        <w:pStyle w:val="Bullet1-Long"/>
      </w:pPr>
      <w:r w:rsidRPr="003C341F">
        <w:t xml:space="preserve">There is demand from the health sector workforce for health data and information and they have the motivation and capacity to use this data to inform health sector planning, </w:t>
      </w:r>
      <w:proofErr w:type="gramStart"/>
      <w:r w:rsidRPr="003C341F">
        <w:t>delivering</w:t>
      </w:r>
      <w:proofErr w:type="gramEnd"/>
      <w:r w:rsidRPr="003C341F">
        <w:t xml:space="preserve"> and monitoring. </w:t>
      </w:r>
    </w:p>
    <w:p w14:paraId="7AAE5550" w14:textId="08C0B611" w:rsidR="00F375CB" w:rsidRDefault="00F375CB" w:rsidP="00F375CB">
      <w:pPr>
        <w:pStyle w:val="Bullet1-Long"/>
        <w:numPr>
          <w:ilvl w:val="0"/>
          <w:numId w:val="0"/>
        </w:numPr>
        <w:ind w:left="720" w:hanging="360"/>
      </w:pPr>
    </w:p>
    <w:p w14:paraId="64156CA3" w14:textId="66516E15" w:rsidR="00F375CB" w:rsidRDefault="00F375CB" w:rsidP="00F375CB">
      <w:pPr>
        <w:pStyle w:val="Bullet1-Long"/>
        <w:numPr>
          <w:ilvl w:val="0"/>
          <w:numId w:val="0"/>
        </w:numPr>
        <w:ind w:left="720" w:hanging="360"/>
      </w:pPr>
    </w:p>
    <w:p w14:paraId="5CF8F684" w14:textId="78DBCE45" w:rsidR="00F375CB" w:rsidRDefault="00F375CB" w:rsidP="00F375CB">
      <w:pPr>
        <w:pStyle w:val="Bullet1-Long"/>
        <w:numPr>
          <w:ilvl w:val="0"/>
          <w:numId w:val="0"/>
        </w:numPr>
        <w:ind w:left="720" w:hanging="360"/>
      </w:pPr>
    </w:p>
    <w:p w14:paraId="23852BB3" w14:textId="5FED1790" w:rsidR="00F375CB" w:rsidRDefault="00F375CB" w:rsidP="00F375CB">
      <w:pPr>
        <w:pStyle w:val="Bullet1-Long"/>
        <w:numPr>
          <w:ilvl w:val="0"/>
          <w:numId w:val="0"/>
        </w:numPr>
        <w:ind w:left="720" w:hanging="360"/>
      </w:pPr>
    </w:p>
    <w:p w14:paraId="25ADDFA2" w14:textId="77777777" w:rsidR="00F375CB" w:rsidRPr="00726CEE" w:rsidRDefault="00F375CB" w:rsidP="00F375CB">
      <w:pPr>
        <w:pStyle w:val="Bullet1-Long"/>
        <w:numPr>
          <w:ilvl w:val="0"/>
          <w:numId w:val="0"/>
        </w:numPr>
        <w:ind w:left="720" w:hanging="360"/>
      </w:pPr>
    </w:p>
    <w:p w14:paraId="6F730EDF" w14:textId="77777777" w:rsidR="008E2D10" w:rsidRPr="003C341F" w:rsidRDefault="008E2D10" w:rsidP="00922E51">
      <w:pPr>
        <w:pStyle w:val="Default"/>
        <w:spacing w:after="120" w:line="276" w:lineRule="auto"/>
        <w:rPr>
          <w:rFonts w:asciiTheme="majorHAnsi" w:hAnsiTheme="majorHAnsi"/>
          <w:b/>
          <w:sz w:val="22"/>
        </w:rPr>
      </w:pPr>
      <w:r w:rsidRPr="003C341F">
        <w:rPr>
          <w:rFonts w:asciiTheme="majorHAnsi" w:hAnsiTheme="majorHAnsi"/>
          <w:b/>
          <w:sz w:val="22"/>
        </w:rPr>
        <w:t>2.3 - Health sector institutional arrangements are better adapted to Samoa’s health needs</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30"/>
        <w:gridCol w:w="3946"/>
        <w:gridCol w:w="601"/>
        <w:gridCol w:w="3933"/>
      </w:tblGrid>
      <w:tr w:rsidR="00992969" w:rsidRPr="003C341F" w14:paraId="259236B7" w14:textId="77777777" w:rsidTr="00C80BAE">
        <w:trPr>
          <w:cantSplit/>
        </w:trPr>
        <w:tc>
          <w:tcPr>
            <w:tcW w:w="293" w:type="pct"/>
            <w:shd w:val="clear" w:color="auto" w:fill="F2F2F2" w:themeFill="background1" w:themeFillShade="F2"/>
          </w:tcPr>
          <w:p w14:paraId="2C0E7F31" w14:textId="77777777" w:rsidR="00992969" w:rsidRPr="003C341F" w:rsidRDefault="00992969" w:rsidP="00C80BAE">
            <w:pPr>
              <w:spacing w:after="0"/>
              <w:rPr>
                <w:b/>
                <w:sz w:val="20"/>
                <w:lang w:val="en-AU"/>
              </w:rPr>
            </w:pPr>
            <w:r w:rsidRPr="003C341F">
              <w:rPr>
                <w:b/>
                <w:sz w:val="20"/>
                <w:lang w:val="en-AU"/>
              </w:rPr>
              <w:t>If</w:t>
            </w:r>
          </w:p>
        </w:tc>
        <w:tc>
          <w:tcPr>
            <w:tcW w:w="2211" w:type="pct"/>
            <w:shd w:val="clear" w:color="auto" w:fill="F2F2F2" w:themeFill="background1" w:themeFillShade="F2"/>
          </w:tcPr>
          <w:p w14:paraId="43325025" w14:textId="78BF0FBC" w:rsidR="00992969" w:rsidRPr="003C341F" w:rsidRDefault="00C62C8E" w:rsidP="006835EF">
            <w:pPr>
              <w:spacing w:after="0"/>
              <w:jc w:val="left"/>
              <w:rPr>
                <w:b/>
                <w:sz w:val="20"/>
                <w:lang w:val="en-AU"/>
              </w:rPr>
            </w:pPr>
            <w:r w:rsidRPr="003C341F">
              <w:rPr>
                <w:sz w:val="20"/>
                <w:lang w:val="en-AU"/>
              </w:rPr>
              <w:t>MOH</w:t>
            </w:r>
            <w:r w:rsidR="00992969" w:rsidRPr="003C341F">
              <w:rPr>
                <w:sz w:val="20"/>
                <w:lang w:val="en-AU"/>
              </w:rPr>
              <w:t xml:space="preserve"> has a deeper knowledge of institutional arrangements affecting heal</w:t>
            </w:r>
            <w:r w:rsidR="00F137A0">
              <w:rPr>
                <w:sz w:val="20"/>
                <w:lang w:val="en-AU"/>
              </w:rPr>
              <w:t xml:space="preserve">th sector performance; and </w:t>
            </w:r>
          </w:p>
        </w:tc>
        <w:tc>
          <w:tcPr>
            <w:tcW w:w="293" w:type="pct"/>
            <w:vMerge w:val="restart"/>
            <w:shd w:val="clear" w:color="auto" w:fill="F2F2F2" w:themeFill="background1" w:themeFillShade="F2"/>
            <w:vAlign w:val="center"/>
          </w:tcPr>
          <w:p w14:paraId="7C397102" w14:textId="77777777" w:rsidR="00992969" w:rsidRPr="003C341F" w:rsidRDefault="00992969" w:rsidP="00C80BAE">
            <w:pPr>
              <w:spacing w:after="0"/>
              <w:rPr>
                <w:b/>
                <w:sz w:val="20"/>
                <w:lang w:val="en-AU"/>
              </w:rPr>
            </w:pPr>
            <w:r w:rsidRPr="003C341F">
              <w:rPr>
                <w:b/>
                <w:sz w:val="20"/>
                <w:lang w:val="en-AU"/>
              </w:rPr>
              <w:t>then</w:t>
            </w:r>
          </w:p>
        </w:tc>
        <w:tc>
          <w:tcPr>
            <w:tcW w:w="2204" w:type="pct"/>
            <w:vMerge w:val="restart"/>
            <w:shd w:val="clear" w:color="auto" w:fill="F2F2F2" w:themeFill="background1" w:themeFillShade="F2"/>
            <w:vAlign w:val="center"/>
          </w:tcPr>
          <w:p w14:paraId="42B14433" w14:textId="77777777" w:rsidR="00992969" w:rsidRPr="003C341F" w:rsidRDefault="00C62C8E" w:rsidP="006835EF">
            <w:pPr>
              <w:spacing w:after="0"/>
              <w:jc w:val="left"/>
              <w:rPr>
                <w:b/>
                <w:sz w:val="20"/>
                <w:lang w:val="en-AU"/>
              </w:rPr>
            </w:pPr>
            <w:r w:rsidRPr="003C341F">
              <w:rPr>
                <w:sz w:val="20"/>
                <w:lang w:val="en-AU"/>
              </w:rPr>
              <w:t>MOH</w:t>
            </w:r>
            <w:r w:rsidR="00992969" w:rsidRPr="003C341F">
              <w:rPr>
                <w:sz w:val="20"/>
                <w:lang w:val="en-AU"/>
              </w:rPr>
              <w:t xml:space="preserve"> will take better-informed action to implement solutions to priority issues affecting its performance.</w:t>
            </w:r>
          </w:p>
        </w:tc>
      </w:tr>
      <w:tr w:rsidR="00992969" w:rsidRPr="003C341F" w14:paraId="720730A4" w14:textId="77777777" w:rsidTr="00C80BAE">
        <w:trPr>
          <w:trHeight w:val="614"/>
        </w:trPr>
        <w:tc>
          <w:tcPr>
            <w:tcW w:w="293" w:type="pct"/>
            <w:shd w:val="clear" w:color="auto" w:fill="F2F2F2" w:themeFill="background1" w:themeFillShade="F2"/>
          </w:tcPr>
          <w:p w14:paraId="7549CA51" w14:textId="77777777" w:rsidR="00992969" w:rsidRPr="003C341F" w:rsidRDefault="00992969" w:rsidP="00C80BAE">
            <w:pPr>
              <w:spacing w:after="0"/>
              <w:rPr>
                <w:b/>
                <w:sz w:val="20"/>
                <w:lang w:val="en-AU"/>
              </w:rPr>
            </w:pPr>
            <w:r w:rsidRPr="003C341F">
              <w:rPr>
                <w:b/>
                <w:sz w:val="20"/>
                <w:lang w:val="en-AU"/>
              </w:rPr>
              <w:t>and</w:t>
            </w:r>
          </w:p>
        </w:tc>
        <w:tc>
          <w:tcPr>
            <w:tcW w:w="2211" w:type="pct"/>
            <w:shd w:val="clear" w:color="auto" w:fill="F2F2F2" w:themeFill="background1" w:themeFillShade="F2"/>
          </w:tcPr>
          <w:p w14:paraId="2AE37C57" w14:textId="77777777" w:rsidR="00992969" w:rsidRPr="003C341F" w:rsidRDefault="00C62C8E" w:rsidP="006835EF">
            <w:pPr>
              <w:spacing w:after="0"/>
              <w:jc w:val="left"/>
              <w:rPr>
                <w:b/>
                <w:sz w:val="20"/>
                <w:lang w:val="en-AU"/>
              </w:rPr>
            </w:pPr>
            <w:r w:rsidRPr="003C341F">
              <w:rPr>
                <w:sz w:val="20"/>
                <w:lang w:val="en-AU"/>
              </w:rPr>
              <w:t>MOH</w:t>
            </w:r>
            <w:r w:rsidR="00992969" w:rsidRPr="003C341F">
              <w:rPr>
                <w:sz w:val="20"/>
                <w:lang w:val="en-AU"/>
              </w:rPr>
              <w:t xml:space="preserve"> has the capacity, motivation, </w:t>
            </w:r>
            <w:proofErr w:type="gramStart"/>
            <w:r w:rsidR="00992969" w:rsidRPr="003C341F">
              <w:rPr>
                <w:sz w:val="20"/>
                <w:lang w:val="en-AU"/>
              </w:rPr>
              <w:t>influence</w:t>
            </w:r>
            <w:proofErr w:type="gramEnd"/>
            <w:r w:rsidR="00992969" w:rsidRPr="003C341F">
              <w:rPr>
                <w:sz w:val="20"/>
                <w:lang w:val="en-AU"/>
              </w:rPr>
              <w:t xml:space="preserve"> and networks to address these</w:t>
            </w:r>
          </w:p>
        </w:tc>
        <w:tc>
          <w:tcPr>
            <w:tcW w:w="293" w:type="pct"/>
            <w:vMerge/>
            <w:shd w:val="clear" w:color="auto" w:fill="F2F2F2" w:themeFill="background1" w:themeFillShade="F2"/>
          </w:tcPr>
          <w:p w14:paraId="7425D345" w14:textId="77777777" w:rsidR="00992969" w:rsidRPr="003C341F" w:rsidRDefault="00992969" w:rsidP="00C80BAE">
            <w:pPr>
              <w:spacing w:after="0"/>
              <w:rPr>
                <w:b/>
                <w:sz w:val="20"/>
                <w:lang w:val="en-AU"/>
              </w:rPr>
            </w:pPr>
          </w:p>
        </w:tc>
        <w:tc>
          <w:tcPr>
            <w:tcW w:w="2204" w:type="pct"/>
            <w:vMerge/>
            <w:shd w:val="clear" w:color="auto" w:fill="F2F2F2" w:themeFill="background1" w:themeFillShade="F2"/>
          </w:tcPr>
          <w:p w14:paraId="6A26EAB6" w14:textId="77777777" w:rsidR="00992969" w:rsidRPr="003C341F" w:rsidRDefault="00992969" w:rsidP="006835EF">
            <w:pPr>
              <w:spacing w:after="0"/>
              <w:jc w:val="left"/>
              <w:rPr>
                <w:b/>
                <w:sz w:val="20"/>
                <w:lang w:val="en-AU"/>
              </w:rPr>
            </w:pPr>
          </w:p>
        </w:tc>
      </w:tr>
      <w:tr w:rsidR="00992969" w:rsidRPr="003C341F" w14:paraId="69502AE3" w14:textId="77777777" w:rsidTr="00C80BAE">
        <w:tc>
          <w:tcPr>
            <w:tcW w:w="293" w:type="pct"/>
          </w:tcPr>
          <w:p w14:paraId="18E1EC55" w14:textId="77777777" w:rsidR="00992969" w:rsidRPr="003C341F" w:rsidRDefault="00992969" w:rsidP="00C80BAE">
            <w:pPr>
              <w:spacing w:after="0"/>
              <w:rPr>
                <w:b/>
                <w:sz w:val="20"/>
                <w:lang w:val="en-AU"/>
              </w:rPr>
            </w:pPr>
            <w:r w:rsidRPr="003C341F">
              <w:rPr>
                <w:b/>
                <w:sz w:val="20"/>
                <w:lang w:val="en-AU"/>
              </w:rPr>
              <w:t>If</w:t>
            </w:r>
          </w:p>
        </w:tc>
        <w:tc>
          <w:tcPr>
            <w:tcW w:w="2211" w:type="pct"/>
          </w:tcPr>
          <w:p w14:paraId="2E3429F5" w14:textId="13906C3E" w:rsidR="00992969" w:rsidRPr="003C341F" w:rsidRDefault="00C62C8E" w:rsidP="006835EF">
            <w:pPr>
              <w:spacing w:after="0"/>
              <w:jc w:val="left"/>
              <w:rPr>
                <w:sz w:val="20"/>
                <w:lang w:val="en-AU"/>
              </w:rPr>
            </w:pPr>
            <w:r w:rsidRPr="003C341F">
              <w:rPr>
                <w:sz w:val="20"/>
                <w:lang w:val="en-AU"/>
              </w:rPr>
              <w:t>MOH</w:t>
            </w:r>
            <w:r w:rsidR="00992969" w:rsidRPr="003C341F">
              <w:rPr>
                <w:sz w:val="20"/>
                <w:lang w:val="en-AU"/>
              </w:rPr>
              <w:t xml:space="preserve"> </w:t>
            </w:r>
            <w:r w:rsidR="00F137A0">
              <w:rPr>
                <w:sz w:val="20"/>
                <w:lang w:val="en-AU"/>
              </w:rPr>
              <w:t xml:space="preserve">evaluates these solutions, </w:t>
            </w:r>
          </w:p>
        </w:tc>
        <w:tc>
          <w:tcPr>
            <w:tcW w:w="293" w:type="pct"/>
          </w:tcPr>
          <w:p w14:paraId="223A74DF" w14:textId="77777777" w:rsidR="00992969" w:rsidRPr="003C341F" w:rsidRDefault="00992969" w:rsidP="00C80BAE">
            <w:pPr>
              <w:spacing w:after="0"/>
              <w:rPr>
                <w:b/>
                <w:sz w:val="20"/>
                <w:lang w:val="en-AU"/>
              </w:rPr>
            </w:pPr>
            <w:r w:rsidRPr="003C341F">
              <w:rPr>
                <w:b/>
                <w:sz w:val="20"/>
                <w:lang w:val="en-AU"/>
              </w:rPr>
              <w:t>then</w:t>
            </w:r>
          </w:p>
        </w:tc>
        <w:tc>
          <w:tcPr>
            <w:tcW w:w="2204" w:type="pct"/>
          </w:tcPr>
          <w:p w14:paraId="37A252D3" w14:textId="77777777" w:rsidR="00992969" w:rsidRPr="003C341F" w:rsidRDefault="00992969" w:rsidP="006835EF">
            <w:pPr>
              <w:spacing w:after="0"/>
              <w:jc w:val="left"/>
              <w:rPr>
                <w:sz w:val="20"/>
                <w:lang w:val="en-AU"/>
              </w:rPr>
            </w:pPr>
            <w:r w:rsidRPr="003C341F">
              <w:rPr>
                <w:sz w:val="20"/>
                <w:lang w:val="en-AU"/>
              </w:rPr>
              <w:t>It will better understand which solutions are or are not working and will be able to adapt its approach accordingly</w:t>
            </w:r>
          </w:p>
        </w:tc>
      </w:tr>
      <w:tr w:rsidR="00992969" w:rsidRPr="003C341F" w14:paraId="674DB81F" w14:textId="77777777" w:rsidTr="00C80BAE">
        <w:tc>
          <w:tcPr>
            <w:tcW w:w="293" w:type="pct"/>
            <w:shd w:val="clear" w:color="auto" w:fill="F2F2F2" w:themeFill="background1" w:themeFillShade="F2"/>
          </w:tcPr>
          <w:p w14:paraId="438A362F" w14:textId="77777777" w:rsidR="00992969" w:rsidRPr="003C341F" w:rsidRDefault="00992969" w:rsidP="00C80BAE">
            <w:pPr>
              <w:spacing w:after="0"/>
              <w:rPr>
                <w:b/>
                <w:sz w:val="20"/>
                <w:lang w:val="en-AU"/>
              </w:rPr>
            </w:pPr>
            <w:r w:rsidRPr="003C341F">
              <w:rPr>
                <w:b/>
                <w:sz w:val="20"/>
                <w:lang w:val="en-AU"/>
              </w:rPr>
              <w:t>If</w:t>
            </w:r>
          </w:p>
        </w:tc>
        <w:tc>
          <w:tcPr>
            <w:tcW w:w="2211" w:type="pct"/>
            <w:shd w:val="clear" w:color="auto" w:fill="F2F2F2" w:themeFill="background1" w:themeFillShade="F2"/>
          </w:tcPr>
          <w:p w14:paraId="284D7C3F" w14:textId="77777777" w:rsidR="00992969" w:rsidRPr="003C341F" w:rsidRDefault="00C62C8E" w:rsidP="006835EF">
            <w:pPr>
              <w:spacing w:after="0"/>
              <w:jc w:val="left"/>
              <w:rPr>
                <w:sz w:val="20"/>
                <w:lang w:val="en-AU"/>
              </w:rPr>
            </w:pPr>
            <w:r w:rsidRPr="003C341F">
              <w:rPr>
                <w:sz w:val="20"/>
                <w:lang w:val="en-AU"/>
              </w:rPr>
              <w:t>MOH</w:t>
            </w:r>
            <w:r w:rsidR="00992969" w:rsidRPr="003C341F">
              <w:rPr>
                <w:sz w:val="20"/>
                <w:lang w:val="en-AU"/>
              </w:rPr>
              <w:t xml:space="preserve"> implements and evaluates solutions to address priority issues affecting its </w:t>
            </w:r>
            <w:r w:rsidR="00F43F6F" w:rsidRPr="003C341F">
              <w:rPr>
                <w:sz w:val="20"/>
                <w:lang w:val="en-AU"/>
              </w:rPr>
              <w:t>performance</w:t>
            </w:r>
          </w:p>
        </w:tc>
        <w:tc>
          <w:tcPr>
            <w:tcW w:w="293" w:type="pct"/>
            <w:shd w:val="clear" w:color="auto" w:fill="F2F2F2" w:themeFill="background1" w:themeFillShade="F2"/>
          </w:tcPr>
          <w:p w14:paraId="3FA44831" w14:textId="77777777" w:rsidR="00992969" w:rsidRPr="003C341F" w:rsidRDefault="00992969" w:rsidP="00C80BAE">
            <w:pPr>
              <w:spacing w:after="0"/>
              <w:rPr>
                <w:b/>
                <w:sz w:val="20"/>
                <w:lang w:val="en-AU"/>
              </w:rPr>
            </w:pPr>
            <w:r w:rsidRPr="003C341F">
              <w:rPr>
                <w:b/>
                <w:sz w:val="20"/>
                <w:lang w:val="en-AU"/>
              </w:rPr>
              <w:t>then</w:t>
            </w:r>
          </w:p>
        </w:tc>
        <w:tc>
          <w:tcPr>
            <w:tcW w:w="2204" w:type="pct"/>
            <w:shd w:val="clear" w:color="auto" w:fill="F2F2F2" w:themeFill="background1" w:themeFillShade="F2"/>
          </w:tcPr>
          <w:p w14:paraId="1C724855" w14:textId="77777777" w:rsidR="00992969" w:rsidRPr="003C341F" w:rsidRDefault="00992969" w:rsidP="006835EF">
            <w:pPr>
              <w:spacing w:after="0"/>
              <w:jc w:val="left"/>
              <w:rPr>
                <w:sz w:val="20"/>
                <w:lang w:val="en-AU"/>
              </w:rPr>
            </w:pPr>
            <w:r w:rsidRPr="003C341F">
              <w:rPr>
                <w:sz w:val="20"/>
                <w:lang w:val="en-AU"/>
              </w:rPr>
              <w:t>Health sector institutional arrangements will be better adapted to meet Samoa’s health needs</w:t>
            </w:r>
          </w:p>
        </w:tc>
      </w:tr>
    </w:tbl>
    <w:p w14:paraId="2B9D75E6" w14:textId="77777777" w:rsidR="0044462B" w:rsidRPr="003C341F" w:rsidRDefault="0044462B" w:rsidP="00C80BAE">
      <w:pPr>
        <w:spacing w:before="120"/>
        <w:rPr>
          <w:lang w:val="en-AU"/>
        </w:rPr>
      </w:pPr>
      <w:r w:rsidRPr="003C341F">
        <w:rPr>
          <w:lang w:val="en-AU"/>
        </w:rPr>
        <w:t>The key assumption underpinning the above outcome pathway is:</w:t>
      </w:r>
    </w:p>
    <w:p w14:paraId="52C0BCF7" w14:textId="77777777" w:rsidR="0044462B" w:rsidRPr="003C341F" w:rsidRDefault="00C62C8E" w:rsidP="00662F77">
      <w:pPr>
        <w:pStyle w:val="Bullet1-Long"/>
      </w:pPr>
      <w:r w:rsidRPr="003C341F">
        <w:t>MOH</w:t>
      </w:r>
      <w:r w:rsidR="0044462B" w:rsidRPr="003C341F">
        <w:t xml:space="preserve"> has the capacity, motivation, </w:t>
      </w:r>
      <w:proofErr w:type="gramStart"/>
      <w:r w:rsidR="0044462B" w:rsidRPr="003C341F">
        <w:t>influence</w:t>
      </w:r>
      <w:proofErr w:type="gramEnd"/>
      <w:r w:rsidR="0044462B" w:rsidRPr="003C341F">
        <w:t xml:space="preserve"> and networks to identify and address priority issues related to health sector institutional arrangements that are affecting health sector performance.  </w:t>
      </w:r>
    </w:p>
    <w:p w14:paraId="471E235A" w14:textId="77777777" w:rsidR="00992969" w:rsidRPr="003C341F" w:rsidRDefault="00992969" w:rsidP="00922E51">
      <w:pPr>
        <w:pStyle w:val="Default"/>
        <w:spacing w:after="120" w:line="276" w:lineRule="auto"/>
        <w:rPr>
          <w:rFonts w:asciiTheme="majorHAnsi" w:hAnsiTheme="majorHAnsi"/>
          <w:b/>
          <w:sz w:val="22"/>
        </w:rPr>
      </w:pPr>
      <w:r w:rsidRPr="003C341F">
        <w:rPr>
          <w:rFonts w:asciiTheme="majorHAnsi" w:hAnsiTheme="majorHAnsi"/>
          <w:b/>
          <w:sz w:val="22"/>
        </w:rPr>
        <w:t>3.1 - SFHA has improved organisational performance</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4"/>
        <w:gridCol w:w="1759"/>
        <w:gridCol w:w="708"/>
        <w:gridCol w:w="6039"/>
      </w:tblGrid>
      <w:tr w:rsidR="002E3308" w:rsidRPr="003C341F" w14:paraId="34E3F7EF" w14:textId="77777777" w:rsidTr="00C80BAE">
        <w:trPr>
          <w:cantSplit/>
        </w:trPr>
        <w:tc>
          <w:tcPr>
            <w:tcW w:w="280" w:type="pct"/>
            <w:shd w:val="clear" w:color="auto" w:fill="F2F2F2" w:themeFill="background1" w:themeFillShade="F2"/>
          </w:tcPr>
          <w:p w14:paraId="6A3F0271" w14:textId="77777777" w:rsidR="002E3308" w:rsidRPr="003C341F" w:rsidRDefault="002E3308" w:rsidP="00C80BAE">
            <w:pPr>
              <w:spacing w:after="0"/>
              <w:rPr>
                <w:b/>
                <w:sz w:val="20"/>
                <w:lang w:val="en-AU"/>
              </w:rPr>
            </w:pPr>
            <w:r w:rsidRPr="003C341F">
              <w:rPr>
                <w:b/>
                <w:sz w:val="20"/>
                <w:lang w:val="en-AU"/>
              </w:rPr>
              <w:t>If</w:t>
            </w:r>
          </w:p>
        </w:tc>
        <w:tc>
          <w:tcPr>
            <w:tcW w:w="976" w:type="pct"/>
            <w:shd w:val="clear" w:color="auto" w:fill="F2F2F2" w:themeFill="background1" w:themeFillShade="F2"/>
          </w:tcPr>
          <w:p w14:paraId="0E4DA596" w14:textId="77777777" w:rsidR="002E3308" w:rsidRPr="003C341F" w:rsidRDefault="002E3308" w:rsidP="00F04CAC">
            <w:pPr>
              <w:spacing w:after="0"/>
              <w:jc w:val="left"/>
              <w:rPr>
                <w:b/>
                <w:sz w:val="20"/>
                <w:lang w:val="en-AU"/>
              </w:rPr>
            </w:pPr>
            <w:r w:rsidRPr="003C341F">
              <w:rPr>
                <w:sz w:val="20"/>
                <w:lang w:val="en-AU"/>
              </w:rPr>
              <w:t>SFHA understands its organisational strengths and weaknesses</w:t>
            </w:r>
          </w:p>
        </w:tc>
        <w:tc>
          <w:tcPr>
            <w:tcW w:w="393" w:type="pct"/>
            <w:shd w:val="clear" w:color="auto" w:fill="F2F2F2" w:themeFill="background1" w:themeFillShade="F2"/>
          </w:tcPr>
          <w:p w14:paraId="53D61A9F" w14:textId="77777777" w:rsidR="002E3308" w:rsidRPr="003C341F" w:rsidRDefault="002E3308" w:rsidP="00C80BAE">
            <w:pPr>
              <w:spacing w:after="0"/>
              <w:rPr>
                <w:b/>
                <w:sz w:val="20"/>
                <w:lang w:val="en-AU"/>
              </w:rPr>
            </w:pPr>
            <w:r w:rsidRPr="003C341F">
              <w:rPr>
                <w:b/>
                <w:sz w:val="20"/>
                <w:lang w:val="en-AU"/>
              </w:rPr>
              <w:t>then</w:t>
            </w:r>
          </w:p>
        </w:tc>
        <w:tc>
          <w:tcPr>
            <w:tcW w:w="3351" w:type="pct"/>
            <w:shd w:val="clear" w:color="auto" w:fill="F2F2F2" w:themeFill="background1" w:themeFillShade="F2"/>
          </w:tcPr>
          <w:p w14:paraId="57C82944" w14:textId="77777777" w:rsidR="002E3308" w:rsidRPr="003C341F" w:rsidRDefault="002E3308" w:rsidP="00C80BAE">
            <w:pPr>
              <w:spacing w:after="0"/>
              <w:rPr>
                <w:b/>
                <w:sz w:val="20"/>
                <w:lang w:val="en-AU"/>
              </w:rPr>
            </w:pPr>
            <w:r w:rsidRPr="003C341F">
              <w:rPr>
                <w:sz w:val="20"/>
                <w:lang w:val="en-AU"/>
              </w:rPr>
              <w:t>it will be better able to target efforts to strengthen its organisational capacity</w:t>
            </w:r>
          </w:p>
        </w:tc>
      </w:tr>
      <w:tr w:rsidR="002E3308" w:rsidRPr="003C341F" w14:paraId="566ABDB9" w14:textId="77777777" w:rsidTr="00C80BAE">
        <w:trPr>
          <w:trHeight w:val="1084"/>
        </w:trPr>
        <w:tc>
          <w:tcPr>
            <w:tcW w:w="280" w:type="pct"/>
          </w:tcPr>
          <w:p w14:paraId="28AB6AAF" w14:textId="77777777" w:rsidR="002E3308" w:rsidRPr="003C341F" w:rsidRDefault="002E3308" w:rsidP="00C80BAE">
            <w:pPr>
              <w:spacing w:after="0"/>
              <w:rPr>
                <w:b/>
                <w:sz w:val="20"/>
                <w:lang w:val="en-AU"/>
              </w:rPr>
            </w:pPr>
            <w:r w:rsidRPr="003C341F">
              <w:rPr>
                <w:b/>
                <w:sz w:val="20"/>
                <w:lang w:val="en-AU"/>
              </w:rPr>
              <w:t>If</w:t>
            </w:r>
          </w:p>
        </w:tc>
        <w:tc>
          <w:tcPr>
            <w:tcW w:w="976" w:type="pct"/>
          </w:tcPr>
          <w:p w14:paraId="27FE60B5" w14:textId="77777777" w:rsidR="002E3308" w:rsidRDefault="002E3308" w:rsidP="00F04CAC">
            <w:pPr>
              <w:spacing w:after="0"/>
              <w:jc w:val="left"/>
              <w:rPr>
                <w:sz w:val="20"/>
                <w:lang w:val="en-AU"/>
              </w:rPr>
            </w:pPr>
            <w:r w:rsidRPr="003C341F">
              <w:rPr>
                <w:sz w:val="20"/>
                <w:lang w:val="en-AU"/>
              </w:rPr>
              <w:t>SFHA has improved organisational capacity</w:t>
            </w:r>
          </w:p>
          <w:p w14:paraId="06AF7398" w14:textId="77777777" w:rsidR="00F137A0" w:rsidRDefault="00F137A0" w:rsidP="00F04CAC">
            <w:pPr>
              <w:spacing w:after="0"/>
              <w:jc w:val="left"/>
              <w:rPr>
                <w:sz w:val="20"/>
                <w:lang w:val="en-AU"/>
              </w:rPr>
            </w:pPr>
          </w:p>
          <w:p w14:paraId="52438A69" w14:textId="77777777" w:rsidR="00F137A0" w:rsidRDefault="00F137A0" w:rsidP="00F04CAC">
            <w:pPr>
              <w:spacing w:after="0"/>
              <w:jc w:val="left"/>
              <w:rPr>
                <w:sz w:val="20"/>
                <w:lang w:val="en-AU"/>
              </w:rPr>
            </w:pPr>
          </w:p>
          <w:p w14:paraId="1A6705CF" w14:textId="77777777" w:rsidR="00F137A0" w:rsidRDefault="00F137A0" w:rsidP="00F04CAC">
            <w:pPr>
              <w:spacing w:after="0"/>
              <w:jc w:val="left"/>
              <w:rPr>
                <w:sz w:val="20"/>
                <w:lang w:val="en-AU"/>
              </w:rPr>
            </w:pPr>
          </w:p>
          <w:p w14:paraId="47070E44" w14:textId="77777777" w:rsidR="00F137A0" w:rsidRDefault="00F137A0" w:rsidP="00F04CAC">
            <w:pPr>
              <w:spacing w:after="0"/>
              <w:jc w:val="left"/>
              <w:rPr>
                <w:sz w:val="20"/>
                <w:lang w:val="en-AU"/>
              </w:rPr>
            </w:pPr>
          </w:p>
          <w:p w14:paraId="08106F2D" w14:textId="77777777" w:rsidR="00F137A0" w:rsidRDefault="00F137A0" w:rsidP="00F04CAC">
            <w:pPr>
              <w:spacing w:after="0"/>
              <w:jc w:val="left"/>
              <w:rPr>
                <w:sz w:val="20"/>
                <w:lang w:val="en-AU"/>
              </w:rPr>
            </w:pPr>
          </w:p>
          <w:p w14:paraId="0EE75AF5" w14:textId="77777777" w:rsidR="00F137A0" w:rsidRDefault="00F137A0" w:rsidP="00F04CAC">
            <w:pPr>
              <w:spacing w:after="0"/>
              <w:jc w:val="left"/>
              <w:rPr>
                <w:sz w:val="20"/>
                <w:lang w:val="en-AU"/>
              </w:rPr>
            </w:pPr>
          </w:p>
          <w:p w14:paraId="5BB2C068" w14:textId="77777777" w:rsidR="00F137A0" w:rsidRDefault="00F137A0" w:rsidP="00F04CAC">
            <w:pPr>
              <w:spacing w:after="0"/>
              <w:jc w:val="left"/>
              <w:rPr>
                <w:sz w:val="20"/>
                <w:lang w:val="en-AU"/>
              </w:rPr>
            </w:pPr>
          </w:p>
          <w:p w14:paraId="7DE48A41" w14:textId="77777777" w:rsidR="00F137A0" w:rsidRDefault="00F137A0" w:rsidP="00F04CAC">
            <w:pPr>
              <w:spacing w:after="0"/>
              <w:jc w:val="left"/>
              <w:rPr>
                <w:sz w:val="20"/>
                <w:lang w:val="en-AU"/>
              </w:rPr>
            </w:pPr>
          </w:p>
          <w:p w14:paraId="1645B8CA" w14:textId="77777777" w:rsidR="00F137A0" w:rsidRDefault="00F137A0" w:rsidP="00F04CAC">
            <w:pPr>
              <w:spacing w:after="0"/>
              <w:jc w:val="left"/>
              <w:rPr>
                <w:sz w:val="20"/>
                <w:lang w:val="en-AU"/>
              </w:rPr>
            </w:pPr>
          </w:p>
          <w:p w14:paraId="4A9EDE4F" w14:textId="77777777" w:rsidR="00F137A0" w:rsidRDefault="00F137A0" w:rsidP="00F04CAC">
            <w:pPr>
              <w:spacing w:after="0"/>
              <w:jc w:val="left"/>
              <w:rPr>
                <w:sz w:val="20"/>
                <w:lang w:val="en-AU"/>
              </w:rPr>
            </w:pPr>
          </w:p>
          <w:p w14:paraId="30F7D9CB" w14:textId="77777777" w:rsidR="00F137A0" w:rsidRDefault="00F137A0" w:rsidP="00F04CAC">
            <w:pPr>
              <w:spacing w:after="0"/>
              <w:jc w:val="left"/>
              <w:rPr>
                <w:sz w:val="20"/>
                <w:lang w:val="en-AU"/>
              </w:rPr>
            </w:pPr>
          </w:p>
          <w:p w14:paraId="7B539E11" w14:textId="77777777" w:rsidR="00F137A0" w:rsidRDefault="00F137A0" w:rsidP="00F04CAC">
            <w:pPr>
              <w:spacing w:after="0"/>
              <w:jc w:val="left"/>
              <w:rPr>
                <w:sz w:val="20"/>
                <w:lang w:val="en-AU"/>
              </w:rPr>
            </w:pPr>
          </w:p>
          <w:p w14:paraId="6E0AB0D6" w14:textId="77777777" w:rsidR="00F137A0" w:rsidRDefault="00F137A0" w:rsidP="00F04CAC">
            <w:pPr>
              <w:spacing w:after="0"/>
              <w:jc w:val="left"/>
              <w:rPr>
                <w:sz w:val="20"/>
                <w:lang w:val="en-AU"/>
              </w:rPr>
            </w:pPr>
          </w:p>
          <w:p w14:paraId="7250F3A5" w14:textId="77777777" w:rsidR="00F137A0" w:rsidRDefault="00F137A0" w:rsidP="00F04CAC">
            <w:pPr>
              <w:spacing w:after="0"/>
              <w:jc w:val="left"/>
              <w:rPr>
                <w:sz w:val="20"/>
                <w:lang w:val="en-AU"/>
              </w:rPr>
            </w:pPr>
          </w:p>
          <w:p w14:paraId="0671ECB7" w14:textId="77777777" w:rsidR="00F137A0" w:rsidRDefault="00F137A0" w:rsidP="00F04CAC">
            <w:pPr>
              <w:spacing w:after="0"/>
              <w:jc w:val="left"/>
              <w:rPr>
                <w:sz w:val="20"/>
                <w:lang w:val="en-AU"/>
              </w:rPr>
            </w:pPr>
          </w:p>
          <w:p w14:paraId="081C4C89" w14:textId="77777777" w:rsidR="00F137A0" w:rsidRDefault="00F137A0" w:rsidP="00F04CAC">
            <w:pPr>
              <w:spacing w:after="0"/>
              <w:jc w:val="left"/>
              <w:rPr>
                <w:sz w:val="20"/>
                <w:lang w:val="en-AU"/>
              </w:rPr>
            </w:pPr>
          </w:p>
          <w:p w14:paraId="2147E4A8" w14:textId="77777777" w:rsidR="00F137A0" w:rsidRDefault="00F137A0" w:rsidP="00F04CAC">
            <w:pPr>
              <w:spacing w:after="0"/>
              <w:jc w:val="left"/>
              <w:rPr>
                <w:sz w:val="20"/>
                <w:lang w:val="en-AU"/>
              </w:rPr>
            </w:pPr>
          </w:p>
          <w:p w14:paraId="25A865A5" w14:textId="77777777" w:rsidR="00F137A0" w:rsidRDefault="00F137A0" w:rsidP="00F04CAC">
            <w:pPr>
              <w:spacing w:after="0"/>
              <w:jc w:val="left"/>
              <w:rPr>
                <w:sz w:val="20"/>
                <w:lang w:val="en-AU"/>
              </w:rPr>
            </w:pPr>
          </w:p>
          <w:p w14:paraId="3EF68643" w14:textId="77777777" w:rsidR="00F137A0" w:rsidRDefault="00F137A0" w:rsidP="00F04CAC">
            <w:pPr>
              <w:spacing w:after="0"/>
              <w:jc w:val="left"/>
              <w:rPr>
                <w:sz w:val="20"/>
                <w:lang w:val="en-AU"/>
              </w:rPr>
            </w:pPr>
          </w:p>
          <w:p w14:paraId="220D0237" w14:textId="77777777" w:rsidR="00F137A0" w:rsidRDefault="00F137A0" w:rsidP="00F04CAC">
            <w:pPr>
              <w:spacing w:after="0"/>
              <w:jc w:val="left"/>
              <w:rPr>
                <w:sz w:val="20"/>
                <w:lang w:val="en-AU"/>
              </w:rPr>
            </w:pPr>
          </w:p>
          <w:p w14:paraId="532893C4" w14:textId="445F9612" w:rsidR="00F137A0" w:rsidRPr="003C341F" w:rsidRDefault="00F137A0" w:rsidP="00F04CAC">
            <w:pPr>
              <w:spacing w:after="0"/>
              <w:jc w:val="left"/>
              <w:rPr>
                <w:b/>
                <w:sz w:val="20"/>
                <w:lang w:val="en-AU"/>
              </w:rPr>
            </w:pPr>
          </w:p>
        </w:tc>
        <w:tc>
          <w:tcPr>
            <w:tcW w:w="393" w:type="pct"/>
          </w:tcPr>
          <w:p w14:paraId="56B99806" w14:textId="77777777" w:rsidR="002E3308" w:rsidRPr="003C341F" w:rsidRDefault="002E3308" w:rsidP="00C80BAE">
            <w:pPr>
              <w:spacing w:after="0"/>
              <w:rPr>
                <w:b/>
                <w:sz w:val="20"/>
                <w:lang w:val="en-AU"/>
              </w:rPr>
            </w:pPr>
            <w:r w:rsidRPr="003C341F">
              <w:rPr>
                <w:b/>
                <w:sz w:val="20"/>
                <w:lang w:val="en-AU"/>
              </w:rPr>
              <w:lastRenderedPageBreak/>
              <w:t>then</w:t>
            </w:r>
          </w:p>
        </w:tc>
        <w:tc>
          <w:tcPr>
            <w:tcW w:w="3351" w:type="pct"/>
          </w:tcPr>
          <w:p w14:paraId="290A0582" w14:textId="77454692" w:rsidR="002E3308" w:rsidRDefault="002E3308" w:rsidP="00C80BAE">
            <w:pPr>
              <w:spacing w:after="0"/>
              <w:rPr>
                <w:sz w:val="20"/>
                <w:lang w:val="en-AU"/>
              </w:rPr>
            </w:pPr>
            <w:r w:rsidRPr="003C341F">
              <w:rPr>
                <w:sz w:val="20"/>
                <w:lang w:val="en-AU"/>
              </w:rPr>
              <w:t>it will be better able to attract external funding and deliver more and/or more effective SRH services. For example:</w:t>
            </w:r>
          </w:p>
          <w:p w14:paraId="37B13E02" w14:textId="77777777" w:rsidR="00F137A0" w:rsidRPr="003C341F" w:rsidRDefault="00F137A0" w:rsidP="00C80BAE">
            <w:pPr>
              <w:spacing w:after="0"/>
              <w:rPr>
                <w:sz w:val="20"/>
                <w:lang w:val="en-AU"/>
              </w:rPr>
            </w:pPr>
          </w:p>
          <w:tbl>
            <w:tblPr>
              <w:tblStyle w:val="TableGrid"/>
              <w:tblW w:w="5000" w:type="pct"/>
              <w:tblLook w:val="04A0" w:firstRow="1" w:lastRow="0" w:firstColumn="1" w:lastColumn="0" w:noHBand="0" w:noVBand="1"/>
            </w:tblPr>
            <w:tblGrid>
              <w:gridCol w:w="360"/>
              <w:gridCol w:w="2704"/>
              <w:gridCol w:w="738"/>
              <w:gridCol w:w="2011"/>
            </w:tblGrid>
            <w:tr w:rsidR="002E3308" w:rsidRPr="003C341F" w14:paraId="6FC084FA" w14:textId="77777777" w:rsidTr="00F137A0">
              <w:trPr>
                <w:cantSplit/>
              </w:trPr>
              <w:tc>
                <w:tcPr>
                  <w:tcW w:w="309" w:type="pct"/>
                </w:tcPr>
                <w:p w14:paraId="00821237" w14:textId="77777777" w:rsidR="002E3308" w:rsidRPr="003C341F" w:rsidRDefault="002E3308" w:rsidP="00C80BAE">
                  <w:pPr>
                    <w:spacing w:after="0"/>
                    <w:rPr>
                      <w:b/>
                      <w:sz w:val="20"/>
                      <w:lang w:val="en-AU"/>
                    </w:rPr>
                  </w:pPr>
                  <w:r w:rsidRPr="003C341F">
                    <w:rPr>
                      <w:b/>
                      <w:sz w:val="20"/>
                      <w:lang w:val="en-AU"/>
                    </w:rPr>
                    <w:t>If</w:t>
                  </w:r>
                </w:p>
              </w:tc>
              <w:tc>
                <w:tcPr>
                  <w:tcW w:w="2326" w:type="pct"/>
                </w:tcPr>
                <w:p w14:paraId="19016E1F" w14:textId="77777777" w:rsidR="002E3308" w:rsidRPr="003C341F" w:rsidRDefault="002E3308" w:rsidP="006835EF">
                  <w:pPr>
                    <w:spacing w:after="0"/>
                    <w:jc w:val="left"/>
                    <w:rPr>
                      <w:b/>
                      <w:sz w:val="20"/>
                      <w:lang w:val="en-AU"/>
                    </w:rPr>
                  </w:pPr>
                  <w:r w:rsidRPr="003C341F">
                    <w:rPr>
                      <w:sz w:val="20"/>
                      <w:lang w:val="en-AU"/>
                    </w:rPr>
                    <w:t>SFHA understands its role and strategic direction</w:t>
                  </w:r>
                </w:p>
              </w:tc>
              <w:tc>
                <w:tcPr>
                  <w:tcW w:w="635" w:type="pct"/>
                </w:tcPr>
                <w:p w14:paraId="66EA6032" w14:textId="77777777" w:rsidR="002E3308" w:rsidRPr="003C341F" w:rsidRDefault="002E3308" w:rsidP="00C80BAE">
                  <w:pPr>
                    <w:spacing w:after="0"/>
                    <w:rPr>
                      <w:b/>
                      <w:sz w:val="20"/>
                      <w:lang w:val="en-AU"/>
                    </w:rPr>
                  </w:pPr>
                  <w:r w:rsidRPr="003C341F">
                    <w:rPr>
                      <w:b/>
                      <w:sz w:val="20"/>
                      <w:lang w:val="en-AU"/>
                    </w:rPr>
                    <w:t>then</w:t>
                  </w:r>
                </w:p>
              </w:tc>
              <w:tc>
                <w:tcPr>
                  <w:tcW w:w="1730" w:type="pct"/>
                </w:tcPr>
                <w:p w14:paraId="487947B3" w14:textId="77777777" w:rsidR="002E3308" w:rsidRPr="003C341F" w:rsidRDefault="002E3308" w:rsidP="006835EF">
                  <w:pPr>
                    <w:spacing w:after="0"/>
                    <w:jc w:val="left"/>
                    <w:rPr>
                      <w:b/>
                      <w:sz w:val="20"/>
                      <w:lang w:val="en-AU"/>
                    </w:rPr>
                  </w:pPr>
                  <w:r w:rsidRPr="003C341F">
                    <w:rPr>
                      <w:sz w:val="20"/>
                      <w:lang w:val="en-AU"/>
                    </w:rPr>
                    <w:t>it will be able to better target and manage delivery of its services to fulfil its mandate and increase the quality, accessibility and/or coverage of its SRH services</w:t>
                  </w:r>
                </w:p>
              </w:tc>
            </w:tr>
            <w:tr w:rsidR="002E3308" w:rsidRPr="003C341F" w14:paraId="02AA025D" w14:textId="77777777" w:rsidTr="00F137A0">
              <w:trPr>
                <w:cantSplit/>
              </w:trPr>
              <w:tc>
                <w:tcPr>
                  <w:tcW w:w="309" w:type="pct"/>
                </w:tcPr>
                <w:p w14:paraId="47BA5AB0" w14:textId="77777777" w:rsidR="002E3308" w:rsidRPr="003C341F" w:rsidRDefault="002E3308" w:rsidP="00C80BAE">
                  <w:pPr>
                    <w:spacing w:after="0"/>
                    <w:rPr>
                      <w:b/>
                      <w:sz w:val="20"/>
                      <w:lang w:val="en-AU"/>
                    </w:rPr>
                  </w:pPr>
                  <w:r w:rsidRPr="003C341F">
                    <w:rPr>
                      <w:b/>
                      <w:sz w:val="20"/>
                      <w:lang w:val="en-AU"/>
                    </w:rPr>
                    <w:t>If</w:t>
                  </w:r>
                </w:p>
              </w:tc>
              <w:tc>
                <w:tcPr>
                  <w:tcW w:w="2326" w:type="pct"/>
                </w:tcPr>
                <w:p w14:paraId="5335F31E" w14:textId="77777777" w:rsidR="002E3308" w:rsidRPr="003C341F" w:rsidRDefault="002E3308" w:rsidP="006835EF">
                  <w:pPr>
                    <w:spacing w:after="0"/>
                    <w:jc w:val="left"/>
                    <w:rPr>
                      <w:b/>
                      <w:sz w:val="20"/>
                      <w:lang w:val="en-AU"/>
                    </w:rPr>
                  </w:pPr>
                  <w:r w:rsidRPr="003C341F">
                    <w:rPr>
                      <w:sz w:val="20"/>
                      <w:lang w:val="en-AU"/>
                    </w:rPr>
                    <w:t>SFHA has improved fundraising strategies, financial management, contract management and monitoring and reporting</w:t>
                  </w:r>
                </w:p>
              </w:tc>
              <w:tc>
                <w:tcPr>
                  <w:tcW w:w="635" w:type="pct"/>
                </w:tcPr>
                <w:p w14:paraId="57BCB64A" w14:textId="77777777" w:rsidR="002E3308" w:rsidRPr="003C341F" w:rsidRDefault="002E3308" w:rsidP="00C80BAE">
                  <w:pPr>
                    <w:spacing w:after="0"/>
                    <w:rPr>
                      <w:b/>
                      <w:sz w:val="20"/>
                      <w:lang w:val="en-AU"/>
                    </w:rPr>
                  </w:pPr>
                  <w:r w:rsidRPr="003C341F">
                    <w:rPr>
                      <w:b/>
                      <w:sz w:val="20"/>
                      <w:lang w:val="en-AU"/>
                    </w:rPr>
                    <w:t>then</w:t>
                  </w:r>
                </w:p>
              </w:tc>
              <w:tc>
                <w:tcPr>
                  <w:tcW w:w="1730" w:type="pct"/>
                </w:tcPr>
                <w:p w14:paraId="7DAA2067" w14:textId="77777777" w:rsidR="002E3308" w:rsidRPr="003C341F" w:rsidRDefault="002E3308" w:rsidP="006835EF">
                  <w:pPr>
                    <w:spacing w:after="0"/>
                    <w:jc w:val="left"/>
                    <w:rPr>
                      <w:sz w:val="20"/>
                      <w:lang w:val="en-AU"/>
                    </w:rPr>
                  </w:pPr>
                  <w:r w:rsidRPr="003C341F">
                    <w:rPr>
                      <w:sz w:val="20"/>
                      <w:lang w:val="en-AU"/>
                    </w:rPr>
                    <w:t>it will be better able to attract, manage and retain funding and will be better resourced to deliver its services.</w:t>
                  </w:r>
                </w:p>
              </w:tc>
            </w:tr>
            <w:tr w:rsidR="002E3308" w:rsidRPr="003C341F" w14:paraId="725597EF" w14:textId="77777777" w:rsidTr="00F137A0">
              <w:trPr>
                <w:cantSplit/>
              </w:trPr>
              <w:tc>
                <w:tcPr>
                  <w:tcW w:w="309" w:type="pct"/>
                </w:tcPr>
                <w:p w14:paraId="4F294F79" w14:textId="77777777" w:rsidR="002E3308" w:rsidRPr="003C341F" w:rsidRDefault="002E3308" w:rsidP="00C80BAE">
                  <w:pPr>
                    <w:spacing w:after="0"/>
                    <w:rPr>
                      <w:b/>
                      <w:sz w:val="20"/>
                      <w:lang w:val="en-AU"/>
                    </w:rPr>
                  </w:pPr>
                  <w:r w:rsidRPr="003C341F">
                    <w:rPr>
                      <w:b/>
                      <w:sz w:val="20"/>
                      <w:lang w:val="en-AU"/>
                    </w:rPr>
                    <w:t>If</w:t>
                  </w:r>
                </w:p>
              </w:tc>
              <w:tc>
                <w:tcPr>
                  <w:tcW w:w="2326" w:type="pct"/>
                </w:tcPr>
                <w:p w14:paraId="7EDABCCE" w14:textId="77777777" w:rsidR="002E3308" w:rsidRPr="003C341F" w:rsidRDefault="002E3308" w:rsidP="006835EF">
                  <w:pPr>
                    <w:spacing w:after="0"/>
                    <w:jc w:val="left"/>
                    <w:rPr>
                      <w:b/>
                      <w:sz w:val="20"/>
                      <w:lang w:val="en-AU"/>
                    </w:rPr>
                  </w:pPr>
                  <w:r w:rsidRPr="003C341F">
                    <w:rPr>
                      <w:sz w:val="20"/>
                      <w:lang w:val="en-AU"/>
                    </w:rPr>
                    <w:t>SFHA has improved management</w:t>
                  </w:r>
                </w:p>
              </w:tc>
              <w:tc>
                <w:tcPr>
                  <w:tcW w:w="635" w:type="pct"/>
                </w:tcPr>
                <w:p w14:paraId="288A389A" w14:textId="77777777" w:rsidR="002E3308" w:rsidRPr="003C341F" w:rsidRDefault="002E3308" w:rsidP="00C80BAE">
                  <w:pPr>
                    <w:spacing w:after="0"/>
                    <w:rPr>
                      <w:b/>
                      <w:sz w:val="20"/>
                      <w:lang w:val="en-AU"/>
                    </w:rPr>
                  </w:pPr>
                  <w:r w:rsidRPr="003C341F">
                    <w:rPr>
                      <w:b/>
                      <w:sz w:val="20"/>
                      <w:lang w:val="en-AU"/>
                    </w:rPr>
                    <w:t>then</w:t>
                  </w:r>
                </w:p>
              </w:tc>
              <w:tc>
                <w:tcPr>
                  <w:tcW w:w="1730" w:type="pct"/>
                </w:tcPr>
                <w:p w14:paraId="59AA38E5" w14:textId="77777777" w:rsidR="002E3308" w:rsidRPr="003C341F" w:rsidRDefault="002E3308" w:rsidP="006835EF">
                  <w:pPr>
                    <w:spacing w:after="0"/>
                    <w:jc w:val="left"/>
                    <w:rPr>
                      <w:sz w:val="20"/>
                      <w:lang w:val="en-AU"/>
                    </w:rPr>
                  </w:pPr>
                  <w:r w:rsidRPr="003C341F">
                    <w:rPr>
                      <w:sz w:val="20"/>
                      <w:lang w:val="en-AU"/>
                    </w:rPr>
                    <w:t>its resources will be better targeted to deliver optimum services</w:t>
                  </w:r>
                </w:p>
              </w:tc>
            </w:tr>
          </w:tbl>
          <w:p w14:paraId="58B2977F" w14:textId="77777777" w:rsidR="002E3308" w:rsidRPr="003C341F" w:rsidRDefault="002E3308" w:rsidP="00C80BAE">
            <w:pPr>
              <w:spacing w:after="0"/>
              <w:rPr>
                <w:b/>
                <w:sz w:val="20"/>
                <w:lang w:val="en-AU"/>
              </w:rPr>
            </w:pPr>
          </w:p>
        </w:tc>
      </w:tr>
      <w:tr w:rsidR="002E3308" w:rsidRPr="003C341F" w14:paraId="00DF1D85" w14:textId="77777777" w:rsidTr="00C80BAE">
        <w:tc>
          <w:tcPr>
            <w:tcW w:w="280" w:type="pct"/>
            <w:shd w:val="clear" w:color="auto" w:fill="F2F2F2" w:themeFill="background1" w:themeFillShade="F2"/>
          </w:tcPr>
          <w:p w14:paraId="57FD5333" w14:textId="77777777" w:rsidR="002E3308" w:rsidRPr="003C341F" w:rsidRDefault="002E3308" w:rsidP="00C80BAE">
            <w:pPr>
              <w:spacing w:after="0"/>
              <w:rPr>
                <w:b/>
                <w:sz w:val="20"/>
                <w:lang w:val="en-AU"/>
              </w:rPr>
            </w:pPr>
            <w:r w:rsidRPr="003C341F">
              <w:rPr>
                <w:b/>
                <w:sz w:val="20"/>
                <w:lang w:val="en-AU"/>
              </w:rPr>
              <w:t>If</w:t>
            </w:r>
          </w:p>
        </w:tc>
        <w:tc>
          <w:tcPr>
            <w:tcW w:w="976" w:type="pct"/>
            <w:shd w:val="clear" w:color="auto" w:fill="F2F2F2" w:themeFill="background1" w:themeFillShade="F2"/>
          </w:tcPr>
          <w:p w14:paraId="2C6DA212" w14:textId="77777777" w:rsidR="002E3308" w:rsidRPr="003C341F" w:rsidRDefault="002E3308" w:rsidP="006835EF">
            <w:pPr>
              <w:spacing w:after="0"/>
              <w:jc w:val="left"/>
              <w:rPr>
                <w:sz w:val="20"/>
                <w:lang w:val="en-AU"/>
              </w:rPr>
            </w:pPr>
            <w:r w:rsidRPr="003C341F">
              <w:rPr>
                <w:sz w:val="20"/>
                <w:lang w:val="en-AU"/>
              </w:rPr>
              <w:t>SFHA has sufficient organisa</w:t>
            </w:r>
            <w:r w:rsidR="007C1769" w:rsidRPr="003C341F">
              <w:rPr>
                <w:sz w:val="20"/>
                <w:lang w:val="en-AU"/>
              </w:rPr>
              <w:t>tional capacity and motivation</w:t>
            </w:r>
          </w:p>
        </w:tc>
        <w:tc>
          <w:tcPr>
            <w:tcW w:w="393" w:type="pct"/>
            <w:shd w:val="clear" w:color="auto" w:fill="F2F2F2" w:themeFill="background1" w:themeFillShade="F2"/>
          </w:tcPr>
          <w:p w14:paraId="04EF5E84" w14:textId="77777777" w:rsidR="002E3308" w:rsidRPr="003C341F" w:rsidRDefault="002E3308" w:rsidP="00C80BAE">
            <w:pPr>
              <w:spacing w:after="0"/>
              <w:rPr>
                <w:b/>
                <w:sz w:val="20"/>
                <w:lang w:val="en-AU"/>
              </w:rPr>
            </w:pPr>
            <w:r w:rsidRPr="003C341F">
              <w:rPr>
                <w:b/>
                <w:sz w:val="20"/>
                <w:lang w:val="en-AU"/>
              </w:rPr>
              <w:t>then</w:t>
            </w:r>
          </w:p>
        </w:tc>
        <w:tc>
          <w:tcPr>
            <w:tcW w:w="3351" w:type="pct"/>
            <w:shd w:val="clear" w:color="auto" w:fill="F2F2F2" w:themeFill="background1" w:themeFillShade="F2"/>
          </w:tcPr>
          <w:p w14:paraId="6E09967D" w14:textId="77777777" w:rsidR="002E3308" w:rsidRPr="003C341F" w:rsidRDefault="007C1769" w:rsidP="006835EF">
            <w:pPr>
              <w:spacing w:after="0"/>
              <w:jc w:val="left"/>
              <w:rPr>
                <w:b/>
                <w:sz w:val="20"/>
                <w:lang w:val="en-AU"/>
              </w:rPr>
            </w:pPr>
            <w:r w:rsidRPr="003C341F">
              <w:rPr>
                <w:sz w:val="20"/>
                <w:lang w:val="en-AU"/>
              </w:rPr>
              <w:t xml:space="preserve">it will provide increasingly appropriate, accessible, </w:t>
            </w:r>
            <w:proofErr w:type="gramStart"/>
            <w:r w:rsidRPr="003C341F">
              <w:rPr>
                <w:sz w:val="20"/>
                <w:lang w:val="en-AU"/>
              </w:rPr>
              <w:t>quality</w:t>
            </w:r>
            <w:proofErr w:type="gramEnd"/>
            <w:r w:rsidRPr="003C341F">
              <w:rPr>
                <w:sz w:val="20"/>
                <w:lang w:val="en-AU"/>
              </w:rPr>
              <w:t xml:space="preserve"> and well-managed services, including SRH services</w:t>
            </w:r>
          </w:p>
        </w:tc>
      </w:tr>
      <w:tr w:rsidR="007C1769" w:rsidRPr="003C341F" w14:paraId="31778397" w14:textId="77777777" w:rsidTr="00C80BAE">
        <w:tc>
          <w:tcPr>
            <w:tcW w:w="280" w:type="pct"/>
          </w:tcPr>
          <w:p w14:paraId="0A7C1E35" w14:textId="77777777" w:rsidR="007C1769" w:rsidRPr="003C341F" w:rsidRDefault="007C1769" w:rsidP="00C80BAE">
            <w:pPr>
              <w:spacing w:after="0"/>
              <w:rPr>
                <w:b/>
                <w:sz w:val="20"/>
                <w:lang w:val="en-AU"/>
              </w:rPr>
            </w:pPr>
            <w:r w:rsidRPr="003C341F">
              <w:rPr>
                <w:b/>
                <w:sz w:val="20"/>
                <w:lang w:val="en-AU"/>
              </w:rPr>
              <w:t>If</w:t>
            </w:r>
          </w:p>
        </w:tc>
        <w:tc>
          <w:tcPr>
            <w:tcW w:w="976" w:type="pct"/>
          </w:tcPr>
          <w:p w14:paraId="569F9525" w14:textId="77777777" w:rsidR="007C1769" w:rsidRPr="003C341F" w:rsidRDefault="007C1769" w:rsidP="006835EF">
            <w:pPr>
              <w:spacing w:after="0"/>
              <w:jc w:val="left"/>
              <w:rPr>
                <w:sz w:val="20"/>
                <w:lang w:val="en-AU"/>
              </w:rPr>
            </w:pPr>
            <w:r w:rsidRPr="003C341F">
              <w:rPr>
                <w:sz w:val="20"/>
                <w:lang w:val="en-AU"/>
              </w:rPr>
              <w:t>SFHA is delivering better SRH services</w:t>
            </w:r>
          </w:p>
        </w:tc>
        <w:tc>
          <w:tcPr>
            <w:tcW w:w="393" w:type="pct"/>
          </w:tcPr>
          <w:p w14:paraId="43299321" w14:textId="77777777" w:rsidR="007C1769" w:rsidRPr="003C341F" w:rsidRDefault="007C1769" w:rsidP="00C80BAE">
            <w:pPr>
              <w:spacing w:after="0"/>
              <w:rPr>
                <w:b/>
                <w:sz w:val="20"/>
                <w:lang w:val="en-AU"/>
              </w:rPr>
            </w:pPr>
            <w:r w:rsidRPr="003C341F">
              <w:rPr>
                <w:b/>
                <w:sz w:val="20"/>
                <w:lang w:val="en-AU"/>
              </w:rPr>
              <w:t>then</w:t>
            </w:r>
          </w:p>
        </w:tc>
        <w:tc>
          <w:tcPr>
            <w:tcW w:w="3351" w:type="pct"/>
          </w:tcPr>
          <w:p w14:paraId="2CFE43B0" w14:textId="77777777" w:rsidR="007C1769" w:rsidRPr="003C341F" w:rsidRDefault="007C1769" w:rsidP="006835EF">
            <w:pPr>
              <w:spacing w:after="0"/>
              <w:jc w:val="left"/>
              <w:rPr>
                <w:sz w:val="20"/>
                <w:lang w:val="en-AU"/>
              </w:rPr>
            </w:pPr>
            <w:r w:rsidRPr="003C341F">
              <w:rPr>
                <w:sz w:val="20"/>
                <w:lang w:val="en-AU"/>
              </w:rPr>
              <w:t>more people, especially women, young women and other vulnerable groups will have better access to SRH services.</w:t>
            </w:r>
          </w:p>
        </w:tc>
      </w:tr>
    </w:tbl>
    <w:p w14:paraId="51000ABA" w14:textId="77777777" w:rsidR="0044462B" w:rsidRPr="003C341F" w:rsidRDefault="0044462B" w:rsidP="00C80BAE">
      <w:pPr>
        <w:spacing w:before="120"/>
        <w:rPr>
          <w:lang w:val="en-AU"/>
        </w:rPr>
      </w:pPr>
      <w:r w:rsidRPr="003C341F">
        <w:rPr>
          <w:lang w:val="en-AU"/>
        </w:rPr>
        <w:t>The following assumptions underpin the above outcome pathway:</w:t>
      </w:r>
    </w:p>
    <w:p w14:paraId="09A8575E" w14:textId="77777777" w:rsidR="0044462B" w:rsidRPr="003C341F" w:rsidRDefault="0044462B" w:rsidP="00662F77">
      <w:pPr>
        <w:pStyle w:val="Bullet1-Long"/>
      </w:pPr>
      <w:r w:rsidRPr="003C341F">
        <w:t>SFHA staff have the incentives and motivation to perform their roles.</w:t>
      </w:r>
    </w:p>
    <w:p w14:paraId="1A2C63CD" w14:textId="77777777" w:rsidR="0044462B" w:rsidRPr="003C341F" w:rsidRDefault="0044462B" w:rsidP="00662F77">
      <w:pPr>
        <w:pStyle w:val="Bullet1-Long"/>
      </w:pPr>
      <w:r w:rsidRPr="003C341F">
        <w:t xml:space="preserve">SFHA staff have the technical capacity to deliver SRH services. </w:t>
      </w:r>
    </w:p>
    <w:p w14:paraId="33FD8138" w14:textId="77777777" w:rsidR="0044462B" w:rsidRPr="003C341F" w:rsidRDefault="0044462B" w:rsidP="00662F77">
      <w:pPr>
        <w:pStyle w:val="Bullet1-Long"/>
      </w:pPr>
      <w:r w:rsidRPr="003C341F">
        <w:t xml:space="preserve">There is demand from community members to access SRH services. </w:t>
      </w:r>
    </w:p>
    <w:p w14:paraId="1F5321B4" w14:textId="77777777" w:rsidR="007C1769" w:rsidRPr="003C341F" w:rsidRDefault="007C1769" w:rsidP="00922E51">
      <w:pPr>
        <w:pStyle w:val="Default"/>
        <w:spacing w:after="120" w:line="276" w:lineRule="auto"/>
        <w:rPr>
          <w:rFonts w:asciiTheme="majorHAnsi" w:hAnsiTheme="majorHAnsi"/>
          <w:b/>
          <w:sz w:val="22"/>
        </w:rPr>
      </w:pPr>
      <w:r w:rsidRPr="003C341F">
        <w:rPr>
          <w:rFonts w:asciiTheme="majorHAnsi" w:hAnsiTheme="majorHAnsi"/>
          <w:b/>
          <w:sz w:val="22"/>
        </w:rPr>
        <w:t xml:space="preserve">3.2 - SFHA services are delivered in locations and in ways that are affordable, </w:t>
      </w:r>
      <w:proofErr w:type="gramStart"/>
      <w:r w:rsidRPr="003C341F">
        <w:rPr>
          <w:rFonts w:asciiTheme="majorHAnsi" w:hAnsiTheme="majorHAnsi"/>
          <w:b/>
          <w:sz w:val="22"/>
        </w:rPr>
        <w:t>accessible</w:t>
      </w:r>
      <w:proofErr w:type="gramEnd"/>
      <w:r w:rsidRPr="003C341F">
        <w:rPr>
          <w:rFonts w:asciiTheme="majorHAnsi" w:hAnsiTheme="majorHAnsi"/>
          <w:b/>
          <w:sz w:val="22"/>
        </w:rPr>
        <w:t xml:space="preserve"> and appropriate </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3"/>
        <w:gridCol w:w="3960"/>
        <w:gridCol w:w="601"/>
        <w:gridCol w:w="3946"/>
      </w:tblGrid>
      <w:tr w:rsidR="004E2316" w:rsidRPr="003C341F" w14:paraId="68F8403F" w14:textId="77777777" w:rsidTr="006835EF">
        <w:trPr>
          <w:cantSplit/>
        </w:trPr>
        <w:tc>
          <w:tcPr>
            <w:tcW w:w="293" w:type="pct"/>
            <w:shd w:val="clear" w:color="auto" w:fill="F2F2F2" w:themeFill="background1" w:themeFillShade="F2"/>
          </w:tcPr>
          <w:p w14:paraId="5340C07E" w14:textId="77777777" w:rsidR="004E2316" w:rsidRPr="003C341F" w:rsidRDefault="004E2316" w:rsidP="006835EF">
            <w:pPr>
              <w:spacing w:after="0"/>
              <w:jc w:val="left"/>
              <w:rPr>
                <w:b/>
                <w:sz w:val="20"/>
                <w:lang w:val="en-AU"/>
              </w:rPr>
            </w:pPr>
            <w:r w:rsidRPr="003C341F">
              <w:rPr>
                <w:b/>
                <w:sz w:val="20"/>
                <w:lang w:val="en-AU"/>
              </w:rPr>
              <w:t>If</w:t>
            </w:r>
          </w:p>
        </w:tc>
        <w:tc>
          <w:tcPr>
            <w:tcW w:w="2211" w:type="pct"/>
            <w:shd w:val="clear" w:color="auto" w:fill="F2F2F2" w:themeFill="background1" w:themeFillShade="F2"/>
          </w:tcPr>
          <w:p w14:paraId="76259443" w14:textId="77777777" w:rsidR="004E2316" w:rsidRPr="003C341F" w:rsidRDefault="004E2316" w:rsidP="006835EF">
            <w:pPr>
              <w:spacing w:after="0"/>
              <w:jc w:val="left"/>
              <w:rPr>
                <w:b/>
                <w:sz w:val="20"/>
                <w:lang w:val="en-AU"/>
              </w:rPr>
            </w:pPr>
            <w:r w:rsidRPr="003C341F">
              <w:rPr>
                <w:sz w:val="20"/>
                <w:lang w:val="en-AU"/>
              </w:rPr>
              <w:t>SFHA understands the broader range of options to improve how and where its services are delivered</w:t>
            </w:r>
          </w:p>
        </w:tc>
        <w:tc>
          <w:tcPr>
            <w:tcW w:w="293" w:type="pct"/>
            <w:shd w:val="clear" w:color="auto" w:fill="F2F2F2" w:themeFill="background1" w:themeFillShade="F2"/>
          </w:tcPr>
          <w:p w14:paraId="1AB5BD29" w14:textId="77777777" w:rsidR="004E2316" w:rsidRPr="003C341F" w:rsidRDefault="004E2316" w:rsidP="006835EF">
            <w:pPr>
              <w:spacing w:after="0"/>
              <w:jc w:val="left"/>
              <w:rPr>
                <w:b/>
                <w:sz w:val="20"/>
                <w:lang w:val="en-AU"/>
              </w:rPr>
            </w:pPr>
            <w:r w:rsidRPr="003C341F">
              <w:rPr>
                <w:b/>
                <w:sz w:val="20"/>
                <w:lang w:val="en-AU"/>
              </w:rPr>
              <w:t>then</w:t>
            </w:r>
          </w:p>
        </w:tc>
        <w:tc>
          <w:tcPr>
            <w:tcW w:w="2204" w:type="pct"/>
            <w:shd w:val="clear" w:color="auto" w:fill="F2F2F2" w:themeFill="background1" w:themeFillShade="F2"/>
          </w:tcPr>
          <w:p w14:paraId="49269A3F" w14:textId="77777777" w:rsidR="004E2316" w:rsidRPr="003C341F" w:rsidRDefault="004E2316" w:rsidP="006835EF">
            <w:pPr>
              <w:spacing w:after="0"/>
              <w:jc w:val="left"/>
              <w:rPr>
                <w:b/>
                <w:sz w:val="20"/>
                <w:lang w:val="en-AU"/>
              </w:rPr>
            </w:pPr>
            <w:r w:rsidRPr="003C341F">
              <w:rPr>
                <w:sz w:val="20"/>
                <w:lang w:val="en-AU"/>
              </w:rPr>
              <w:t>it will be able to make more informed decisions on this issue</w:t>
            </w:r>
          </w:p>
        </w:tc>
      </w:tr>
      <w:tr w:rsidR="004E2316" w:rsidRPr="003C341F" w14:paraId="22F70DCE" w14:textId="77777777" w:rsidTr="006835EF">
        <w:trPr>
          <w:trHeight w:val="740"/>
        </w:trPr>
        <w:tc>
          <w:tcPr>
            <w:tcW w:w="293" w:type="pct"/>
          </w:tcPr>
          <w:p w14:paraId="16C5972B" w14:textId="77777777" w:rsidR="004E2316" w:rsidRPr="003C341F" w:rsidRDefault="004E2316" w:rsidP="006835EF">
            <w:pPr>
              <w:spacing w:after="0"/>
              <w:jc w:val="left"/>
              <w:rPr>
                <w:b/>
                <w:sz w:val="20"/>
                <w:lang w:val="en-AU"/>
              </w:rPr>
            </w:pPr>
            <w:r w:rsidRPr="003C341F">
              <w:rPr>
                <w:b/>
                <w:sz w:val="20"/>
                <w:lang w:val="en-AU"/>
              </w:rPr>
              <w:t>If</w:t>
            </w:r>
          </w:p>
        </w:tc>
        <w:tc>
          <w:tcPr>
            <w:tcW w:w="2211" w:type="pct"/>
          </w:tcPr>
          <w:p w14:paraId="3544FDC6" w14:textId="77777777" w:rsidR="004E2316" w:rsidRPr="003C341F" w:rsidRDefault="004E2316" w:rsidP="006835EF">
            <w:pPr>
              <w:spacing w:after="0"/>
              <w:jc w:val="left"/>
              <w:rPr>
                <w:b/>
                <w:sz w:val="20"/>
                <w:lang w:val="en-AU"/>
              </w:rPr>
            </w:pPr>
            <w:r w:rsidRPr="003C341F">
              <w:rPr>
                <w:sz w:val="20"/>
                <w:lang w:val="en-AU"/>
              </w:rPr>
              <w:t xml:space="preserve">SFHA delivers its services in locations and ways that are more affordable, </w:t>
            </w:r>
            <w:proofErr w:type="gramStart"/>
            <w:r w:rsidRPr="003C341F">
              <w:rPr>
                <w:sz w:val="20"/>
                <w:lang w:val="en-AU"/>
              </w:rPr>
              <w:t>accessible</w:t>
            </w:r>
            <w:proofErr w:type="gramEnd"/>
            <w:r w:rsidRPr="003C341F">
              <w:rPr>
                <w:sz w:val="20"/>
                <w:lang w:val="en-AU"/>
              </w:rPr>
              <w:t xml:space="preserve"> and appropriate</w:t>
            </w:r>
          </w:p>
        </w:tc>
        <w:tc>
          <w:tcPr>
            <w:tcW w:w="293" w:type="pct"/>
          </w:tcPr>
          <w:p w14:paraId="32C874C4" w14:textId="77777777" w:rsidR="004E2316" w:rsidRPr="003C341F" w:rsidRDefault="004E2316" w:rsidP="006835EF">
            <w:pPr>
              <w:spacing w:after="0"/>
              <w:jc w:val="left"/>
              <w:rPr>
                <w:b/>
                <w:sz w:val="20"/>
                <w:lang w:val="en-AU"/>
              </w:rPr>
            </w:pPr>
            <w:r w:rsidRPr="003C341F">
              <w:rPr>
                <w:b/>
                <w:sz w:val="20"/>
                <w:lang w:val="en-AU"/>
              </w:rPr>
              <w:t>then</w:t>
            </w:r>
          </w:p>
        </w:tc>
        <w:tc>
          <w:tcPr>
            <w:tcW w:w="2204" w:type="pct"/>
          </w:tcPr>
          <w:p w14:paraId="4F3442E4" w14:textId="77777777" w:rsidR="004E2316" w:rsidRPr="003C341F" w:rsidRDefault="004E2316" w:rsidP="006835EF">
            <w:pPr>
              <w:spacing w:after="0"/>
              <w:jc w:val="left"/>
              <w:rPr>
                <w:b/>
                <w:sz w:val="20"/>
                <w:lang w:val="en-AU"/>
              </w:rPr>
            </w:pPr>
            <w:r w:rsidRPr="003C341F">
              <w:rPr>
                <w:sz w:val="20"/>
                <w:lang w:val="en-AU"/>
              </w:rPr>
              <w:t>more men and women, including youth, will be able to access and be satisfied with its services</w:t>
            </w:r>
          </w:p>
        </w:tc>
      </w:tr>
    </w:tbl>
    <w:p w14:paraId="7AD95DAA" w14:textId="77777777" w:rsidR="0044462B" w:rsidRPr="003C341F" w:rsidRDefault="0044462B" w:rsidP="00C80BAE">
      <w:pPr>
        <w:spacing w:before="120"/>
        <w:rPr>
          <w:lang w:val="en-AU"/>
        </w:rPr>
      </w:pPr>
      <w:r w:rsidRPr="003C341F">
        <w:rPr>
          <w:lang w:val="en-AU"/>
        </w:rPr>
        <w:t>The key assumptions underpinning the above s outcome pathway are:</w:t>
      </w:r>
    </w:p>
    <w:p w14:paraId="7FEB4E0C" w14:textId="77777777" w:rsidR="0044462B" w:rsidRPr="003C341F" w:rsidRDefault="0044462B" w:rsidP="00662F77">
      <w:pPr>
        <w:pStyle w:val="Bullet1-Long"/>
      </w:pPr>
      <w:r w:rsidRPr="003C341F">
        <w:t>SFHA staff have the incentives and motivations to identify and implement solutions to improve how and where its services are delivered.</w:t>
      </w:r>
    </w:p>
    <w:p w14:paraId="011E15FA" w14:textId="77777777" w:rsidR="0044462B" w:rsidRPr="003C341F" w:rsidRDefault="0020312B" w:rsidP="00662F77">
      <w:pPr>
        <w:pStyle w:val="Bullet1-Long"/>
        <w:rPr>
          <w:b/>
        </w:rPr>
      </w:pPr>
      <w:r w:rsidRPr="003C341F">
        <w:t>There is d</w:t>
      </w:r>
      <w:r w:rsidR="0044462B" w:rsidRPr="003C341F">
        <w:t>emand from community members to access SRH services</w:t>
      </w:r>
    </w:p>
    <w:p w14:paraId="7A3DD5C8" w14:textId="77777777" w:rsidR="00992969" w:rsidRPr="003C341F" w:rsidRDefault="00992969" w:rsidP="00922E51">
      <w:pPr>
        <w:pStyle w:val="Default"/>
        <w:spacing w:after="120" w:line="276" w:lineRule="auto"/>
        <w:rPr>
          <w:rFonts w:asciiTheme="majorHAnsi" w:hAnsiTheme="majorHAnsi"/>
          <w:b/>
          <w:sz w:val="22"/>
        </w:rPr>
      </w:pPr>
      <w:r w:rsidRPr="003C341F">
        <w:rPr>
          <w:rFonts w:asciiTheme="majorHAnsi" w:hAnsiTheme="majorHAnsi"/>
          <w:b/>
          <w:sz w:val="22"/>
        </w:rPr>
        <w:t>3.3 - SFHA implements innovative solution(s) to improve sexual and reproductive health service delivery</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503"/>
        <w:gridCol w:w="3960"/>
        <w:gridCol w:w="601"/>
        <w:gridCol w:w="3946"/>
      </w:tblGrid>
      <w:tr w:rsidR="004E2316" w:rsidRPr="003C341F" w14:paraId="7759D090" w14:textId="77777777" w:rsidTr="006835EF">
        <w:trPr>
          <w:cantSplit/>
        </w:trPr>
        <w:tc>
          <w:tcPr>
            <w:tcW w:w="293" w:type="pct"/>
            <w:shd w:val="clear" w:color="auto" w:fill="F2F2F2" w:themeFill="background1" w:themeFillShade="F2"/>
          </w:tcPr>
          <w:p w14:paraId="313F622E" w14:textId="77777777" w:rsidR="004E2316" w:rsidRPr="003C341F" w:rsidRDefault="004E2316" w:rsidP="006835EF">
            <w:pPr>
              <w:jc w:val="left"/>
              <w:rPr>
                <w:b/>
                <w:sz w:val="20"/>
                <w:lang w:val="en-AU"/>
              </w:rPr>
            </w:pPr>
            <w:r w:rsidRPr="003C341F">
              <w:rPr>
                <w:b/>
                <w:sz w:val="20"/>
                <w:lang w:val="en-AU"/>
              </w:rPr>
              <w:t>If</w:t>
            </w:r>
          </w:p>
        </w:tc>
        <w:tc>
          <w:tcPr>
            <w:tcW w:w="2211" w:type="pct"/>
            <w:shd w:val="clear" w:color="auto" w:fill="F2F2F2" w:themeFill="background1" w:themeFillShade="F2"/>
          </w:tcPr>
          <w:p w14:paraId="67A63BC7" w14:textId="77777777" w:rsidR="004E2316" w:rsidRPr="003C341F" w:rsidRDefault="004E2316" w:rsidP="006835EF">
            <w:pPr>
              <w:jc w:val="left"/>
              <w:rPr>
                <w:b/>
                <w:sz w:val="20"/>
                <w:lang w:val="en-AU"/>
              </w:rPr>
            </w:pPr>
            <w:r w:rsidRPr="003C341F">
              <w:rPr>
                <w:sz w:val="20"/>
                <w:lang w:val="en-AU"/>
              </w:rPr>
              <w:t>SFHA identifies and implements innovative solutions for SRH service delivery in line with its mandate</w:t>
            </w:r>
          </w:p>
        </w:tc>
        <w:tc>
          <w:tcPr>
            <w:tcW w:w="293" w:type="pct"/>
            <w:shd w:val="clear" w:color="auto" w:fill="F2F2F2" w:themeFill="background1" w:themeFillShade="F2"/>
          </w:tcPr>
          <w:p w14:paraId="6F501C8E" w14:textId="77777777" w:rsidR="004E2316" w:rsidRPr="003C341F" w:rsidRDefault="004E2316" w:rsidP="006835EF">
            <w:pPr>
              <w:jc w:val="left"/>
              <w:rPr>
                <w:b/>
                <w:sz w:val="20"/>
                <w:lang w:val="en-AU"/>
              </w:rPr>
            </w:pPr>
            <w:r w:rsidRPr="003C341F">
              <w:rPr>
                <w:b/>
                <w:sz w:val="20"/>
                <w:lang w:val="en-AU"/>
              </w:rPr>
              <w:t>then</w:t>
            </w:r>
          </w:p>
        </w:tc>
        <w:tc>
          <w:tcPr>
            <w:tcW w:w="2204" w:type="pct"/>
            <w:shd w:val="clear" w:color="auto" w:fill="F2F2F2" w:themeFill="background1" w:themeFillShade="F2"/>
          </w:tcPr>
          <w:p w14:paraId="6F645690" w14:textId="77777777" w:rsidR="004E2316" w:rsidRPr="003C341F" w:rsidRDefault="004E2316" w:rsidP="006835EF">
            <w:pPr>
              <w:jc w:val="left"/>
              <w:rPr>
                <w:b/>
                <w:sz w:val="20"/>
                <w:lang w:val="en-AU"/>
              </w:rPr>
            </w:pPr>
            <w:r w:rsidRPr="003C341F">
              <w:rPr>
                <w:sz w:val="20"/>
                <w:lang w:val="en-AU"/>
              </w:rPr>
              <w:t>its SRH services may be better quality, reach more people and/or be more accessible (especially to vulnerable groups).</w:t>
            </w:r>
          </w:p>
        </w:tc>
      </w:tr>
    </w:tbl>
    <w:p w14:paraId="4BA32710" w14:textId="77777777" w:rsidR="0020312B" w:rsidRPr="003C341F" w:rsidRDefault="0020312B" w:rsidP="003A0889">
      <w:pPr>
        <w:spacing w:before="120"/>
        <w:rPr>
          <w:lang w:val="en-AU"/>
        </w:rPr>
      </w:pPr>
      <w:r w:rsidRPr="003C341F">
        <w:rPr>
          <w:lang w:val="en-AU"/>
        </w:rPr>
        <w:t>The key assumption underpinning the above outcome pathway is:</w:t>
      </w:r>
    </w:p>
    <w:p w14:paraId="4D1E694D" w14:textId="77777777" w:rsidR="0020312B" w:rsidRPr="003C341F" w:rsidRDefault="0020312B" w:rsidP="00662F77">
      <w:pPr>
        <w:pStyle w:val="Bullet1-Long"/>
      </w:pPr>
      <w:r w:rsidRPr="003C341F">
        <w:t xml:space="preserve">SFHA will have the interest, </w:t>
      </w:r>
      <w:proofErr w:type="gramStart"/>
      <w:r w:rsidRPr="003C341F">
        <w:t>motivation</w:t>
      </w:r>
      <w:proofErr w:type="gramEnd"/>
      <w:r w:rsidRPr="003C341F">
        <w:t xml:space="preserve"> and capacity to identify and implement innovative service delivery solutions.  </w:t>
      </w:r>
    </w:p>
    <w:p w14:paraId="22BA9CAB" w14:textId="77777777" w:rsidR="00C80BAE" w:rsidRPr="003C341F" w:rsidRDefault="00C80BAE" w:rsidP="00C60629">
      <w:pPr>
        <w:rPr>
          <w:lang w:val="en-AU"/>
        </w:rPr>
      </w:pPr>
      <w:r w:rsidRPr="003C341F">
        <w:rPr>
          <w:lang w:val="en-AU"/>
        </w:rPr>
        <w:br w:type="page"/>
      </w:r>
    </w:p>
    <w:p w14:paraId="6C1922F6" w14:textId="77777777" w:rsidR="00E7599D" w:rsidRPr="003C341F" w:rsidRDefault="008A335B" w:rsidP="005717EC">
      <w:pPr>
        <w:pStyle w:val="Appendixtitle"/>
        <w:jc w:val="left"/>
        <w:outlineLvl w:val="1"/>
        <w:rPr>
          <w:lang w:val="en-AU"/>
        </w:rPr>
      </w:pPr>
      <w:bookmarkStart w:id="32" w:name="_Toc457572213"/>
      <w:bookmarkStart w:id="33" w:name="_Toc460231386"/>
      <w:r w:rsidRPr="003C341F">
        <w:rPr>
          <w:lang w:val="en-AU"/>
        </w:rPr>
        <w:lastRenderedPageBreak/>
        <w:t xml:space="preserve">Appendix </w:t>
      </w:r>
      <w:r w:rsidR="009B56C7" w:rsidRPr="003C341F">
        <w:rPr>
          <w:lang w:val="en-AU"/>
        </w:rPr>
        <w:t>E</w:t>
      </w:r>
      <w:bookmarkEnd w:id="30"/>
      <w:r w:rsidRPr="003C341F">
        <w:rPr>
          <w:lang w:val="en-AU"/>
        </w:rPr>
        <w:t xml:space="preserve">: </w:t>
      </w:r>
      <w:r w:rsidR="00E7599D" w:rsidRPr="003C341F">
        <w:rPr>
          <w:lang w:val="en-AU"/>
        </w:rPr>
        <w:t>Draft terms of reference for cost-benefit review of health information system options</w:t>
      </w:r>
      <w:bookmarkEnd w:id="31"/>
      <w:bookmarkEnd w:id="32"/>
      <w:bookmarkEnd w:id="33"/>
    </w:p>
    <w:p w14:paraId="1B5F2537" w14:textId="77777777" w:rsidR="00922E51" w:rsidRPr="003C341F" w:rsidRDefault="00922E51" w:rsidP="003A0889">
      <w:pPr>
        <w:outlineLvl w:val="1"/>
        <w:rPr>
          <w:b/>
          <w:szCs w:val="22"/>
          <w:lang w:val="en-AU"/>
        </w:rPr>
      </w:pPr>
    </w:p>
    <w:p w14:paraId="2C236D8C" w14:textId="77777777" w:rsidR="0013158C" w:rsidRPr="003C341F" w:rsidRDefault="0013158C" w:rsidP="003A0889">
      <w:pPr>
        <w:pStyle w:val="3rdLevelNumberedTitle"/>
      </w:pPr>
      <w:r w:rsidRPr="003C341F">
        <w:t>Title</w:t>
      </w:r>
    </w:p>
    <w:p w14:paraId="662E6109" w14:textId="77777777" w:rsidR="0013158C" w:rsidRPr="003C341F" w:rsidRDefault="0013158C" w:rsidP="0013158C">
      <w:pPr>
        <w:rPr>
          <w:lang w:val="en-AU"/>
        </w:rPr>
      </w:pPr>
      <w:r w:rsidRPr="003C341F">
        <w:rPr>
          <w:lang w:val="en-AU"/>
        </w:rPr>
        <w:t>Cost-Benefit and Options Analysis of Samoa’s Health Information Systems (HIS).</w:t>
      </w:r>
    </w:p>
    <w:p w14:paraId="1C4D738F" w14:textId="77777777" w:rsidR="0013158C" w:rsidRPr="003C341F" w:rsidRDefault="0013158C" w:rsidP="003A0889">
      <w:pPr>
        <w:pStyle w:val="3rdLevelNumberedTitle"/>
      </w:pPr>
      <w:r w:rsidRPr="003C341F">
        <w:t>Summary</w:t>
      </w:r>
    </w:p>
    <w:p w14:paraId="1B9E3FEF" w14:textId="77777777" w:rsidR="00DE72F0" w:rsidRPr="00DE72F0" w:rsidRDefault="00DE72F0" w:rsidP="00C60629">
      <w:pPr>
        <w:rPr>
          <w:rFonts w:eastAsiaTheme="majorEastAsia"/>
          <w:lang w:val="en-AU"/>
        </w:rPr>
      </w:pPr>
      <w:r w:rsidRPr="00DE72F0">
        <w:rPr>
          <w:rFonts w:eastAsiaTheme="majorEastAsia"/>
          <w:lang w:val="en-AU"/>
        </w:rPr>
        <w:t xml:space="preserve">Samoa’s need for a comprehensive, contemporary health information system is widely recognised.  </w:t>
      </w:r>
      <w:proofErr w:type="gramStart"/>
      <w:r w:rsidRPr="00DE72F0">
        <w:rPr>
          <w:rFonts w:eastAsiaTheme="majorEastAsia"/>
          <w:lang w:val="en-AU"/>
        </w:rPr>
        <w:t>A number of</w:t>
      </w:r>
      <w:proofErr w:type="gramEnd"/>
      <w:r w:rsidRPr="00DE72F0">
        <w:rPr>
          <w:rFonts w:eastAsiaTheme="majorEastAsia"/>
          <w:lang w:val="en-AU"/>
        </w:rPr>
        <w:t xml:space="preserve"> possible approaches have been proposed but the health sector and development partners have acknowledged that the extent to which those approaches represent best practice and offer value for money is currently unclear. </w:t>
      </w:r>
      <w:proofErr w:type="gramStart"/>
      <w:r w:rsidRPr="00DE72F0">
        <w:rPr>
          <w:rFonts w:eastAsiaTheme="majorEastAsia"/>
          <w:lang w:val="en-AU"/>
        </w:rPr>
        <w:t>In light of</w:t>
      </w:r>
      <w:proofErr w:type="gramEnd"/>
      <w:r w:rsidRPr="00DE72F0">
        <w:rPr>
          <w:rFonts w:eastAsiaTheme="majorEastAsia"/>
          <w:lang w:val="en-AU"/>
        </w:rPr>
        <w:t xml:space="preserve"> that, a Cost-Benefit and Options Analysis is planned as a means to build on background work previously undertaken and provide recommendations to inform decision making on the design and delivery of Samoa’s HIS. </w:t>
      </w:r>
    </w:p>
    <w:p w14:paraId="3BF145D4" w14:textId="77777777" w:rsidR="0013158C" w:rsidRPr="003C341F" w:rsidRDefault="0013158C" w:rsidP="003A0889">
      <w:pPr>
        <w:pStyle w:val="3rdLevelNumberedTitle"/>
      </w:pPr>
      <w:bookmarkStart w:id="34" w:name="_Toc452125848"/>
      <w:r w:rsidRPr="003C341F">
        <w:t>Background</w:t>
      </w:r>
      <w:bookmarkEnd w:id="34"/>
      <w:r w:rsidRPr="003C341F">
        <w:t xml:space="preserve"> to Samoa’s health sector</w:t>
      </w:r>
    </w:p>
    <w:p w14:paraId="168F9DA6" w14:textId="77777777" w:rsidR="00DE72F0" w:rsidRPr="000408FE" w:rsidRDefault="00DE72F0" w:rsidP="00C60629">
      <w:pPr>
        <w:rPr>
          <w:rFonts w:eastAsiaTheme="majorEastAsia"/>
        </w:rPr>
      </w:pPr>
      <w:r w:rsidRPr="000408FE">
        <w:rPr>
          <w:rFonts w:eastAsiaTheme="majorEastAsia"/>
        </w:rPr>
        <w:t>Samoa is spread over 2,840 km</w:t>
      </w:r>
      <w:r w:rsidRPr="000408FE">
        <w:rPr>
          <w:rFonts w:eastAsiaTheme="majorEastAsia"/>
          <w:vertAlign w:val="superscript"/>
        </w:rPr>
        <w:t>2</w:t>
      </w:r>
      <w:r w:rsidRPr="000408FE">
        <w:rPr>
          <w:rFonts w:eastAsiaTheme="majorEastAsia"/>
        </w:rPr>
        <w:t xml:space="preserve"> on nine islands. Almost </w:t>
      </w:r>
      <w:proofErr w:type="gramStart"/>
      <w:r w:rsidRPr="000408FE">
        <w:rPr>
          <w:rFonts w:eastAsiaTheme="majorEastAsia"/>
        </w:rPr>
        <w:t>all of</w:t>
      </w:r>
      <w:proofErr w:type="gramEnd"/>
      <w:r w:rsidRPr="000408FE">
        <w:rPr>
          <w:rFonts w:eastAsiaTheme="majorEastAsia"/>
        </w:rPr>
        <w:t xml:space="preserve"> the population of some 190,000 people live on the two main islands of Upolu and Savai’i. A fifth of the population lives in the urban area in and around Apia while the rest reside in villages located along the narrow coastal plains fringing the mountain ranges. The </w:t>
      </w:r>
      <w:proofErr w:type="gramStart"/>
      <w:r w:rsidRPr="000408FE">
        <w:rPr>
          <w:rFonts w:eastAsiaTheme="majorEastAsia"/>
        </w:rPr>
        <w:t>close proximity</w:t>
      </w:r>
      <w:proofErr w:type="gramEnd"/>
      <w:r w:rsidRPr="000408FE">
        <w:rPr>
          <w:rFonts w:eastAsiaTheme="majorEastAsia"/>
        </w:rPr>
        <w:t xml:space="preserve"> of the main islands and road infrastructure around their perimeters enables good communication and transit for the majority.</w:t>
      </w:r>
    </w:p>
    <w:p w14:paraId="1E9FB8F5" w14:textId="77777777" w:rsidR="00DE72F0" w:rsidRPr="000408FE" w:rsidRDefault="00DE72F0" w:rsidP="00C60629">
      <w:pPr>
        <w:rPr>
          <w:rFonts w:eastAsiaTheme="majorEastAsia"/>
        </w:rPr>
      </w:pPr>
      <w:r w:rsidRPr="000408FE">
        <w:rPr>
          <w:rFonts w:eastAsiaTheme="majorEastAsia"/>
        </w:rPr>
        <w:t xml:space="preserve">Samoa has a reasonably strong national economy, with GDP per capita second only to Fiji among Pacific nations. It is politically stable, and has a strong national culture, </w:t>
      </w:r>
      <w:proofErr w:type="spellStart"/>
      <w:r w:rsidRPr="000408FE">
        <w:rPr>
          <w:rFonts w:eastAsiaTheme="majorEastAsia"/>
        </w:rPr>
        <w:t>Fa’asamoa</w:t>
      </w:r>
      <w:proofErr w:type="spellEnd"/>
      <w:r w:rsidRPr="000408FE">
        <w:rPr>
          <w:rFonts w:eastAsiaTheme="majorEastAsia"/>
        </w:rPr>
        <w:t xml:space="preserve">, which defines clear social roles and contributes to the preservation of generally high levels of social capital. </w:t>
      </w:r>
    </w:p>
    <w:p w14:paraId="708745B3" w14:textId="77777777" w:rsidR="00DE72F0" w:rsidRPr="000408FE" w:rsidRDefault="00DE72F0" w:rsidP="00C60629">
      <w:pPr>
        <w:rPr>
          <w:rFonts w:eastAsiaTheme="majorEastAsia"/>
        </w:rPr>
      </w:pPr>
      <w:r w:rsidRPr="000408FE">
        <w:rPr>
          <w:rFonts w:eastAsiaTheme="majorEastAsia"/>
        </w:rPr>
        <w:t xml:space="preserve">The health sector is relatively well-resourced. In 2014 Samoa spent 7.2 per cent of GDP on health in 2013. Just over 90 per cent of that spending was from public sources with health accounting for almost one in every six dollars spent by Government. </w:t>
      </w:r>
    </w:p>
    <w:p w14:paraId="1089D4CC" w14:textId="77777777" w:rsidR="00DE72F0" w:rsidRPr="000408FE" w:rsidRDefault="00DE72F0" w:rsidP="00C60629">
      <w:pPr>
        <w:rPr>
          <w:rFonts w:eastAsiaTheme="majorEastAsia"/>
        </w:rPr>
      </w:pPr>
      <w:r w:rsidRPr="000408FE">
        <w:rPr>
          <w:rFonts w:eastAsiaTheme="majorEastAsia"/>
        </w:rPr>
        <w:t>There are some strengths in respect of sexual and reproductive health. Perinatal mortality rates are low while adolescent births have dropped steadily and consistently from 32.7 births per 1,000 women aged 15-19 in 2006 to 25.6 in 2014. Nevertheless, challenges remain with the 2014 Demographic and Health Survey finding that 35 per cent of married women expressed an unmet need for family planning.</w:t>
      </w:r>
    </w:p>
    <w:p w14:paraId="12B557D3" w14:textId="2301A22B" w:rsidR="00DE72F0" w:rsidRPr="000408FE" w:rsidRDefault="00DE72F0" w:rsidP="00C60629">
      <w:pPr>
        <w:rPr>
          <w:rFonts w:eastAsiaTheme="majorEastAsia"/>
        </w:rPr>
      </w:pPr>
      <w:r w:rsidRPr="000408FE">
        <w:rPr>
          <w:rFonts w:eastAsiaTheme="majorEastAsia"/>
        </w:rPr>
        <w:t>In common with other Pacific island countries, Samoa f</w:t>
      </w:r>
      <w:r w:rsidR="009831FF">
        <w:rPr>
          <w:rFonts w:eastAsiaTheme="majorEastAsia"/>
        </w:rPr>
        <w:t>aces a so-called “double burden”</w:t>
      </w:r>
      <w:r w:rsidRPr="000408FE">
        <w:rPr>
          <w:rFonts w:eastAsiaTheme="majorEastAsia"/>
        </w:rPr>
        <w:t xml:space="preserve"> of disease. Communicable diseases continue to impact on health while a growth in non-communicable diseases, and in particular diabetes, is a major and growing threat. </w:t>
      </w:r>
    </w:p>
    <w:p w14:paraId="51F6F897" w14:textId="77777777" w:rsidR="00DE72F0" w:rsidRPr="000408FE" w:rsidRDefault="00DE72F0" w:rsidP="00C60629">
      <w:pPr>
        <w:rPr>
          <w:rFonts w:eastAsiaTheme="majorEastAsia"/>
        </w:rPr>
      </w:pPr>
      <w:r w:rsidRPr="000408FE">
        <w:rPr>
          <w:rFonts w:eastAsiaTheme="majorEastAsia"/>
        </w:rPr>
        <w:t>The ongoing challenge of communicable disease is exemplified by the fact that more than 40 per cent of women aged under 25 years who were screened were found to have chlamydia and cases of trachoma were recently identified among primary school aged children on both of Samoa’s main islands. Sepsis is common, there are cases of leprosy reaching advanced stages before detection, and new viruses such as zika and chikungunya pose a constant threat.</w:t>
      </w:r>
    </w:p>
    <w:p w14:paraId="0AABA8E0" w14:textId="77777777" w:rsidR="00DE72F0" w:rsidRPr="000408FE" w:rsidRDefault="00DE72F0" w:rsidP="00DE72F0">
      <w:pPr>
        <w:rPr>
          <w:rFonts w:eastAsiaTheme="majorEastAsia"/>
        </w:rPr>
      </w:pPr>
      <w:r w:rsidRPr="000408FE">
        <w:rPr>
          <w:rFonts w:eastAsiaTheme="majorEastAsia"/>
        </w:rPr>
        <w:t xml:space="preserve">In respect of non-communicable disease (NCD), there have been improvements in respect of some lifestyle-related risk factors such as physical exercise, alcohol consumption and smoking. </w:t>
      </w:r>
      <w:r w:rsidRPr="000408FE">
        <w:rPr>
          <w:rFonts w:eastAsiaTheme="majorEastAsia"/>
        </w:rPr>
        <w:lastRenderedPageBreak/>
        <w:t xml:space="preserve">Nevertheless, the 2013 STEP survey found that half of the participating adult population (aged 18-64 years) was at high risk of developing an NCD (by virtue of having at least three of five risk factors) and fewer than one per cent had no risk factors present. </w:t>
      </w:r>
    </w:p>
    <w:p w14:paraId="767A620D" w14:textId="5C925822" w:rsidR="00DE72F0" w:rsidRPr="000408FE" w:rsidRDefault="00DE72F0" w:rsidP="00DE72F0">
      <w:pPr>
        <w:rPr>
          <w:rFonts w:eastAsiaTheme="majorEastAsia"/>
        </w:rPr>
      </w:pPr>
      <w:r w:rsidRPr="000408FE">
        <w:rPr>
          <w:rFonts w:eastAsiaTheme="majorEastAsia"/>
        </w:rPr>
        <w:t>The</w:t>
      </w:r>
      <w:r w:rsidR="009831FF">
        <w:rPr>
          <w:rFonts w:eastAsiaTheme="majorEastAsia"/>
        </w:rPr>
        <w:t xml:space="preserve"> national Ministry of Health (MO</w:t>
      </w:r>
      <w:r w:rsidRPr="000408FE">
        <w:rPr>
          <w:rFonts w:eastAsiaTheme="majorEastAsia"/>
        </w:rPr>
        <w:t xml:space="preserve">H) is the lead agency in Samoa’s health sector which reports to the Minister of Health. Its vision is ‘An Effective, Accountable, Safe and People </w:t>
      </w:r>
      <w:proofErr w:type="spellStart"/>
      <w:r w:rsidRPr="000408FE">
        <w:rPr>
          <w:rFonts w:eastAsiaTheme="majorEastAsia"/>
        </w:rPr>
        <w:t>Centred</w:t>
      </w:r>
      <w:proofErr w:type="spellEnd"/>
      <w:r w:rsidRPr="000408FE">
        <w:rPr>
          <w:rFonts w:eastAsiaTheme="majorEastAsia"/>
        </w:rPr>
        <w:t xml:space="preserve"> Health System’ and it has a mission ‘To regulate and monitor Samoa's Health System </w:t>
      </w:r>
      <w:proofErr w:type="gramStart"/>
      <w:r w:rsidRPr="000408FE">
        <w:rPr>
          <w:rFonts w:eastAsiaTheme="majorEastAsia"/>
        </w:rPr>
        <w:t>in order to</w:t>
      </w:r>
      <w:proofErr w:type="gramEnd"/>
      <w:r w:rsidRPr="000408FE">
        <w:rPr>
          <w:rFonts w:eastAsiaTheme="majorEastAsia"/>
        </w:rPr>
        <w:t xml:space="preserve"> achieve the Vision.’ As such, </w:t>
      </w:r>
      <w:proofErr w:type="spellStart"/>
      <w:r w:rsidRPr="000408FE">
        <w:rPr>
          <w:rFonts w:eastAsiaTheme="majorEastAsia"/>
        </w:rPr>
        <w:t>MoH</w:t>
      </w:r>
      <w:proofErr w:type="spellEnd"/>
      <w:r w:rsidRPr="000408FE">
        <w:rPr>
          <w:rFonts w:eastAsiaTheme="majorEastAsia"/>
        </w:rPr>
        <w:t xml:space="preserve"> is not expected directly to engage in service delivery but rather to focus on strategic planning, policy development and monitoring.</w:t>
      </w:r>
    </w:p>
    <w:p w14:paraId="50109444" w14:textId="77777777" w:rsidR="00DE72F0" w:rsidRPr="000408FE" w:rsidRDefault="00DE72F0" w:rsidP="00DE72F0">
      <w:pPr>
        <w:rPr>
          <w:rFonts w:eastAsiaTheme="majorEastAsia"/>
        </w:rPr>
      </w:pPr>
      <w:r w:rsidRPr="000408FE">
        <w:rPr>
          <w:rFonts w:eastAsiaTheme="majorEastAsia"/>
        </w:rPr>
        <w:t xml:space="preserve">The other key government agency in the sector is the National Health Service (NHS) which was established in 2006 as a state-owned enterprise governed by a Board of Directors. The NHS owns and operates all Samoa’s publicly funded hospitals and health </w:t>
      </w:r>
      <w:proofErr w:type="spellStart"/>
      <w:r w:rsidRPr="000408FE">
        <w:rPr>
          <w:rFonts w:eastAsiaTheme="majorEastAsia"/>
        </w:rPr>
        <w:t>centres</w:t>
      </w:r>
      <w:proofErr w:type="spellEnd"/>
      <w:r w:rsidRPr="000408FE">
        <w:rPr>
          <w:rFonts w:eastAsiaTheme="majorEastAsia"/>
        </w:rPr>
        <w:t xml:space="preserve">, and provides diagnostic imaging, </w:t>
      </w:r>
      <w:proofErr w:type="gramStart"/>
      <w:r w:rsidRPr="000408FE">
        <w:rPr>
          <w:rFonts w:eastAsiaTheme="majorEastAsia"/>
        </w:rPr>
        <w:t>laboratory</w:t>
      </w:r>
      <w:proofErr w:type="gramEnd"/>
      <w:r w:rsidRPr="000408FE">
        <w:rPr>
          <w:rFonts w:eastAsiaTheme="majorEastAsia"/>
        </w:rPr>
        <w:t xml:space="preserve"> and pharmaceutical services.</w:t>
      </w:r>
    </w:p>
    <w:p w14:paraId="2714E52C" w14:textId="77777777" w:rsidR="00DE72F0" w:rsidRPr="000408FE" w:rsidRDefault="00DE72F0" w:rsidP="00DE72F0">
      <w:pPr>
        <w:rPr>
          <w:rFonts w:eastAsiaTheme="majorEastAsia"/>
        </w:rPr>
      </w:pPr>
      <w:r w:rsidRPr="000408FE">
        <w:rPr>
          <w:rFonts w:eastAsiaTheme="majorEastAsia"/>
        </w:rPr>
        <w:t xml:space="preserve">There are also </w:t>
      </w:r>
      <w:proofErr w:type="gramStart"/>
      <w:r w:rsidRPr="000408FE">
        <w:rPr>
          <w:rFonts w:eastAsiaTheme="majorEastAsia"/>
        </w:rPr>
        <w:t>a number of</w:t>
      </w:r>
      <w:proofErr w:type="gramEnd"/>
      <w:r w:rsidRPr="000408FE">
        <w:rPr>
          <w:rFonts w:eastAsiaTheme="majorEastAsia"/>
        </w:rPr>
        <w:t xml:space="preserve"> other public and private sector bodies (including a handful of private general practices and pharmacies) which are involved in delivering health services. Nevertheless, the NHS is the dominant health care provider for most Samoans, most of the time.</w:t>
      </w:r>
    </w:p>
    <w:p w14:paraId="67A8951C" w14:textId="77777777" w:rsidR="00DE72F0" w:rsidRPr="000408FE" w:rsidRDefault="00DE72F0" w:rsidP="00DE72F0">
      <w:pPr>
        <w:rPr>
          <w:rFonts w:eastAsiaTheme="majorEastAsia"/>
        </w:rPr>
      </w:pPr>
      <w:r w:rsidRPr="000408FE">
        <w:rPr>
          <w:rFonts w:eastAsiaTheme="majorEastAsia"/>
        </w:rPr>
        <w:t xml:space="preserve">The NHS delivers services </w:t>
      </w:r>
      <w:proofErr w:type="gramStart"/>
      <w:r w:rsidRPr="000408FE">
        <w:rPr>
          <w:rFonts w:eastAsiaTheme="majorEastAsia"/>
        </w:rPr>
        <w:t>via:-</w:t>
      </w:r>
      <w:proofErr w:type="gramEnd"/>
    </w:p>
    <w:p w14:paraId="2F9A5568" w14:textId="77777777" w:rsidR="00662F77" w:rsidRDefault="00DE72F0" w:rsidP="00662F77">
      <w:pPr>
        <w:pStyle w:val="Bullet1-Long"/>
        <w:rPr>
          <w:lang w:val="en-US"/>
        </w:rPr>
      </w:pPr>
      <w:r w:rsidRPr="001F37C2">
        <w:rPr>
          <w:lang w:val="en-US"/>
        </w:rPr>
        <w:t xml:space="preserve">the </w:t>
      </w:r>
      <w:proofErr w:type="spellStart"/>
      <w:r w:rsidRPr="001F37C2">
        <w:t>Tupua</w:t>
      </w:r>
      <w:proofErr w:type="spellEnd"/>
      <w:r w:rsidRPr="001F37C2">
        <w:t xml:space="preserve"> </w:t>
      </w:r>
      <w:proofErr w:type="spellStart"/>
      <w:r w:rsidRPr="001F37C2">
        <w:t>Tamasese</w:t>
      </w:r>
      <w:proofErr w:type="spellEnd"/>
      <w:r w:rsidRPr="001F37C2">
        <w:t xml:space="preserve"> </w:t>
      </w:r>
      <w:proofErr w:type="spellStart"/>
      <w:r w:rsidRPr="001F37C2">
        <w:t>Meaole</w:t>
      </w:r>
      <w:proofErr w:type="spellEnd"/>
      <w:r w:rsidRPr="001F37C2">
        <w:t xml:space="preserve"> National Hospital (TTM) – Upolu</w:t>
      </w:r>
    </w:p>
    <w:p w14:paraId="4CA50E46" w14:textId="77777777" w:rsidR="00662F77" w:rsidRDefault="00DE72F0" w:rsidP="00662F77">
      <w:pPr>
        <w:pStyle w:val="Bullet1-Long"/>
        <w:rPr>
          <w:lang w:val="en-US"/>
        </w:rPr>
      </w:pPr>
      <w:r w:rsidRPr="001F37C2">
        <w:t xml:space="preserve">the </w:t>
      </w:r>
      <w:proofErr w:type="spellStart"/>
      <w:r w:rsidRPr="001F37C2">
        <w:t>Malietoa</w:t>
      </w:r>
      <w:proofErr w:type="spellEnd"/>
      <w:r w:rsidRPr="001F37C2">
        <w:t xml:space="preserve"> </w:t>
      </w:r>
      <w:proofErr w:type="spellStart"/>
      <w:r w:rsidRPr="001F37C2">
        <w:t>Tanumafili</w:t>
      </w:r>
      <w:proofErr w:type="spellEnd"/>
      <w:r w:rsidRPr="001F37C2">
        <w:t xml:space="preserve"> II Hospital (MTII) </w:t>
      </w:r>
      <w:r w:rsidRPr="00662F77">
        <w:rPr>
          <w:lang w:val="en-US"/>
        </w:rPr>
        <w:t>– Savai’i</w:t>
      </w:r>
    </w:p>
    <w:p w14:paraId="3B568E27" w14:textId="77777777" w:rsidR="00662F77" w:rsidRDefault="00DE72F0" w:rsidP="00662F77">
      <w:pPr>
        <w:pStyle w:val="Bullet1-Long"/>
        <w:rPr>
          <w:lang w:val="en-US"/>
        </w:rPr>
      </w:pPr>
      <w:r w:rsidRPr="001F37C2">
        <w:t>three Rural District Hospitals on Upolu (</w:t>
      </w:r>
      <w:proofErr w:type="spellStart"/>
      <w:r w:rsidRPr="001F37C2">
        <w:t>Leulumoega</w:t>
      </w:r>
      <w:proofErr w:type="spellEnd"/>
      <w:r w:rsidRPr="001F37C2">
        <w:t xml:space="preserve">, </w:t>
      </w:r>
      <w:proofErr w:type="spellStart"/>
      <w:r w:rsidRPr="001F37C2">
        <w:t>Lalomanu</w:t>
      </w:r>
      <w:proofErr w:type="spellEnd"/>
      <w:r w:rsidRPr="001F37C2">
        <w:t xml:space="preserve">, and </w:t>
      </w:r>
      <w:proofErr w:type="spellStart"/>
      <w:r w:rsidRPr="001F37C2">
        <w:t>Poutasi</w:t>
      </w:r>
      <w:proofErr w:type="spellEnd"/>
      <w:r w:rsidRPr="001F37C2">
        <w:t>)</w:t>
      </w:r>
    </w:p>
    <w:p w14:paraId="6CF1C141" w14:textId="77777777" w:rsidR="00662F77" w:rsidRDefault="00DE72F0" w:rsidP="00662F77">
      <w:pPr>
        <w:pStyle w:val="Bullet1-Long"/>
        <w:rPr>
          <w:lang w:val="en-US"/>
        </w:rPr>
      </w:pPr>
      <w:r w:rsidRPr="001F37C2">
        <w:t>three Rural District Hospitals on Savai’i (</w:t>
      </w:r>
      <w:proofErr w:type="spellStart"/>
      <w:r w:rsidRPr="001F37C2">
        <w:t>Foailalo</w:t>
      </w:r>
      <w:proofErr w:type="spellEnd"/>
      <w:r w:rsidRPr="001F37C2">
        <w:t xml:space="preserve">, </w:t>
      </w:r>
      <w:proofErr w:type="spellStart"/>
      <w:r w:rsidRPr="001F37C2">
        <w:t>Sataua</w:t>
      </w:r>
      <w:proofErr w:type="spellEnd"/>
      <w:r w:rsidRPr="001F37C2">
        <w:t xml:space="preserve"> and </w:t>
      </w:r>
      <w:proofErr w:type="spellStart"/>
      <w:r w:rsidRPr="001F37C2">
        <w:t>Safotu</w:t>
      </w:r>
      <w:proofErr w:type="spellEnd"/>
      <w:proofErr w:type="gramStart"/>
      <w:r w:rsidRPr="001F37C2">
        <w:t>);</w:t>
      </w:r>
      <w:proofErr w:type="gramEnd"/>
      <w:r w:rsidRPr="001F37C2">
        <w:t xml:space="preserve"> </w:t>
      </w:r>
    </w:p>
    <w:p w14:paraId="2D624956" w14:textId="77777777" w:rsidR="00662F77" w:rsidRDefault="00DE72F0" w:rsidP="00662F77">
      <w:pPr>
        <w:pStyle w:val="Bullet1-Long"/>
        <w:rPr>
          <w:lang w:val="en-US"/>
        </w:rPr>
      </w:pPr>
      <w:r w:rsidRPr="001F37C2">
        <w:t>four Community Health Centres on Upolu (</w:t>
      </w:r>
      <w:proofErr w:type="spellStart"/>
      <w:r w:rsidRPr="001F37C2">
        <w:t>Lufilufi</w:t>
      </w:r>
      <w:proofErr w:type="spellEnd"/>
      <w:r w:rsidRPr="001F37C2">
        <w:t xml:space="preserve">, </w:t>
      </w:r>
      <w:proofErr w:type="spellStart"/>
      <w:r w:rsidRPr="001F37C2">
        <w:t>Faleolo</w:t>
      </w:r>
      <w:proofErr w:type="spellEnd"/>
      <w:r w:rsidRPr="001F37C2">
        <w:t xml:space="preserve"> and </w:t>
      </w:r>
      <w:proofErr w:type="spellStart"/>
      <w:r w:rsidRPr="001F37C2">
        <w:t>Sa’anapu</w:t>
      </w:r>
      <w:proofErr w:type="spellEnd"/>
      <w:r w:rsidRPr="001F37C2">
        <w:t>); and</w:t>
      </w:r>
    </w:p>
    <w:p w14:paraId="7DA66C79" w14:textId="13368393" w:rsidR="00DE72F0" w:rsidRPr="00662F77" w:rsidRDefault="00DE72F0" w:rsidP="00662F77">
      <w:pPr>
        <w:pStyle w:val="Bullet1-Long"/>
        <w:rPr>
          <w:lang w:val="en-US"/>
        </w:rPr>
      </w:pPr>
      <w:r w:rsidRPr="001F37C2">
        <w:t>one Community Health Centre on Savai’i (</w:t>
      </w:r>
      <w:proofErr w:type="spellStart"/>
      <w:r w:rsidRPr="001F37C2">
        <w:t>Vaipouli</w:t>
      </w:r>
      <w:proofErr w:type="spellEnd"/>
      <w:r w:rsidRPr="001F37C2">
        <w:t>).</w:t>
      </w:r>
    </w:p>
    <w:p w14:paraId="749C58FD" w14:textId="7F132C8F" w:rsidR="00DE72F0" w:rsidRDefault="00DE72F0" w:rsidP="00DE72F0">
      <w:r w:rsidRPr="000408FE">
        <w:t>Additionally, both M</w:t>
      </w:r>
      <w:r w:rsidR="009831FF">
        <w:t>O</w:t>
      </w:r>
      <w:r w:rsidRPr="000408FE">
        <w:t>H and NHS employ small numbers of staff who are engaged in community-based ‘outreach’ activities such as environmental health inspections and health promotion activities.</w:t>
      </w:r>
    </w:p>
    <w:p w14:paraId="2D0EC57E" w14:textId="77777777" w:rsidR="00DE72F0" w:rsidRPr="004E1D1C" w:rsidRDefault="00DE72F0" w:rsidP="00DE72F0">
      <w:pPr>
        <w:pStyle w:val="3rdLevelNumberedTitle"/>
      </w:pPr>
      <w:r>
        <w:t>H</w:t>
      </w:r>
      <w:r w:rsidRPr="004E1D1C">
        <w:t xml:space="preserve">ealth </w:t>
      </w:r>
      <w:r>
        <w:t>i</w:t>
      </w:r>
      <w:r w:rsidRPr="004E1D1C">
        <w:t xml:space="preserve">nformation </w:t>
      </w:r>
      <w:r>
        <w:t>s</w:t>
      </w:r>
      <w:r w:rsidRPr="004E1D1C">
        <w:t>ystems in Samoa</w:t>
      </w:r>
    </w:p>
    <w:p w14:paraId="2ABB35B0" w14:textId="77777777" w:rsidR="00DE72F0" w:rsidRPr="005B0677" w:rsidRDefault="00DE72F0" w:rsidP="00DE72F0">
      <w:pPr>
        <w:rPr>
          <w:rFonts w:eastAsia="MS Mincho"/>
        </w:rPr>
      </w:pPr>
      <w:r w:rsidRPr="005B0677">
        <w:rPr>
          <w:rFonts w:eastAsia="MS Mincho"/>
        </w:rPr>
        <w:t xml:space="preserve">It is widely acknowledged that information systems in Samoa’s health system are currently inadequate. As a result, </w:t>
      </w:r>
      <w:proofErr w:type="gramStart"/>
      <w:r w:rsidRPr="005B0677">
        <w:rPr>
          <w:rFonts w:eastAsia="MS Mincho"/>
        </w:rPr>
        <w:t>development</w:t>
      </w:r>
      <w:proofErr w:type="gramEnd"/>
      <w:r w:rsidRPr="005B0677">
        <w:rPr>
          <w:rFonts w:eastAsia="MS Mincho"/>
        </w:rPr>
        <w:t xml:space="preserve"> and implementation of health policies and </w:t>
      </w:r>
      <w:proofErr w:type="spellStart"/>
      <w:r w:rsidRPr="005B0677">
        <w:rPr>
          <w:rFonts w:eastAsia="MS Mincho"/>
        </w:rPr>
        <w:t>programmes</w:t>
      </w:r>
      <w:proofErr w:type="spellEnd"/>
      <w:r w:rsidRPr="005B0677">
        <w:rPr>
          <w:rFonts w:eastAsia="MS Mincho"/>
        </w:rPr>
        <w:t xml:space="preserve">, delivery of health services and management of public health threats are compromised.  </w:t>
      </w:r>
    </w:p>
    <w:p w14:paraId="6B075C47" w14:textId="77777777" w:rsidR="00DE72F0" w:rsidRPr="005B0677" w:rsidRDefault="00DE72F0" w:rsidP="00DE72F0">
      <w:pPr>
        <w:rPr>
          <w:rFonts w:eastAsia="MS Mincho"/>
        </w:rPr>
      </w:pPr>
      <w:r w:rsidRPr="005B0677">
        <w:rPr>
          <w:rFonts w:eastAsia="MS Mincho"/>
        </w:rPr>
        <w:t xml:space="preserve">There have been </w:t>
      </w:r>
      <w:proofErr w:type="gramStart"/>
      <w:r w:rsidRPr="005B0677">
        <w:rPr>
          <w:rFonts w:eastAsia="MS Mincho"/>
        </w:rPr>
        <w:t>a number of</w:t>
      </w:r>
      <w:proofErr w:type="gramEnd"/>
      <w:r w:rsidRPr="005B0677">
        <w:rPr>
          <w:rFonts w:eastAsia="MS Mincho"/>
        </w:rPr>
        <w:t xml:space="preserve"> attempts to address this situation over the last eight years or more. Various assessments and reviews have been conducted and the findings of those reviews have largely been consistent. </w:t>
      </w:r>
    </w:p>
    <w:p w14:paraId="146C0A9A" w14:textId="77777777" w:rsidR="00DE72F0" w:rsidRPr="005B0677" w:rsidRDefault="00DE72F0" w:rsidP="00DE72F0">
      <w:pPr>
        <w:rPr>
          <w:rFonts w:eastAsia="MS Mincho"/>
        </w:rPr>
      </w:pPr>
      <w:r w:rsidRPr="005B0677">
        <w:rPr>
          <w:rFonts w:eastAsia="MS Mincho"/>
        </w:rPr>
        <w:t>Basic management information is often rudimentary and heavy reliance on paper records can be both inefficient and sometimes unsafe. Further, several recent reviews of development assistance provided to Samoa’s health sector have identified the lack of a comprehensive and reliable health information system (HIS) as a major barrier to effective monitoring and evaluation</w:t>
      </w:r>
      <w:r>
        <w:rPr>
          <w:rFonts w:eastAsia="MS Mincho"/>
        </w:rPr>
        <w:t xml:space="preserve"> of health outcomes and their impacts</w:t>
      </w:r>
      <w:r w:rsidRPr="005B0677">
        <w:rPr>
          <w:rFonts w:eastAsia="MS Mincho"/>
        </w:rPr>
        <w:t xml:space="preserve">. </w:t>
      </w:r>
    </w:p>
    <w:p w14:paraId="0FDF84B3" w14:textId="77777777" w:rsidR="00DE72F0" w:rsidRPr="005B0677" w:rsidRDefault="00DE72F0" w:rsidP="00DE72F0">
      <w:pPr>
        <w:rPr>
          <w:rFonts w:eastAsia="MS Mincho"/>
        </w:rPr>
      </w:pPr>
      <w:r w:rsidRPr="005B0677">
        <w:rPr>
          <w:rFonts w:eastAsia="MS Mincho"/>
        </w:rPr>
        <w:lastRenderedPageBreak/>
        <w:t xml:space="preserve">Samoa’s experience with </w:t>
      </w:r>
      <w:proofErr w:type="spellStart"/>
      <w:r w:rsidRPr="005B0677">
        <w:rPr>
          <w:rFonts w:eastAsia="MS Mincho"/>
        </w:rPr>
        <w:t>computerised</w:t>
      </w:r>
      <w:proofErr w:type="spellEnd"/>
      <w:r w:rsidRPr="005B0677">
        <w:rPr>
          <w:rFonts w:eastAsia="MS Mincho"/>
        </w:rPr>
        <w:t xml:space="preserve"> information systems in health is, at best, mixed. The only system which appears currently to be in routine use is a pharmacy management system (LOTS)</w:t>
      </w:r>
      <w:r w:rsidRPr="005B0677">
        <w:rPr>
          <w:rFonts w:eastAsia="MS Mincho"/>
          <w:vertAlign w:val="superscript"/>
        </w:rPr>
        <w:footnoteReference w:id="3"/>
      </w:r>
      <w:r w:rsidRPr="005B0677">
        <w:rPr>
          <w:rFonts w:eastAsia="MS Mincho"/>
        </w:rPr>
        <w:t xml:space="preserve">. A patient information system (PATIS) was implemented to provide diagnostic and procedure information for inpatients and outpatients at the two main hospitals on Upolu and Savai’i but, at the time of writing, is reported as having fallen into disuse due to lack of user acceptance and inability to obtain maintenance/updates from the original vendor. </w:t>
      </w:r>
    </w:p>
    <w:p w14:paraId="0CF276D6" w14:textId="77777777" w:rsidR="00DE72F0" w:rsidRPr="005B0677" w:rsidRDefault="00DE72F0" w:rsidP="00DE72F0">
      <w:pPr>
        <w:rPr>
          <w:rFonts w:eastAsia="MS Mincho"/>
        </w:rPr>
      </w:pPr>
      <w:r>
        <w:rPr>
          <w:rFonts w:eastAsia="MS Mincho"/>
        </w:rPr>
        <w:t xml:space="preserve">A </w:t>
      </w:r>
      <w:proofErr w:type="spellStart"/>
      <w:r>
        <w:rPr>
          <w:rFonts w:eastAsia="MS Mincho"/>
        </w:rPr>
        <w:t>computerised</w:t>
      </w:r>
      <w:proofErr w:type="spellEnd"/>
      <w:r>
        <w:rPr>
          <w:rFonts w:eastAsia="MS Mincho"/>
        </w:rPr>
        <w:t xml:space="preserve"> </w:t>
      </w:r>
      <w:proofErr w:type="spellStart"/>
      <w:r>
        <w:rPr>
          <w:rFonts w:eastAsia="MS Mincho"/>
        </w:rPr>
        <w:t>immunisation</w:t>
      </w:r>
      <w:proofErr w:type="spellEnd"/>
      <w:r>
        <w:rPr>
          <w:rFonts w:eastAsia="MS Mincho"/>
        </w:rPr>
        <w:t xml:space="preserve"> register has recently been introduced and a</w:t>
      </w:r>
      <w:r w:rsidRPr="005B0677">
        <w:rPr>
          <w:rFonts w:eastAsia="MS Mincho"/>
        </w:rPr>
        <w:t xml:space="preserve">d hoc, </w:t>
      </w:r>
      <w:proofErr w:type="gramStart"/>
      <w:r w:rsidRPr="005B0677">
        <w:rPr>
          <w:rFonts w:eastAsia="MS Mincho"/>
        </w:rPr>
        <w:t>locally-developed</w:t>
      </w:r>
      <w:proofErr w:type="gramEnd"/>
      <w:r w:rsidRPr="005B0677">
        <w:rPr>
          <w:rFonts w:eastAsia="MS Mincho"/>
        </w:rPr>
        <w:t xml:space="preserve"> systems are used in the laboratory, X-ray and Public Health Departments. </w:t>
      </w:r>
      <w:proofErr w:type="gramStart"/>
      <w:r w:rsidRPr="005B0677">
        <w:rPr>
          <w:rFonts w:eastAsia="MS Mincho"/>
        </w:rPr>
        <w:t>Also</w:t>
      </w:r>
      <w:proofErr w:type="gramEnd"/>
      <w:r w:rsidRPr="005B0677">
        <w:rPr>
          <w:rFonts w:eastAsia="MS Mincho"/>
        </w:rPr>
        <w:t xml:space="preserve"> a community health nursing information system has previously been adopted but was abandoned some 10 years ago.</w:t>
      </w:r>
    </w:p>
    <w:p w14:paraId="4CC59EDF" w14:textId="77777777" w:rsidR="00DE72F0" w:rsidRPr="005B0677" w:rsidRDefault="00DE72F0" w:rsidP="00DE72F0">
      <w:pPr>
        <w:rPr>
          <w:rFonts w:eastAsia="MS Mincho"/>
        </w:rPr>
      </w:pPr>
      <w:r w:rsidRPr="005B0677">
        <w:rPr>
          <w:rFonts w:eastAsia="MS Mincho"/>
        </w:rPr>
        <w:t xml:space="preserve">The </w:t>
      </w:r>
      <w:r w:rsidRPr="005B0677">
        <w:rPr>
          <w:rFonts w:eastAsia="MS Mincho"/>
          <w:i/>
        </w:rPr>
        <w:t>Samoa eHealth Policy &amp; Strategy 2016 – 2021</w:t>
      </w:r>
      <w:r w:rsidRPr="005B0677">
        <w:rPr>
          <w:rFonts w:eastAsia="MS Mincho"/>
        </w:rPr>
        <w:t xml:space="preserve"> </w:t>
      </w:r>
      <w:sdt>
        <w:sdtPr>
          <w:rPr>
            <w:rFonts w:eastAsia="MS Mincho"/>
          </w:rPr>
          <w:id w:val="982276780"/>
          <w:citation/>
        </w:sdtPr>
        <w:sdtEndPr/>
        <w:sdtContent>
          <w:r w:rsidRPr="005B0677">
            <w:rPr>
              <w:rFonts w:eastAsia="MS Mincho"/>
            </w:rPr>
            <w:fldChar w:fldCharType="begin"/>
          </w:r>
          <w:r w:rsidRPr="005B0677">
            <w:rPr>
              <w:rFonts w:eastAsia="MS Mincho"/>
            </w:rPr>
            <w:instrText xml:space="preserve">CITATION Min \l 3081 </w:instrText>
          </w:r>
          <w:r w:rsidRPr="005B0677">
            <w:rPr>
              <w:rFonts w:eastAsia="MS Mincho"/>
            </w:rPr>
            <w:fldChar w:fldCharType="separate"/>
          </w:r>
          <w:r w:rsidRPr="005B0677">
            <w:rPr>
              <w:rFonts w:eastAsia="MS Mincho"/>
            </w:rPr>
            <w:t>(Ministry of Health 2016)</w:t>
          </w:r>
          <w:r w:rsidRPr="005B0677">
            <w:rPr>
              <w:rFonts w:eastAsia="MS Mincho"/>
            </w:rPr>
            <w:fldChar w:fldCharType="end"/>
          </w:r>
        </w:sdtContent>
      </w:sdt>
      <w:r w:rsidRPr="005B0677">
        <w:rPr>
          <w:rFonts w:eastAsia="MS Mincho"/>
        </w:rPr>
        <w:t xml:space="preserve"> identifies a total of 17 strategies to guide e-health developments</w:t>
      </w:r>
      <w:r>
        <w:rPr>
          <w:rFonts w:eastAsia="MS Mincho"/>
          <w:b/>
        </w:rPr>
        <w:t xml:space="preserve"> (Table 1).</w:t>
      </w:r>
      <w:r w:rsidRPr="005B0677">
        <w:rPr>
          <w:rFonts w:eastAsia="MS Mincho"/>
        </w:rPr>
        <w:t xml:space="preserve"> </w:t>
      </w:r>
    </w:p>
    <w:p w14:paraId="546CB484" w14:textId="2374544B" w:rsidR="00DE72F0" w:rsidRPr="005B0677" w:rsidRDefault="00DE72F0" w:rsidP="00DE72F0">
      <w:pPr>
        <w:keepNext/>
        <w:spacing w:after="200" w:line="240" w:lineRule="auto"/>
        <w:rPr>
          <w:rFonts w:eastAsia="MS Mincho"/>
          <w:b/>
          <w:iCs/>
        </w:rPr>
      </w:pPr>
      <w:r w:rsidRPr="005B0677">
        <w:rPr>
          <w:rFonts w:eastAsia="MS Mincho"/>
          <w:b/>
          <w:iCs/>
        </w:rPr>
        <w:t xml:space="preserve">Table </w:t>
      </w:r>
      <w:r w:rsidRPr="005B7B0A">
        <w:rPr>
          <w:rFonts w:eastAsia="MS Mincho"/>
          <w:b/>
          <w:iCs/>
        </w:rPr>
        <w:fldChar w:fldCharType="begin"/>
      </w:r>
      <w:r w:rsidRPr="005B0677">
        <w:rPr>
          <w:rFonts w:eastAsia="MS Mincho"/>
          <w:b/>
          <w:iCs/>
        </w:rPr>
        <w:instrText xml:space="preserve"> SEQ Table \* ARABIC </w:instrText>
      </w:r>
      <w:r w:rsidRPr="005B7B0A">
        <w:rPr>
          <w:rFonts w:eastAsia="MS Mincho"/>
          <w:b/>
          <w:iCs/>
        </w:rPr>
        <w:fldChar w:fldCharType="separate"/>
      </w:r>
      <w:r w:rsidR="005410B6">
        <w:rPr>
          <w:rFonts w:eastAsia="MS Mincho"/>
          <w:b/>
          <w:iCs/>
          <w:noProof/>
        </w:rPr>
        <w:t>1</w:t>
      </w:r>
      <w:r w:rsidRPr="005B7B0A">
        <w:rPr>
          <w:rFonts w:eastAsia="MS Mincho"/>
          <w:b/>
          <w:iCs/>
        </w:rPr>
        <w:fldChar w:fldCharType="end"/>
      </w:r>
      <w:r w:rsidRPr="005B0677">
        <w:rPr>
          <w:rFonts w:eastAsia="MS Mincho"/>
          <w:b/>
          <w:iCs/>
        </w:rPr>
        <w:t>: E-health strategies (Samoa eHealth Policy &amp; Strategy 2016 –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8608"/>
      </w:tblGrid>
      <w:tr w:rsidR="00DE72F0" w:rsidRPr="00C60629" w14:paraId="256AFFEF" w14:textId="77777777" w:rsidTr="007A21AC">
        <w:tc>
          <w:tcPr>
            <w:tcW w:w="5000" w:type="pct"/>
            <w:gridSpan w:val="2"/>
            <w:shd w:val="clear" w:color="auto" w:fill="auto"/>
          </w:tcPr>
          <w:p w14:paraId="69560E2F" w14:textId="77777777" w:rsidR="00DE72F0" w:rsidRPr="00C60629" w:rsidRDefault="00DE72F0" w:rsidP="007A21AC">
            <w:pPr>
              <w:tabs>
                <w:tab w:val="left" w:pos="284"/>
              </w:tabs>
              <w:spacing w:line="240" w:lineRule="auto"/>
              <w:rPr>
                <w:szCs w:val="22"/>
              </w:rPr>
            </w:pPr>
            <w:r w:rsidRPr="00C60629">
              <w:rPr>
                <w:b/>
                <w:szCs w:val="22"/>
                <w:lang w:eastAsia="en-AU"/>
              </w:rPr>
              <w:t>Key Strategic Area 1: Leadership and Governance</w:t>
            </w:r>
          </w:p>
        </w:tc>
      </w:tr>
      <w:tr w:rsidR="00DE72F0" w:rsidRPr="00C60629" w14:paraId="4921EFC1" w14:textId="77777777" w:rsidTr="007A21AC">
        <w:tc>
          <w:tcPr>
            <w:tcW w:w="223" w:type="pct"/>
            <w:tcBorders>
              <w:right w:val="nil"/>
            </w:tcBorders>
            <w:shd w:val="clear" w:color="auto" w:fill="auto"/>
          </w:tcPr>
          <w:p w14:paraId="14E94C05"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55160746" w14:textId="77777777" w:rsidR="00DE72F0" w:rsidRPr="00C60629" w:rsidRDefault="00DE72F0" w:rsidP="007A21AC">
            <w:pPr>
              <w:tabs>
                <w:tab w:val="left" w:pos="1405"/>
              </w:tabs>
              <w:spacing w:line="240" w:lineRule="auto"/>
              <w:ind w:left="1405" w:hanging="1405"/>
              <w:rPr>
                <w:szCs w:val="22"/>
              </w:rPr>
            </w:pPr>
            <w:r w:rsidRPr="00C60629">
              <w:rPr>
                <w:color w:val="000000"/>
                <w:szCs w:val="22"/>
                <w:lang w:eastAsia="en-AU"/>
              </w:rPr>
              <w:t>Strategy 1.1:</w:t>
            </w:r>
            <w:r w:rsidRPr="00C60629">
              <w:rPr>
                <w:color w:val="000000"/>
                <w:szCs w:val="22"/>
                <w:lang w:eastAsia="en-AU"/>
              </w:rPr>
              <w:tab/>
              <w:t>Establish eHealth governance structures</w:t>
            </w:r>
          </w:p>
        </w:tc>
      </w:tr>
      <w:tr w:rsidR="00DE72F0" w:rsidRPr="00C60629" w14:paraId="79799A5E" w14:textId="77777777" w:rsidTr="007A21AC">
        <w:tc>
          <w:tcPr>
            <w:tcW w:w="5000" w:type="pct"/>
            <w:gridSpan w:val="2"/>
            <w:shd w:val="clear" w:color="auto" w:fill="auto"/>
          </w:tcPr>
          <w:p w14:paraId="35F7AB76" w14:textId="77777777" w:rsidR="00DE72F0" w:rsidRPr="00C60629" w:rsidRDefault="00DE72F0" w:rsidP="007A21AC">
            <w:pPr>
              <w:tabs>
                <w:tab w:val="left" w:pos="284"/>
              </w:tabs>
              <w:spacing w:line="240" w:lineRule="auto"/>
              <w:rPr>
                <w:szCs w:val="22"/>
              </w:rPr>
            </w:pPr>
            <w:r w:rsidRPr="00C60629">
              <w:rPr>
                <w:b/>
                <w:szCs w:val="22"/>
                <w:lang w:eastAsia="en-AU"/>
              </w:rPr>
              <w:t>Key Strategic Area 2: Legislation, Policy, Compliance</w:t>
            </w:r>
          </w:p>
        </w:tc>
      </w:tr>
      <w:tr w:rsidR="00DE72F0" w:rsidRPr="00C60629" w14:paraId="2BB2260B" w14:textId="77777777" w:rsidTr="007A21AC">
        <w:tc>
          <w:tcPr>
            <w:tcW w:w="223" w:type="pct"/>
            <w:tcBorders>
              <w:right w:val="nil"/>
            </w:tcBorders>
            <w:shd w:val="clear" w:color="auto" w:fill="auto"/>
          </w:tcPr>
          <w:p w14:paraId="4923F372" w14:textId="77777777" w:rsidR="00DE72F0" w:rsidRPr="00C60629" w:rsidRDefault="00DE72F0" w:rsidP="007A21AC">
            <w:pPr>
              <w:spacing w:line="240" w:lineRule="auto"/>
              <w:rPr>
                <w:rFonts w:eastAsia="MS Mincho"/>
                <w:color w:val="000000"/>
                <w:szCs w:val="22"/>
              </w:rPr>
            </w:pPr>
          </w:p>
        </w:tc>
        <w:tc>
          <w:tcPr>
            <w:tcW w:w="4777" w:type="pct"/>
            <w:tcBorders>
              <w:left w:val="nil"/>
            </w:tcBorders>
            <w:shd w:val="clear" w:color="auto" w:fill="auto"/>
            <w:vAlign w:val="center"/>
          </w:tcPr>
          <w:p w14:paraId="033F3A74" w14:textId="77777777" w:rsidR="00DE72F0" w:rsidRPr="00C60629" w:rsidRDefault="00DE72F0" w:rsidP="007A21AC">
            <w:pPr>
              <w:tabs>
                <w:tab w:val="left" w:pos="284"/>
              </w:tabs>
              <w:spacing w:line="240" w:lineRule="auto"/>
              <w:ind w:left="1405" w:hanging="1405"/>
              <w:rPr>
                <w:color w:val="000000"/>
                <w:szCs w:val="22"/>
              </w:rPr>
            </w:pPr>
            <w:r w:rsidRPr="00C60629">
              <w:rPr>
                <w:color w:val="000000"/>
                <w:szCs w:val="22"/>
                <w:lang w:eastAsia="en-AU"/>
              </w:rPr>
              <w:t>Strategy 2.1:</w:t>
            </w:r>
            <w:r w:rsidRPr="00C60629">
              <w:rPr>
                <w:color w:val="000000"/>
                <w:szCs w:val="22"/>
                <w:lang w:eastAsia="en-AU"/>
              </w:rPr>
              <w:tab/>
              <w:t xml:space="preserve">National eHealth regulatory framework established </w:t>
            </w:r>
          </w:p>
        </w:tc>
      </w:tr>
      <w:tr w:rsidR="00DE72F0" w:rsidRPr="00C60629" w14:paraId="2D0555CD" w14:textId="77777777" w:rsidTr="007A21AC">
        <w:tc>
          <w:tcPr>
            <w:tcW w:w="223" w:type="pct"/>
            <w:tcBorders>
              <w:right w:val="nil"/>
            </w:tcBorders>
            <w:shd w:val="clear" w:color="auto" w:fill="auto"/>
          </w:tcPr>
          <w:p w14:paraId="6C6A4CC9"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4510B53A" w14:textId="77777777" w:rsidR="00DE72F0" w:rsidRPr="00C60629" w:rsidRDefault="00DE72F0" w:rsidP="007A21AC">
            <w:pPr>
              <w:tabs>
                <w:tab w:val="left" w:pos="284"/>
              </w:tabs>
              <w:spacing w:line="240" w:lineRule="auto"/>
              <w:ind w:left="1405" w:hanging="1405"/>
              <w:rPr>
                <w:szCs w:val="22"/>
              </w:rPr>
            </w:pPr>
            <w:r w:rsidRPr="00C60629">
              <w:rPr>
                <w:color w:val="000000"/>
                <w:szCs w:val="22"/>
                <w:lang w:eastAsia="en-AU"/>
              </w:rPr>
              <w:t>Strategy 2.2:</w:t>
            </w:r>
            <w:r w:rsidRPr="00C60629">
              <w:rPr>
                <w:color w:val="000000"/>
                <w:szCs w:val="22"/>
                <w:lang w:eastAsia="en-AU"/>
              </w:rPr>
              <w:tab/>
              <w:t>Develop and establish a continuous monitoring and evaluation framework that includes all eHealth components.</w:t>
            </w:r>
          </w:p>
        </w:tc>
      </w:tr>
      <w:tr w:rsidR="00DE72F0" w:rsidRPr="00C60629" w14:paraId="242DC563" w14:textId="77777777" w:rsidTr="007A21AC">
        <w:tc>
          <w:tcPr>
            <w:tcW w:w="5000" w:type="pct"/>
            <w:gridSpan w:val="2"/>
            <w:shd w:val="clear" w:color="auto" w:fill="auto"/>
          </w:tcPr>
          <w:p w14:paraId="40B96A3F" w14:textId="77777777" w:rsidR="00DE72F0" w:rsidRPr="00C60629" w:rsidRDefault="00DE72F0" w:rsidP="007A21AC">
            <w:pPr>
              <w:tabs>
                <w:tab w:val="left" w:pos="284"/>
              </w:tabs>
              <w:spacing w:line="240" w:lineRule="auto"/>
              <w:rPr>
                <w:szCs w:val="22"/>
              </w:rPr>
            </w:pPr>
            <w:r w:rsidRPr="00C60629">
              <w:rPr>
                <w:b/>
                <w:szCs w:val="22"/>
                <w:lang w:eastAsia="en-AU"/>
              </w:rPr>
              <w:t>Key Strategic Area 3. Standards and Interoperability</w:t>
            </w:r>
          </w:p>
        </w:tc>
      </w:tr>
      <w:tr w:rsidR="00DE72F0" w:rsidRPr="00C60629" w14:paraId="051AD75E" w14:textId="77777777" w:rsidTr="007A21AC">
        <w:tc>
          <w:tcPr>
            <w:tcW w:w="223" w:type="pct"/>
            <w:tcBorders>
              <w:right w:val="nil"/>
            </w:tcBorders>
            <w:shd w:val="clear" w:color="auto" w:fill="auto"/>
          </w:tcPr>
          <w:p w14:paraId="0AFA19EB" w14:textId="77777777" w:rsidR="00DE72F0" w:rsidRPr="00C60629" w:rsidRDefault="00DE72F0" w:rsidP="007A21AC">
            <w:pPr>
              <w:spacing w:line="240" w:lineRule="auto"/>
              <w:rPr>
                <w:rFonts w:eastAsia="MS Gothic"/>
                <w:iCs/>
                <w:color w:val="000000"/>
                <w:szCs w:val="22"/>
              </w:rPr>
            </w:pPr>
          </w:p>
        </w:tc>
        <w:tc>
          <w:tcPr>
            <w:tcW w:w="4777" w:type="pct"/>
            <w:tcBorders>
              <w:left w:val="nil"/>
            </w:tcBorders>
            <w:shd w:val="clear" w:color="auto" w:fill="auto"/>
            <w:vAlign w:val="center"/>
          </w:tcPr>
          <w:p w14:paraId="37C113A1" w14:textId="77777777" w:rsidR="00DE72F0" w:rsidRPr="00C60629" w:rsidRDefault="00DE72F0" w:rsidP="007A21AC">
            <w:pPr>
              <w:tabs>
                <w:tab w:val="left" w:pos="284"/>
              </w:tabs>
              <w:spacing w:line="240" w:lineRule="auto"/>
              <w:ind w:left="1405" w:hanging="1405"/>
              <w:rPr>
                <w:i/>
                <w:color w:val="000000"/>
                <w:szCs w:val="22"/>
              </w:rPr>
            </w:pPr>
            <w:r w:rsidRPr="00C60629">
              <w:rPr>
                <w:iCs/>
                <w:szCs w:val="22"/>
                <w:lang w:eastAsia="en-AU"/>
              </w:rPr>
              <w:t>Strategy</w:t>
            </w:r>
            <w:r w:rsidRPr="00C60629">
              <w:rPr>
                <w:rFonts w:eastAsia="MS Gothic"/>
                <w:iCs/>
                <w:color w:val="000000"/>
                <w:szCs w:val="22"/>
                <w:lang w:eastAsia="en-AU"/>
              </w:rPr>
              <w:t xml:space="preserve"> 3.1:</w:t>
            </w:r>
            <w:r w:rsidRPr="00C60629">
              <w:rPr>
                <w:rFonts w:eastAsia="MS Gothic"/>
                <w:iCs/>
                <w:color w:val="000000"/>
                <w:szCs w:val="22"/>
                <w:lang w:eastAsia="en-AU"/>
              </w:rPr>
              <w:tab/>
              <w:t xml:space="preserve">Interoperability framework between the eHealth components </w:t>
            </w:r>
            <w:r w:rsidRPr="00C60629">
              <w:rPr>
                <w:color w:val="000000"/>
                <w:szCs w:val="22"/>
                <w:lang w:eastAsia="en-AU"/>
              </w:rPr>
              <w:t>to the broadband infrastructure.</w:t>
            </w:r>
          </w:p>
        </w:tc>
      </w:tr>
      <w:tr w:rsidR="00DE72F0" w:rsidRPr="00C60629" w14:paraId="61539745" w14:textId="77777777" w:rsidTr="007A21AC">
        <w:tc>
          <w:tcPr>
            <w:tcW w:w="223" w:type="pct"/>
            <w:tcBorders>
              <w:right w:val="nil"/>
            </w:tcBorders>
            <w:shd w:val="clear" w:color="auto" w:fill="auto"/>
          </w:tcPr>
          <w:p w14:paraId="71C4D663"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2761785F" w14:textId="77777777" w:rsidR="00DE72F0" w:rsidRPr="00C60629" w:rsidRDefault="00DE72F0" w:rsidP="007A21AC">
            <w:pPr>
              <w:tabs>
                <w:tab w:val="left" w:pos="284"/>
              </w:tabs>
              <w:spacing w:line="240" w:lineRule="auto"/>
              <w:ind w:left="1405" w:hanging="1405"/>
              <w:rPr>
                <w:szCs w:val="22"/>
              </w:rPr>
            </w:pPr>
            <w:r w:rsidRPr="00C60629">
              <w:rPr>
                <w:color w:val="000000"/>
                <w:szCs w:val="22"/>
                <w:lang w:eastAsia="en-AU"/>
              </w:rPr>
              <w:t>Strategy 3.2</w:t>
            </w:r>
            <w:r w:rsidRPr="00C60629">
              <w:rPr>
                <w:color w:val="000000"/>
                <w:szCs w:val="22"/>
                <w:lang w:eastAsia="en-AU"/>
              </w:rPr>
              <w:tab/>
              <w:t xml:space="preserve">Develop an information and technical standards framework that </w:t>
            </w:r>
            <w:r w:rsidRPr="00C60629">
              <w:rPr>
                <w:iCs/>
                <w:szCs w:val="22"/>
                <w:lang w:eastAsia="en-AU"/>
              </w:rPr>
              <w:t>supports</w:t>
            </w:r>
            <w:r w:rsidRPr="00C60629">
              <w:rPr>
                <w:color w:val="000000"/>
                <w:szCs w:val="22"/>
                <w:lang w:eastAsia="en-AU"/>
              </w:rPr>
              <w:t xml:space="preserve"> secure interoperability between all eHealth components.</w:t>
            </w:r>
          </w:p>
        </w:tc>
      </w:tr>
      <w:tr w:rsidR="00DE72F0" w:rsidRPr="00C60629" w14:paraId="116374E9" w14:textId="77777777" w:rsidTr="007A21AC">
        <w:tc>
          <w:tcPr>
            <w:tcW w:w="223" w:type="pct"/>
            <w:tcBorders>
              <w:right w:val="nil"/>
            </w:tcBorders>
            <w:shd w:val="clear" w:color="auto" w:fill="auto"/>
          </w:tcPr>
          <w:p w14:paraId="5EDF2C33"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32AF7D37" w14:textId="77777777" w:rsidR="00DE72F0" w:rsidRPr="00C60629" w:rsidRDefault="00DE72F0" w:rsidP="007A21AC">
            <w:pPr>
              <w:tabs>
                <w:tab w:val="left" w:pos="284"/>
              </w:tabs>
              <w:spacing w:line="240" w:lineRule="auto"/>
              <w:ind w:left="1405" w:hanging="1405"/>
              <w:rPr>
                <w:szCs w:val="22"/>
              </w:rPr>
            </w:pPr>
            <w:r w:rsidRPr="00C60629">
              <w:rPr>
                <w:color w:val="000000"/>
                <w:szCs w:val="22"/>
                <w:lang w:eastAsia="en-AU"/>
              </w:rPr>
              <w:t>Strategy 3.3:</w:t>
            </w:r>
            <w:r w:rsidRPr="00C60629">
              <w:rPr>
                <w:color w:val="000000"/>
                <w:szCs w:val="22"/>
                <w:lang w:eastAsia="en-AU"/>
              </w:rPr>
              <w:tab/>
              <w:t>Develop and implement national eHealth architecture.</w:t>
            </w:r>
          </w:p>
        </w:tc>
      </w:tr>
      <w:tr w:rsidR="00DE72F0" w:rsidRPr="00C60629" w14:paraId="6272FF76" w14:textId="77777777" w:rsidTr="007A21AC">
        <w:tc>
          <w:tcPr>
            <w:tcW w:w="223" w:type="pct"/>
            <w:tcBorders>
              <w:right w:val="nil"/>
            </w:tcBorders>
            <w:shd w:val="clear" w:color="auto" w:fill="auto"/>
          </w:tcPr>
          <w:p w14:paraId="2F88BE86"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2C01F725" w14:textId="77777777" w:rsidR="00DE72F0" w:rsidRPr="00C60629" w:rsidRDefault="00DE72F0" w:rsidP="007A21AC">
            <w:pPr>
              <w:tabs>
                <w:tab w:val="left" w:pos="284"/>
              </w:tabs>
              <w:spacing w:line="240" w:lineRule="auto"/>
              <w:ind w:left="1405" w:hanging="1405"/>
              <w:rPr>
                <w:szCs w:val="22"/>
              </w:rPr>
            </w:pPr>
            <w:r w:rsidRPr="00C60629">
              <w:rPr>
                <w:color w:val="000000"/>
                <w:szCs w:val="22"/>
                <w:lang w:eastAsia="en-AU"/>
              </w:rPr>
              <w:t>Strategy 3.4:</w:t>
            </w:r>
            <w:r w:rsidRPr="00C60629">
              <w:rPr>
                <w:color w:val="000000"/>
                <w:szCs w:val="22"/>
                <w:lang w:eastAsia="en-AU"/>
              </w:rPr>
              <w:tab/>
              <w:t>Develop and implement a National Health Identifier Numbering for Patients, Villages and Health Facilities (NHIN) system and Registry.</w:t>
            </w:r>
          </w:p>
        </w:tc>
      </w:tr>
      <w:tr w:rsidR="00DE72F0" w:rsidRPr="00C60629" w14:paraId="0A6BE446" w14:textId="77777777" w:rsidTr="007A21AC">
        <w:tc>
          <w:tcPr>
            <w:tcW w:w="223" w:type="pct"/>
            <w:tcBorders>
              <w:right w:val="nil"/>
            </w:tcBorders>
            <w:shd w:val="clear" w:color="auto" w:fill="auto"/>
          </w:tcPr>
          <w:p w14:paraId="70BF3478"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724CE14B" w14:textId="77777777" w:rsidR="00DE72F0" w:rsidRPr="00C60629" w:rsidRDefault="00DE72F0" w:rsidP="007A21AC">
            <w:pPr>
              <w:tabs>
                <w:tab w:val="left" w:pos="284"/>
              </w:tabs>
              <w:spacing w:line="240" w:lineRule="auto"/>
              <w:ind w:left="1405" w:hanging="1405"/>
              <w:rPr>
                <w:szCs w:val="22"/>
              </w:rPr>
            </w:pPr>
            <w:r w:rsidRPr="00C60629">
              <w:rPr>
                <w:color w:val="000000"/>
                <w:szCs w:val="22"/>
                <w:lang w:eastAsia="en-AU"/>
              </w:rPr>
              <w:t>Strategy 3.5:</w:t>
            </w:r>
            <w:r w:rsidRPr="00C60629">
              <w:rPr>
                <w:color w:val="000000"/>
                <w:szCs w:val="22"/>
                <w:lang w:eastAsia="en-AU"/>
              </w:rPr>
              <w:tab/>
            </w:r>
            <w:r w:rsidRPr="00C60629">
              <w:rPr>
                <w:iCs/>
                <w:szCs w:val="22"/>
                <w:lang w:eastAsia="en-AU"/>
              </w:rPr>
              <w:t>Develop</w:t>
            </w:r>
            <w:r w:rsidRPr="00C60629">
              <w:rPr>
                <w:color w:val="000000"/>
                <w:szCs w:val="22"/>
                <w:lang w:eastAsia="en-AU"/>
              </w:rPr>
              <w:t xml:space="preserve"> a National Health Provider Identifier (Workforce and Facilities) and Registry</w:t>
            </w:r>
          </w:p>
        </w:tc>
      </w:tr>
      <w:tr w:rsidR="00DE72F0" w:rsidRPr="00C60629" w14:paraId="54C5A5B8" w14:textId="77777777" w:rsidTr="007A21AC">
        <w:tc>
          <w:tcPr>
            <w:tcW w:w="223" w:type="pct"/>
            <w:tcBorders>
              <w:right w:val="nil"/>
            </w:tcBorders>
            <w:shd w:val="clear" w:color="auto" w:fill="auto"/>
          </w:tcPr>
          <w:p w14:paraId="682105CD"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55E88866" w14:textId="77777777" w:rsidR="00DE72F0" w:rsidRPr="00C60629" w:rsidRDefault="00DE72F0" w:rsidP="007A21AC">
            <w:pPr>
              <w:tabs>
                <w:tab w:val="left" w:pos="284"/>
              </w:tabs>
              <w:spacing w:line="240" w:lineRule="auto"/>
              <w:ind w:left="1405" w:hanging="1405"/>
              <w:rPr>
                <w:szCs w:val="22"/>
              </w:rPr>
            </w:pPr>
            <w:r w:rsidRPr="00C60629">
              <w:rPr>
                <w:color w:val="000000"/>
                <w:szCs w:val="22"/>
                <w:lang w:eastAsia="en-AU"/>
              </w:rPr>
              <w:t>Strategy 3.6:</w:t>
            </w:r>
            <w:r w:rsidRPr="00C60629">
              <w:rPr>
                <w:color w:val="000000"/>
                <w:szCs w:val="22"/>
                <w:lang w:eastAsia="en-AU"/>
              </w:rPr>
              <w:tab/>
              <w:t xml:space="preserve">Revise the national suite of minimum core health indicators in Samoa for </w:t>
            </w:r>
            <w:r w:rsidRPr="00C60629">
              <w:rPr>
                <w:iCs/>
                <w:szCs w:val="22"/>
                <w:lang w:eastAsia="en-AU"/>
              </w:rPr>
              <w:t>application</w:t>
            </w:r>
            <w:r w:rsidRPr="00C60629">
              <w:rPr>
                <w:color w:val="000000"/>
                <w:szCs w:val="22"/>
                <w:lang w:eastAsia="en-AU"/>
              </w:rPr>
              <w:t xml:space="preserve"> and use.</w:t>
            </w:r>
          </w:p>
        </w:tc>
      </w:tr>
      <w:tr w:rsidR="00DE72F0" w:rsidRPr="00C60629" w14:paraId="260302AA" w14:textId="77777777" w:rsidTr="007A21AC">
        <w:tc>
          <w:tcPr>
            <w:tcW w:w="223" w:type="pct"/>
            <w:tcBorders>
              <w:right w:val="nil"/>
            </w:tcBorders>
            <w:shd w:val="clear" w:color="auto" w:fill="auto"/>
          </w:tcPr>
          <w:p w14:paraId="3D735691"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0CCCC089" w14:textId="77777777" w:rsidR="00DE72F0" w:rsidRPr="00C60629" w:rsidRDefault="00DE72F0" w:rsidP="007A21AC">
            <w:pPr>
              <w:tabs>
                <w:tab w:val="left" w:pos="284"/>
              </w:tabs>
              <w:spacing w:line="240" w:lineRule="auto"/>
              <w:ind w:left="1405" w:hanging="1405"/>
              <w:rPr>
                <w:szCs w:val="22"/>
              </w:rPr>
            </w:pPr>
            <w:r w:rsidRPr="00C60629">
              <w:rPr>
                <w:color w:val="000000"/>
                <w:szCs w:val="22"/>
                <w:lang w:eastAsia="en-AU"/>
              </w:rPr>
              <w:t>Strategy 3.7:</w:t>
            </w:r>
            <w:r w:rsidRPr="00C60629">
              <w:rPr>
                <w:color w:val="000000"/>
                <w:szCs w:val="22"/>
                <w:lang w:eastAsia="en-AU"/>
              </w:rPr>
              <w:tab/>
            </w:r>
            <w:r w:rsidRPr="00C60629">
              <w:rPr>
                <w:iCs/>
                <w:szCs w:val="22"/>
                <w:lang w:eastAsia="en-AU"/>
              </w:rPr>
              <w:t>Develop</w:t>
            </w:r>
            <w:r w:rsidRPr="00C60629">
              <w:rPr>
                <w:color w:val="000000"/>
                <w:szCs w:val="22"/>
                <w:lang w:eastAsia="en-AU"/>
              </w:rPr>
              <w:t xml:space="preserve"> and implement national registries.</w:t>
            </w:r>
          </w:p>
        </w:tc>
      </w:tr>
      <w:tr w:rsidR="00DE72F0" w:rsidRPr="00C60629" w14:paraId="35E54784" w14:textId="77777777" w:rsidTr="007A21AC">
        <w:tc>
          <w:tcPr>
            <w:tcW w:w="5000" w:type="pct"/>
            <w:gridSpan w:val="2"/>
            <w:shd w:val="clear" w:color="auto" w:fill="auto"/>
          </w:tcPr>
          <w:p w14:paraId="5C8A04C1" w14:textId="77777777" w:rsidR="00DE72F0" w:rsidRPr="00C60629" w:rsidRDefault="00DE72F0" w:rsidP="007A21AC">
            <w:pPr>
              <w:tabs>
                <w:tab w:val="left" w:pos="284"/>
              </w:tabs>
              <w:spacing w:line="240" w:lineRule="auto"/>
              <w:rPr>
                <w:szCs w:val="22"/>
              </w:rPr>
            </w:pPr>
            <w:r w:rsidRPr="00C60629">
              <w:rPr>
                <w:b/>
                <w:szCs w:val="22"/>
                <w:lang w:eastAsia="en-AU"/>
              </w:rPr>
              <w:t>Key Strategic Area 4: Strategy and Investment</w:t>
            </w:r>
          </w:p>
        </w:tc>
      </w:tr>
      <w:tr w:rsidR="00DE72F0" w:rsidRPr="00C60629" w14:paraId="01FEB212" w14:textId="77777777" w:rsidTr="007A21AC">
        <w:tc>
          <w:tcPr>
            <w:tcW w:w="223" w:type="pct"/>
            <w:tcBorders>
              <w:right w:val="nil"/>
            </w:tcBorders>
            <w:shd w:val="clear" w:color="auto" w:fill="auto"/>
          </w:tcPr>
          <w:p w14:paraId="37F55FE8"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5B6D0FA9" w14:textId="77777777" w:rsidR="00DE72F0" w:rsidRPr="00C60629" w:rsidRDefault="00DE72F0" w:rsidP="007A21AC">
            <w:pPr>
              <w:tabs>
                <w:tab w:val="left" w:pos="284"/>
              </w:tabs>
              <w:spacing w:line="240" w:lineRule="auto"/>
              <w:ind w:left="1405" w:hanging="1405"/>
              <w:rPr>
                <w:szCs w:val="22"/>
              </w:rPr>
            </w:pPr>
            <w:r w:rsidRPr="00C60629">
              <w:rPr>
                <w:color w:val="000000"/>
                <w:szCs w:val="22"/>
                <w:lang w:eastAsia="en-AU"/>
              </w:rPr>
              <w:t>Strategy 4.1:</w:t>
            </w:r>
            <w:r w:rsidRPr="00C60629">
              <w:rPr>
                <w:color w:val="000000"/>
                <w:szCs w:val="22"/>
                <w:lang w:eastAsia="en-AU"/>
              </w:rPr>
              <w:tab/>
              <w:t>Establish sustainable financing mechanisms for eHealth in Samoa</w:t>
            </w:r>
          </w:p>
        </w:tc>
      </w:tr>
      <w:tr w:rsidR="00DE72F0" w:rsidRPr="00C60629" w14:paraId="3FBBE409" w14:textId="77777777" w:rsidTr="007A21AC">
        <w:tc>
          <w:tcPr>
            <w:tcW w:w="223" w:type="pct"/>
            <w:tcBorders>
              <w:right w:val="nil"/>
            </w:tcBorders>
            <w:shd w:val="clear" w:color="auto" w:fill="auto"/>
          </w:tcPr>
          <w:p w14:paraId="230210B1"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214719F7" w14:textId="77777777" w:rsidR="00DE72F0" w:rsidRPr="00C60629" w:rsidRDefault="00DE72F0" w:rsidP="007A21AC">
            <w:pPr>
              <w:tabs>
                <w:tab w:val="left" w:pos="284"/>
              </w:tabs>
              <w:spacing w:line="240" w:lineRule="auto"/>
              <w:ind w:left="1405" w:hanging="1405"/>
              <w:rPr>
                <w:szCs w:val="22"/>
              </w:rPr>
            </w:pPr>
            <w:r w:rsidRPr="00C60629">
              <w:rPr>
                <w:color w:val="000000"/>
                <w:szCs w:val="22"/>
                <w:lang w:eastAsia="en-AU"/>
              </w:rPr>
              <w:t>Strategy 4.2:</w:t>
            </w:r>
            <w:r w:rsidRPr="00C60629">
              <w:rPr>
                <w:color w:val="000000"/>
                <w:szCs w:val="22"/>
                <w:lang w:eastAsia="en-AU"/>
              </w:rPr>
              <w:tab/>
            </w:r>
            <w:r w:rsidRPr="00C60629">
              <w:rPr>
                <w:iCs/>
                <w:szCs w:val="22"/>
                <w:lang w:eastAsia="en-AU"/>
              </w:rPr>
              <w:t>Establish</w:t>
            </w:r>
            <w:r w:rsidRPr="00C60629">
              <w:rPr>
                <w:color w:val="000000"/>
                <w:szCs w:val="22"/>
                <w:lang w:eastAsia="en-AU"/>
              </w:rPr>
              <w:t xml:space="preserve"> a mechanism to identify and utilize eHealth innovations.</w:t>
            </w:r>
          </w:p>
        </w:tc>
      </w:tr>
      <w:tr w:rsidR="00DE72F0" w:rsidRPr="00C60629" w14:paraId="660D8CB7" w14:textId="77777777" w:rsidTr="007A21AC">
        <w:tc>
          <w:tcPr>
            <w:tcW w:w="5000" w:type="pct"/>
            <w:gridSpan w:val="2"/>
            <w:shd w:val="clear" w:color="auto" w:fill="auto"/>
          </w:tcPr>
          <w:p w14:paraId="2627F5CD" w14:textId="77777777" w:rsidR="00DE72F0" w:rsidRPr="00C60629" w:rsidRDefault="00DE72F0" w:rsidP="007A21AC">
            <w:pPr>
              <w:tabs>
                <w:tab w:val="left" w:pos="284"/>
              </w:tabs>
              <w:spacing w:line="240" w:lineRule="auto"/>
              <w:rPr>
                <w:color w:val="000000"/>
                <w:szCs w:val="22"/>
                <w:lang w:eastAsia="en-AU"/>
              </w:rPr>
            </w:pPr>
            <w:r w:rsidRPr="00C60629">
              <w:rPr>
                <w:b/>
                <w:szCs w:val="22"/>
                <w:lang w:eastAsia="en-AU"/>
              </w:rPr>
              <w:t>Key Strategic Area 5: Infrastructure</w:t>
            </w:r>
          </w:p>
        </w:tc>
      </w:tr>
      <w:tr w:rsidR="00DE72F0" w:rsidRPr="00C60629" w14:paraId="783C0A51" w14:textId="77777777" w:rsidTr="007A21AC">
        <w:tc>
          <w:tcPr>
            <w:tcW w:w="223" w:type="pct"/>
            <w:tcBorders>
              <w:right w:val="nil"/>
            </w:tcBorders>
            <w:shd w:val="clear" w:color="auto" w:fill="auto"/>
          </w:tcPr>
          <w:p w14:paraId="30DC411E"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0CBAE050" w14:textId="77777777" w:rsidR="00DE72F0" w:rsidRPr="00C60629" w:rsidRDefault="00DE72F0" w:rsidP="007A21AC">
            <w:pPr>
              <w:tabs>
                <w:tab w:val="left" w:pos="284"/>
              </w:tabs>
              <w:spacing w:line="240" w:lineRule="auto"/>
              <w:ind w:left="1405" w:hanging="1405"/>
              <w:rPr>
                <w:b/>
                <w:szCs w:val="22"/>
                <w:lang w:eastAsia="en-AU"/>
              </w:rPr>
            </w:pPr>
            <w:r w:rsidRPr="00C60629">
              <w:rPr>
                <w:color w:val="000000"/>
                <w:szCs w:val="22"/>
                <w:lang w:eastAsia="en-AU"/>
              </w:rPr>
              <w:t>Strategic 5.1:</w:t>
            </w:r>
            <w:r w:rsidRPr="00C60629">
              <w:rPr>
                <w:color w:val="000000"/>
                <w:szCs w:val="22"/>
                <w:lang w:eastAsia="en-AU"/>
              </w:rPr>
              <w:tab/>
            </w:r>
            <w:r w:rsidRPr="00C60629">
              <w:rPr>
                <w:iCs/>
                <w:szCs w:val="22"/>
                <w:lang w:eastAsia="en-AU"/>
              </w:rPr>
              <w:t>Hardware</w:t>
            </w:r>
            <w:r w:rsidRPr="00C60629">
              <w:rPr>
                <w:color w:val="000000"/>
                <w:szCs w:val="22"/>
                <w:lang w:eastAsia="en-AU"/>
              </w:rPr>
              <w:t xml:space="preserve"> and software management framework</w:t>
            </w:r>
          </w:p>
        </w:tc>
      </w:tr>
      <w:tr w:rsidR="00DE72F0" w:rsidRPr="00C60629" w14:paraId="5D551660" w14:textId="77777777" w:rsidTr="007A21AC">
        <w:tc>
          <w:tcPr>
            <w:tcW w:w="5000" w:type="pct"/>
            <w:gridSpan w:val="2"/>
            <w:shd w:val="clear" w:color="auto" w:fill="auto"/>
          </w:tcPr>
          <w:p w14:paraId="3264BA8A" w14:textId="77777777" w:rsidR="00DE72F0" w:rsidRPr="00C60629" w:rsidRDefault="00DE72F0" w:rsidP="007A21AC">
            <w:pPr>
              <w:tabs>
                <w:tab w:val="left" w:pos="284"/>
              </w:tabs>
              <w:spacing w:line="240" w:lineRule="auto"/>
              <w:rPr>
                <w:color w:val="000000"/>
                <w:szCs w:val="22"/>
                <w:lang w:eastAsia="en-AU"/>
              </w:rPr>
            </w:pPr>
            <w:r w:rsidRPr="00C60629">
              <w:rPr>
                <w:b/>
                <w:szCs w:val="22"/>
                <w:lang w:eastAsia="en-AU"/>
              </w:rPr>
              <w:lastRenderedPageBreak/>
              <w:t>Key Strategic Area 6: Services and Applications</w:t>
            </w:r>
          </w:p>
        </w:tc>
      </w:tr>
      <w:tr w:rsidR="00DE72F0" w:rsidRPr="00C60629" w14:paraId="1B0D3BBC" w14:textId="77777777" w:rsidTr="007A21AC">
        <w:tc>
          <w:tcPr>
            <w:tcW w:w="223" w:type="pct"/>
            <w:tcBorders>
              <w:right w:val="nil"/>
            </w:tcBorders>
            <w:shd w:val="clear" w:color="auto" w:fill="auto"/>
          </w:tcPr>
          <w:p w14:paraId="24483D57"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0265EBA1" w14:textId="77777777" w:rsidR="00DE72F0" w:rsidRPr="00C60629" w:rsidRDefault="00DE72F0" w:rsidP="007A21AC">
            <w:pPr>
              <w:tabs>
                <w:tab w:val="left" w:pos="284"/>
              </w:tabs>
              <w:spacing w:line="240" w:lineRule="auto"/>
              <w:ind w:left="1405" w:hanging="1405"/>
              <w:rPr>
                <w:b/>
                <w:szCs w:val="22"/>
                <w:lang w:eastAsia="en-AU"/>
              </w:rPr>
            </w:pPr>
            <w:r w:rsidRPr="00C60629">
              <w:rPr>
                <w:color w:val="000000"/>
                <w:szCs w:val="22"/>
                <w:lang w:eastAsia="en-AU"/>
              </w:rPr>
              <w:t>Strategy 6.1:</w:t>
            </w:r>
            <w:r w:rsidRPr="00C60629">
              <w:rPr>
                <w:color w:val="000000"/>
                <w:szCs w:val="22"/>
                <w:lang w:eastAsia="en-AU"/>
              </w:rPr>
              <w:tab/>
              <w:t xml:space="preserve">Develop and implement a Health Information System (HIS) that is linked </w:t>
            </w:r>
            <w:r w:rsidRPr="00C60629">
              <w:rPr>
                <w:iCs/>
                <w:szCs w:val="22"/>
                <w:lang w:eastAsia="en-AU"/>
              </w:rPr>
              <w:t>across</w:t>
            </w:r>
            <w:r w:rsidRPr="00C60629">
              <w:rPr>
                <w:color w:val="000000"/>
                <w:szCs w:val="22"/>
                <w:lang w:eastAsia="en-AU"/>
              </w:rPr>
              <w:t xml:space="preserve"> all health care facilities in Samoa.</w:t>
            </w:r>
          </w:p>
        </w:tc>
      </w:tr>
      <w:tr w:rsidR="00DE72F0" w:rsidRPr="00C60629" w14:paraId="48285272" w14:textId="77777777" w:rsidTr="007A21AC">
        <w:tc>
          <w:tcPr>
            <w:tcW w:w="223" w:type="pct"/>
            <w:tcBorders>
              <w:right w:val="nil"/>
            </w:tcBorders>
            <w:shd w:val="clear" w:color="auto" w:fill="auto"/>
          </w:tcPr>
          <w:p w14:paraId="65B95046" w14:textId="77777777" w:rsidR="00DE72F0" w:rsidRPr="00C60629" w:rsidRDefault="00DE72F0" w:rsidP="007A21AC">
            <w:pPr>
              <w:tabs>
                <w:tab w:val="left" w:pos="284"/>
              </w:tabs>
              <w:spacing w:line="240" w:lineRule="auto"/>
              <w:rPr>
                <w:rFonts w:eastAsia="MS Gothic"/>
                <w:iCs/>
                <w:color w:val="000000"/>
                <w:szCs w:val="22"/>
                <w:lang w:eastAsia="en-AU"/>
              </w:rPr>
            </w:pPr>
          </w:p>
        </w:tc>
        <w:tc>
          <w:tcPr>
            <w:tcW w:w="4777" w:type="pct"/>
            <w:tcBorders>
              <w:left w:val="nil"/>
            </w:tcBorders>
            <w:shd w:val="clear" w:color="auto" w:fill="auto"/>
            <w:vAlign w:val="center"/>
          </w:tcPr>
          <w:p w14:paraId="11496805" w14:textId="77777777" w:rsidR="00DE72F0" w:rsidRPr="00C60629" w:rsidRDefault="00DE72F0" w:rsidP="007A21AC">
            <w:pPr>
              <w:spacing w:line="240" w:lineRule="auto"/>
              <w:rPr>
                <w:rFonts w:eastAsia="MS Mincho"/>
                <w:szCs w:val="22"/>
              </w:rPr>
            </w:pPr>
            <w:r w:rsidRPr="00C60629">
              <w:rPr>
                <w:rFonts w:eastAsia="MS Mincho"/>
                <w:szCs w:val="22"/>
              </w:rPr>
              <w:t>Strategy 6.2:</w:t>
            </w:r>
            <w:r w:rsidRPr="00C60629">
              <w:rPr>
                <w:rFonts w:eastAsia="MS Mincho"/>
                <w:szCs w:val="22"/>
              </w:rPr>
              <w:tab/>
              <w:t>Establish mechanisms to access data and information</w:t>
            </w:r>
          </w:p>
        </w:tc>
      </w:tr>
      <w:tr w:rsidR="00DE72F0" w:rsidRPr="00C60629" w14:paraId="002449FB" w14:textId="77777777" w:rsidTr="007A21AC">
        <w:tc>
          <w:tcPr>
            <w:tcW w:w="5000" w:type="pct"/>
            <w:gridSpan w:val="2"/>
            <w:shd w:val="clear" w:color="auto" w:fill="auto"/>
          </w:tcPr>
          <w:p w14:paraId="4DEFB5F5" w14:textId="77777777" w:rsidR="00DE72F0" w:rsidRPr="00C60629" w:rsidRDefault="00DE72F0" w:rsidP="007A21AC">
            <w:pPr>
              <w:tabs>
                <w:tab w:val="left" w:pos="284"/>
              </w:tabs>
              <w:spacing w:line="240" w:lineRule="auto"/>
              <w:rPr>
                <w:color w:val="000000"/>
                <w:szCs w:val="22"/>
                <w:lang w:eastAsia="en-AU"/>
              </w:rPr>
            </w:pPr>
            <w:r w:rsidRPr="00C60629">
              <w:rPr>
                <w:b/>
                <w:szCs w:val="22"/>
                <w:lang w:eastAsia="en-AU"/>
              </w:rPr>
              <w:t>Key Strategic Area 7: Workforce and Community</w:t>
            </w:r>
          </w:p>
        </w:tc>
      </w:tr>
      <w:tr w:rsidR="00DE72F0" w:rsidRPr="00C60629" w14:paraId="718EBDE7" w14:textId="77777777" w:rsidTr="007A21AC">
        <w:tc>
          <w:tcPr>
            <w:tcW w:w="223" w:type="pct"/>
            <w:tcBorders>
              <w:right w:val="nil"/>
            </w:tcBorders>
            <w:shd w:val="clear" w:color="auto" w:fill="auto"/>
          </w:tcPr>
          <w:p w14:paraId="0B36CAB9"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500BD8F3" w14:textId="77777777" w:rsidR="00DE72F0" w:rsidRPr="00C60629" w:rsidRDefault="00DE72F0" w:rsidP="007A21AC">
            <w:pPr>
              <w:tabs>
                <w:tab w:val="left" w:pos="284"/>
              </w:tabs>
              <w:spacing w:line="240" w:lineRule="auto"/>
              <w:ind w:left="1405" w:hanging="1405"/>
              <w:rPr>
                <w:b/>
                <w:szCs w:val="22"/>
                <w:lang w:eastAsia="en-AU"/>
              </w:rPr>
            </w:pPr>
            <w:r w:rsidRPr="00C60629">
              <w:rPr>
                <w:color w:val="000000"/>
                <w:szCs w:val="22"/>
                <w:lang w:eastAsia="en-AU"/>
              </w:rPr>
              <w:t>Strategy 7.1:</w:t>
            </w:r>
            <w:r w:rsidRPr="00C60629">
              <w:rPr>
                <w:color w:val="000000"/>
                <w:szCs w:val="22"/>
                <w:lang w:eastAsia="en-AU"/>
              </w:rPr>
              <w:tab/>
              <w:t>Establish a workforce competency framework for the following areas to ensure adequate support and skilled utilization of eHealth outputs.</w:t>
            </w:r>
          </w:p>
        </w:tc>
      </w:tr>
      <w:tr w:rsidR="00DE72F0" w:rsidRPr="00C60629" w14:paraId="5B0BEB51" w14:textId="77777777" w:rsidTr="007A21AC">
        <w:tc>
          <w:tcPr>
            <w:tcW w:w="223" w:type="pct"/>
            <w:tcBorders>
              <w:right w:val="nil"/>
            </w:tcBorders>
            <w:shd w:val="clear" w:color="auto" w:fill="auto"/>
          </w:tcPr>
          <w:p w14:paraId="0C183D75" w14:textId="77777777" w:rsidR="00DE72F0" w:rsidRPr="00C60629" w:rsidRDefault="00DE72F0" w:rsidP="007A21AC">
            <w:pPr>
              <w:tabs>
                <w:tab w:val="left" w:pos="284"/>
              </w:tabs>
              <w:spacing w:line="240" w:lineRule="auto"/>
              <w:rPr>
                <w:color w:val="000000"/>
                <w:szCs w:val="22"/>
                <w:lang w:eastAsia="en-AU"/>
              </w:rPr>
            </w:pPr>
          </w:p>
        </w:tc>
        <w:tc>
          <w:tcPr>
            <w:tcW w:w="4777" w:type="pct"/>
            <w:tcBorders>
              <w:left w:val="nil"/>
            </w:tcBorders>
            <w:shd w:val="clear" w:color="auto" w:fill="auto"/>
            <w:vAlign w:val="center"/>
          </w:tcPr>
          <w:p w14:paraId="18FA729F" w14:textId="77777777" w:rsidR="00DE72F0" w:rsidRPr="00C60629" w:rsidRDefault="00DE72F0" w:rsidP="007A21AC">
            <w:pPr>
              <w:tabs>
                <w:tab w:val="left" w:pos="284"/>
              </w:tabs>
              <w:spacing w:line="240" w:lineRule="auto"/>
              <w:ind w:left="1405" w:hanging="1405"/>
              <w:rPr>
                <w:color w:val="000000"/>
                <w:szCs w:val="22"/>
                <w:lang w:eastAsia="en-AU"/>
              </w:rPr>
            </w:pPr>
            <w:r w:rsidRPr="00C60629">
              <w:rPr>
                <w:color w:val="000000"/>
                <w:szCs w:val="22"/>
                <w:lang w:eastAsia="en-AU"/>
              </w:rPr>
              <w:t>Strategy 7.2:</w:t>
            </w:r>
            <w:r w:rsidRPr="00C60629">
              <w:rPr>
                <w:color w:val="000000"/>
                <w:szCs w:val="22"/>
                <w:lang w:eastAsia="en-AU"/>
              </w:rPr>
              <w:tab/>
            </w:r>
            <w:r w:rsidRPr="00C60629">
              <w:rPr>
                <w:iCs/>
                <w:szCs w:val="22"/>
                <w:lang w:eastAsia="en-AU"/>
              </w:rPr>
              <w:t>eHealth</w:t>
            </w:r>
            <w:r w:rsidRPr="00C60629">
              <w:rPr>
                <w:color w:val="000000"/>
                <w:szCs w:val="22"/>
                <w:lang w:eastAsia="en-AU"/>
              </w:rPr>
              <w:t xml:space="preserve"> promotion and use </w:t>
            </w:r>
          </w:p>
        </w:tc>
      </w:tr>
    </w:tbl>
    <w:p w14:paraId="734F6D0C" w14:textId="77777777" w:rsidR="00DE72F0" w:rsidRPr="005B0677" w:rsidRDefault="00DE72F0" w:rsidP="00DE72F0">
      <w:pPr>
        <w:rPr>
          <w:rFonts w:eastAsia="MS Mincho"/>
        </w:rPr>
      </w:pPr>
      <w:r>
        <w:rPr>
          <w:rFonts w:eastAsia="MS Mincho"/>
        </w:rPr>
        <w:t>Alongside t</w:t>
      </w:r>
      <w:r w:rsidRPr="005B0677">
        <w:rPr>
          <w:rFonts w:eastAsia="MS Mincho"/>
        </w:rPr>
        <w:t xml:space="preserve">he </w:t>
      </w:r>
      <w:r w:rsidRPr="005B0677">
        <w:rPr>
          <w:rFonts w:eastAsia="MS Mincho"/>
          <w:i/>
        </w:rPr>
        <w:t>Samoa eHealth Policy &amp; Strategy 2016 – 2021</w:t>
      </w:r>
      <w:r w:rsidRPr="005B0677">
        <w:rPr>
          <w:rFonts w:eastAsia="MS Mincho"/>
        </w:rPr>
        <w:t xml:space="preserve"> </w:t>
      </w:r>
      <w:r>
        <w:rPr>
          <w:rFonts w:eastAsia="MS Mincho"/>
        </w:rPr>
        <w:t>other work has been undertaken to detail</w:t>
      </w:r>
      <w:r w:rsidRPr="005B0677">
        <w:rPr>
          <w:rFonts w:eastAsia="MS Mincho"/>
        </w:rPr>
        <w:t xml:space="preserve"> </w:t>
      </w:r>
      <w:r>
        <w:rPr>
          <w:rFonts w:eastAsia="MS Mincho"/>
        </w:rPr>
        <w:t xml:space="preserve">issues such as </w:t>
      </w:r>
      <w:r w:rsidRPr="005B0677">
        <w:rPr>
          <w:rFonts w:eastAsia="MS Mincho"/>
        </w:rPr>
        <w:t xml:space="preserve">the </w:t>
      </w:r>
      <w:r>
        <w:rPr>
          <w:rFonts w:eastAsia="MS Mincho"/>
        </w:rPr>
        <w:t xml:space="preserve">uses to which health information will be put, the </w:t>
      </w:r>
      <w:r w:rsidRPr="005B0677">
        <w:rPr>
          <w:rFonts w:eastAsia="MS Mincho"/>
        </w:rPr>
        <w:t xml:space="preserve">overall architecture for e-health </w:t>
      </w:r>
      <w:r>
        <w:rPr>
          <w:rFonts w:eastAsia="MS Mincho"/>
        </w:rPr>
        <w:t>and</w:t>
      </w:r>
      <w:r w:rsidRPr="005B0677">
        <w:rPr>
          <w:rFonts w:eastAsia="MS Mincho"/>
        </w:rPr>
        <w:t xml:space="preserve"> the specific systems </w:t>
      </w:r>
      <w:proofErr w:type="spellStart"/>
      <w:r w:rsidRPr="005B0677">
        <w:rPr>
          <w:rFonts w:eastAsia="MS Mincho"/>
        </w:rPr>
        <w:t>etc</w:t>
      </w:r>
      <w:proofErr w:type="spellEnd"/>
      <w:r w:rsidRPr="005B0677">
        <w:rPr>
          <w:rFonts w:eastAsia="MS Mincho"/>
        </w:rPr>
        <w:t xml:space="preserve"> that will be required to meet information needs. </w:t>
      </w:r>
    </w:p>
    <w:p w14:paraId="49175168" w14:textId="77777777" w:rsidR="00DE72F0" w:rsidRPr="005B0677" w:rsidRDefault="00DE72F0" w:rsidP="00DE72F0">
      <w:pPr>
        <w:rPr>
          <w:rFonts w:eastAsia="MS Mincho"/>
        </w:rPr>
      </w:pPr>
      <w:r w:rsidRPr="005B0677">
        <w:rPr>
          <w:rFonts w:eastAsia="MS Mincho"/>
        </w:rPr>
        <w:t>A report produced in June 2013 (</w:t>
      </w:r>
      <w:proofErr w:type="spellStart"/>
      <w:r w:rsidRPr="005B0677">
        <w:rPr>
          <w:rFonts w:eastAsia="MS Mincho"/>
        </w:rPr>
        <w:t>Spohr</w:t>
      </w:r>
      <w:proofErr w:type="spellEnd"/>
      <w:r w:rsidRPr="005B0677">
        <w:rPr>
          <w:rFonts w:eastAsia="MS Mincho"/>
        </w:rPr>
        <w:t xml:space="preserve"> 2013) proposed that current, largely paper-based information and records systems </w:t>
      </w:r>
      <w:r>
        <w:rPr>
          <w:rFonts w:eastAsia="MS Mincho"/>
        </w:rPr>
        <w:t>sh</w:t>
      </w:r>
      <w:r w:rsidRPr="005B0677">
        <w:rPr>
          <w:rFonts w:eastAsia="MS Mincho"/>
        </w:rPr>
        <w:t>ould be updated using ‘a modular, “best of breed” approach’ with individual, interoperable system components being linked via a central ‘interface engine’ as they came on-line.</w:t>
      </w:r>
    </w:p>
    <w:p w14:paraId="1E9AD9C6" w14:textId="77777777" w:rsidR="00DE72F0" w:rsidRDefault="00DE72F0" w:rsidP="00DE72F0">
      <w:pPr>
        <w:rPr>
          <w:color w:val="000000"/>
        </w:rPr>
      </w:pPr>
      <w:r w:rsidRPr="005B0677">
        <w:rPr>
          <w:rFonts w:eastAsia="MS Mincho"/>
        </w:rPr>
        <w:t xml:space="preserve">More recently, a paper prepared by WHO </w:t>
      </w:r>
      <w:r w:rsidRPr="005B0677">
        <w:rPr>
          <w:color w:val="000000"/>
        </w:rPr>
        <w:t>(World Health Organization, Samoa Country Office n.d.)</w:t>
      </w:r>
      <w:r w:rsidRPr="005B0677">
        <w:rPr>
          <w:rFonts w:eastAsia="MS Mincho"/>
        </w:rPr>
        <w:t xml:space="preserve"> recommends that Samoa adopt “</w:t>
      </w:r>
      <w:r w:rsidRPr="005B0677">
        <w:rPr>
          <w:color w:val="000000"/>
        </w:rPr>
        <w:t xml:space="preserve">a combination of acquisition of existing software solutions and custom-development” to integrate with existing applications. </w:t>
      </w:r>
    </w:p>
    <w:p w14:paraId="35A15659" w14:textId="5643D6F7" w:rsidR="00DE72F0" w:rsidRPr="005B0677" w:rsidRDefault="00DE72F0" w:rsidP="00DE72F0">
      <w:r w:rsidRPr="005B0677">
        <w:t>A possible alternative approach, relying on existing open source software solutions, has also been identified  but concerns have been raised regarding a perceived lack of local technical expertise and current reliance on Windows-based systems in both M</w:t>
      </w:r>
      <w:r w:rsidR="009831FF">
        <w:t>O</w:t>
      </w:r>
      <w:r w:rsidRPr="005B0677">
        <w:t xml:space="preserve">H and NHS </w:t>
      </w:r>
      <w:sdt>
        <w:sdtPr>
          <w:id w:val="-1040520946"/>
          <w:citation/>
        </w:sdtPr>
        <w:sdtEndPr/>
        <w:sdtContent>
          <w:r w:rsidRPr="005B7B0A">
            <w:fldChar w:fldCharType="begin"/>
          </w:r>
          <w:r w:rsidRPr="005B0677">
            <w:instrText xml:space="preserve"> CITATION Fes15 \l 3081 </w:instrText>
          </w:r>
          <w:r w:rsidRPr="005B7B0A">
            <w:fldChar w:fldCharType="separate"/>
          </w:r>
          <w:r w:rsidRPr="005B0677">
            <w:t>(Festin 2015)</w:t>
          </w:r>
          <w:r w:rsidRPr="005B7B0A">
            <w:fldChar w:fldCharType="end"/>
          </w:r>
        </w:sdtContent>
      </w:sdt>
      <w:r w:rsidRPr="005B0677">
        <w:t xml:space="preserve">. </w:t>
      </w:r>
    </w:p>
    <w:p w14:paraId="097A70DF" w14:textId="77777777" w:rsidR="00DE72F0" w:rsidRPr="005B0677" w:rsidRDefault="00DE72F0" w:rsidP="00DE72F0">
      <w:proofErr w:type="gramStart"/>
      <w:r w:rsidRPr="005B0677">
        <w:t>A number of</w:t>
      </w:r>
      <w:proofErr w:type="gramEnd"/>
      <w:r w:rsidRPr="005B0677">
        <w:t xml:space="preserve"> </w:t>
      </w:r>
      <w:r>
        <w:t xml:space="preserve">technological </w:t>
      </w:r>
      <w:r w:rsidRPr="005B0677">
        <w:t xml:space="preserve">solutions have </w:t>
      </w:r>
      <w:r>
        <w:t xml:space="preserve">previously </w:t>
      </w:r>
      <w:r w:rsidRPr="005B0677">
        <w:t xml:space="preserve">been proposed to meet Samoa’s HIS needs. </w:t>
      </w:r>
    </w:p>
    <w:p w14:paraId="3948DB00" w14:textId="77777777" w:rsidR="00DE72F0" w:rsidRDefault="00DE72F0" w:rsidP="00DE72F0">
      <w:r w:rsidRPr="005B0677">
        <w:t xml:space="preserve">Specific proposals </w:t>
      </w:r>
      <w:r>
        <w:t>were</w:t>
      </w:r>
      <w:r w:rsidRPr="005B0677">
        <w:t xml:space="preserve"> submitted by three vendors in 2014-2015: Huawei, MedTech</w:t>
      </w:r>
      <w:r w:rsidRPr="005B0677">
        <w:rPr>
          <w:rStyle w:val="FootnoteReference"/>
        </w:rPr>
        <w:footnoteReference w:id="4"/>
      </w:r>
      <w:r w:rsidRPr="005B0677">
        <w:t xml:space="preserve"> and </w:t>
      </w:r>
      <w:proofErr w:type="spellStart"/>
      <w:r w:rsidRPr="005B0677">
        <w:t>MedSphere</w:t>
      </w:r>
      <w:proofErr w:type="spellEnd"/>
      <w:r w:rsidRPr="005B0677">
        <w:rPr>
          <w:rStyle w:val="FootnoteReference"/>
        </w:rPr>
        <w:footnoteReference w:id="5"/>
      </w:r>
      <w:r w:rsidRPr="005B0677">
        <w:t>. Those proposals have not been reviewed in preparing this document but all three reportedly reflect the ‘buy-and-</w:t>
      </w:r>
      <w:proofErr w:type="spellStart"/>
      <w:r w:rsidRPr="005B0677">
        <w:t>customise</w:t>
      </w:r>
      <w:proofErr w:type="spellEnd"/>
      <w:r w:rsidRPr="005B0677">
        <w:t xml:space="preserve">’ approach and encompass health services, laboratory, </w:t>
      </w:r>
      <w:proofErr w:type="gramStart"/>
      <w:r w:rsidRPr="005B0677">
        <w:t>radiology</w:t>
      </w:r>
      <w:proofErr w:type="gramEnd"/>
      <w:r w:rsidRPr="005B0677">
        <w:t xml:space="preserve"> and pharmacy together with ‘some’ finance functionality. None is described as covering human resources. </w:t>
      </w:r>
    </w:p>
    <w:p w14:paraId="3B066D7C" w14:textId="77777777" w:rsidR="00DE72F0" w:rsidRPr="005B0677" w:rsidRDefault="00DE72F0" w:rsidP="00DE72F0">
      <w:r w:rsidRPr="005B0677">
        <w:t>A fourth potential vendor, Populus Global, has also been identified but no further details of their offering(s) are available.</w:t>
      </w:r>
    </w:p>
    <w:p w14:paraId="00A309C3" w14:textId="77777777" w:rsidR="00DE72F0" w:rsidRPr="005B0677" w:rsidRDefault="00DE72F0" w:rsidP="00DE72F0">
      <w:r w:rsidRPr="005B0677">
        <w:t xml:space="preserve">Other suggested solutions </w:t>
      </w:r>
      <w:proofErr w:type="gramStart"/>
      <w:r w:rsidRPr="005B0677">
        <w:t>are:-</w:t>
      </w:r>
      <w:proofErr w:type="gramEnd"/>
    </w:p>
    <w:p w14:paraId="09BA3DE8" w14:textId="77777777" w:rsidR="00DE72F0" w:rsidRPr="00662F77" w:rsidRDefault="00DE72F0" w:rsidP="00662F77">
      <w:pPr>
        <w:pStyle w:val="Bullet1-Long"/>
        <w:rPr>
          <w:lang w:val="en-US"/>
        </w:rPr>
      </w:pPr>
      <w:r w:rsidRPr="00662F77">
        <w:rPr>
          <w:lang w:val="en-US"/>
        </w:rPr>
        <w:t xml:space="preserve">District Health Information System 2 (DHIS2) – an open source integrated health information management system widely used in Africa and in some Pacific countries, developed under the auspices of the Health Information Systems </w:t>
      </w:r>
      <w:proofErr w:type="spellStart"/>
      <w:r w:rsidRPr="00662F77">
        <w:rPr>
          <w:lang w:val="en-US"/>
        </w:rPr>
        <w:t>Programme</w:t>
      </w:r>
      <w:proofErr w:type="spellEnd"/>
      <w:r w:rsidRPr="00662F77">
        <w:rPr>
          <w:lang w:val="en-US"/>
        </w:rPr>
        <w:t xml:space="preserve"> at the University of Oslo’s Department of Informatics</w:t>
      </w:r>
      <w:r w:rsidRPr="00662F77">
        <w:rPr>
          <w:lang w:val="en-US"/>
        </w:rPr>
        <w:footnoteReference w:id="6"/>
      </w:r>
      <w:r w:rsidRPr="00662F77">
        <w:rPr>
          <w:lang w:val="en-US"/>
        </w:rPr>
        <w:t>;</w:t>
      </w:r>
    </w:p>
    <w:p w14:paraId="48E5AC5F" w14:textId="77777777" w:rsidR="00DE72F0" w:rsidRPr="00662F77" w:rsidRDefault="00DE72F0" w:rsidP="00662F77">
      <w:pPr>
        <w:pStyle w:val="Bullet1-Long"/>
        <w:rPr>
          <w:lang w:val="en-US"/>
        </w:rPr>
      </w:pPr>
      <w:r w:rsidRPr="00662F77">
        <w:rPr>
          <w:lang w:val="en-US"/>
        </w:rPr>
        <w:t xml:space="preserve">‘in-sourcing’ HIS from Counties Manukau District Health Board (CMDHB) in New Zealand – CMDHB has developed close ties with Samoa’s NHS via an institutional linkage </w:t>
      </w:r>
      <w:proofErr w:type="spellStart"/>
      <w:r w:rsidRPr="00662F77">
        <w:rPr>
          <w:lang w:val="en-US"/>
        </w:rPr>
        <w:t>programme</w:t>
      </w:r>
      <w:proofErr w:type="spellEnd"/>
      <w:r w:rsidRPr="00662F77">
        <w:rPr>
          <w:lang w:val="en-US"/>
        </w:rPr>
        <w:t xml:space="preserve"> </w:t>
      </w:r>
      <w:r w:rsidRPr="00662F77">
        <w:rPr>
          <w:lang w:val="en-US"/>
        </w:rPr>
        <w:lastRenderedPageBreak/>
        <w:t xml:space="preserve">and it has been suggested that NHS facilities could be treated conceptually as remote service providers within CMDHB and thus adopt CMDHB systems (with appropriate firewalls </w:t>
      </w:r>
      <w:proofErr w:type="spellStart"/>
      <w:r w:rsidRPr="00662F77">
        <w:rPr>
          <w:lang w:val="en-US"/>
        </w:rPr>
        <w:t>etc</w:t>
      </w:r>
      <w:proofErr w:type="spellEnd"/>
      <w:r w:rsidRPr="00662F77">
        <w:rPr>
          <w:lang w:val="en-US"/>
        </w:rPr>
        <w:t>);</w:t>
      </w:r>
    </w:p>
    <w:p w14:paraId="2E129B9B" w14:textId="77777777" w:rsidR="00DE72F0" w:rsidRPr="00662F77" w:rsidRDefault="00DE72F0" w:rsidP="00662F77">
      <w:pPr>
        <w:pStyle w:val="Bullet1-Long"/>
        <w:rPr>
          <w:lang w:val="en-US"/>
        </w:rPr>
      </w:pPr>
      <w:r w:rsidRPr="00662F77">
        <w:rPr>
          <w:lang w:val="en-US"/>
        </w:rPr>
        <w:t xml:space="preserve">Upgrading and linking current systems (PATIS, LOTS, laboratory, X-ray and/or public health). </w:t>
      </w:r>
    </w:p>
    <w:p w14:paraId="1AE8586F" w14:textId="77777777" w:rsidR="00DE72F0" w:rsidRPr="005B0677" w:rsidRDefault="00DE72F0" w:rsidP="00DE72F0">
      <w:r w:rsidRPr="005B0677">
        <w:t>It is also acknowledged that there may be other technological solutions or broader approaches which are more suitable in meeting Samoa’s HIS needs.</w:t>
      </w:r>
    </w:p>
    <w:p w14:paraId="2B9D3698" w14:textId="77777777" w:rsidR="00FE2D0D" w:rsidRDefault="00DE72F0" w:rsidP="00DE72F0">
      <w:r w:rsidRPr="005B0677">
        <w:t>None of the proposals or other potential solutions referred to above has been subject to formal review by or on behalf of DFAT</w:t>
      </w:r>
      <w:r>
        <w:t xml:space="preserve"> and t</w:t>
      </w:r>
      <w:r w:rsidRPr="005B0677">
        <w:rPr>
          <w:color w:val="000000"/>
        </w:rPr>
        <w:t xml:space="preserve">he risks of adopting </w:t>
      </w:r>
      <w:r w:rsidRPr="004E4212">
        <w:rPr>
          <w:color w:val="000000"/>
        </w:rPr>
        <w:t xml:space="preserve">a </w:t>
      </w:r>
      <w:r>
        <w:rPr>
          <w:color w:val="000000"/>
        </w:rPr>
        <w:t xml:space="preserve">solution that is driven primarily by available </w:t>
      </w:r>
      <w:r w:rsidRPr="004E4212">
        <w:rPr>
          <w:color w:val="000000"/>
        </w:rPr>
        <w:t xml:space="preserve">technology </w:t>
      </w:r>
      <w:r>
        <w:rPr>
          <w:color w:val="000000"/>
        </w:rPr>
        <w:t>(supply-side factors) rather than a considered analysis of needs and how best they might be met (demand-side)</w:t>
      </w:r>
      <w:r w:rsidR="00FE2D0D">
        <w:rPr>
          <w:color w:val="000000"/>
        </w:rPr>
        <w:t xml:space="preserve"> </w:t>
      </w:r>
      <w:r w:rsidR="00FE2D0D" w:rsidRPr="005B0677">
        <w:rPr>
          <w:color w:val="000000"/>
        </w:rPr>
        <w:t>have been highlighted</w:t>
      </w:r>
      <w:r>
        <w:rPr>
          <w:color w:val="000000"/>
        </w:rPr>
        <w:t>.</w:t>
      </w:r>
      <w:r w:rsidRPr="00566D8F">
        <w:t xml:space="preserve"> </w:t>
      </w:r>
    </w:p>
    <w:p w14:paraId="5E956CF8" w14:textId="525137A6" w:rsidR="00DE72F0" w:rsidRDefault="00DE72F0" w:rsidP="00DE72F0">
      <w:pPr>
        <w:rPr>
          <w:color w:val="000000"/>
        </w:rPr>
      </w:pPr>
      <w:r>
        <w:rPr>
          <w:color w:val="000000"/>
        </w:rPr>
        <w:t>T</w:t>
      </w:r>
      <w:r w:rsidRPr="00566D8F">
        <w:rPr>
          <w:color w:val="000000"/>
        </w:rPr>
        <w:t xml:space="preserve">he focus will be on identifying different </w:t>
      </w:r>
      <w:r>
        <w:rPr>
          <w:color w:val="000000"/>
        </w:rPr>
        <w:t>solutions to Samoa’s Health</w:t>
      </w:r>
      <w:r w:rsidRPr="00566D8F">
        <w:rPr>
          <w:color w:val="000000"/>
        </w:rPr>
        <w:t xml:space="preserve"> needs (including but not limited to options considered so far), assessing these soluti</w:t>
      </w:r>
      <w:r w:rsidR="00484401">
        <w:rPr>
          <w:color w:val="000000"/>
        </w:rPr>
        <w:t xml:space="preserve">ons and making </w:t>
      </w:r>
      <w:r w:rsidRPr="00566D8F">
        <w:rPr>
          <w:color w:val="000000"/>
        </w:rPr>
        <w:t>recommendation</w:t>
      </w:r>
      <w:r w:rsidR="00484401">
        <w:rPr>
          <w:color w:val="000000"/>
        </w:rPr>
        <w:t>s</w:t>
      </w:r>
      <w:r w:rsidRPr="00566D8F">
        <w:rPr>
          <w:color w:val="000000"/>
        </w:rPr>
        <w:t>. This will require some ass</w:t>
      </w:r>
      <w:r>
        <w:rPr>
          <w:color w:val="000000"/>
        </w:rPr>
        <w:t>essment of Samoa’s HIS needs and that</w:t>
      </w:r>
      <w:r w:rsidRPr="00566D8F">
        <w:rPr>
          <w:color w:val="000000"/>
        </w:rPr>
        <w:t xml:space="preserve"> this part of the assignment will be based on existing reviews and reports.</w:t>
      </w:r>
    </w:p>
    <w:p w14:paraId="25824D59" w14:textId="77777777" w:rsidR="00DE72F0" w:rsidRPr="005B0677" w:rsidRDefault="00DE72F0" w:rsidP="00DE72F0">
      <w:pPr>
        <w:pStyle w:val="3rdLevelNumberedTitle"/>
      </w:pPr>
      <w:r>
        <w:t>Development of a health information system for Samoa</w:t>
      </w:r>
    </w:p>
    <w:p w14:paraId="12DE0E5A" w14:textId="47D1777C" w:rsidR="00DE72F0" w:rsidRPr="005B0677" w:rsidRDefault="00DE72F0" w:rsidP="00DE72F0">
      <w:pPr>
        <w:rPr>
          <w:rFonts w:eastAsia="MS Mincho"/>
        </w:rPr>
      </w:pPr>
      <w:r w:rsidRPr="005B0677">
        <w:rPr>
          <w:color w:val="000000"/>
        </w:rPr>
        <w:t xml:space="preserve">In 2015 the Asian Development Bank (ADB) approved </w:t>
      </w:r>
      <w:proofErr w:type="gramStart"/>
      <w:r>
        <w:rPr>
          <w:color w:val="000000"/>
        </w:rPr>
        <w:t xml:space="preserve">the </w:t>
      </w:r>
      <w:r w:rsidRPr="005B0677">
        <w:rPr>
          <w:color w:val="000000"/>
        </w:rPr>
        <w:t xml:space="preserve"> Samoa</w:t>
      </w:r>
      <w:proofErr w:type="gramEnd"/>
      <w:r w:rsidRPr="005B0677">
        <w:rPr>
          <w:color w:val="000000"/>
        </w:rPr>
        <w:t xml:space="preserve"> Submarine Cable Project (Asian Development Bank 2015)</w:t>
      </w:r>
      <w:r>
        <w:rPr>
          <w:color w:val="000000"/>
        </w:rPr>
        <w:t xml:space="preserve"> through a grant of </w:t>
      </w:r>
      <w:r w:rsidR="00FE2D0D">
        <w:rPr>
          <w:color w:val="000000"/>
        </w:rPr>
        <w:t>US</w:t>
      </w:r>
      <w:r>
        <w:rPr>
          <w:color w:val="000000"/>
        </w:rPr>
        <w:t xml:space="preserve">$25 million, with additional </w:t>
      </w:r>
      <w:proofErr w:type="spellStart"/>
      <w:r>
        <w:rPr>
          <w:color w:val="000000"/>
        </w:rPr>
        <w:t>cofinancing</w:t>
      </w:r>
      <w:proofErr w:type="spellEnd"/>
      <w:r>
        <w:rPr>
          <w:color w:val="000000"/>
        </w:rPr>
        <w:t xml:space="preserve"> from the Australian Government (</w:t>
      </w:r>
      <w:r w:rsidR="00FE2D0D">
        <w:rPr>
          <w:color w:val="000000"/>
        </w:rPr>
        <w:t>US</w:t>
      </w:r>
      <w:r>
        <w:rPr>
          <w:color w:val="000000"/>
        </w:rPr>
        <w:t>$1.5 million) and the World Bank (</w:t>
      </w:r>
      <w:r w:rsidR="00FE2D0D">
        <w:rPr>
          <w:color w:val="000000"/>
        </w:rPr>
        <w:t>US</w:t>
      </w:r>
      <w:r>
        <w:rPr>
          <w:color w:val="000000"/>
        </w:rPr>
        <w:t>$16 million)</w:t>
      </w:r>
      <w:r w:rsidRPr="005B0677">
        <w:rPr>
          <w:color w:val="000000"/>
        </w:rPr>
        <w:t xml:space="preserve">. </w:t>
      </w:r>
      <w:r>
        <w:rPr>
          <w:color w:val="000000"/>
        </w:rPr>
        <w:t>Under the project, o</w:t>
      </w:r>
      <w:r w:rsidRPr="005B0677">
        <w:rPr>
          <w:color w:val="000000"/>
        </w:rPr>
        <w:t xml:space="preserve">ne output </w:t>
      </w:r>
      <w:r>
        <w:rPr>
          <w:color w:val="000000"/>
        </w:rPr>
        <w:t>(funded by the ADB grant)</w:t>
      </w:r>
      <w:r w:rsidRPr="005B0677">
        <w:rPr>
          <w:color w:val="000000"/>
        </w:rPr>
        <w:t xml:space="preserve"> is </w:t>
      </w:r>
      <w:r>
        <w:rPr>
          <w:color w:val="000000"/>
        </w:rPr>
        <w:t xml:space="preserve">to </w:t>
      </w:r>
      <w:r w:rsidRPr="005B0677">
        <w:rPr>
          <w:color w:val="000000"/>
        </w:rPr>
        <w:t xml:space="preserve">support </w:t>
      </w:r>
      <w:r>
        <w:rPr>
          <w:color w:val="000000"/>
        </w:rPr>
        <w:t xml:space="preserve">investments in a </w:t>
      </w:r>
      <w:proofErr w:type="gramStart"/>
      <w:r>
        <w:rPr>
          <w:color w:val="000000"/>
        </w:rPr>
        <w:t xml:space="preserve">digital </w:t>
      </w:r>
      <w:r w:rsidRPr="005B0677">
        <w:rPr>
          <w:color w:val="000000"/>
        </w:rPr>
        <w:t xml:space="preserve"> health</w:t>
      </w:r>
      <w:proofErr w:type="gramEnd"/>
      <w:r w:rsidRPr="005B0677">
        <w:rPr>
          <w:color w:val="000000"/>
        </w:rPr>
        <w:t xml:space="preserve"> information system </w:t>
      </w:r>
      <w:r w:rsidRPr="005B0677">
        <w:rPr>
          <w:rFonts w:eastAsia="MS Mincho"/>
        </w:rPr>
        <w:t>including hardware, software, installation costs, testing and training</w:t>
      </w:r>
      <w:r>
        <w:rPr>
          <w:rFonts w:eastAsia="MS Mincho"/>
        </w:rPr>
        <w:t xml:space="preserve"> (for </w:t>
      </w:r>
      <w:r w:rsidR="00FE2D0D">
        <w:rPr>
          <w:rFonts w:eastAsia="MS Mincho"/>
        </w:rPr>
        <w:t>US</w:t>
      </w:r>
      <w:r>
        <w:rPr>
          <w:rFonts w:eastAsia="MS Mincho"/>
        </w:rPr>
        <w:t>$6.5 million)</w:t>
      </w:r>
      <w:r w:rsidRPr="005B0677">
        <w:rPr>
          <w:rFonts w:eastAsia="MS Mincho"/>
        </w:rPr>
        <w:t xml:space="preserve">. </w:t>
      </w:r>
    </w:p>
    <w:p w14:paraId="6BD93CF4" w14:textId="77777777" w:rsidR="00DE72F0" w:rsidRPr="005B0677" w:rsidRDefault="00DE72F0" w:rsidP="00DE72F0">
      <w:pPr>
        <w:spacing w:after="0"/>
        <w:rPr>
          <w:rFonts w:eastAsia="MS Mincho"/>
        </w:rPr>
      </w:pPr>
      <w:r w:rsidRPr="005B0677">
        <w:rPr>
          <w:rFonts w:eastAsia="MS Mincho"/>
        </w:rPr>
        <w:t xml:space="preserve">Specific activities to be covered </w:t>
      </w:r>
      <w:r>
        <w:rPr>
          <w:rFonts w:eastAsia="MS Mincho"/>
        </w:rPr>
        <w:t xml:space="preserve">under the </w:t>
      </w:r>
      <w:proofErr w:type="gramStart"/>
      <w:r>
        <w:rPr>
          <w:rFonts w:eastAsia="MS Mincho"/>
        </w:rPr>
        <w:t xml:space="preserve">output </w:t>
      </w:r>
      <w:r w:rsidRPr="005B0677">
        <w:rPr>
          <w:rFonts w:eastAsia="MS Mincho"/>
        </w:rPr>
        <w:t xml:space="preserve"> are</w:t>
      </w:r>
      <w:proofErr w:type="gramEnd"/>
      <w:r w:rsidRPr="005B0677">
        <w:rPr>
          <w:rFonts w:eastAsia="MS Mincho"/>
        </w:rPr>
        <w:t>:-</w:t>
      </w:r>
    </w:p>
    <w:p w14:paraId="08044791" w14:textId="77777777" w:rsidR="00DE72F0" w:rsidRPr="00662F77" w:rsidRDefault="00DE72F0" w:rsidP="00662F77">
      <w:pPr>
        <w:pStyle w:val="Bullet1-Long"/>
        <w:rPr>
          <w:lang w:val="en-US"/>
        </w:rPr>
      </w:pPr>
      <w:r w:rsidRPr="00662F77">
        <w:rPr>
          <w:lang w:val="en-US"/>
        </w:rPr>
        <w:t xml:space="preserve">validating the needs of the health sector and clearly defining the requirements for the </w:t>
      </w:r>
      <w:proofErr w:type="gramStart"/>
      <w:r w:rsidRPr="00662F77">
        <w:rPr>
          <w:lang w:val="en-US"/>
        </w:rPr>
        <w:t>system;</w:t>
      </w:r>
      <w:proofErr w:type="gramEnd"/>
    </w:p>
    <w:p w14:paraId="273A40F2" w14:textId="77777777" w:rsidR="00DE72F0" w:rsidRPr="00662F77" w:rsidRDefault="00DE72F0" w:rsidP="00662F77">
      <w:pPr>
        <w:pStyle w:val="Bullet1-Long"/>
        <w:rPr>
          <w:lang w:val="en-US"/>
        </w:rPr>
      </w:pPr>
      <w:r w:rsidRPr="00662F77">
        <w:rPr>
          <w:lang w:val="en-US"/>
        </w:rPr>
        <w:t xml:space="preserve">conducting technical and financial due </w:t>
      </w:r>
      <w:proofErr w:type="gramStart"/>
      <w:r w:rsidRPr="00662F77">
        <w:rPr>
          <w:lang w:val="en-US"/>
        </w:rPr>
        <w:t>diligence;</w:t>
      </w:r>
      <w:proofErr w:type="gramEnd"/>
    </w:p>
    <w:p w14:paraId="00DA5165" w14:textId="77777777" w:rsidR="00DE72F0" w:rsidRPr="00662F77" w:rsidRDefault="00DE72F0" w:rsidP="00662F77">
      <w:pPr>
        <w:pStyle w:val="Bullet1-Long"/>
        <w:rPr>
          <w:lang w:val="en-US"/>
        </w:rPr>
      </w:pPr>
      <w:r w:rsidRPr="00662F77">
        <w:rPr>
          <w:lang w:val="en-US"/>
        </w:rPr>
        <w:t xml:space="preserve">procuring the integrated health information system </w:t>
      </w:r>
      <w:proofErr w:type="gramStart"/>
      <w:r w:rsidRPr="00662F77">
        <w:rPr>
          <w:lang w:val="en-US"/>
        </w:rPr>
        <w:t>components;</w:t>
      </w:r>
      <w:proofErr w:type="gramEnd"/>
    </w:p>
    <w:p w14:paraId="52713C20" w14:textId="77777777" w:rsidR="00DE72F0" w:rsidRPr="00662F77" w:rsidRDefault="00DE72F0" w:rsidP="00662F77">
      <w:pPr>
        <w:pStyle w:val="Bullet1-Long"/>
        <w:rPr>
          <w:lang w:val="en-US"/>
        </w:rPr>
      </w:pPr>
      <w:r w:rsidRPr="00662F77">
        <w:rPr>
          <w:lang w:val="en-US"/>
        </w:rPr>
        <w:t xml:space="preserve">installing and configuring the system’s hardware and software </w:t>
      </w:r>
      <w:proofErr w:type="gramStart"/>
      <w:r w:rsidRPr="00662F77">
        <w:rPr>
          <w:lang w:val="en-US"/>
        </w:rPr>
        <w:t>components;</w:t>
      </w:r>
      <w:proofErr w:type="gramEnd"/>
    </w:p>
    <w:p w14:paraId="5D1C6673" w14:textId="77777777" w:rsidR="00DE72F0" w:rsidRPr="00662F77" w:rsidRDefault="00DE72F0" w:rsidP="00662F77">
      <w:pPr>
        <w:pStyle w:val="Bullet1-Long"/>
        <w:rPr>
          <w:lang w:val="en-US"/>
        </w:rPr>
      </w:pPr>
      <w:r w:rsidRPr="00662F77">
        <w:rPr>
          <w:lang w:val="en-US"/>
        </w:rPr>
        <w:t xml:space="preserve">connecting to all </w:t>
      </w:r>
      <w:proofErr w:type="gramStart"/>
      <w:r w:rsidRPr="00662F77">
        <w:rPr>
          <w:lang w:val="en-US"/>
        </w:rPr>
        <w:t>users;</w:t>
      </w:r>
      <w:proofErr w:type="gramEnd"/>
    </w:p>
    <w:p w14:paraId="25933261" w14:textId="77777777" w:rsidR="00DE72F0" w:rsidRPr="00662F77" w:rsidRDefault="00DE72F0" w:rsidP="00662F77">
      <w:pPr>
        <w:pStyle w:val="Bullet1-Long"/>
        <w:rPr>
          <w:lang w:val="en-US"/>
        </w:rPr>
      </w:pPr>
      <w:r w:rsidRPr="00662F77">
        <w:rPr>
          <w:lang w:val="en-US"/>
        </w:rPr>
        <w:t xml:space="preserve">migrating data sets from existing systems and other </w:t>
      </w:r>
      <w:proofErr w:type="gramStart"/>
      <w:r w:rsidRPr="00662F77">
        <w:rPr>
          <w:lang w:val="en-US"/>
        </w:rPr>
        <w:t>sources;</w:t>
      </w:r>
      <w:proofErr w:type="gramEnd"/>
    </w:p>
    <w:p w14:paraId="1B007C98" w14:textId="77777777" w:rsidR="00DE72F0" w:rsidRPr="00662F77" w:rsidRDefault="00DE72F0" w:rsidP="00662F77">
      <w:pPr>
        <w:pStyle w:val="Bullet1-Long"/>
        <w:rPr>
          <w:lang w:val="en-US"/>
        </w:rPr>
      </w:pPr>
      <w:r w:rsidRPr="00662F77">
        <w:rPr>
          <w:lang w:val="en-US"/>
        </w:rPr>
        <w:t>ensuring effective operations through comprehensive testing; and</w:t>
      </w:r>
    </w:p>
    <w:p w14:paraId="7CB8A663" w14:textId="77777777" w:rsidR="00DE72F0" w:rsidRPr="00662F77" w:rsidRDefault="00DE72F0" w:rsidP="00662F77">
      <w:pPr>
        <w:pStyle w:val="Bullet1-Long"/>
        <w:rPr>
          <w:lang w:val="en-US"/>
        </w:rPr>
      </w:pPr>
      <w:r w:rsidRPr="00662F77">
        <w:rPr>
          <w:lang w:val="en-US"/>
        </w:rPr>
        <w:t>conducting training for users and system administrators (Asian Development Bank 2015).</w:t>
      </w:r>
    </w:p>
    <w:p w14:paraId="52D415A1" w14:textId="77777777" w:rsidR="00DE72F0" w:rsidRDefault="00DE72F0" w:rsidP="00DE72F0">
      <w:pPr>
        <w:rPr>
          <w:rFonts w:eastAsia="MS Mincho"/>
        </w:rPr>
      </w:pPr>
      <w:r w:rsidRPr="005B0677">
        <w:rPr>
          <w:rFonts w:eastAsia="MS Mincho"/>
        </w:rPr>
        <w:t xml:space="preserve">The </w:t>
      </w:r>
      <w:r>
        <w:rPr>
          <w:rFonts w:eastAsia="MS Mincho"/>
        </w:rPr>
        <w:t xml:space="preserve">ADB’s </w:t>
      </w:r>
      <w:r w:rsidRPr="005B0677">
        <w:rPr>
          <w:rFonts w:eastAsia="MS Mincho"/>
        </w:rPr>
        <w:t xml:space="preserve">project documentation indicates that the system will be procured as one contract </w:t>
      </w:r>
      <w:r>
        <w:rPr>
          <w:rFonts w:eastAsia="MS Mincho"/>
        </w:rPr>
        <w:t xml:space="preserve">through an open tender process with a </w:t>
      </w:r>
      <w:r w:rsidRPr="005B0677">
        <w:rPr>
          <w:rFonts w:eastAsia="MS Mincho"/>
        </w:rPr>
        <w:t xml:space="preserve">consulting firm </w:t>
      </w:r>
      <w:r>
        <w:rPr>
          <w:rFonts w:eastAsia="MS Mincho"/>
        </w:rPr>
        <w:t xml:space="preserve">also being </w:t>
      </w:r>
      <w:r w:rsidRPr="005B0677">
        <w:rPr>
          <w:rFonts w:eastAsia="MS Mincho"/>
        </w:rPr>
        <w:t>engaged to provide project management support to MOH for its procurement and implementation.</w:t>
      </w:r>
    </w:p>
    <w:p w14:paraId="2D4EB075" w14:textId="4D49041F" w:rsidR="00DE72F0" w:rsidRPr="005B0677" w:rsidRDefault="00DE72F0" w:rsidP="00DE72F0">
      <w:r w:rsidRPr="005B0677">
        <w:t>Based on details provided by potential vendors, coupled with analyses by WHO and others, it appears the</w:t>
      </w:r>
      <w:r>
        <w:t xml:space="preserve"> </w:t>
      </w:r>
      <w:r w:rsidR="00FE2D0D">
        <w:t>US</w:t>
      </w:r>
      <w:r>
        <w:t xml:space="preserve">$6.5 million grant support </w:t>
      </w:r>
      <w:r w:rsidRPr="005B0677">
        <w:t xml:space="preserve"> provided by ADB via the </w:t>
      </w:r>
      <w:r w:rsidRPr="005B0677">
        <w:rPr>
          <w:color w:val="000000"/>
        </w:rPr>
        <w:t>Samoa Submarine Cable Project</w:t>
      </w:r>
      <w:r w:rsidRPr="005B0677">
        <w:t xml:space="preserve"> will be </w:t>
      </w:r>
      <w:r>
        <w:t>in</w:t>
      </w:r>
      <w:r w:rsidRPr="005B0677">
        <w:t xml:space="preserve">sufficient to meet the full cost of </w:t>
      </w:r>
      <w:r w:rsidR="00FE2D0D">
        <w:t xml:space="preserve">meeting </w:t>
      </w:r>
      <w:r w:rsidRPr="005B0677">
        <w:t>Samoa’s HIS</w:t>
      </w:r>
      <w:r>
        <w:t xml:space="preserve"> needs</w:t>
      </w:r>
      <w:r w:rsidRPr="005B0677">
        <w:t xml:space="preserve">. </w:t>
      </w:r>
    </w:p>
    <w:p w14:paraId="3ED452B8" w14:textId="77777777" w:rsidR="00DE72F0" w:rsidRDefault="00DE72F0" w:rsidP="00DE72F0">
      <w:r>
        <w:t xml:space="preserve">The Government of </w:t>
      </w:r>
      <w:r w:rsidRPr="005B0677">
        <w:t xml:space="preserve">Australia, via DFAT, has indicated to the Government of Samoa a willingness to meet at least some of any shortfall in funding </w:t>
      </w:r>
      <w:r>
        <w:t xml:space="preserve">(up to AU$3 million) </w:t>
      </w:r>
      <w:r w:rsidRPr="005B0677">
        <w:t xml:space="preserve">as part of its </w:t>
      </w:r>
      <w:proofErr w:type="spellStart"/>
      <w:r w:rsidRPr="005B0677">
        <w:t>programme</w:t>
      </w:r>
      <w:proofErr w:type="spellEnd"/>
      <w:r w:rsidRPr="005B0677">
        <w:t xml:space="preserve"> of support to the health sector. Before doing so, however, DFAT wishes to be assured that the approach that will be adopted is cost-effective.</w:t>
      </w:r>
    </w:p>
    <w:p w14:paraId="0C3FC935" w14:textId="77777777" w:rsidR="00DE72F0" w:rsidRDefault="00DE72F0" w:rsidP="00DE72F0">
      <w:pPr>
        <w:pStyle w:val="3rdLevelNumberedTitle"/>
      </w:pPr>
    </w:p>
    <w:p w14:paraId="72762AFE" w14:textId="77777777" w:rsidR="00DE72F0" w:rsidRPr="004E1D1C" w:rsidRDefault="00DE72F0" w:rsidP="00DE72F0">
      <w:pPr>
        <w:pStyle w:val="3rdLevelNumberedTitle"/>
      </w:pPr>
      <w:r w:rsidRPr="004E1D1C">
        <w:lastRenderedPageBreak/>
        <w:t>Objective</w:t>
      </w:r>
      <w:r>
        <w:t xml:space="preserve"> of Assignment</w:t>
      </w:r>
    </w:p>
    <w:p w14:paraId="7FAD2854" w14:textId="3A990D53" w:rsidR="00DE72F0" w:rsidRPr="00DE72F0" w:rsidRDefault="00DE72F0" w:rsidP="001F37C2">
      <w:pPr>
        <w:rPr>
          <w:b/>
          <w:szCs w:val="20"/>
        </w:rPr>
      </w:pPr>
      <w:r w:rsidRPr="005B0677">
        <w:rPr>
          <w:rFonts w:cs="Arial"/>
        </w:rPr>
        <w:t xml:space="preserve">The objective of the assignment is </w:t>
      </w:r>
      <w:r>
        <w:rPr>
          <w:rFonts w:cs="Arial"/>
        </w:rPr>
        <w:t xml:space="preserve">to provide DFAT with recommendations on the type </w:t>
      </w:r>
      <w:proofErr w:type="gramStart"/>
      <w:r>
        <w:rPr>
          <w:rFonts w:cs="Arial"/>
        </w:rPr>
        <w:t>and  design</w:t>
      </w:r>
      <w:proofErr w:type="gramEnd"/>
      <w:r>
        <w:rPr>
          <w:rFonts w:cs="Arial"/>
        </w:rPr>
        <w:t xml:space="preserve"> of digital health information systems that are required to strengthen the health system in Samoa, and a proposed</w:t>
      </w:r>
      <w:r w:rsidR="00FE2D0D">
        <w:rPr>
          <w:rFonts w:cs="Arial"/>
        </w:rPr>
        <w:t>, costed</w:t>
      </w:r>
      <w:r>
        <w:rPr>
          <w:rFonts w:cs="Arial"/>
        </w:rPr>
        <w:t xml:space="preserve"> implementation plan to inform DFAT’s investment decisions. </w:t>
      </w:r>
      <w:r w:rsidRPr="002C6CD9">
        <w:t xml:space="preserve"> It is expected that the review will draw upon</w:t>
      </w:r>
      <w:r w:rsidR="009831FF">
        <w:t xml:space="preserve"> existing reports and analyses</w:t>
      </w:r>
      <w:r w:rsidRPr="002C6CD9">
        <w:t>, interviews and consultations with key informants in Samoa (including representatives of government agencies and development partners such as DFAT, ADB, WHO, etc.), analysis of existing proposals and critical appraisal of relevant experience from other countries and territories. The review should also be informed by extensive knowledge of, and practical experience in, the development of enterprise-wide information technology strategies coupled with an understanding of current and likely future developments in the field of health information systems.</w:t>
      </w:r>
    </w:p>
    <w:p w14:paraId="30F12563" w14:textId="77777777" w:rsidR="00DE72F0" w:rsidRPr="00DE72F0" w:rsidRDefault="00DE72F0" w:rsidP="00DE72F0">
      <w:pPr>
        <w:pStyle w:val="3rdLevelNumberedTitle"/>
      </w:pPr>
      <w:r w:rsidRPr="00DE72F0">
        <w:t>Scope of Work</w:t>
      </w:r>
    </w:p>
    <w:p w14:paraId="2E341F02" w14:textId="77777777" w:rsidR="00DE72F0" w:rsidRPr="005B0677" w:rsidRDefault="00DE72F0" w:rsidP="00DE72F0">
      <w:r>
        <w:t xml:space="preserve">In respect of design, the review should address </w:t>
      </w:r>
      <w:r w:rsidRPr="005B0677">
        <w:t>the following issues (as a minimum</w:t>
      </w:r>
      <w:proofErr w:type="gramStart"/>
      <w:r w:rsidRPr="005B0677">
        <w:t>):-</w:t>
      </w:r>
      <w:proofErr w:type="gramEnd"/>
    </w:p>
    <w:p w14:paraId="2096539D" w14:textId="77777777" w:rsidR="00DE72F0" w:rsidRPr="00662F77" w:rsidRDefault="00DE72F0" w:rsidP="00662F77">
      <w:pPr>
        <w:pStyle w:val="Bullet1-Long"/>
        <w:rPr>
          <w:lang w:val="en-US"/>
        </w:rPr>
      </w:pPr>
      <w:r w:rsidRPr="00662F77">
        <w:rPr>
          <w:lang w:val="en-US"/>
        </w:rPr>
        <w:t>health and health service management information needs</w:t>
      </w:r>
      <w:r w:rsidRPr="00662F77">
        <w:rPr>
          <w:lang w:val="en-US"/>
        </w:rPr>
        <w:footnoteReference w:id="7"/>
      </w:r>
      <w:r w:rsidRPr="00662F77">
        <w:rPr>
          <w:lang w:val="en-US"/>
        </w:rPr>
        <w:t>;</w:t>
      </w:r>
    </w:p>
    <w:p w14:paraId="4212773E" w14:textId="77777777" w:rsidR="00DE72F0" w:rsidRPr="00662F77" w:rsidRDefault="00DE72F0" w:rsidP="00662F77">
      <w:pPr>
        <w:pStyle w:val="Bullet1-Long"/>
        <w:rPr>
          <w:lang w:val="en-US"/>
        </w:rPr>
      </w:pPr>
      <w:r w:rsidRPr="00662F77">
        <w:rPr>
          <w:lang w:val="en-US"/>
        </w:rPr>
        <w:t xml:space="preserve">readiness of the sector to adopt a health information system (consistency of data definitions, robustness of existing manual systems, adherence to </w:t>
      </w:r>
      <w:proofErr w:type="spellStart"/>
      <w:r w:rsidRPr="00662F77">
        <w:rPr>
          <w:lang w:val="en-US"/>
        </w:rPr>
        <w:t>standardised</w:t>
      </w:r>
      <w:proofErr w:type="spellEnd"/>
      <w:r w:rsidRPr="00662F77">
        <w:rPr>
          <w:lang w:val="en-US"/>
        </w:rPr>
        <w:t xml:space="preserve"> processes)</w:t>
      </w:r>
    </w:p>
    <w:p w14:paraId="59754AC2" w14:textId="77777777" w:rsidR="00DE72F0" w:rsidRPr="00662F77" w:rsidRDefault="00DE72F0" w:rsidP="00662F77">
      <w:pPr>
        <w:pStyle w:val="Bullet1-Long"/>
        <w:rPr>
          <w:lang w:val="en-US"/>
        </w:rPr>
      </w:pPr>
      <w:r w:rsidRPr="00662F77">
        <w:rPr>
          <w:lang w:val="en-US"/>
        </w:rPr>
        <w:t>information systems scope and architecture(s); and</w:t>
      </w:r>
    </w:p>
    <w:p w14:paraId="03C1C807" w14:textId="77777777" w:rsidR="00DE72F0" w:rsidRPr="00662F77" w:rsidRDefault="00DE72F0" w:rsidP="00662F77">
      <w:pPr>
        <w:pStyle w:val="Bullet1-Long"/>
        <w:rPr>
          <w:lang w:val="en-US"/>
        </w:rPr>
      </w:pPr>
      <w:r w:rsidRPr="00662F77">
        <w:rPr>
          <w:lang w:val="en-US"/>
        </w:rPr>
        <w:t>preferred technological approach(es) and estimated costs.</w:t>
      </w:r>
    </w:p>
    <w:p w14:paraId="3C2355F6" w14:textId="1D042703" w:rsidR="00DE72F0" w:rsidRPr="005B0677" w:rsidRDefault="00DE72F0" w:rsidP="00DE72F0">
      <w:r>
        <w:t xml:space="preserve">Issues relating to delivery </w:t>
      </w:r>
      <w:r w:rsidR="001F37C2">
        <w:t>include</w:t>
      </w:r>
      <w:r>
        <w:t>-</w:t>
      </w:r>
    </w:p>
    <w:p w14:paraId="32A598A8" w14:textId="77777777" w:rsidR="00DE72F0" w:rsidRPr="00662F77" w:rsidRDefault="00DE72F0" w:rsidP="00662F77">
      <w:pPr>
        <w:pStyle w:val="Bullet1-Long"/>
        <w:rPr>
          <w:lang w:val="en-US"/>
        </w:rPr>
      </w:pPr>
      <w:r w:rsidRPr="00662F77">
        <w:rPr>
          <w:lang w:val="en-US"/>
        </w:rPr>
        <w:t xml:space="preserve">project planning, governance and </w:t>
      </w:r>
      <w:proofErr w:type="gramStart"/>
      <w:r w:rsidRPr="00662F77">
        <w:rPr>
          <w:lang w:val="en-US"/>
        </w:rPr>
        <w:t>management;</w:t>
      </w:r>
      <w:proofErr w:type="gramEnd"/>
    </w:p>
    <w:p w14:paraId="15DE3A27" w14:textId="77777777" w:rsidR="00DE72F0" w:rsidRPr="00662F77" w:rsidRDefault="00DE72F0" w:rsidP="00662F77">
      <w:pPr>
        <w:pStyle w:val="Bullet1-Long"/>
        <w:rPr>
          <w:lang w:val="en-US"/>
        </w:rPr>
      </w:pPr>
      <w:r w:rsidRPr="00662F77">
        <w:rPr>
          <w:lang w:val="en-US"/>
        </w:rPr>
        <w:t>procurement and financing arrangements (including consideration of innovative approaches to financing</w:t>
      </w:r>
      <w:proofErr w:type="gramStart"/>
      <w:r w:rsidRPr="00662F77">
        <w:rPr>
          <w:lang w:val="en-US"/>
        </w:rPr>
        <w:t>);</w:t>
      </w:r>
      <w:proofErr w:type="gramEnd"/>
    </w:p>
    <w:p w14:paraId="0969AAD6" w14:textId="77777777" w:rsidR="00DE72F0" w:rsidRPr="00662F77" w:rsidRDefault="00DE72F0" w:rsidP="00662F77">
      <w:pPr>
        <w:pStyle w:val="Bullet1-Long"/>
        <w:rPr>
          <w:lang w:val="en-US"/>
        </w:rPr>
      </w:pPr>
      <w:r w:rsidRPr="00662F77">
        <w:rPr>
          <w:lang w:val="en-US"/>
        </w:rPr>
        <w:t xml:space="preserve">implementation and adoption factors; and </w:t>
      </w:r>
    </w:p>
    <w:p w14:paraId="35CB7DDA" w14:textId="77777777" w:rsidR="00DE72F0" w:rsidRPr="00662F77" w:rsidRDefault="00DE72F0" w:rsidP="00662F77">
      <w:pPr>
        <w:pStyle w:val="Bullet1-Long"/>
        <w:rPr>
          <w:lang w:val="en-US"/>
        </w:rPr>
      </w:pPr>
      <w:r w:rsidRPr="00662F77">
        <w:rPr>
          <w:lang w:val="en-US"/>
        </w:rPr>
        <w:t xml:space="preserve">risks and risk management. </w:t>
      </w:r>
    </w:p>
    <w:p w14:paraId="5AA7F12E" w14:textId="77777777" w:rsidR="00DE72F0" w:rsidRDefault="00DE72F0" w:rsidP="00DE72F0">
      <w:r>
        <w:t xml:space="preserve">The review should also be informed </w:t>
      </w:r>
      <w:proofErr w:type="gramStart"/>
      <w:r>
        <w:t>by:-</w:t>
      </w:r>
      <w:proofErr w:type="gramEnd"/>
    </w:p>
    <w:p w14:paraId="77DC5B82" w14:textId="77777777" w:rsidR="00DE72F0" w:rsidRPr="00662F77" w:rsidRDefault="00DE72F0" w:rsidP="00662F77">
      <w:pPr>
        <w:pStyle w:val="Bullet1-Long"/>
        <w:rPr>
          <w:lang w:val="en-US"/>
        </w:rPr>
      </w:pPr>
      <w:r w:rsidRPr="00662F77">
        <w:rPr>
          <w:lang w:val="en-US"/>
        </w:rPr>
        <w:t xml:space="preserve">Samoa’s experience with health information </w:t>
      </w:r>
      <w:proofErr w:type="gramStart"/>
      <w:r w:rsidRPr="00662F77">
        <w:rPr>
          <w:lang w:val="en-US"/>
        </w:rPr>
        <w:t>systems;</w:t>
      </w:r>
      <w:proofErr w:type="gramEnd"/>
    </w:p>
    <w:p w14:paraId="5BAF7659" w14:textId="77777777" w:rsidR="00DE72F0" w:rsidRPr="00662F77" w:rsidRDefault="00DE72F0" w:rsidP="00662F77">
      <w:pPr>
        <w:pStyle w:val="Bullet1-Long"/>
        <w:rPr>
          <w:lang w:val="en-US"/>
        </w:rPr>
      </w:pPr>
      <w:r w:rsidRPr="00662F77">
        <w:rPr>
          <w:lang w:val="en-US"/>
        </w:rPr>
        <w:t>an appraisal of proposals already put forward; and</w:t>
      </w:r>
    </w:p>
    <w:p w14:paraId="755C125D" w14:textId="77777777" w:rsidR="00DE72F0" w:rsidRPr="00662F77" w:rsidRDefault="00DE72F0" w:rsidP="00662F77">
      <w:pPr>
        <w:pStyle w:val="Bullet1-Long"/>
        <w:rPr>
          <w:lang w:val="en-US"/>
        </w:rPr>
      </w:pPr>
      <w:r w:rsidRPr="00662F77">
        <w:rPr>
          <w:lang w:val="en-US"/>
        </w:rPr>
        <w:t>other countries’ and territories’ experiences in procuring and implementing equivalent systems.</w:t>
      </w:r>
    </w:p>
    <w:p w14:paraId="68397869" w14:textId="77777777" w:rsidR="00DE72F0" w:rsidRPr="001F37C2" w:rsidRDefault="00DE72F0" w:rsidP="001F37C2">
      <w:pPr>
        <w:pStyle w:val="3rdLevelNumberedTitle"/>
      </w:pPr>
      <w:r w:rsidRPr="001F37C2">
        <w:t>Contract Details</w:t>
      </w:r>
    </w:p>
    <w:p w14:paraId="7FCD534B" w14:textId="77777777" w:rsidR="00DE72F0" w:rsidRPr="005B0677" w:rsidRDefault="00DE72F0" w:rsidP="00DE72F0">
      <w:pPr>
        <w:rPr>
          <w:rFonts w:cs="Arial"/>
        </w:rPr>
      </w:pPr>
      <w:r w:rsidRPr="005B0677">
        <w:rPr>
          <w:rFonts w:cs="Arial"/>
        </w:rPr>
        <w:t xml:space="preserve">Proposals to conduct </w:t>
      </w:r>
      <w:r w:rsidRPr="005B0677">
        <w:t xml:space="preserve">a ‘cost-benefit’ and options review, as outlined above, are sought from </w:t>
      </w:r>
      <w:r>
        <w:t xml:space="preserve">suitably </w:t>
      </w:r>
      <w:r w:rsidRPr="005B0677">
        <w:rPr>
          <w:rFonts w:cs="Arial"/>
        </w:rPr>
        <w:t xml:space="preserve">qualified </w:t>
      </w:r>
      <w:r w:rsidRPr="006E7FD4">
        <w:rPr>
          <w:rFonts w:cs="Arial"/>
        </w:rPr>
        <w:t>firms using DFAT's procurement processes.</w:t>
      </w:r>
    </w:p>
    <w:p w14:paraId="03016DD2" w14:textId="77777777" w:rsidR="00DE72F0" w:rsidRPr="00DE72F0" w:rsidRDefault="00DE72F0" w:rsidP="00DE72F0">
      <w:pPr>
        <w:pStyle w:val="3rdLevelNumberedTitle"/>
      </w:pPr>
      <w:r w:rsidRPr="00DE72F0">
        <w:t>Detailed Tasks/Outputs</w:t>
      </w:r>
    </w:p>
    <w:p w14:paraId="68DEB148" w14:textId="77777777" w:rsidR="00DE72F0" w:rsidRPr="005B0677" w:rsidRDefault="00DE72F0" w:rsidP="00DE72F0">
      <w:r w:rsidRPr="005B0677">
        <w:t>Details of findings and recommendations should be provided in the form of a report</w:t>
      </w:r>
      <w:r>
        <w:t xml:space="preserve"> which addresses the issues listed under ‘Objective’ above. The report should</w:t>
      </w:r>
      <w:r w:rsidRPr="005B0677">
        <w:t xml:space="preserve"> initially</w:t>
      </w:r>
      <w:r>
        <w:t xml:space="preserve"> be submitted to DFAT</w:t>
      </w:r>
      <w:r w:rsidRPr="005B0677">
        <w:t xml:space="preserve"> in draft form and, following review and feedback, in an agreed final form.</w:t>
      </w:r>
    </w:p>
    <w:p w14:paraId="42440681" w14:textId="77777777" w:rsidR="00DE72F0" w:rsidRDefault="00DE72F0" w:rsidP="00DE72F0">
      <w:pPr>
        <w:pStyle w:val="3rdLevelNumberedTitle"/>
      </w:pPr>
      <w:r w:rsidRPr="004E1D1C">
        <w:lastRenderedPageBreak/>
        <w:t>Team composition</w:t>
      </w:r>
    </w:p>
    <w:p w14:paraId="46BA4A32" w14:textId="77777777" w:rsidR="00DE72F0" w:rsidRPr="001F37C2" w:rsidRDefault="00DE72F0" w:rsidP="001F37C2">
      <w:pPr>
        <w:pStyle w:val="3rdLevelNumberedTitle"/>
        <w:rPr>
          <w:b w:val="0"/>
        </w:rPr>
      </w:pPr>
      <w:r w:rsidRPr="001F37C2">
        <w:rPr>
          <w:b w:val="0"/>
        </w:rPr>
        <w:t xml:space="preserve">Firms shall put forward the necessary number of consultants to cover the following </w:t>
      </w:r>
      <w:proofErr w:type="gramStart"/>
      <w:r w:rsidRPr="001F37C2">
        <w:rPr>
          <w:b w:val="0"/>
        </w:rPr>
        <w:t>areas;</w:t>
      </w:r>
      <w:proofErr w:type="gramEnd"/>
    </w:p>
    <w:p w14:paraId="73BD3701" w14:textId="77777777" w:rsidR="00DE72F0" w:rsidRPr="00662F77" w:rsidRDefault="00DE72F0" w:rsidP="00662F77">
      <w:pPr>
        <w:pStyle w:val="Bullet1-Long"/>
        <w:rPr>
          <w:lang w:val="en-US"/>
        </w:rPr>
      </w:pPr>
      <w:r w:rsidRPr="00662F77">
        <w:rPr>
          <w:lang w:val="en-US"/>
        </w:rPr>
        <w:t xml:space="preserve">knowledge of contemporary approaches to HIS design and </w:t>
      </w:r>
      <w:proofErr w:type="gramStart"/>
      <w:r w:rsidRPr="00662F77">
        <w:rPr>
          <w:lang w:val="en-US"/>
        </w:rPr>
        <w:t>implementation;</w:t>
      </w:r>
      <w:proofErr w:type="gramEnd"/>
    </w:p>
    <w:p w14:paraId="3CF40F35" w14:textId="77777777" w:rsidR="00DE72F0" w:rsidRPr="00662F77" w:rsidRDefault="00DE72F0" w:rsidP="00662F77">
      <w:pPr>
        <w:pStyle w:val="Bullet1-Long"/>
        <w:rPr>
          <w:lang w:val="en-US"/>
        </w:rPr>
      </w:pPr>
      <w:r w:rsidRPr="00662F77">
        <w:rPr>
          <w:lang w:val="en-US"/>
        </w:rPr>
        <w:t xml:space="preserve">ability to access information on experience with similar HIS initiatives in other </w:t>
      </w:r>
      <w:proofErr w:type="gramStart"/>
      <w:r w:rsidRPr="00662F77">
        <w:rPr>
          <w:lang w:val="en-US"/>
        </w:rPr>
        <w:t>jurisdictions;</w:t>
      </w:r>
      <w:proofErr w:type="gramEnd"/>
    </w:p>
    <w:p w14:paraId="79F84907" w14:textId="77777777" w:rsidR="00DE72F0" w:rsidRPr="00662F77" w:rsidRDefault="00DE72F0" w:rsidP="00662F77">
      <w:pPr>
        <w:pStyle w:val="Bullet1-Long"/>
        <w:rPr>
          <w:lang w:val="en-US"/>
        </w:rPr>
      </w:pPr>
      <w:r w:rsidRPr="00662F77">
        <w:rPr>
          <w:lang w:val="en-US"/>
        </w:rPr>
        <w:t xml:space="preserve">expertise in large-scale information system project management, </w:t>
      </w:r>
      <w:proofErr w:type="gramStart"/>
      <w:r w:rsidRPr="00662F77">
        <w:rPr>
          <w:lang w:val="en-US"/>
        </w:rPr>
        <w:t>financing</w:t>
      </w:r>
      <w:proofErr w:type="gramEnd"/>
      <w:r w:rsidRPr="00662F77">
        <w:rPr>
          <w:lang w:val="en-US"/>
        </w:rPr>
        <w:t xml:space="preserve"> and procurement </w:t>
      </w:r>
    </w:p>
    <w:p w14:paraId="45169D82" w14:textId="77777777" w:rsidR="00DE72F0" w:rsidRPr="00662F77" w:rsidRDefault="00DE72F0" w:rsidP="00662F77">
      <w:pPr>
        <w:pStyle w:val="Bullet1-Long"/>
        <w:rPr>
          <w:lang w:val="en-US"/>
        </w:rPr>
      </w:pPr>
      <w:r w:rsidRPr="00662F77">
        <w:rPr>
          <w:lang w:val="en-US"/>
        </w:rPr>
        <w:t>strong experience in enterprise architecture.</w:t>
      </w:r>
    </w:p>
    <w:p w14:paraId="0FA569C2" w14:textId="77777777" w:rsidR="00DE72F0" w:rsidRPr="004E1D1C" w:rsidRDefault="00DE72F0" w:rsidP="00DE72F0">
      <w:pPr>
        <w:pStyle w:val="3rdLevelNumberedTitle"/>
      </w:pPr>
      <w:r w:rsidRPr="004E1D1C">
        <w:t>Communication and reporting</w:t>
      </w:r>
    </w:p>
    <w:p w14:paraId="57D6EFAC" w14:textId="77777777" w:rsidR="00DE72F0" w:rsidRPr="005B0677" w:rsidRDefault="00DE72F0" w:rsidP="00DE72F0">
      <w:pPr>
        <w:rPr>
          <w:lang w:eastAsia="ja-JP"/>
        </w:rPr>
      </w:pPr>
      <w:r w:rsidRPr="005B0677">
        <w:rPr>
          <w:lang w:eastAsia="ja-JP"/>
        </w:rPr>
        <w:t xml:space="preserve">DFAT: Kassandra </w:t>
      </w:r>
      <w:proofErr w:type="spellStart"/>
      <w:r w:rsidRPr="005B0677">
        <w:rPr>
          <w:lang w:eastAsia="ja-JP"/>
        </w:rPr>
        <w:t>Betham</w:t>
      </w:r>
      <w:proofErr w:type="spellEnd"/>
      <w:r w:rsidRPr="005B0677">
        <w:rPr>
          <w:lang w:eastAsia="ja-JP"/>
        </w:rPr>
        <w:t>, Senior Program Manager for Health and Disability, Australian High Commission, Apia, Samoa</w:t>
      </w:r>
    </w:p>
    <w:p w14:paraId="6BB57C2A" w14:textId="77777777" w:rsidR="00DE72F0" w:rsidRPr="004E1D1C" w:rsidRDefault="00DE72F0" w:rsidP="001F37C2">
      <w:pPr>
        <w:pStyle w:val="3rdLevelNumberedTitle"/>
      </w:pPr>
      <w:r w:rsidRPr="004E1D1C">
        <w:t>Proposals</w:t>
      </w:r>
    </w:p>
    <w:p w14:paraId="2C693991" w14:textId="77777777" w:rsidR="00DE72F0" w:rsidRPr="004E1D1C" w:rsidRDefault="00DE72F0" w:rsidP="00DE72F0">
      <w:pPr>
        <w:spacing w:after="160"/>
        <w:rPr>
          <w:szCs w:val="20"/>
        </w:rPr>
      </w:pPr>
      <w:r w:rsidRPr="004E1D1C">
        <w:rPr>
          <w:szCs w:val="20"/>
          <w:lang w:eastAsia="ja-JP"/>
        </w:rPr>
        <w:t xml:space="preserve">Proposals should detail, as a </w:t>
      </w:r>
      <w:proofErr w:type="gramStart"/>
      <w:r w:rsidRPr="004E1D1C">
        <w:rPr>
          <w:szCs w:val="20"/>
          <w:lang w:eastAsia="ja-JP"/>
        </w:rPr>
        <w:t>minimum:-</w:t>
      </w:r>
      <w:proofErr w:type="gramEnd"/>
    </w:p>
    <w:p w14:paraId="5BD22F24" w14:textId="77777777" w:rsidR="00DE72F0" w:rsidRPr="00662F77" w:rsidRDefault="00DE72F0" w:rsidP="00662F77">
      <w:pPr>
        <w:pStyle w:val="Bullet1-Long"/>
        <w:rPr>
          <w:lang w:val="en-US"/>
        </w:rPr>
      </w:pPr>
      <w:r w:rsidRPr="00662F77">
        <w:rPr>
          <w:lang w:val="en-US"/>
        </w:rPr>
        <w:t xml:space="preserve">understanding of the requirement and any suggested changes to the </w:t>
      </w:r>
      <w:proofErr w:type="gramStart"/>
      <w:r w:rsidRPr="00662F77">
        <w:rPr>
          <w:lang w:val="en-US"/>
        </w:rPr>
        <w:t>task;</w:t>
      </w:r>
      <w:proofErr w:type="gramEnd"/>
    </w:p>
    <w:p w14:paraId="29674C26" w14:textId="77777777" w:rsidR="00DE72F0" w:rsidRPr="00662F77" w:rsidRDefault="00DE72F0" w:rsidP="00662F77">
      <w:pPr>
        <w:pStyle w:val="Bullet1-Long"/>
        <w:rPr>
          <w:lang w:val="en-US"/>
        </w:rPr>
      </w:pPr>
      <w:r w:rsidRPr="00662F77">
        <w:rPr>
          <w:lang w:val="en-US"/>
        </w:rPr>
        <w:t xml:space="preserve">proposed </w:t>
      </w:r>
      <w:proofErr w:type="gramStart"/>
      <w:r w:rsidRPr="00662F77">
        <w:rPr>
          <w:lang w:val="en-US"/>
        </w:rPr>
        <w:t>approach;</w:t>
      </w:r>
      <w:proofErr w:type="gramEnd"/>
    </w:p>
    <w:p w14:paraId="7AE11FFF" w14:textId="77777777" w:rsidR="00DE72F0" w:rsidRPr="00662F77" w:rsidRDefault="00DE72F0" w:rsidP="00662F77">
      <w:pPr>
        <w:pStyle w:val="Bullet1-Long"/>
        <w:rPr>
          <w:lang w:val="en-US"/>
        </w:rPr>
      </w:pPr>
      <w:r w:rsidRPr="00662F77">
        <w:rPr>
          <w:lang w:val="en-US"/>
        </w:rPr>
        <w:t>timeline (including key activities and milestones</w:t>
      </w:r>
      <w:proofErr w:type="gramStart"/>
      <w:r w:rsidRPr="00662F77">
        <w:rPr>
          <w:lang w:val="en-US"/>
        </w:rPr>
        <w:t>);</w:t>
      </w:r>
      <w:proofErr w:type="gramEnd"/>
    </w:p>
    <w:p w14:paraId="299583CE" w14:textId="77777777" w:rsidR="00DE72F0" w:rsidRPr="00662F77" w:rsidRDefault="00DE72F0" w:rsidP="00662F77">
      <w:pPr>
        <w:pStyle w:val="Bullet1-Long"/>
        <w:rPr>
          <w:lang w:val="en-US"/>
        </w:rPr>
      </w:pPr>
      <w:r w:rsidRPr="00662F77">
        <w:rPr>
          <w:lang w:val="en-US"/>
        </w:rPr>
        <w:t xml:space="preserve">consultants’’ relevant </w:t>
      </w:r>
      <w:proofErr w:type="gramStart"/>
      <w:r w:rsidRPr="00662F77">
        <w:rPr>
          <w:lang w:val="en-US"/>
        </w:rPr>
        <w:t>experience;</w:t>
      </w:r>
      <w:proofErr w:type="gramEnd"/>
    </w:p>
    <w:p w14:paraId="67EE4D93" w14:textId="77777777" w:rsidR="00DE72F0" w:rsidRPr="00662F77" w:rsidRDefault="00DE72F0" w:rsidP="00662F77">
      <w:pPr>
        <w:pStyle w:val="Bullet1-Long"/>
        <w:rPr>
          <w:lang w:val="en-US"/>
        </w:rPr>
      </w:pPr>
      <w:r w:rsidRPr="00662F77">
        <w:rPr>
          <w:lang w:val="en-US"/>
        </w:rPr>
        <w:t>fees and other charges.</w:t>
      </w:r>
    </w:p>
    <w:p w14:paraId="04928DF0" w14:textId="77777777" w:rsidR="00C60629" w:rsidRDefault="00C60629" w:rsidP="001F37C2">
      <w:pPr>
        <w:pStyle w:val="3rdLevelNumberedTitle"/>
      </w:pPr>
    </w:p>
    <w:p w14:paraId="77522C4C" w14:textId="77777777" w:rsidR="00DE72F0" w:rsidRPr="001F37C2" w:rsidRDefault="00DE72F0" w:rsidP="001F37C2">
      <w:pPr>
        <w:pStyle w:val="3rdLevelNumberedTitle"/>
      </w:pPr>
      <w:r w:rsidRPr="001F37C2">
        <w:t>Required reading:</w:t>
      </w:r>
    </w:p>
    <w:p w14:paraId="40E572DC" w14:textId="77777777" w:rsidR="00DE72F0" w:rsidRPr="001F37C2" w:rsidRDefault="00DE72F0" w:rsidP="00BA59C3">
      <w:pPr>
        <w:pStyle w:val="ListParagraph"/>
        <w:numPr>
          <w:ilvl w:val="0"/>
          <w:numId w:val="25"/>
        </w:numPr>
        <w:spacing w:after="0"/>
        <w:jc w:val="left"/>
        <w:rPr>
          <w:rFonts w:cs="Arial"/>
        </w:rPr>
      </w:pPr>
      <w:proofErr w:type="spellStart"/>
      <w:r w:rsidRPr="005B0677">
        <w:t>Festin</w:t>
      </w:r>
      <w:proofErr w:type="spellEnd"/>
      <w:r w:rsidRPr="005B0677">
        <w:t xml:space="preserve">, SP 2015, 'Analysis of </w:t>
      </w:r>
      <w:proofErr w:type="gramStart"/>
      <w:r w:rsidRPr="005B0677">
        <w:t>high level</w:t>
      </w:r>
      <w:proofErr w:type="gramEnd"/>
      <w:r w:rsidRPr="005B0677">
        <w:t xml:space="preserve"> requirements and implementation options for Samoa's health information system'.</w:t>
      </w:r>
    </w:p>
    <w:p w14:paraId="3D743BB0" w14:textId="77777777" w:rsidR="00DE72F0" w:rsidRPr="005B0677" w:rsidRDefault="00DE72F0" w:rsidP="00BA59C3">
      <w:pPr>
        <w:pStyle w:val="ListParagraph"/>
        <w:numPr>
          <w:ilvl w:val="0"/>
          <w:numId w:val="21"/>
        </w:numPr>
        <w:spacing w:after="0"/>
        <w:jc w:val="left"/>
        <w:rPr>
          <w:rFonts w:cs="Arial"/>
        </w:rPr>
      </w:pPr>
      <w:r w:rsidRPr="005B0677">
        <w:t>Ministry of Health 2016, 'Samoa eHealth Policy &amp; Strategy 2016 – 2021', Ministry of Health, Samoa, Apia</w:t>
      </w:r>
    </w:p>
    <w:p w14:paraId="2F2299A4" w14:textId="77777777" w:rsidR="00DE72F0" w:rsidRPr="008C607A" w:rsidRDefault="00DE72F0" w:rsidP="00BA59C3">
      <w:pPr>
        <w:pStyle w:val="ListParagraph"/>
        <w:numPr>
          <w:ilvl w:val="0"/>
          <w:numId w:val="21"/>
        </w:numPr>
        <w:spacing w:after="0"/>
        <w:jc w:val="left"/>
        <w:rPr>
          <w:rFonts w:cs="Arial"/>
        </w:rPr>
      </w:pPr>
      <w:r w:rsidRPr="005B0677">
        <w:t xml:space="preserve">Ministry of Health 2008, ‘Health Sector Plan 2008-2018’, Ministry of Health, Samoa, Apia </w:t>
      </w:r>
    </w:p>
    <w:p w14:paraId="5D6D0616" w14:textId="77777777" w:rsidR="00DE72F0" w:rsidRPr="005B0677" w:rsidRDefault="00DE72F0" w:rsidP="00BA59C3">
      <w:pPr>
        <w:pStyle w:val="ListParagraph"/>
        <w:numPr>
          <w:ilvl w:val="0"/>
          <w:numId w:val="21"/>
        </w:numPr>
        <w:spacing w:after="0"/>
        <w:jc w:val="left"/>
        <w:rPr>
          <w:rFonts w:cs="Arial"/>
        </w:rPr>
      </w:pPr>
      <w:proofErr w:type="spellStart"/>
      <w:r w:rsidRPr="005B0677">
        <w:t>Spohr</w:t>
      </w:r>
      <w:proofErr w:type="spellEnd"/>
      <w:r w:rsidRPr="005B0677">
        <w:t>, MH 2013, 'Samoa health sector information system plan: Information system strengthening recommendations (Phase 1 - Planning and scoping)</w:t>
      </w:r>
    </w:p>
    <w:p w14:paraId="3A8F6E35" w14:textId="731C65AA" w:rsidR="00DE72F0" w:rsidRPr="005B0677" w:rsidRDefault="00DE72F0" w:rsidP="00BA59C3">
      <w:pPr>
        <w:pStyle w:val="ListParagraph"/>
        <w:numPr>
          <w:ilvl w:val="0"/>
          <w:numId w:val="21"/>
        </w:numPr>
        <w:spacing w:after="0"/>
        <w:jc w:val="left"/>
        <w:rPr>
          <w:rFonts w:cs="Arial"/>
        </w:rPr>
      </w:pPr>
      <w:r w:rsidRPr="005B0677">
        <w:t>World Health Organization, Samoa Country Office, 'Concept Note on partnership for Samoa health information system’</w:t>
      </w:r>
    </w:p>
    <w:p w14:paraId="2B83B688" w14:textId="77777777" w:rsidR="00DE72F0" w:rsidRPr="005B0677" w:rsidRDefault="00DE72F0" w:rsidP="00BA59C3">
      <w:pPr>
        <w:pStyle w:val="ListParagraph"/>
        <w:numPr>
          <w:ilvl w:val="0"/>
          <w:numId w:val="21"/>
        </w:numPr>
        <w:spacing w:after="0"/>
        <w:jc w:val="left"/>
        <w:rPr>
          <w:rFonts w:cs="Arial"/>
        </w:rPr>
      </w:pPr>
      <w:r w:rsidRPr="005B0677">
        <w:t>World Health Organization, Samoa Country Office May 2016, 'Samoa eHealth proposal’</w:t>
      </w:r>
    </w:p>
    <w:p w14:paraId="76FE399F" w14:textId="77777777" w:rsidR="00DE72F0" w:rsidRPr="005B0677" w:rsidRDefault="00DE72F0" w:rsidP="00DE72F0">
      <w:pPr>
        <w:spacing w:after="160"/>
        <w:rPr>
          <w:szCs w:val="20"/>
          <w:lang w:eastAsia="ja-JP"/>
        </w:rPr>
      </w:pPr>
    </w:p>
    <w:p w14:paraId="11F58E23" w14:textId="77777777" w:rsidR="00DE72F0" w:rsidRPr="005B0677" w:rsidRDefault="00DE72F0" w:rsidP="00DE72F0">
      <w:pPr>
        <w:spacing w:after="160"/>
        <w:rPr>
          <w:szCs w:val="20"/>
          <w:lang w:eastAsia="ja-JP"/>
        </w:rPr>
      </w:pPr>
    </w:p>
    <w:p w14:paraId="2B286553" w14:textId="77777777" w:rsidR="00206349" w:rsidRPr="003C341F" w:rsidRDefault="00206349" w:rsidP="00922E51">
      <w:pPr>
        <w:rPr>
          <w:b/>
          <w:szCs w:val="22"/>
          <w:lang w:val="en-AU"/>
        </w:rPr>
        <w:sectPr w:rsidR="00206349" w:rsidRPr="003C341F" w:rsidSect="00E63DC4">
          <w:footnotePr>
            <w:numRestart w:val="eachSect"/>
          </w:footnotePr>
          <w:pgSz w:w="11900" w:h="16840"/>
          <w:pgMar w:top="1440" w:right="1440" w:bottom="1440" w:left="1440" w:header="708" w:footer="708" w:gutter="0"/>
          <w:cols w:space="708"/>
          <w:docGrid w:linePitch="360"/>
        </w:sectPr>
      </w:pPr>
    </w:p>
    <w:p w14:paraId="47C3E03E" w14:textId="08AF3BE5" w:rsidR="00CB0FF3" w:rsidRPr="003C341F" w:rsidRDefault="00CB0FF3" w:rsidP="003A0889">
      <w:pPr>
        <w:pStyle w:val="Appendixtitle"/>
        <w:outlineLvl w:val="1"/>
        <w:rPr>
          <w:lang w:val="en-AU"/>
        </w:rPr>
      </w:pPr>
      <w:bookmarkStart w:id="35" w:name="_Ref453680272"/>
      <w:bookmarkStart w:id="36" w:name="_Toc454266325"/>
      <w:bookmarkStart w:id="37" w:name="_Toc457572214"/>
      <w:bookmarkStart w:id="38" w:name="_Toc460231387"/>
      <w:bookmarkEnd w:id="15"/>
      <w:r w:rsidRPr="003C341F">
        <w:rPr>
          <w:lang w:val="en-AU"/>
        </w:rPr>
        <w:lastRenderedPageBreak/>
        <w:t xml:space="preserve">Appendix </w:t>
      </w:r>
      <w:bookmarkEnd w:id="16"/>
      <w:bookmarkEnd w:id="35"/>
      <w:r w:rsidR="001F37C2">
        <w:rPr>
          <w:lang w:val="en-AU"/>
        </w:rPr>
        <w:t>F</w:t>
      </w:r>
      <w:r w:rsidRPr="003C341F">
        <w:rPr>
          <w:lang w:val="en-AU"/>
        </w:rPr>
        <w:t>: GANTT chart</w:t>
      </w:r>
      <w:bookmarkEnd w:id="36"/>
      <w:bookmarkEnd w:id="37"/>
      <w:bookmarkEnd w:id="38"/>
      <w:r w:rsidR="00662F77">
        <w:rPr>
          <w:lang w:val="en-AU"/>
        </w:rPr>
        <w:t xml:space="preserve"> </w:t>
      </w:r>
    </w:p>
    <w:tbl>
      <w:tblPr>
        <w:tblW w:w="5000" w:type="pct"/>
        <w:tblLook w:val="04A0" w:firstRow="1" w:lastRow="0" w:firstColumn="1" w:lastColumn="0" w:noHBand="0" w:noVBand="1"/>
      </w:tblPr>
      <w:tblGrid>
        <w:gridCol w:w="234"/>
        <w:gridCol w:w="3663"/>
        <w:gridCol w:w="289"/>
        <w:gridCol w:w="289"/>
        <w:gridCol w:w="290"/>
        <w:gridCol w:w="290"/>
        <w:gridCol w:w="290"/>
        <w:gridCol w:w="290"/>
        <w:gridCol w:w="290"/>
        <w:gridCol w:w="290"/>
        <w:gridCol w:w="290"/>
        <w:gridCol w:w="290"/>
        <w:gridCol w:w="290"/>
        <w:gridCol w:w="290"/>
        <w:gridCol w:w="290"/>
        <w:gridCol w:w="290"/>
        <w:gridCol w:w="290"/>
        <w:gridCol w:w="235"/>
        <w:gridCol w:w="235"/>
        <w:gridCol w:w="235"/>
        <w:gridCol w:w="235"/>
        <w:gridCol w:w="235"/>
        <w:gridCol w:w="235"/>
        <w:gridCol w:w="235"/>
        <w:gridCol w:w="290"/>
        <w:gridCol w:w="290"/>
        <w:gridCol w:w="290"/>
        <w:gridCol w:w="290"/>
        <w:gridCol w:w="290"/>
        <w:gridCol w:w="290"/>
        <w:gridCol w:w="290"/>
        <w:gridCol w:w="290"/>
        <w:gridCol w:w="290"/>
        <w:gridCol w:w="290"/>
        <w:gridCol w:w="290"/>
        <w:gridCol w:w="290"/>
        <w:gridCol w:w="290"/>
        <w:gridCol w:w="290"/>
      </w:tblGrid>
      <w:tr w:rsidR="00D818F5" w:rsidRPr="003C341F" w14:paraId="379C17B3" w14:textId="77777777" w:rsidTr="00D818F5">
        <w:trPr>
          <w:trHeight w:val="283"/>
        </w:trPr>
        <w:tc>
          <w:tcPr>
            <w:tcW w:w="83" w:type="pct"/>
            <w:tcBorders>
              <w:top w:val="single" w:sz="4" w:space="0" w:color="auto"/>
              <w:left w:val="single" w:sz="4" w:space="0" w:color="auto"/>
              <w:bottom w:val="nil"/>
              <w:right w:val="nil"/>
            </w:tcBorders>
            <w:shd w:val="clear" w:color="auto" w:fill="auto"/>
            <w:noWrap/>
            <w:vAlign w:val="bottom"/>
            <w:hideMark/>
          </w:tcPr>
          <w:p w14:paraId="407E821D"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auto"/>
              <w:left w:val="nil"/>
              <w:bottom w:val="nil"/>
              <w:right w:val="single" w:sz="4" w:space="0" w:color="auto"/>
            </w:tcBorders>
            <w:shd w:val="clear" w:color="auto" w:fill="auto"/>
            <w:noWrap/>
            <w:vAlign w:val="bottom"/>
            <w:hideMark/>
          </w:tcPr>
          <w:p w14:paraId="5052795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620" w:type="pct"/>
            <w:gridSpan w:val="6"/>
            <w:tcBorders>
              <w:top w:val="single" w:sz="4" w:space="0" w:color="auto"/>
              <w:left w:val="nil"/>
              <w:bottom w:val="nil"/>
              <w:right w:val="nil"/>
            </w:tcBorders>
            <w:shd w:val="clear" w:color="auto" w:fill="auto"/>
            <w:noWrap/>
            <w:vAlign w:val="bottom"/>
            <w:hideMark/>
          </w:tcPr>
          <w:p w14:paraId="0705BA2D" w14:textId="4FD6E9B5" w:rsidR="00EB1D4A" w:rsidRPr="003C341F" w:rsidRDefault="00662F77" w:rsidP="00EB1D4A">
            <w:pPr>
              <w:spacing w:after="0" w:line="240" w:lineRule="auto"/>
              <w:jc w:val="center"/>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2017</w:t>
            </w:r>
          </w:p>
        </w:tc>
        <w:tc>
          <w:tcPr>
            <w:tcW w:w="1179" w:type="pct"/>
            <w:gridSpan w:val="12"/>
            <w:tcBorders>
              <w:top w:val="single" w:sz="4" w:space="0" w:color="auto"/>
              <w:left w:val="single" w:sz="4" w:space="0" w:color="auto"/>
              <w:bottom w:val="nil"/>
              <w:right w:val="nil"/>
            </w:tcBorders>
            <w:shd w:val="clear" w:color="auto" w:fill="auto"/>
            <w:noWrap/>
            <w:vAlign w:val="bottom"/>
            <w:hideMark/>
          </w:tcPr>
          <w:p w14:paraId="01C41356" w14:textId="69266BF2" w:rsidR="00EB1D4A" w:rsidRPr="003C341F" w:rsidRDefault="00662F77" w:rsidP="00EB1D4A">
            <w:pPr>
              <w:spacing w:after="0" w:line="240" w:lineRule="auto"/>
              <w:jc w:val="center"/>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2018</w:t>
            </w:r>
          </w:p>
        </w:tc>
        <w:tc>
          <w:tcPr>
            <w:tcW w:w="1158" w:type="pct"/>
            <w:gridSpan w:val="12"/>
            <w:tcBorders>
              <w:top w:val="single" w:sz="4" w:space="0" w:color="auto"/>
              <w:left w:val="single" w:sz="4" w:space="0" w:color="auto"/>
              <w:bottom w:val="nil"/>
              <w:right w:val="nil"/>
            </w:tcBorders>
            <w:shd w:val="clear" w:color="auto" w:fill="auto"/>
            <w:noWrap/>
            <w:vAlign w:val="bottom"/>
            <w:hideMark/>
          </w:tcPr>
          <w:p w14:paraId="5A268C8D" w14:textId="61E17A72" w:rsidR="00EB1D4A" w:rsidRPr="003C341F" w:rsidRDefault="00662F77" w:rsidP="00EB1D4A">
            <w:pPr>
              <w:spacing w:after="0" w:line="240" w:lineRule="auto"/>
              <w:jc w:val="center"/>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2019</w:t>
            </w:r>
          </w:p>
        </w:tc>
        <w:tc>
          <w:tcPr>
            <w:tcW w:w="620" w:type="pct"/>
            <w:gridSpan w:val="6"/>
            <w:tcBorders>
              <w:top w:val="single" w:sz="4" w:space="0" w:color="auto"/>
              <w:left w:val="single" w:sz="4" w:space="0" w:color="auto"/>
              <w:bottom w:val="nil"/>
              <w:right w:val="single" w:sz="4" w:space="0" w:color="auto"/>
            </w:tcBorders>
            <w:shd w:val="clear" w:color="auto" w:fill="auto"/>
            <w:noWrap/>
            <w:vAlign w:val="bottom"/>
            <w:hideMark/>
          </w:tcPr>
          <w:p w14:paraId="13EAF3EA" w14:textId="1CE59A66" w:rsidR="00EB1D4A" w:rsidRPr="003C341F" w:rsidRDefault="00662F77" w:rsidP="00EB1D4A">
            <w:pPr>
              <w:spacing w:after="0" w:line="240" w:lineRule="auto"/>
              <w:jc w:val="center"/>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2020</w:t>
            </w:r>
          </w:p>
        </w:tc>
      </w:tr>
      <w:tr w:rsidR="00D818F5" w:rsidRPr="003C341F" w14:paraId="77415A5F" w14:textId="77777777" w:rsidTr="00D818F5">
        <w:trPr>
          <w:trHeight w:val="283"/>
        </w:trPr>
        <w:tc>
          <w:tcPr>
            <w:tcW w:w="83" w:type="pct"/>
            <w:tcBorders>
              <w:top w:val="nil"/>
              <w:left w:val="single" w:sz="4" w:space="0" w:color="auto"/>
              <w:bottom w:val="single" w:sz="4" w:space="0" w:color="auto"/>
              <w:right w:val="nil"/>
            </w:tcBorders>
            <w:shd w:val="clear" w:color="auto" w:fill="auto"/>
            <w:noWrap/>
            <w:vAlign w:val="bottom"/>
            <w:hideMark/>
          </w:tcPr>
          <w:p w14:paraId="7A45F0A3"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nil"/>
              <w:left w:val="nil"/>
              <w:bottom w:val="single" w:sz="4" w:space="0" w:color="auto"/>
              <w:right w:val="single" w:sz="4" w:space="0" w:color="auto"/>
            </w:tcBorders>
            <w:shd w:val="clear" w:color="auto" w:fill="auto"/>
            <w:noWrap/>
            <w:vAlign w:val="bottom"/>
            <w:hideMark/>
          </w:tcPr>
          <w:p w14:paraId="682D8969"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310" w:type="pct"/>
            <w:gridSpan w:val="3"/>
            <w:tcBorders>
              <w:top w:val="nil"/>
              <w:left w:val="nil"/>
              <w:bottom w:val="single" w:sz="4" w:space="0" w:color="auto"/>
              <w:right w:val="nil"/>
            </w:tcBorders>
            <w:shd w:val="clear" w:color="auto" w:fill="auto"/>
            <w:noWrap/>
            <w:vAlign w:val="bottom"/>
            <w:hideMark/>
          </w:tcPr>
          <w:p w14:paraId="35FD6613"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Q3</w:t>
            </w:r>
          </w:p>
        </w:tc>
        <w:tc>
          <w:tcPr>
            <w:tcW w:w="310" w:type="pct"/>
            <w:gridSpan w:val="3"/>
            <w:tcBorders>
              <w:top w:val="nil"/>
              <w:left w:val="nil"/>
              <w:bottom w:val="single" w:sz="4" w:space="0" w:color="auto"/>
              <w:right w:val="nil"/>
            </w:tcBorders>
            <w:shd w:val="clear" w:color="auto" w:fill="auto"/>
            <w:noWrap/>
            <w:vAlign w:val="bottom"/>
            <w:hideMark/>
          </w:tcPr>
          <w:p w14:paraId="5541B414"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Q4</w:t>
            </w:r>
          </w:p>
        </w:tc>
        <w:tc>
          <w:tcPr>
            <w:tcW w:w="310" w:type="pct"/>
            <w:gridSpan w:val="3"/>
            <w:tcBorders>
              <w:top w:val="nil"/>
              <w:left w:val="single" w:sz="4" w:space="0" w:color="auto"/>
              <w:bottom w:val="single" w:sz="4" w:space="0" w:color="auto"/>
              <w:right w:val="nil"/>
            </w:tcBorders>
            <w:shd w:val="clear" w:color="auto" w:fill="auto"/>
            <w:noWrap/>
            <w:vAlign w:val="bottom"/>
            <w:hideMark/>
          </w:tcPr>
          <w:p w14:paraId="54A6408D"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Q1</w:t>
            </w:r>
          </w:p>
        </w:tc>
        <w:tc>
          <w:tcPr>
            <w:tcW w:w="310" w:type="pct"/>
            <w:gridSpan w:val="3"/>
            <w:tcBorders>
              <w:top w:val="nil"/>
              <w:left w:val="nil"/>
              <w:bottom w:val="single" w:sz="4" w:space="0" w:color="auto"/>
              <w:right w:val="nil"/>
            </w:tcBorders>
            <w:shd w:val="clear" w:color="auto" w:fill="auto"/>
            <w:noWrap/>
            <w:vAlign w:val="bottom"/>
            <w:hideMark/>
          </w:tcPr>
          <w:p w14:paraId="09074089"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Q2</w:t>
            </w:r>
          </w:p>
        </w:tc>
        <w:tc>
          <w:tcPr>
            <w:tcW w:w="310" w:type="pct"/>
            <w:gridSpan w:val="3"/>
            <w:tcBorders>
              <w:top w:val="nil"/>
              <w:left w:val="nil"/>
              <w:bottom w:val="single" w:sz="4" w:space="0" w:color="auto"/>
              <w:right w:val="nil"/>
            </w:tcBorders>
            <w:shd w:val="clear" w:color="auto" w:fill="auto"/>
            <w:noWrap/>
            <w:vAlign w:val="bottom"/>
            <w:hideMark/>
          </w:tcPr>
          <w:p w14:paraId="76437D0A"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Q3</w:t>
            </w:r>
          </w:p>
        </w:tc>
        <w:tc>
          <w:tcPr>
            <w:tcW w:w="249" w:type="pct"/>
            <w:gridSpan w:val="3"/>
            <w:tcBorders>
              <w:top w:val="nil"/>
              <w:left w:val="nil"/>
              <w:bottom w:val="single" w:sz="4" w:space="0" w:color="auto"/>
              <w:right w:val="nil"/>
            </w:tcBorders>
            <w:shd w:val="clear" w:color="auto" w:fill="auto"/>
            <w:noWrap/>
            <w:vAlign w:val="bottom"/>
            <w:hideMark/>
          </w:tcPr>
          <w:p w14:paraId="1620EE75"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Q4</w:t>
            </w:r>
          </w:p>
        </w:tc>
        <w:tc>
          <w:tcPr>
            <w:tcW w:w="249" w:type="pct"/>
            <w:gridSpan w:val="3"/>
            <w:tcBorders>
              <w:top w:val="nil"/>
              <w:left w:val="single" w:sz="4" w:space="0" w:color="auto"/>
              <w:bottom w:val="single" w:sz="4" w:space="0" w:color="auto"/>
              <w:right w:val="nil"/>
            </w:tcBorders>
            <w:shd w:val="clear" w:color="auto" w:fill="auto"/>
            <w:noWrap/>
            <w:vAlign w:val="bottom"/>
            <w:hideMark/>
          </w:tcPr>
          <w:p w14:paraId="0868C1DE"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Q1</w:t>
            </w:r>
          </w:p>
        </w:tc>
        <w:tc>
          <w:tcPr>
            <w:tcW w:w="290" w:type="pct"/>
            <w:gridSpan w:val="3"/>
            <w:tcBorders>
              <w:top w:val="nil"/>
              <w:left w:val="nil"/>
              <w:bottom w:val="single" w:sz="4" w:space="0" w:color="auto"/>
              <w:right w:val="nil"/>
            </w:tcBorders>
            <w:shd w:val="clear" w:color="auto" w:fill="auto"/>
            <w:noWrap/>
            <w:vAlign w:val="bottom"/>
            <w:hideMark/>
          </w:tcPr>
          <w:p w14:paraId="35E22070"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Q2</w:t>
            </w:r>
          </w:p>
        </w:tc>
        <w:tc>
          <w:tcPr>
            <w:tcW w:w="310" w:type="pct"/>
            <w:gridSpan w:val="3"/>
            <w:tcBorders>
              <w:top w:val="nil"/>
              <w:left w:val="nil"/>
              <w:bottom w:val="single" w:sz="4" w:space="0" w:color="auto"/>
              <w:right w:val="nil"/>
            </w:tcBorders>
            <w:shd w:val="clear" w:color="auto" w:fill="auto"/>
            <w:noWrap/>
            <w:vAlign w:val="bottom"/>
            <w:hideMark/>
          </w:tcPr>
          <w:p w14:paraId="3F034AC5"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Q3</w:t>
            </w:r>
          </w:p>
        </w:tc>
        <w:tc>
          <w:tcPr>
            <w:tcW w:w="310" w:type="pct"/>
            <w:gridSpan w:val="3"/>
            <w:tcBorders>
              <w:top w:val="nil"/>
              <w:left w:val="nil"/>
              <w:bottom w:val="single" w:sz="4" w:space="0" w:color="auto"/>
              <w:right w:val="nil"/>
            </w:tcBorders>
            <w:shd w:val="clear" w:color="auto" w:fill="auto"/>
            <w:noWrap/>
            <w:vAlign w:val="bottom"/>
            <w:hideMark/>
          </w:tcPr>
          <w:p w14:paraId="7C58387C"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Q4</w:t>
            </w:r>
          </w:p>
        </w:tc>
        <w:tc>
          <w:tcPr>
            <w:tcW w:w="310" w:type="pct"/>
            <w:gridSpan w:val="3"/>
            <w:tcBorders>
              <w:top w:val="nil"/>
              <w:left w:val="single" w:sz="4" w:space="0" w:color="auto"/>
              <w:bottom w:val="single" w:sz="4" w:space="0" w:color="auto"/>
              <w:right w:val="nil"/>
            </w:tcBorders>
            <w:shd w:val="clear" w:color="auto" w:fill="auto"/>
            <w:noWrap/>
            <w:vAlign w:val="bottom"/>
            <w:hideMark/>
          </w:tcPr>
          <w:p w14:paraId="5F7BF3D7"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Q1</w:t>
            </w:r>
          </w:p>
        </w:tc>
        <w:tc>
          <w:tcPr>
            <w:tcW w:w="310" w:type="pct"/>
            <w:gridSpan w:val="3"/>
            <w:tcBorders>
              <w:top w:val="nil"/>
              <w:left w:val="nil"/>
              <w:bottom w:val="single" w:sz="4" w:space="0" w:color="auto"/>
              <w:right w:val="single" w:sz="4" w:space="0" w:color="auto"/>
            </w:tcBorders>
            <w:shd w:val="clear" w:color="auto" w:fill="auto"/>
            <w:noWrap/>
            <w:vAlign w:val="bottom"/>
            <w:hideMark/>
          </w:tcPr>
          <w:p w14:paraId="3146769E" w14:textId="77777777" w:rsidR="00EB1D4A" w:rsidRPr="003C341F" w:rsidRDefault="00EB1D4A" w:rsidP="00EB1D4A">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Q2</w:t>
            </w:r>
          </w:p>
        </w:tc>
      </w:tr>
      <w:tr w:rsidR="00D818F5" w:rsidRPr="003C341F" w14:paraId="705C4DD7" w14:textId="77777777" w:rsidTr="00D818F5">
        <w:trPr>
          <w:trHeight w:val="283"/>
        </w:trPr>
        <w:tc>
          <w:tcPr>
            <w:tcW w:w="1423" w:type="pct"/>
            <w:gridSpan w:val="2"/>
            <w:tcBorders>
              <w:top w:val="nil"/>
              <w:left w:val="single" w:sz="4" w:space="0" w:color="auto"/>
              <w:right w:val="single" w:sz="4" w:space="0" w:color="000000"/>
            </w:tcBorders>
            <w:shd w:val="clear" w:color="auto" w:fill="auto"/>
            <w:noWrap/>
            <w:vAlign w:val="bottom"/>
            <w:hideMark/>
          </w:tcPr>
          <w:p w14:paraId="2134D996" w14:textId="77777777" w:rsidR="00EB1D4A" w:rsidRPr="003C341F" w:rsidRDefault="00EB1D4A" w:rsidP="00EB1D4A">
            <w:pPr>
              <w:spacing w:after="0" w:line="240" w:lineRule="auto"/>
              <w:jc w:val="left"/>
              <w:rPr>
                <w:rFonts w:ascii="Calibri" w:eastAsia="Times New Roman" w:hAnsi="Calibri"/>
                <w:b/>
                <w:bCs/>
                <w:color w:val="000000"/>
                <w:sz w:val="14"/>
                <w:szCs w:val="14"/>
                <w:lang w:val="en-AU" w:eastAsia="en-AU"/>
              </w:rPr>
            </w:pPr>
            <w:r w:rsidRPr="003C341F">
              <w:rPr>
                <w:rFonts w:ascii="Calibri" w:eastAsia="Times New Roman" w:hAnsi="Calibri"/>
                <w:b/>
                <w:bCs/>
                <w:color w:val="000000"/>
                <w:sz w:val="14"/>
                <w:szCs w:val="14"/>
                <w:lang w:val="en-AU" w:eastAsia="en-AU"/>
              </w:rPr>
              <w:t>Component 1</w:t>
            </w:r>
          </w:p>
        </w:tc>
        <w:tc>
          <w:tcPr>
            <w:tcW w:w="103" w:type="pct"/>
            <w:tcBorders>
              <w:top w:val="nil"/>
              <w:left w:val="nil"/>
              <w:right w:val="nil"/>
            </w:tcBorders>
            <w:shd w:val="clear" w:color="auto" w:fill="auto"/>
            <w:noWrap/>
            <w:vAlign w:val="bottom"/>
            <w:hideMark/>
          </w:tcPr>
          <w:p w14:paraId="038C18B3" w14:textId="77777777" w:rsidR="00EB1D4A" w:rsidRPr="003C341F" w:rsidRDefault="00EB1D4A" w:rsidP="00EB1D4A">
            <w:pPr>
              <w:spacing w:after="0" w:line="240" w:lineRule="auto"/>
              <w:jc w:val="left"/>
              <w:rPr>
                <w:rFonts w:ascii="Calibri" w:eastAsia="Times New Roman" w:hAnsi="Calibri"/>
                <w:b/>
                <w:bCs/>
                <w:color w:val="000000"/>
                <w:sz w:val="14"/>
                <w:szCs w:val="14"/>
                <w:lang w:val="en-AU" w:eastAsia="en-AU"/>
              </w:rPr>
            </w:pPr>
          </w:p>
        </w:tc>
        <w:tc>
          <w:tcPr>
            <w:tcW w:w="103" w:type="pct"/>
            <w:tcBorders>
              <w:top w:val="nil"/>
              <w:left w:val="nil"/>
              <w:right w:val="nil"/>
            </w:tcBorders>
            <w:shd w:val="clear" w:color="auto" w:fill="auto"/>
            <w:noWrap/>
            <w:vAlign w:val="bottom"/>
            <w:hideMark/>
          </w:tcPr>
          <w:p w14:paraId="309C504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77BFEDE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1915E54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78087C5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78965F34"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single" w:sz="4" w:space="0" w:color="auto"/>
              <w:right w:val="nil"/>
            </w:tcBorders>
            <w:shd w:val="clear" w:color="auto" w:fill="auto"/>
            <w:noWrap/>
            <w:vAlign w:val="bottom"/>
            <w:hideMark/>
          </w:tcPr>
          <w:p w14:paraId="3BCF5330"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nil"/>
              <w:left w:val="nil"/>
              <w:right w:val="nil"/>
            </w:tcBorders>
            <w:shd w:val="clear" w:color="auto" w:fill="auto"/>
            <w:noWrap/>
            <w:vAlign w:val="bottom"/>
            <w:hideMark/>
          </w:tcPr>
          <w:p w14:paraId="1BB737AD"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nil"/>
              <w:left w:val="nil"/>
              <w:right w:val="nil"/>
            </w:tcBorders>
            <w:shd w:val="clear" w:color="auto" w:fill="auto"/>
            <w:noWrap/>
            <w:vAlign w:val="bottom"/>
            <w:hideMark/>
          </w:tcPr>
          <w:p w14:paraId="5EDF962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429039B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32043D9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67BB7E3A"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1EE6760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0A49AC4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4763D8B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nil"/>
              <w:left w:val="nil"/>
              <w:right w:val="nil"/>
            </w:tcBorders>
            <w:shd w:val="clear" w:color="auto" w:fill="auto"/>
            <w:noWrap/>
            <w:vAlign w:val="bottom"/>
            <w:hideMark/>
          </w:tcPr>
          <w:p w14:paraId="5C7CEC85"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nil"/>
              <w:left w:val="nil"/>
              <w:right w:val="nil"/>
            </w:tcBorders>
            <w:shd w:val="clear" w:color="auto" w:fill="auto"/>
            <w:noWrap/>
            <w:vAlign w:val="bottom"/>
            <w:hideMark/>
          </w:tcPr>
          <w:p w14:paraId="3F8A8B9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nil"/>
              <w:left w:val="nil"/>
              <w:right w:val="nil"/>
            </w:tcBorders>
            <w:shd w:val="clear" w:color="auto" w:fill="auto"/>
            <w:noWrap/>
            <w:vAlign w:val="bottom"/>
            <w:hideMark/>
          </w:tcPr>
          <w:p w14:paraId="4119576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nil"/>
              <w:left w:val="single" w:sz="4" w:space="0" w:color="auto"/>
              <w:right w:val="nil"/>
            </w:tcBorders>
            <w:shd w:val="clear" w:color="auto" w:fill="auto"/>
            <w:noWrap/>
            <w:vAlign w:val="bottom"/>
            <w:hideMark/>
          </w:tcPr>
          <w:p w14:paraId="043ACB7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nil"/>
              <w:left w:val="nil"/>
              <w:right w:val="nil"/>
            </w:tcBorders>
            <w:shd w:val="clear" w:color="auto" w:fill="auto"/>
            <w:noWrap/>
            <w:vAlign w:val="bottom"/>
            <w:hideMark/>
          </w:tcPr>
          <w:p w14:paraId="5E9C147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83" w:type="pct"/>
            <w:tcBorders>
              <w:top w:val="nil"/>
              <w:left w:val="nil"/>
              <w:right w:val="nil"/>
            </w:tcBorders>
            <w:shd w:val="clear" w:color="auto" w:fill="auto"/>
            <w:noWrap/>
            <w:vAlign w:val="bottom"/>
            <w:hideMark/>
          </w:tcPr>
          <w:p w14:paraId="24C994E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nil"/>
              <w:left w:val="nil"/>
              <w:right w:val="nil"/>
            </w:tcBorders>
            <w:shd w:val="clear" w:color="auto" w:fill="auto"/>
            <w:noWrap/>
            <w:vAlign w:val="bottom"/>
            <w:hideMark/>
          </w:tcPr>
          <w:p w14:paraId="64618DC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0D88BF7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52253C1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797E7F9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04F0AF4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2080E2E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0B8E776A"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7387E4C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3F600314"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single" w:sz="4" w:space="0" w:color="auto"/>
              <w:right w:val="nil"/>
            </w:tcBorders>
            <w:shd w:val="clear" w:color="auto" w:fill="auto"/>
            <w:noWrap/>
            <w:vAlign w:val="bottom"/>
            <w:hideMark/>
          </w:tcPr>
          <w:p w14:paraId="6162E20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nil"/>
              <w:left w:val="nil"/>
              <w:right w:val="nil"/>
            </w:tcBorders>
            <w:shd w:val="clear" w:color="auto" w:fill="auto"/>
            <w:noWrap/>
            <w:vAlign w:val="bottom"/>
            <w:hideMark/>
          </w:tcPr>
          <w:p w14:paraId="2985A5C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nil"/>
              <w:left w:val="nil"/>
              <w:right w:val="nil"/>
            </w:tcBorders>
            <w:shd w:val="clear" w:color="auto" w:fill="auto"/>
            <w:noWrap/>
            <w:vAlign w:val="bottom"/>
            <w:hideMark/>
          </w:tcPr>
          <w:p w14:paraId="07363DA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46E71E0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nil"/>
            </w:tcBorders>
            <w:shd w:val="clear" w:color="auto" w:fill="auto"/>
            <w:noWrap/>
            <w:vAlign w:val="bottom"/>
            <w:hideMark/>
          </w:tcPr>
          <w:p w14:paraId="2B77085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right w:val="single" w:sz="4" w:space="0" w:color="auto"/>
            </w:tcBorders>
            <w:shd w:val="clear" w:color="auto" w:fill="auto"/>
            <w:noWrap/>
            <w:vAlign w:val="bottom"/>
            <w:hideMark/>
          </w:tcPr>
          <w:p w14:paraId="1088EF9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r>
      <w:tr w:rsidR="00D818F5" w:rsidRPr="003C341F" w14:paraId="4B40FEF2" w14:textId="77777777" w:rsidTr="00D818F5">
        <w:trPr>
          <w:trHeight w:val="283"/>
        </w:trPr>
        <w:tc>
          <w:tcPr>
            <w:tcW w:w="83" w:type="pct"/>
            <w:tcBorders>
              <w:top w:val="nil"/>
              <w:left w:val="single" w:sz="4" w:space="0" w:color="auto"/>
              <w:bottom w:val="single" w:sz="4" w:space="0" w:color="D9D9D9" w:themeColor="background1" w:themeShade="D9"/>
              <w:right w:val="nil"/>
            </w:tcBorders>
            <w:shd w:val="clear" w:color="auto" w:fill="auto"/>
            <w:noWrap/>
            <w:vAlign w:val="bottom"/>
            <w:hideMark/>
          </w:tcPr>
          <w:p w14:paraId="2023371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nil"/>
              <w:left w:val="nil"/>
              <w:bottom w:val="single" w:sz="4" w:space="0" w:color="D9D9D9" w:themeColor="background1" w:themeShade="D9"/>
              <w:right w:val="single" w:sz="4" w:space="0" w:color="auto"/>
            </w:tcBorders>
            <w:shd w:val="clear" w:color="auto" w:fill="auto"/>
            <w:noWrap/>
            <w:vAlign w:val="bottom"/>
          </w:tcPr>
          <w:p w14:paraId="0204CB6B" w14:textId="2A5026EC" w:rsidR="00EB1D4A" w:rsidRPr="003C341F" w:rsidRDefault="00662F77" w:rsidP="00EB1D4A">
            <w:pPr>
              <w:spacing w:after="0" w:line="240" w:lineRule="auto"/>
              <w:jc w:val="left"/>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Work closely with the World Bank and health sector to finalise the new Primary Health Care Program</w:t>
            </w:r>
          </w:p>
        </w:tc>
        <w:tc>
          <w:tcPr>
            <w:tcW w:w="103" w:type="pct"/>
            <w:tcBorders>
              <w:top w:val="nil"/>
              <w:left w:val="nil"/>
              <w:bottom w:val="single" w:sz="4" w:space="0" w:color="D9D9D9" w:themeColor="background1" w:themeShade="D9"/>
              <w:right w:val="nil"/>
            </w:tcBorders>
            <w:shd w:val="clear" w:color="auto" w:fill="auto"/>
            <w:noWrap/>
            <w:vAlign w:val="bottom"/>
            <w:hideMark/>
          </w:tcPr>
          <w:p w14:paraId="0CFC707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nil"/>
              <w:left w:val="nil"/>
              <w:bottom w:val="single" w:sz="4" w:space="0" w:color="D9D9D9" w:themeColor="background1" w:themeShade="D9"/>
              <w:right w:val="nil"/>
            </w:tcBorders>
            <w:shd w:val="clear" w:color="000000" w:fill="BFBFBF"/>
            <w:noWrap/>
            <w:vAlign w:val="bottom"/>
            <w:hideMark/>
          </w:tcPr>
          <w:p w14:paraId="4B7409C2"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nil"/>
              <w:left w:val="nil"/>
              <w:bottom w:val="single" w:sz="4" w:space="0" w:color="D9D9D9" w:themeColor="background1" w:themeShade="D9"/>
              <w:right w:val="nil"/>
            </w:tcBorders>
            <w:shd w:val="clear" w:color="000000" w:fill="BFBFBF"/>
            <w:noWrap/>
            <w:vAlign w:val="bottom"/>
            <w:hideMark/>
          </w:tcPr>
          <w:p w14:paraId="3DA7379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nil"/>
              <w:left w:val="nil"/>
              <w:bottom w:val="single" w:sz="4" w:space="0" w:color="D9D9D9" w:themeColor="background1" w:themeShade="D9"/>
              <w:right w:val="nil"/>
            </w:tcBorders>
            <w:shd w:val="clear" w:color="000000" w:fill="BFBFBF"/>
            <w:noWrap/>
            <w:vAlign w:val="bottom"/>
            <w:hideMark/>
          </w:tcPr>
          <w:p w14:paraId="530CDB39"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nil"/>
              <w:left w:val="nil"/>
              <w:bottom w:val="single" w:sz="4" w:space="0" w:color="D9D9D9" w:themeColor="background1" w:themeShade="D9"/>
              <w:right w:val="nil"/>
            </w:tcBorders>
            <w:shd w:val="clear" w:color="auto" w:fill="auto"/>
            <w:noWrap/>
            <w:vAlign w:val="bottom"/>
            <w:hideMark/>
          </w:tcPr>
          <w:p w14:paraId="2F42F01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3601D97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single" w:sz="4" w:space="0" w:color="auto"/>
              <w:bottom w:val="single" w:sz="4" w:space="0" w:color="D9D9D9" w:themeColor="background1" w:themeShade="D9"/>
              <w:right w:val="nil"/>
            </w:tcBorders>
            <w:shd w:val="clear" w:color="auto" w:fill="auto"/>
            <w:noWrap/>
            <w:vAlign w:val="bottom"/>
            <w:hideMark/>
          </w:tcPr>
          <w:p w14:paraId="00011AD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nil"/>
              <w:left w:val="nil"/>
              <w:bottom w:val="single" w:sz="4" w:space="0" w:color="D9D9D9" w:themeColor="background1" w:themeShade="D9"/>
              <w:right w:val="nil"/>
            </w:tcBorders>
            <w:shd w:val="clear" w:color="auto" w:fill="BFBFBF" w:themeFill="background1" w:themeFillShade="BF"/>
            <w:noWrap/>
            <w:vAlign w:val="bottom"/>
            <w:hideMark/>
          </w:tcPr>
          <w:p w14:paraId="456EF402"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nil"/>
              <w:left w:val="nil"/>
              <w:bottom w:val="single" w:sz="4" w:space="0" w:color="D9D9D9" w:themeColor="background1" w:themeShade="D9"/>
              <w:right w:val="nil"/>
            </w:tcBorders>
            <w:shd w:val="clear" w:color="auto" w:fill="BFBFBF" w:themeFill="background1" w:themeFillShade="BF"/>
            <w:noWrap/>
            <w:vAlign w:val="bottom"/>
            <w:hideMark/>
          </w:tcPr>
          <w:p w14:paraId="4C93C506" w14:textId="77777777" w:rsidR="00EB1D4A" w:rsidRPr="00662F77"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nil"/>
              <w:left w:val="nil"/>
              <w:bottom w:val="single" w:sz="4" w:space="0" w:color="D9D9D9" w:themeColor="background1" w:themeShade="D9"/>
              <w:right w:val="nil"/>
            </w:tcBorders>
            <w:shd w:val="clear" w:color="auto" w:fill="BFBFBF" w:themeFill="background1" w:themeFillShade="BF"/>
            <w:noWrap/>
            <w:vAlign w:val="bottom"/>
            <w:hideMark/>
          </w:tcPr>
          <w:p w14:paraId="5BFA45C7" w14:textId="77777777" w:rsidR="00EB1D4A" w:rsidRPr="00662F77"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nil"/>
              <w:left w:val="nil"/>
              <w:bottom w:val="single" w:sz="4" w:space="0" w:color="D9D9D9" w:themeColor="background1" w:themeShade="D9"/>
              <w:right w:val="nil"/>
            </w:tcBorders>
            <w:shd w:val="clear" w:color="auto" w:fill="BFBFBF" w:themeFill="background1" w:themeFillShade="BF"/>
            <w:noWrap/>
            <w:vAlign w:val="bottom"/>
            <w:hideMark/>
          </w:tcPr>
          <w:p w14:paraId="2B53D1E4" w14:textId="77777777" w:rsidR="00EB1D4A" w:rsidRPr="00662F77"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49A7CF3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45C4BA4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272B456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42136EA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nil"/>
              <w:left w:val="nil"/>
              <w:bottom w:val="single" w:sz="4" w:space="0" w:color="D9D9D9" w:themeColor="background1" w:themeShade="D9"/>
              <w:right w:val="nil"/>
            </w:tcBorders>
            <w:shd w:val="clear" w:color="auto" w:fill="auto"/>
            <w:noWrap/>
            <w:vAlign w:val="bottom"/>
            <w:hideMark/>
          </w:tcPr>
          <w:p w14:paraId="7E896A9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nil"/>
              <w:left w:val="nil"/>
              <w:bottom w:val="single" w:sz="4" w:space="0" w:color="D9D9D9" w:themeColor="background1" w:themeShade="D9"/>
              <w:right w:val="nil"/>
            </w:tcBorders>
            <w:shd w:val="clear" w:color="auto" w:fill="auto"/>
            <w:noWrap/>
            <w:vAlign w:val="bottom"/>
            <w:hideMark/>
          </w:tcPr>
          <w:p w14:paraId="78CA0B59"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nil"/>
              <w:left w:val="nil"/>
              <w:bottom w:val="single" w:sz="4" w:space="0" w:color="D9D9D9" w:themeColor="background1" w:themeShade="D9"/>
              <w:right w:val="nil"/>
            </w:tcBorders>
            <w:shd w:val="clear" w:color="auto" w:fill="auto"/>
            <w:noWrap/>
            <w:vAlign w:val="bottom"/>
            <w:hideMark/>
          </w:tcPr>
          <w:p w14:paraId="7A224B0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nil"/>
              <w:left w:val="single" w:sz="4" w:space="0" w:color="auto"/>
              <w:bottom w:val="single" w:sz="4" w:space="0" w:color="D9D9D9" w:themeColor="background1" w:themeShade="D9"/>
              <w:right w:val="nil"/>
            </w:tcBorders>
            <w:shd w:val="clear" w:color="auto" w:fill="auto"/>
            <w:noWrap/>
            <w:vAlign w:val="bottom"/>
            <w:hideMark/>
          </w:tcPr>
          <w:p w14:paraId="10A5CCA0"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nil"/>
              <w:left w:val="nil"/>
              <w:bottom w:val="single" w:sz="4" w:space="0" w:color="D9D9D9" w:themeColor="background1" w:themeShade="D9"/>
              <w:right w:val="nil"/>
            </w:tcBorders>
            <w:shd w:val="clear" w:color="auto" w:fill="auto"/>
            <w:noWrap/>
            <w:vAlign w:val="bottom"/>
            <w:hideMark/>
          </w:tcPr>
          <w:p w14:paraId="43A7D1B1"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83" w:type="pct"/>
            <w:tcBorders>
              <w:top w:val="nil"/>
              <w:left w:val="nil"/>
              <w:bottom w:val="single" w:sz="4" w:space="0" w:color="D9D9D9" w:themeColor="background1" w:themeShade="D9"/>
              <w:right w:val="nil"/>
            </w:tcBorders>
            <w:shd w:val="clear" w:color="auto" w:fill="auto"/>
            <w:noWrap/>
            <w:vAlign w:val="bottom"/>
            <w:hideMark/>
          </w:tcPr>
          <w:p w14:paraId="18245CA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nil"/>
              <w:left w:val="nil"/>
              <w:bottom w:val="single" w:sz="4" w:space="0" w:color="D9D9D9" w:themeColor="background1" w:themeShade="D9"/>
              <w:right w:val="nil"/>
            </w:tcBorders>
            <w:shd w:val="clear" w:color="auto" w:fill="auto"/>
            <w:noWrap/>
            <w:vAlign w:val="bottom"/>
            <w:hideMark/>
          </w:tcPr>
          <w:p w14:paraId="460334F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0414518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1A87B74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638EEA7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7CC5E8F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4F8730B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1065707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1E97783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33EBB5AA"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single" w:sz="4" w:space="0" w:color="auto"/>
              <w:bottom w:val="single" w:sz="4" w:space="0" w:color="D9D9D9" w:themeColor="background1" w:themeShade="D9"/>
              <w:right w:val="nil"/>
            </w:tcBorders>
            <w:shd w:val="clear" w:color="auto" w:fill="auto"/>
            <w:noWrap/>
            <w:vAlign w:val="bottom"/>
            <w:hideMark/>
          </w:tcPr>
          <w:p w14:paraId="74A512D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nil"/>
              <w:left w:val="nil"/>
              <w:bottom w:val="single" w:sz="4" w:space="0" w:color="D9D9D9" w:themeColor="background1" w:themeShade="D9"/>
              <w:right w:val="nil"/>
            </w:tcBorders>
            <w:shd w:val="clear" w:color="auto" w:fill="auto"/>
            <w:noWrap/>
            <w:vAlign w:val="bottom"/>
            <w:hideMark/>
          </w:tcPr>
          <w:p w14:paraId="7BD1E63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3E7A2A9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6FC0D5D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nil"/>
            </w:tcBorders>
            <w:shd w:val="clear" w:color="auto" w:fill="auto"/>
            <w:noWrap/>
            <w:vAlign w:val="bottom"/>
            <w:hideMark/>
          </w:tcPr>
          <w:p w14:paraId="53D99EE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nil"/>
              <w:left w:val="nil"/>
              <w:bottom w:val="single" w:sz="4" w:space="0" w:color="D9D9D9" w:themeColor="background1" w:themeShade="D9"/>
              <w:right w:val="single" w:sz="4" w:space="0" w:color="auto"/>
            </w:tcBorders>
            <w:shd w:val="clear" w:color="auto" w:fill="auto"/>
            <w:noWrap/>
            <w:vAlign w:val="bottom"/>
            <w:hideMark/>
          </w:tcPr>
          <w:p w14:paraId="5EB11A0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r>
      <w:tr w:rsidR="00D818F5" w:rsidRPr="003C341F" w14:paraId="29281E3A"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78179C9"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tcPr>
          <w:p w14:paraId="5D29CEC3" w14:textId="5984BB5D" w:rsidR="00EB1D4A" w:rsidRPr="003C341F" w:rsidRDefault="00662F77" w:rsidP="00EB1D4A">
            <w:pPr>
              <w:spacing w:after="0" w:line="240" w:lineRule="auto"/>
              <w:jc w:val="left"/>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Agreement on specific activities for DFAT to fund under the Primary Health Care Program</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EDF84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F5A11F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D70BCB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905E140"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19F237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11FCC65"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BF0FB75"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6EB9D42"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7FCBA1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57B679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A41A28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3062337"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D81B19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387126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FD9BF6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F909EE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A2D88A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E0E629"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1EA64C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829BEE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48D60C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EC5DF3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810708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9B901E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98B744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5F8B4D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13D746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DA7F314"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F2527A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F6FD06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F9B7807"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A58989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3E35A15"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403C76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006545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1DDFAE2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r>
      <w:tr w:rsidR="00D818F5" w:rsidRPr="003C341F" w14:paraId="1D5B549D"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31C62AD"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tcPr>
          <w:p w14:paraId="730244E3" w14:textId="45D425D8" w:rsidR="00EB1D4A" w:rsidRPr="003C341F" w:rsidRDefault="00662F77" w:rsidP="00EB1D4A">
            <w:pPr>
              <w:spacing w:after="0" w:line="240" w:lineRule="auto"/>
              <w:jc w:val="left"/>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Implementation of the Primary Health Care Program</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919A198"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5908A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DACDC1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84ECED"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581EFE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4DD4669"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7E30DA7"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C8F7B88"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8315A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AE199D4"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BD739C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AD0402A"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23A6000"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7481CA8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24441F0"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7FA26F5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59791E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72C48D6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000000" w:fill="BFBFBF"/>
            <w:noWrap/>
            <w:vAlign w:val="bottom"/>
            <w:hideMark/>
          </w:tcPr>
          <w:p w14:paraId="79717D62"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1E41835"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7681699D"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DBDAD5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0B0900B"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092C5D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39BDC79D"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09FB67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A26CFD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DFF3255"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523AC39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336D5F9A"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BFBFBF" w:themeFill="background1" w:themeFillShade="BF"/>
            <w:noWrap/>
            <w:vAlign w:val="bottom"/>
            <w:hideMark/>
          </w:tcPr>
          <w:p w14:paraId="05F96D31"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CDEA6E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4B5A4F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7856DC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74D1E015"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BFBFBF" w:themeFill="background1" w:themeFillShade="BF"/>
            <w:noWrap/>
            <w:vAlign w:val="bottom"/>
            <w:hideMark/>
          </w:tcPr>
          <w:p w14:paraId="328E6F94"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r>
      <w:tr w:rsidR="00D818F5" w:rsidRPr="003C341F" w14:paraId="640B8BF6"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A6D0CFD"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1497FCB0" w14:textId="006F331D" w:rsidR="00EB1D4A" w:rsidRPr="003C341F" w:rsidRDefault="00EB1D4A"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xml:space="preserve">Recruit </w:t>
            </w:r>
            <w:r w:rsidR="00662F77">
              <w:rPr>
                <w:rFonts w:ascii="Calibri" w:eastAsia="Times New Roman" w:hAnsi="Calibri"/>
                <w:color w:val="000000"/>
                <w:sz w:val="14"/>
                <w:szCs w:val="14"/>
                <w:lang w:val="en-AU" w:eastAsia="en-AU"/>
              </w:rPr>
              <w:t>Epidemiologist for the MOH Surveillance Unit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5C596F3"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83CA5C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9B13B75"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F42C1C2"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F10098B"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54AD9B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38EE82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7C6CA2C9"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6EAE06E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254CD9DD"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04EC17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85FAA79"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91BB40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D75D9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F2E684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262963A"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B29F84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426810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430BD18"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CD2E33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1636FE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EC7B55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E85E4EA"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1ABB1F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2D6F2C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B2B750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D36B1F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5631C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3BFE84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43F790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321233FE"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F61712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8401714"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DC22F9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DA9493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26B93A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r>
      <w:tr w:rsidR="00D818F5" w:rsidRPr="003C341F" w14:paraId="66CF43A3"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A053B9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25CC579E" w14:textId="711AD0F5" w:rsidR="00EB1D4A" w:rsidRPr="003C341F" w:rsidRDefault="00662F77" w:rsidP="00EB1D4A">
            <w:pPr>
              <w:spacing w:after="0" w:line="240" w:lineRule="auto"/>
              <w:jc w:val="left"/>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Epidemiologist working alongside Samoan counterpart(s)</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B4A059E"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1C6413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DC17589"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1C6E15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5BF6E8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C009D38"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E9C3533"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9B1C6C9"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423DE05"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0926D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D246C82"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963A5F9"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6EE306E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68D277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02F956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7C84ACA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08E12B2A"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141944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BFBFBF" w:themeFill="background1" w:themeFillShade="BF"/>
            <w:noWrap/>
            <w:vAlign w:val="bottom"/>
            <w:hideMark/>
          </w:tcPr>
          <w:p w14:paraId="0BE2D74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8691343"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214B6BA"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3FB2B8B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6641DD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09D99C2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7C48058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72087D2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AB555A5"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29A3821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00C3975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6A90867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582879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B98E920"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43443B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416D48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E4A52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40A075AD"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r>
      <w:tr w:rsidR="00D818F5" w:rsidRPr="003C341F" w14:paraId="5E37215A"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3862C398"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FF66FF7" w14:textId="641DA4E2" w:rsidR="00EB1D4A" w:rsidRPr="003C341F" w:rsidRDefault="00662F77" w:rsidP="00EB1D4A">
            <w:pPr>
              <w:spacing w:after="0" w:line="240" w:lineRule="auto"/>
              <w:jc w:val="left"/>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Epidemiologist prepare completion plan</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C32371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D783775"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7F4761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8625FF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1084EE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6C7313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2B88B4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CC53E9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5FF58D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FFEE63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0D3F20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DF9BD8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0E8D7F5"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B1B73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FCF3B7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C29D0D9"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B3DF5A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3056222"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09265C2"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5667D3"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CD9B17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678C759"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2846D1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D58F90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9556085"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B64C14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356CD0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4046D64"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8E58C1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93C247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34F1E4E"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2D4A579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80F6A7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2732D1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794D1F9"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63480D6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r>
      <w:tr w:rsidR="00D818F5" w:rsidRPr="003C341F" w14:paraId="63CF8632"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596B661"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21DF7BA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Pharmaceutical procurement specialist recruited</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5974751"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797AC80"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0C1AA4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0AEBDB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B1C1D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067430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4844F06"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2D851F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FCDBFE4"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347523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22AC1C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D58E469"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63F56F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6F79B1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404BF8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5339A19"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7AB699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5FE2AF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2C2CAE8"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5EEC7D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475B81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322FB5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010484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BB09E1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1AD006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4F63CB4"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583767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F64B275"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51F1CD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5A1C13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97D35E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38A2601"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5E0BF9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22EBC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8BC2F0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0664CB15"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r>
      <w:tr w:rsidR="00D818F5" w:rsidRPr="003C341F" w14:paraId="41B4BC1E"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B5C146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06870D35"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Pharmaceutical procurement specialist working alongside Samoan counterpart(s)</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6126BA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B9488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E21235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8566DF8"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6C58BF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398ABB9"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000000" w:fill="BFBFBF"/>
            <w:noWrap/>
            <w:vAlign w:val="bottom"/>
            <w:hideMark/>
          </w:tcPr>
          <w:p w14:paraId="5300BC3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E423671"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D2F756D"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0B8B16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87AE8AE"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E3D256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AD0406C"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24459E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33AF27B"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7750532"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F54FE99"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AB7FD3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F7A79DE"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8A20913"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B42E60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080A43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228B8D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F48927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E2777B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B2929F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53C755A"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B6EB824"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19B0AA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3F39C4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3BE3478"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2EFA4A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E8D6CD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2948450"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6A4E19B"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1E6FCA6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r>
      <w:tr w:rsidR="00D818F5" w:rsidRPr="003C341F" w14:paraId="342FFB0F"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DA1978D"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4B3FCF18"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Pharmaceutical procurement specialist prepares withdrawal plan</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9F8A182"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258F79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1FC70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024447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62AA86"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63499B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AFAD74E"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422978A"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E1C588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07E2E1A"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3BB9894"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ED9266E"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BA41A6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196F14F"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6B44D80"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E0DED41"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53DAF0"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702FAA2"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85603B3"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6D8C49F"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4FBAC0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6035F1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63A0F7"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B22F2A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6C2EE9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F480A78"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9C681D9"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703D2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FE78491"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FD5A8B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2B70A04"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3080D80" w14:textId="77777777" w:rsidR="00EB1D4A" w:rsidRPr="003C341F" w:rsidRDefault="00EB1D4A"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6FABD5D"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C3F9F23"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FC8A90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500A3F6C" w14:textId="77777777" w:rsidR="00EB1D4A" w:rsidRPr="003C341F" w:rsidRDefault="00EB1D4A" w:rsidP="00EB1D4A">
            <w:pPr>
              <w:spacing w:after="0" w:line="240" w:lineRule="auto"/>
              <w:jc w:val="left"/>
              <w:rPr>
                <w:rFonts w:ascii="Times New Roman" w:eastAsia="Times New Roman" w:hAnsi="Times New Roman"/>
                <w:sz w:val="14"/>
                <w:szCs w:val="14"/>
                <w:lang w:val="en-AU" w:eastAsia="en-AU"/>
              </w:rPr>
            </w:pPr>
          </w:p>
        </w:tc>
      </w:tr>
      <w:tr w:rsidR="00D818F5" w:rsidRPr="003C341F" w14:paraId="08CC7A50"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FBF4CB6" w14:textId="77777777" w:rsidR="00D818F5" w:rsidRPr="003C341F" w:rsidRDefault="00D818F5"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58EEA8EC" w14:textId="77777777" w:rsidR="00D818F5" w:rsidRPr="003C341F" w:rsidRDefault="00D818F5"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Biomedical equipment procurement specialist recruited</w:t>
            </w:r>
          </w:p>
        </w:tc>
        <w:tc>
          <w:tcPr>
            <w:tcW w:w="620" w:type="pct"/>
            <w:gridSpan w:val="6"/>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5BD5FAF" w14:textId="77777777" w:rsidR="00D818F5" w:rsidRPr="003C341F" w:rsidRDefault="00D818F5"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r>
              <w:rPr>
                <w:rFonts w:ascii="Calibri" w:eastAsia="Times New Roman" w:hAnsi="Calibri"/>
                <w:color w:val="000000"/>
                <w:sz w:val="14"/>
                <w:szCs w:val="14"/>
                <w:lang w:val="en-AU" w:eastAsia="en-AU"/>
              </w:rPr>
              <w:t>Completed 2016</w:t>
            </w:r>
          </w:p>
          <w:p w14:paraId="178CCBF1" w14:textId="2D0CB4B0" w:rsidR="00D818F5" w:rsidRPr="003C341F" w:rsidRDefault="00D818F5" w:rsidP="00EB1D4A">
            <w:pPr>
              <w:spacing w:after="0" w:line="240" w:lineRule="auto"/>
              <w:jc w:val="left"/>
              <w:rPr>
                <w:rFonts w:ascii="Times New Roman" w:eastAsia="Times New Roman" w:hAnsi="Times New Roman"/>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F78A10A" w14:textId="77777777" w:rsidR="00D818F5" w:rsidRPr="003C341F" w:rsidRDefault="00D818F5"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1C6B0DC" w14:textId="77777777" w:rsidR="00D818F5" w:rsidRPr="003C341F" w:rsidRDefault="00D818F5"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E7BB28D"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7DA1C4"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0B3AE2D"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82DC340"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EA82BFE"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4AC7C87"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83204EE"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1F42003"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D7CEF19"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CED9461"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16248A4" w14:textId="77777777" w:rsidR="00D818F5" w:rsidRPr="003C341F" w:rsidRDefault="00D818F5"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289C213" w14:textId="77777777" w:rsidR="00D818F5" w:rsidRPr="003C341F" w:rsidRDefault="00D818F5" w:rsidP="00EB1D4A">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9E72E8A"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4F14398"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6BAE16F"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67102D"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EE478AB"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DF62EA8"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868CAA7"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73370E3"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B7E96FF"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2738903"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55BD96F" w14:textId="77777777" w:rsidR="00D818F5" w:rsidRPr="003C341F" w:rsidRDefault="00D818F5" w:rsidP="00EB1D4A">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FB14AA5" w14:textId="77777777" w:rsidR="00D818F5" w:rsidRPr="003C341F" w:rsidRDefault="00D818F5" w:rsidP="00EB1D4A">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F898C2F"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AD3C4A9"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92C5C36"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65DA7522" w14:textId="77777777" w:rsidR="00D818F5" w:rsidRPr="003C341F" w:rsidRDefault="00D818F5" w:rsidP="00EB1D4A">
            <w:pPr>
              <w:spacing w:after="0" w:line="240" w:lineRule="auto"/>
              <w:jc w:val="left"/>
              <w:rPr>
                <w:rFonts w:ascii="Times New Roman" w:eastAsia="Times New Roman" w:hAnsi="Times New Roman"/>
                <w:sz w:val="14"/>
                <w:szCs w:val="14"/>
                <w:lang w:val="en-AU" w:eastAsia="en-AU"/>
              </w:rPr>
            </w:pPr>
          </w:p>
        </w:tc>
      </w:tr>
      <w:tr w:rsidR="00D818F5" w:rsidRPr="003C341F" w14:paraId="6EB878AB"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77D0430"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021676F7"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Biomedical equipment procurement specialist working alongside Samoan counterpart(s)</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2DE86D2"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DE6FCC3"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17B807C"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9FCDF00"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503E78E"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71D70348"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000000" w:fill="BFBFBF"/>
            <w:noWrap/>
            <w:vAlign w:val="bottom"/>
            <w:hideMark/>
          </w:tcPr>
          <w:p w14:paraId="60A5D30C"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49E50CB"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88E68FE"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A5EABAB"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CEC9F54"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CA93C0C"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73716CBA" w14:textId="1881F1D3"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16509A3"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C2FABF8"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BE54FAA"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72E0F4A" w14:textId="166F75F1"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D0D5E40"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4E5AB53"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9EA3C2E"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13B749"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16B27B0"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6DE5F4F"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BFB2167"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C3D661B"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A82CCAF"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6F33C3B"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C5A5137"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FEA8424"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2DC5F21"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B3A26D1"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0EFF1BF"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01A13B7"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373198A"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1A7969B"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05497920"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r>
      <w:tr w:rsidR="00D818F5" w:rsidRPr="003C341F" w14:paraId="14B9E15C" w14:textId="77777777" w:rsidTr="00F32C0A">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35FA333B"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5A8C22B1"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Biomedical equipment procurement specialist prepares withdrawal plan</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D1BCC59"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3E7B4953"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AB8CA93"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E401F93"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D0830C1"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E433A98"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42BDB4B"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188B2AC"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43B5604"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35F8FA6"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416B5FC"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65066ED"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5897EE5"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6D5E723"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71122A7"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76B1ABD"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2ED95BC"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96154E"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BBC1A2B"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44AC60"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795C706"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8011D73"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DD3B0AD"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D2DA5E6"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B426C94"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E4C45B4"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F1ADF5B"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4F7A582"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B956B61"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E454B86"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36EFAA5"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39250CD"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F329F8A"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41F4D86"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EDBFBC"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2EE14FA9"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r>
      <w:tr w:rsidR="00D818F5" w:rsidRPr="003C341F" w14:paraId="62758066"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3A074D88"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45361C58"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xml:space="preserve">Biomedical equipment </w:t>
            </w:r>
            <w:proofErr w:type="gramStart"/>
            <w:r w:rsidRPr="003C341F">
              <w:rPr>
                <w:rFonts w:ascii="Calibri" w:eastAsia="Times New Roman" w:hAnsi="Calibri"/>
                <w:color w:val="000000"/>
                <w:sz w:val="14"/>
                <w:szCs w:val="14"/>
                <w:lang w:val="en-AU" w:eastAsia="en-AU"/>
              </w:rPr>
              <w:t>engineer</w:t>
            </w:r>
            <w:proofErr w:type="gramEnd"/>
            <w:r w:rsidRPr="003C341F">
              <w:rPr>
                <w:rFonts w:ascii="Calibri" w:eastAsia="Times New Roman" w:hAnsi="Calibri"/>
                <w:color w:val="000000"/>
                <w:sz w:val="14"/>
                <w:szCs w:val="14"/>
                <w:lang w:val="en-AU" w:eastAsia="en-AU"/>
              </w:rPr>
              <w:t xml:space="preserve"> fly-in, fly-out visits</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7EA2FD0"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E392237"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70E28825"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D8DF07F"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9501820"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0BA2AE3"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000000" w:fill="BFBFBF"/>
            <w:noWrap/>
            <w:vAlign w:val="bottom"/>
            <w:hideMark/>
          </w:tcPr>
          <w:p w14:paraId="610C2732"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A48961D"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DB38E0F"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C5D9FC8"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EC77654"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513309B"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C3C9E13"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C890ABB"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06D7AE2"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30FE680"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40A9165"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478A1D1"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2E48565"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3DE75EB"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85E8685"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D5B8776"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B68B054"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41671A"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1D092B"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6F57D5B"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2D6D185"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6309D68"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2135A34"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7848F0"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092D16E"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B792790"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1EFA328"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152FD9D"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7D83FD5"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E15B960"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r>
      <w:tr w:rsidR="00D818F5" w:rsidRPr="003C341F" w14:paraId="2A31D0FB" w14:textId="77777777" w:rsidTr="00D818F5">
        <w:trPr>
          <w:trHeight w:val="474"/>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0CBB1CE"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1710321"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791D3EA"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07BAA6D"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345D915"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9A5F164"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E2A5F6C"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9B80C2"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AA77A1A"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604194E"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64B815B"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9AE467F"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DD31FB8"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74CEC8"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72D88BA"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8E318A5"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B3539F2"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3FCE81C"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86142ED"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6516640"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BCC6B29"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C37C96E"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3374A04"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1F591E"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CAA8952"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562FC2F"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1717869"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92505BE"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C5A53AC"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048A00F"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D315098"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7ED9556"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3086CDF9"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E98991B"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F367DDE"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8879E6A"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5D53096"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4EB5A96E"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r>
      <w:tr w:rsidR="00D818F5" w:rsidRPr="003C341F" w14:paraId="09EB2CBB" w14:textId="77777777" w:rsidTr="00D818F5">
        <w:trPr>
          <w:trHeight w:val="283"/>
        </w:trPr>
        <w:tc>
          <w:tcPr>
            <w:tcW w:w="1423" w:type="pct"/>
            <w:gridSpan w:val="2"/>
            <w:tcBorders>
              <w:top w:val="single" w:sz="4" w:space="0" w:color="D9D9D9" w:themeColor="background1" w:themeShade="D9"/>
              <w:left w:val="single" w:sz="4" w:space="0" w:color="auto"/>
              <w:bottom w:val="single" w:sz="4" w:space="0" w:color="D9D9D9" w:themeColor="background1" w:themeShade="D9"/>
              <w:right w:val="single" w:sz="4" w:space="0" w:color="000000"/>
            </w:tcBorders>
            <w:shd w:val="clear" w:color="auto" w:fill="auto"/>
            <w:noWrap/>
            <w:vAlign w:val="bottom"/>
            <w:hideMark/>
          </w:tcPr>
          <w:p w14:paraId="542AF5DD" w14:textId="77777777" w:rsidR="00662F77" w:rsidRPr="003C341F" w:rsidRDefault="00662F77" w:rsidP="00662F77">
            <w:pPr>
              <w:spacing w:after="0" w:line="240" w:lineRule="auto"/>
              <w:jc w:val="left"/>
              <w:rPr>
                <w:rFonts w:ascii="Calibri" w:eastAsia="Times New Roman" w:hAnsi="Calibri"/>
                <w:b/>
                <w:bCs/>
                <w:color w:val="000000"/>
                <w:sz w:val="14"/>
                <w:szCs w:val="14"/>
                <w:lang w:val="en-AU" w:eastAsia="en-AU"/>
              </w:rPr>
            </w:pPr>
            <w:r w:rsidRPr="003C341F">
              <w:rPr>
                <w:rFonts w:ascii="Calibri" w:eastAsia="Times New Roman" w:hAnsi="Calibri"/>
                <w:b/>
                <w:bCs/>
                <w:color w:val="000000"/>
                <w:sz w:val="14"/>
                <w:szCs w:val="14"/>
                <w:lang w:val="en-AU" w:eastAsia="en-AU"/>
              </w:rPr>
              <w:t>Component 2</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270078" w14:textId="77777777" w:rsidR="00662F77" w:rsidRPr="003C341F" w:rsidRDefault="00662F77" w:rsidP="00662F77">
            <w:pPr>
              <w:spacing w:after="0" w:line="240" w:lineRule="auto"/>
              <w:jc w:val="left"/>
              <w:rPr>
                <w:rFonts w:ascii="Calibri" w:eastAsia="Times New Roman" w:hAnsi="Calibri"/>
                <w:b/>
                <w:bCs/>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649C59F"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72F5049"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D27CD19"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AF403FB"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E49B476"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C9CEB82"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03AF80"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7069BD"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E953FE5"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EC0EB90"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19D612"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C363373"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660A47D"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492FD7E"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6139972"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8F29FFA"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EF01370"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B266C73"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C1B83E6"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69FB572"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800944F"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9464F87"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965A3B1"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45993E"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8148E22"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79D6115"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A214FC"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40BBD6B"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16EA2B7"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C650F15"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C009935" w14:textId="77777777" w:rsidR="00662F77" w:rsidRPr="003C341F" w:rsidRDefault="00662F77"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E025467"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6CDE91"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DA330C6"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0892FC71" w14:textId="77777777" w:rsidR="00662F77" w:rsidRPr="003C341F" w:rsidRDefault="00662F77" w:rsidP="00662F77">
            <w:pPr>
              <w:spacing w:after="0" w:line="240" w:lineRule="auto"/>
              <w:jc w:val="left"/>
              <w:rPr>
                <w:rFonts w:ascii="Times New Roman" w:eastAsia="Times New Roman" w:hAnsi="Times New Roman"/>
                <w:sz w:val="14"/>
                <w:szCs w:val="14"/>
                <w:lang w:val="en-AU" w:eastAsia="en-AU"/>
              </w:rPr>
            </w:pPr>
          </w:p>
        </w:tc>
      </w:tr>
      <w:tr w:rsidR="00D818F5" w:rsidRPr="003C341F" w14:paraId="719A9128"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E1FC5D2"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43F4D27E"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HIS ‘cost-benefit’ review invitation to tender issued</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23C175F"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p>
        </w:tc>
        <w:tc>
          <w:tcPr>
            <w:tcW w:w="517" w:type="pct"/>
            <w:gridSpan w:val="5"/>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33FB381C" w14:textId="18D9728F" w:rsidR="00D818F5" w:rsidRPr="003C341F" w:rsidRDefault="00D818F5" w:rsidP="00662F77">
            <w:pPr>
              <w:spacing w:after="0" w:line="240" w:lineRule="auto"/>
              <w:jc w:val="left"/>
              <w:rPr>
                <w:rFonts w:ascii="Times New Roman" w:eastAsia="Times New Roman" w:hAnsi="Times New Roman"/>
                <w:sz w:val="14"/>
                <w:szCs w:val="14"/>
                <w:lang w:val="en-AU" w:eastAsia="en-AU"/>
              </w:rPr>
            </w:pPr>
            <w:r>
              <w:rPr>
                <w:rFonts w:ascii="Calibri" w:eastAsia="Times New Roman" w:hAnsi="Calibri"/>
                <w:color w:val="000000"/>
                <w:sz w:val="14"/>
                <w:szCs w:val="14"/>
                <w:lang w:val="en-AU" w:eastAsia="en-AU"/>
              </w:rPr>
              <w:t>Completed 2016</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7A46955"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969AF95"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681A878"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28C60F"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242E558"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B654E24"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8738781"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3224431"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49EEDF6"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01BA7E5"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004D881"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4F29E4F"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AB0278C"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2EA0073"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6200668"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5A29A53"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A073420"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1677E86"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A6DBEC9"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F3CF246"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0272553"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8CF95F9"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EB973D5"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B9D9CB4"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8917591"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F57FCC9"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D89A54E"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4976598"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F216443"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F105BB2"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r>
      <w:tr w:rsidR="00D818F5" w:rsidRPr="003C341F" w14:paraId="2257C393"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1BF8F09"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CDF2E80"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xml:space="preserve">HIS ‘cost-benefit’ review tenders </w:t>
            </w:r>
            <w:proofErr w:type="gramStart"/>
            <w:r w:rsidRPr="003C341F">
              <w:rPr>
                <w:rFonts w:ascii="Calibri" w:eastAsia="Times New Roman" w:hAnsi="Calibri"/>
                <w:color w:val="000000"/>
                <w:sz w:val="14"/>
                <w:szCs w:val="14"/>
                <w:lang w:val="en-AU" w:eastAsia="en-AU"/>
              </w:rPr>
              <w:t>evaluated</w:t>
            </w:r>
            <w:proofErr w:type="gramEnd"/>
            <w:r w:rsidRPr="003C341F">
              <w:rPr>
                <w:rFonts w:ascii="Calibri" w:eastAsia="Times New Roman" w:hAnsi="Calibri"/>
                <w:color w:val="000000"/>
                <w:sz w:val="14"/>
                <w:szCs w:val="14"/>
                <w:lang w:val="en-AU" w:eastAsia="en-AU"/>
              </w:rPr>
              <w:t xml:space="preserve"> and consultant(s) appointed</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907C35C"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p>
        </w:tc>
        <w:tc>
          <w:tcPr>
            <w:tcW w:w="413" w:type="pct"/>
            <w:gridSpan w:val="4"/>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47B41273" w14:textId="282BAFFC" w:rsidR="00D818F5" w:rsidRPr="003C341F" w:rsidRDefault="00D818F5" w:rsidP="00662F77">
            <w:pPr>
              <w:spacing w:after="0" w:line="240" w:lineRule="auto"/>
              <w:jc w:val="left"/>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Completed 2016</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234926D"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5E258D6"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76B92C"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0AAA601"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DAF1FBE"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261C2BF"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B78E3A4"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C1E4A5"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46D4E27"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05C2190"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9803A4C"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7495D29"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487D72B"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A566E66"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0D640D4"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681F5EF"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2C4A167"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C709C26"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232C55"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687A25"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22298EF"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451EB35"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5B916B0"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8A82DE2"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6F53009"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740A9B3"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6BB2F77" w14:textId="77777777" w:rsidR="00D818F5" w:rsidRPr="003C341F" w:rsidRDefault="00D818F5" w:rsidP="00662F77">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18B03D"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C2DDCFE"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83C507"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482A85B1" w14:textId="77777777" w:rsidR="00D818F5" w:rsidRPr="003C341F" w:rsidRDefault="00D818F5" w:rsidP="00662F77">
            <w:pPr>
              <w:spacing w:after="0" w:line="240" w:lineRule="auto"/>
              <w:jc w:val="left"/>
              <w:rPr>
                <w:rFonts w:ascii="Times New Roman" w:eastAsia="Times New Roman" w:hAnsi="Times New Roman"/>
                <w:sz w:val="14"/>
                <w:szCs w:val="14"/>
                <w:lang w:val="en-AU" w:eastAsia="en-AU"/>
              </w:rPr>
            </w:pPr>
          </w:p>
        </w:tc>
      </w:tr>
      <w:tr w:rsidR="00D818F5" w:rsidRPr="003C341F" w14:paraId="5467291D"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BF6A3F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5FFBF73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HIS ‘cost-benefit’ review</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048E32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517" w:type="pct"/>
            <w:gridSpan w:val="5"/>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6100FDD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r>
              <w:rPr>
                <w:rFonts w:ascii="Calibri" w:eastAsia="Times New Roman" w:hAnsi="Calibri"/>
                <w:color w:val="000000"/>
                <w:sz w:val="14"/>
                <w:szCs w:val="14"/>
                <w:lang w:val="en-AU" w:eastAsia="en-AU"/>
              </w:rPr>
              <w:t>Completed 2016</w:t>
            </w:r>
          </w:p>
          <w:p w14:paraId="5F705E54" w14:textId="104FD091"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4DFB03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477A61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D2C7DA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EDE393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E45542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4BB764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B453A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EFA4F2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3BADC4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2A0DB6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00E72F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55E029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2963AE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85EF79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E4DAB8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4BB53E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18EC5A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D41270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7831A7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B9A7EA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0F8999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C290B0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D99B95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D68A46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2782D82"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76942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1E009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909A70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25A83C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057E2BE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6EA728E6"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4A1227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04B3FC6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xml:space="preserve">DFAT negotiations with ADB &amp; </w:t>
            </w:r>
            <w:r>
              <w:rPr>
                <w:rFonts w:ascii="Calibri" w:eastAsia="Times New Roman" w:hAnsi="Calibri"/>
                <w:color w:val="000000"/>
                <w:sz w:val="14"/>
                <w:szCs w:val="14"/>
                <w:lang w:val="en-AU" w:eastAsia="en-AU"/>
              </w:rPr>
              <w:t>GOS</w:t>
            </w:r>
            <w:r w:rsidRPr="003C341F">
              <w:rPr>
                <w:rFonts w:ascii="Calibri" w:eastAsia="Times New Roman" w:hAnsi="Calibri"/>
                <w:color w:val="000000"/>
                <w:sz w:val="14"/>
                <w:szCs w:val="14"/>
                <w:lang w:val="en-AU" w:eastAsia="en-AU"/>
              </w:rPr>
              <w:t>/MOH re potential support for HIS procurement and implementation</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7E6FF12"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3D40E7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93C86A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207C70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F6B677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66DB0E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000000" w:fill="BFBFBF"/>
            <w:noWrap/>
            <w:vAlign w:val="bottom"/>
            <w:hideMark/>
          </w:tcPr>
          <w:p w14:paraId="292851E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AD9F4E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695761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EE1572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5DA6A5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72E2AE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1319D3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76A108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086C4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D2D93F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893285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07FDD9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463A11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D290AD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A92951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46EF7F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02B795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EDA40A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5EEA51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F40B04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B7B23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53BDB3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454B50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0B1994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852C49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A4C8F6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6252A6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D83A5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442C05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6FD8E3C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1D2EA8E6"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DD8F71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278B163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HIS procurement and implementation</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DE07AC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7D1DCC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90EE37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B39B9D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09AD32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EA46B6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4B8D9C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288A50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7F30CF3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E8B708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669311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C8CA90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B3D467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8C408D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392CA0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15D9722"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E7BC15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CB576E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000000" w:fill="BFBFBF"/>
            <w:noWrap/>
            <w:vAlign w:val="bottom"/>
            <w:hideMark/>
          </w:tcPr>
          <w:p w14:paraId="289F7AA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930058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2509E6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9D99C2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C4849A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C3D679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ABB545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F9F2A3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823DBB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2B1FEB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1855B2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4074C4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000000" w:fill="BFBFBF"/>
            <w:noWrap/>
            <w:vAlign w:val="bottom"/>
            <w:hideMark/>
          </w:tcPr>
          <w:p w14:paraId="1706EAF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7F71842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0E8F99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4BBA25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D50D6C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000000" w:fill="BFBFBF"/>
            <w:noWrap/>
            <w:vAlign w:val="bottom"/>
            <w:hideMark/>
          </w:tcPr>
          <w:p w14:paraId="514D4A7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r>
      <w:tr w:rsidR="00D818F5" w:rsidRPr="003C341F" w14:paraId="6146B1B2"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212481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264473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MOH/Qld SPP activities</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C0DC16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46C283B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F4496E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755E841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5FF6F6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7362A49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000000" w:fill="BFBFBF"/>
            <w:noWrap/>
            <w:vAlign w:val="bottom"/>
            <w:hideMark/>
          </w:tcPr>
          <w:p w14:paraId="2A51996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1776451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F45E3F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2748502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C38C47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48D4BA5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3FDFB5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tcPr>
          <w:p w14:paraId="61A020FB" w14:textId="37105AA9"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571E17FF" w14:textId="0ECBAF4A"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tcPr>
          <w:p w14:paraId="388B712C" w14:textId="76E37350"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58816F2A" w14:textId="1C154421"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tcPr>
          <w:p w14:paraId="7892715A" w14:textId="325904AE"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tcPr>
          <w:p w14:paraId="25137465" w14:textId="5C75E82E"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tcPr>
          <w:p w14:paraId="76651357" w14:textId="2425E2AE"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1EA3E9D8" w14:textId="2CE9E5E9"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tcPr>
          <w:p w14:paraId="114EB30D" w14:textId="5C8672AB"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1337BA50" w14:textId="3BC054EA"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tcPr>
          <w:p w14:paraId="5BF35891" w14:textId="0BEDC58C"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219993C9" w14:textId="79A6B800"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tcPr>
          <w:p w14:paraId="1BC74915" w14:textId="04061D82"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474B73E9" w14:textId="7B90FB50"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tcPr>
          <w:p w14:paraId="34AA7DD9" w14:textId="5329899C"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0BAABD42" w14:textId="76DB3913"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tcPr>
          <w:p w14:paraId="302B5522" w14:textId="3B5CEC1F"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tcPr>
          <w:p w14:paraId="096DD01F" w14:textId="3920D374"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tcPr>
          <w:p w14:paraId="54D5F5C6" w14:textId="0C6FD3E6"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2F4295D5" w14:textId="5ADDDCE3"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tcPr>
          <w:p w14:paraId="287ACB3F" w14:textId="7EDF62CA"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14:paraId="09D3F294" w14:textId="4A2169A9"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center"/>
          </w:tcPr>
          <w:p w14:paraId="230DBE35" w14:textId="558C8391"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r>
      <w:tr w:rsidR="00D818F5" w:rsidRPr="003C341F" w14:paraId="7C7509CC"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01BED9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7A76208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MOH/Qld SPP end-of-program evaluation</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0CACC4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F0AEB8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0F95A1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9017D2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92BB48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CB9CFF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F6B717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7EDF54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EE733B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6B75FD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3E4F16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10DF9F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203C95F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F51CE8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06D6B9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0C6139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9EA727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2369E5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466532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490617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1F921A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D8DA9E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EBC351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54DD7A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657C84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0AB7A7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D85772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437EF4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0E42D4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CAA8BA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5BC9E1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0090F5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69FB2D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79D8BC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208DDD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933349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r>
      <w:tr w:rsidR="00D818F5" w:rsidRPr="003C341F" w14:paraId="1D626950"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3105D6D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lastRenderedPageBreak/>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4810AA9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Support for sector-wide renewal</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426D0F3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6CED78D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6D418AF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067E502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36D590D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3A22ED3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center"/>
            <w:hideMark/>
          </w:tcPr>
          <w:p w14:paraId="68F4022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7404109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5AFE9E4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750A964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323514F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3973020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0C22AC4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2936F2E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3C1292F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580" w:type="pct"/>
            <w:gridSpan w:val="7"/>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F9BF268" w14:textId="77777777" w:rsidR="00D818F5" w:rsidRPr="003C341F" w:rsidRDefault="00D818F5" w:rsidP="00D818F5">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xml:space="preserve">As </w:t>
            </w:r>
            <w:proofErr w:type="gramStart"/>
            <w:r w:rsidRPr="003C341F">
              <w:rPr>
                <w:rFonts w:ascii="Calibri" w:eastAsia="Times New Roman" w:hAnsi="Calibri"/>
                <w:color w:val="000000"/>
                <w:sz w:val="14"/>
                <w:szCs w:val="14"/>
                <w:lang w:val="en-AU" w:eastAsia="en-AU"/>
              </w:rPr>
              <w:t>requested</w:t>
            </w:r>
            <w:proofErr w:type="gramEnd"/>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0CAF44D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3AF1BE42"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671CB9F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54186B8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47E2694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53EE4C1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77EB0DF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0F847CC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center"/>
            <w:hideMark/>
          </w:tcPr>
          <w:p w14:paraId="68B2A37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28371F7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65C0153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14FBB7A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14:paraId="17C14A2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center"/>
            <w:hideMark/>
          </w:tcPr>
          <w:p w14:paraId="6D4579E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w:t>
            </w:r>
          </w:p>
        </w:tc>
      </w:tr>
      <w:tr w:rsidR="00D818F5" w:rsidRPr="003C341F" w14:paraId="0C7F33A4" w14:textId="77777777" w:rsidTr="00D818F5">
        <w:trPr>
          <w:trHeight w:val="71"/>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36EE62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081041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086EBF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316C45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75EE4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4302F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3D6A50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C853CA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E74C75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10FDA9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8420DC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91852B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52AA0E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F6CB1D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7F0383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5AA449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0172DA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4401C3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A883A8F" w14:textId="77777777" w:rsidR="00D818F5" w:rsidRPr="003C341F" w:rsidRDefault="00D818F5" w:rsidP="00D818F5">
            <w:pPr>
              <w:spacing w:after="0" w:line="240" w:lineRule="auto"/>
              <w:jc w:val="center"/>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73B5718" w14:textId="77777777" w:rsidR="00D818F5" w:rsidRPr="003C341F" w:rsidRDefault="00D818F5" w:rsidP="00D818F5">
            <w:pPr>
              <w:spacing w:after="0" w:line="240" w:lineRule="auto"/>
              <w:jc w:val="center"/>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A88F0B6" w14:textId="77777777" w:rsidR="00D818F5" w:rsidRPr="003C341F" w:rsidRDefault="00D818F5" w:rsidP="00D818F5">
            <w:pPr>
              <w:spacing w:after="0" w:line="240" w:lineRule="auto"/>
              <w:jc w:val="center"/>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2874A69" w14:textId="77777777" w:rsidR="00D818F5" w:rsidRPr="003C341F" w:rsidRDefault="00D818F5" w:rsidP="00D818F5">
            <w:pPr>
              <w:spacing w:after="0" w:line="240" w:lineRule="auto"/>
              <w:jc w:val="center"/>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B3E853F" w14:textId="77777777" w:rsidR="00D818F5" w:rsidRPr="003C341F" w:rsidRDefault="00D818F5" w:rsidP="00D818F5">
            <w:pPr>
              <w:spacing w:after="0" w:line="240" w:lineRule="auto"/>
              <w:jc w:val="center"/>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88A9955" w14:textId="77777777" w:rsidR="00D818F5" w:rsidRPr="003C341F" w:rsidRDefault="00D818F5" w:rsidP="00D818F5">
            <w:pPr>
              <w:spacing w:after="0" w:line="240" w:lineRule="auto"/>
              <w:jc w:val="center"/>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8290462" w14:textId="77777777" w:rsidR="00D818F5" w:rsidRPr="003C341F" w:rsidRDefault="00D818F5" w:rsidP="00D818F5">
            <w:pPr>
              <w:spacing w:after="0" w:line="240" w:lineRule="auto"/>
              <w:jc w:val="center"/>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899E76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34F8FB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E4A5BB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5AE5B3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CED587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867BC1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EA8EAD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1473F4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553981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2FE18D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90B1D2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A6A84E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4378CDE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1429B3FF" w14:textId="77777777" w:rsidTr="00D818F5">
        <w:trPr>
          <w:trHeight w:val="283"/>
        </w:trPr>
        <w:tc>
          <w:tcPr>
            <w:tcW w:w="1423" w:type="pct"/>
            <w:gridSpan w:val="2"/>
            <w:tcBorders>
              <w:top w:val="single" w:sz="4" w:space="0" w:color="D9D9D9" w:themeColor="background1" w:themeShade="D9"/>
              <w:left w:val="single" w:sz="4" w:space="0" w:color="auto"/>
              <w:bottom w:val="single" w:sz="4" w:space="0" w:color="D9D9D9" w:themeColor="background1" w:themeShade="D9"/>
              <w:right w:val="single" w:sz="4" w:space="0" w:color="000000"/>
            </w:tcBorders>
            <w:shd w:val="clear" w:color="auto" w:fill="auto"/>
            <w:noWrap/>
            <w:vAlign w:val="bottom"/>
            <w:hideMark/>
          </w:tcPr>
          <w:p w14:paraId="06ECDA92" w14:textId="77777777" w:rsidR="00D818F5" w:rsidRPr="003C341F" w:rsidRDefault="00D818F5" w:rsidP="00D818F5">
            <w:pPr>
              <w:spacing w:after="0" w:line="240" w:lineRule="auto"/>
              <w:jc w:val="left"/>
              <w:rPr>
                <w:rFonts w:ascii="Calibri" w:eastAsia="Times New Roman" w:hAnsi="Calibri"/>
                <w:b/>
                <w:bCs/>
                <w:color w:val="000000"/>
                <w:sz w:val="14"/>
                <w:szCs w:val="14"/>
                <w:lang w:val="en-AU" w:eastAsia="en-AU"/>
              </w:rPr>
            </w:pPr>
            <w:r w:rsidRPr="003C341F">
              <w:rPr>
                <w:rFonts w:ascii="Calibri" w:eastAsia="Times New Roman" w:hAnsi="Calibri"/>
                <w:b/>
                <w:bCs/>
                <w:color w:val="000000"/>
                <w:sz w:val="14"/>
                <w:szCs w:val="14"/>
                <w:lang w:val="en-AU" w:eastAsia="en-AU"/>
              </w:rPr>
              <w:t>Component 3</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789CB29" w14:textId="77777777" w:rsidR="00D818F5" w:rsidRPr="003C341F" w:rsidRDefault="00D818F5" w:rsidP="00D818F5">
            <w:pPr>
              <w:spacing w:after="0" w:line="240" w:lineRule="auto"/>
              <w:jc w:val="left"/>
              <w:rPr>
                <w:rFonts w:ascii="Calibri" w:eastAsia="Times New Roman" w:hAnsi="Calibri"/>
                <w:b/>
                <w:bCs/>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C43BF9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E1A83B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A3CA8B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422A55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02DE17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3B30149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E927D5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4DFF51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ECAFFF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CCAD44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C3E024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1E9517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EE6A0D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0B424F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9FA72D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8157A6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058D7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F111C7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E7D11C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F212EA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707B1A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D365C1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9776F5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5F8258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BC5086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0E05F7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BC12D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C2C2A3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55D0F0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E15264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C69486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E0A96F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4F5B8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77080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37B16E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0BB079C0"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EEAF39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tcPr>
          <w:p w14:paraId="368F92F1" w14:textId="61ABDB7A"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SFHA finalise design proposal</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D04EC0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517" w:type="pct"/>
            <w:gridSpan w:val="5"/>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5DC6E65" w14:textId="5DD9DF24" w:rsidR="00D818F5" w:rsidRPr="003C341F" w:rsidRDefault="00D818F5" w:rsidP="00D818F5">
            <w:pPr>
              <w:spacing w:after="0" w:line="240" w:lineRule="auto"/>
              <w:jc w:val="left"/>
              <w:rPr>
                <w:rFonts w:ascii="Times New Roman" w:eastAsia="Times New Roman" w:hAnsi="Times New Roman"/>
                <w:sz w:val="14"/>
                <w:szCs w:val="14"/>
                <w:lang w:val="en-AU" w:eastAsia="en-AU"/>
              </w:rPr>
            </w:pPr>
            <w:r>
              <w:rPr>
                <w:rFonts w:ascii="Calibri" w:eastAsia="Times New Roman" w:hAnsi="Calibri"/>
                <w:color w:val="000000"/>
                <w:sz w:val="14"/>
                <w:szCs w:val="14"/>
                <w:lang w:val="en-AU" w:eastAsia="en-AU"/>
              </w:rPr>
              <w:t>Completed Q2 2017</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3483FD3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972A9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049880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F4054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F7A557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32EBC8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3038D9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A5CA29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ED5690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C2BB91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467947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4B8A56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AAD3A8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2AB210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1F47D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D14AAD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CEB1E3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2F25C6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6D0899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93BC82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579D5D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E0D348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BA50B5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5AFE80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865714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B823C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141B22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05D789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CE7DF3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766B412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2BE443E6"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C3B6DE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tcPr>
          <w:p w14:paraId="5EF4F942" w14:textId="1724BD45"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SFHA implement design</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70B42D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61071E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FEF449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9268D1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6FEEB4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C956A7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000000" w:fill="BFBFBF"/>
            <w:noWrap/>
            <w:vAlign w:val="bottom"/>
            <w:hideMark/>
          </w:tcPr>
          <w:p w14:paraId="3B226FB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324652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164A0A7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180945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2CC83D1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8DBEFD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88C370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62835C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0FA2ECA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785D9DB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3A77F6D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2745075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BFBFBF" w:themeFill="background1" w:themeFillShade="BF"/>
            <w:noWrap/>
            <w:vAlign w:val="bottom"/>
            <w:hideMark/>
          </w:tcPr>
          <w:p w14:paraId="1E379D2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5693AC8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7A4E204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2238A22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71B176B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0249F2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57F97BA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9094DC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4FA515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620E71D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5F31D75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61DF73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BFBFBF" w:themeFill="background1" w:themeFillShade="BF"/>
            <w:noWrap/>
            <w:vAlign w:val="bottom"/>
            <w:hideMark/>
          </w:tcPr>
          <w:p w14:paraId="16A2136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62CF647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94EAB8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6A16787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B191A3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0D0FA2C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23DA2742"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F0D8A5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tcPr>
          <w:p w14:paraId="75815038" w14:textId="626DE99E"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Pr>
                <w:rFonts w:ascii="Calibri" w:eastAsia="Times New Roman" w:hAnsi="Calibri"/>
                <w:color w:val="000000"/>
                <w:sz w:val="14"/>
                <w:szCs w:val="14"/>
                <w:lang w:val="en-AU" w:eastAsia="en-AU"/>
              </w:rPr>
              <w:t>Evaluations</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CEF771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9B8AC3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CB35B0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7B7D2F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2261DA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B4BB50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326BC972"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C1BEB5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62022A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9DF17F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EA8609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C8F2BB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B8E078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72C3379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63826C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33527A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93F908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697867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E0F839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438F0F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781A9F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4617DD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B24405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8C466A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1A1E3F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AB42EE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D787DD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28112E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CBEE15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1D6992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0BE0D8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61A2C9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252D9C4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61D25B6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E09CDB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926E2D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019AED9A" w14:textId="77777777" w:rsidTr="00D818F5">
        <w:trPr>
          <w:trHeight w:val="14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6B4855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566B12D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4BEDEE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97B30F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612722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CB16C9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DA0192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1F1B26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055ECF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B70878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70B86E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0423AD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7D8CA9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2E0ACF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0585CB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8E9C25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D1E9C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2029DD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96ED29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B91EAC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7E7F0A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807871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3D64A1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EE4E17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DAA8A4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2872C1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6B362F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E7A9A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464D11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AB68CF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84AB43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4F1D0E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BE7AC4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1C8AD0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AA3D1B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9B06AC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FFE7C8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50FC7ED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4703B088" w14:textId="77777777" w:rsidTr="00D818F5">
        <w:trPr>
          <w:trHeight w:val="283"/>
        </w:trPr>
        <w:tc>
          <w:tcPr>
            <w:tcW w:w="1423" w:type="pct"/>
            <w:gridSpan w:val="2"/>
            <w:tcBorders>
              <w:top w:val="single" w:sz="4" w:space="0" w:color="D9D9D9" w:themeColor="background1" w:themeShade="D9"/>
              <w:left w:val="single" w:sz="4" w:space="0" w:color="auto"/>
              <w:bottom w:val="single" w:sz="4" w:space="0" w:color="D9D9D9" w:themeColor="background1" w:themeShade="D9"/>
              <w:right w:val="single" w:sz="4" w:space="0" w:color="000000"/>
            </w:tcBorders>
            <w:shd w:val="clear" w:color="auto" w:fill="auto"/>
            <w:noWrap/>
            <w:vAlign w:val="bottom"/>
            <w:hideMark/>
          </w:tcPr>
          <w:p w14:paraId="2F99EB36" w14:textId="77777777" w:rsidR="00D818F5" w:rsidRPr="003C341F" w:rsidRDefault="00D818F5" w:rsidP="00D818F5">
            <w:pPr>
              <w:spacing w:after="0" w:line="240" w:lineRule="auto"/>
              <w:jc w:val="left"/>
              <w:rPr>
                <w:rFonts w:ascii="Calibri" w:eastAsia="Times New Roman" w:hAnsi="Calibri"/>
                <w:b/>
                <w:bCs/>
                <w:color w:val="000000"/>
                <w:sz w:val="14"/>
                <w:szCs w:val="14"/>
                <w:lang w:val="en-AU" w:eastAsia="en-AU"/>
              </w:rPr>
            </w:pPr>
            <w:r w:rsidRPr="003C341F">
              <w:rPr>
                <w:rFonts w:ascii="Calibri" w:eastAsia="Times New Roman" w:hAnsi="Calibri"/>
                <w:b/>
                <w:bCs/>
                <w:color w:val="000000"/>
                <w:sz w:val="14"/>
                <w:szCs w:val="14"/>
                <w:lang w:val="en-AU" w:eastAsia="en-AU"/>
              </w:rPr>
              <w:t>Program management and M&amp;E</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EE14E49" w14:textId="77777777" w:rsidR="00D818F5" w:rsidRPr="003C341F" w:rsidRDefault="00D818F5" w:rsidP="00D818F5">
            <w:pPr>
              <w:spacing w:after="0" w:line="240" w:lineRule="auto"/>
              <w:jc w:val="left"/>
              <w:rPr>
                <w:rFonts w:ascii="Calibri" w:eastAsia="Times New Roman" w:hAnsi="Calibri"/>
                <w:b/>
                <w:bCs/>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485196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12D571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3730E2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F2F79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711144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543B90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21DA46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6389DA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5048C9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92925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404D57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87E297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B09C88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15E6DC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EA5845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ED2E7C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C12A5F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275EB6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0D536E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EA8C76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BF6F28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BC296F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326092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539D00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5EF1CA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12AE04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4EBB53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1934D7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B0F328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3111772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613CE8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0E805D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033C97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DC3B57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58155FA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26B53CC0" w14:textId="77777777" w:rsidTr="00E938FA">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64520D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650A82FE" w14:textId="5097D4B5"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Program Technical Adviser fly-in, fly-out visits</w:t>
            </w:r>
            <w:r w:rsidR="00E938FA">
              <w:rPr>
                <w:rFonts w:ascii="Calibri" w:eastAsia="Times New Roman" w:hAnsi="Calibri"/>
                <w:color w:val="000000"/>
                <w:sz w:val="14"/>
                <w:szCs w:val="14"/>
                <w:lang w:val="en-AU" w:eastAsia="en-AU"/>
              </w:rPr>
              <w:t xml:space="preserve"> (as needed)</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F5039C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3C4F8D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68ADB0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80222C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4FC970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93A37D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97C0BC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6DD2D6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7E24C81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41E546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A99F3D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7F2DB22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717D9E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9106AF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5E5121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FF5218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A1411F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F01BCA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0AEDB3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1C753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1C9AD9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114BE2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3CF277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D2A0FD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1AF995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89B0C8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F3B7F8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898A05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24BB67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DA4E2E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9A19DA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82A9C9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5C5FCC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78074A2"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6071FC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000000" w:fill="BFBFBF"/>
            <w:noWrap/>
            <w:vAlign w:val="bottom"/>
            <w:hideMark/>
          </w:tcPr>
          <w:p w14:paraId="3A59EBB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r>
      <w:tr w:rsidR="00D818F5" w:rsidRPr="003C341F" w14:paraId="2A703145"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1E8671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1BC7D94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PFM review</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CE7AFF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F578162"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B0B6BD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034C56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38630B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E08126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46B6FA8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4B598F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5B9C44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2AB802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8613AF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51F7F2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45EC7B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31FFC8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D27094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D9CB56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FE7EF8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FDC25D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BA3A9B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0B3268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3D8E5E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2F97E6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8721B7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3C938D7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3A7497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3BAA41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A35C6D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C1B1B8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6FCAF1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D5C80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2681AC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ED8E4E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1D2D8E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0D8AF8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3D18C3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18FC846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206ED500"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D1EF35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176A313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M&amp;E framework finalised</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FEDDD72"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355448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933521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0E08AF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1407E2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2335B4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741AD4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DA23C2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3E9EA6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FD2232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2B9C19D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1E98123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AFEA76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669372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D76462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D6E6F0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0A755F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E998B1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379F18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834D82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E54054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85AB9A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B91EFB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8A5754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E91EB8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F06859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83FFE5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A0D65E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F0B83B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7C90F2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756EE7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D06ED8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DD3F50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76C710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38DEB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0EC46BF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716306A3"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6EE148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06973DDE" w14:textId="22B5A1F5"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Baseline data collection for M&amp;E</w:t>
            </w:r>
            <w:r w:rsidR="0099010B">
              <w:rPr>
                <w:rFonts w:ascii="Calibri" w:eastAsia="Times New Roman" w:hAnsi="Calibri"/>
                <w:color w:val="000000"/>
                <w:sz w:val="14"/>
                <w:szCs w:val="14"/>
                <w:lang w:val="en-AU" w:eastAsia="en-AU"/>
              </w:rPr>
              <w:t xml:space="preserve"> (TBC with partners)</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32D1C8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4AD423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5D0F3B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C23A4B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E73523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9257E8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E74525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F86D3A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271980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AE2753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CB7F16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7B4401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90BF6D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B0893F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320E44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FE2ACE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60FA80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1AD0DE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6FAFAB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571D16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A7AD40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524DD3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2469A1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99300E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797A5B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FBD6CF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10A39D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05AAFF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21DB16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82AD2D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DE78502"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5E65DC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1A8F3D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99F305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B0E13A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6615E79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5C53CA09" w14:textId="77777777" w:rsidTr="00E938FA">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F02998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21C94CEE" w14:textId="520279C4"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xml:space="preserve">Mid-term </w:t>
            </w:r>
            <w:r w:rsidR="00E938FA">
              <w:rPr>
                <w:rFonts w:ascii="Calibri" w:eastAsia="Times New Roman" w:hAnsi="Calibri"/>
                <w:color w:val="000000"/>
                <w:sz w:val="14"/>
                <w:szCs w:val="14"/>
                <w:lang w:val="en-AU" w:eastAsia="en-AU"/>
              </w:rPr>
              <w:t xml:space="preserve">&amp; Final </w:t>
            </w:r>
            <w:r w:rsidRPr="003C341F">
              <w:rPr>
                <w:rFonts w:ascii="Calibri" w:eastAsia="Times New Roman" w:hAnsi="Calibri"/>
                <w:color w:val="000000"/>
                <w:sz w:val="14"/>
                <w:szCs w:val="14"/>
                <w:lang w:val="en-AU" w:eastAsia="en-AU"/>
              </w:rPr>
              <w:t>evaluation</w:t>
            </w:r>
            <w:r w:rsidR="0099010B">
              <w:rPr>
                <w:rFonts w:ascii="Calibri" w:eastAsia="Times New Roman" w:hAnsi="Calibri"/>
                <w:color w:val="000000"/>
                <w:sz w:val="14"/>
                <w:szCs w:val="14"/>
                <w:lang w:val="en-AU" w:eastAsia="en-AU"/>
              </w:rPr>
              <w:t xml:space="preserve"> (also dependant on individual project implementation)</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298FB6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1F2BB4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807402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933E15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58D60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9174A9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6D96703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F5B6EC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1B6AEA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857F48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14C6BB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BCCCCF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AE084F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258B72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077A72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953E49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275973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437572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A1726C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3538305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47A4018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9DA81A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EAD1B64"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200B3D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0009AF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2450D3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E18752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B54582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DC5AB8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353179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5BCCDC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72E2D0B"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182E73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5ED429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BFBFBF" w:themeFill="background1" w:themeFillShade="BF"/>
            <w:noWrap/>
            <w:vAlign w:val="bottom"/>
            <w:hideMark/>
          </w:tcPr>
          <w:p w14:paraId="3A20360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BFBFBF" w:themeFill="background1" w:themeFillShade="BF"/>
            <w:noWrap/>
            <w:vAlign w:val="bottom"/>
            <w:hideMark/>
          </w:tcPr>
          <w:p w14:paraId="00C68E7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2ACB55DD"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157AA99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1DC7ED01" w14:textId="1D9AF6C5"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Six-monthly progress report</w:t>
            </w:r>
            <w:r w:rsidR="0099010B">
              <w:rPr>
                <w:rFonts w:ascii="Calibri" w:eastAsia="Times New Roman" w:hAnsi="Calibri"/>
                <w:color w:val="000000"/>
                <w:sz w:val="14"/>
                <w:szCs w:val="14"/>
                <w:lang w:val="en-AU" w:eastAsia="en-AU"/>
              </w:rPr>
              <w:t xml:space="preserve"> (also dependant on individual project implementation)</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9DC043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89AD5C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707E95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58EA0D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BBD3ED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6204C5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01D931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9A0283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03326B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561DDF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68CA372"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C67230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BB7C2D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3BAC9A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FD82A0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2D0EDF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444EE2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370F91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0114E5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2F7F92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E1F7125"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67444F9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2AE21B5"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D4FEC0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E1EA92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94B0FA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FA39FF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33D29C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C7805E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387C75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AF628B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08500D3"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97D5A4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8FDDF9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E767BD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327AC45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5713FA50" w14:textId="77777777" w:rsidTr="00D818F5">
        <w:trPr>
          <w:trHeight w:val="283"/>
        </w:trPr>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790326C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08F2B4D9" w14:textId="596471D0"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Annual report</w:t>
            </w:r>
            <w:r w:rsidR="0099010B">
              <w:rPr>
                <w:rFonts w:ascii="Calibri" w:eastAsia="Times New Roman" w:hAnsi="Calibri"/>
                <w:color w:val="000000"/>
                <w:sz w:val="14"/>
                <w:szCs w:val="14"/>
                <w:lang w:val="en-AU" w:eastAsia="en-AU"/>
              </w:rPr>
              <w:t xml:space="preserve"> (also dependant on individual project implementation)</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210B0B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557313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D071C2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4D0384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30C889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2DFC4B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2D89A5F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4B132F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CFD5B6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4EA8CCFF"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CCD243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4F3E43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B870AB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6B1F3A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3DE29B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CF2FA3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076EF2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DC22BF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0D1CCF4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54809D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7AE686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58E8157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A8BDB68"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26CFD9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A48AD3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12B104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C1B09D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456605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0BAD52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A8F1F9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single" w:sz="4" w:space="0" w:color="auto"/>
              <w:bottom w:val="single" w:sz="4" w:space="0" w:color="D9D9D9" w:themeColor="background1" w:themeShade="D9"/>
              <w:right w:val="nil"/>
            </w:tcBorders>
            <w:shd w:val="clear" w:color="auto" w:fill="auto"/>
            <w:noWrap/>
            <w:vAlign w:val="bottom"/>
            <w:hideMark/>
          </w:tcPr>
          <w:p w14:paraId="5FBAC994"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BD40CC2"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0FA27B9"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nil"/>
            </w:tcBorders>
            <w:shd w:val="clear" w:color="000000" w:fill="BFBFBF"/>
            <w:noWrap/>
            <w:vAlign w:val="bottom"/>
            <w:hideMark/>
          </w:tcPr>
          <w:p w14:paraId="07D2B55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984330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bottom"/>
            <w:hideMark/>
          </w:tcPr>
          <w:p w14:paraId="1FA6A4F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r w:rsidR="00D818F5" w:rsidRPr="003C341F" w14:paraId="2323D440" w14:textId="77777777" w:rsidTr="00E938FA">
        <w:trPr>
          <w:trHeight w:val="283"/>
        </w:trPr>
        <w:tc>
          <w:tcPr>
            <w:tcW w:w="83" w:type="pct"/>
            <w:tcBorders>
              <w:top w:val="single" w:sz="4" w:space="0" w:color="D9D9D9" w:themeColor="background1" w:themeShade="D9"/>
              <w:left w:val="single" w:sz="4" w:space="0" w:color="auto"/>
              <w:bottom w:val="single" w:sz="4" w:space="0" w:color="auto"/>
              <w:right w:val="nil"/>
            </w:tcBorders>
            <w:shd w:val="clear" w:color="auto" w:fill="auto"/>
            <w:noWrap/>
            <w:vAlign w:val="bottom"/>
            <w:hideMark/>
          </w:tcPr>
          <w:p w14:paraId="3476B3B1"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340" w:type="pct"/>
            <w:tcBorders>
              <w:top w:val="single" w:sz="4" w:space="0" w:color="D9D9D9" w:themeColor="background1" w:themeShade="D9"/>
              <w:left w:val="nil"/>
              <w:bottom w:val="single" w:sz="4" w:space="0" w:color="auto"/>
              <w:right w:val="single" w:sz="4" w:space="0" w:color="auto"/>
            </w:tcBorders>
            <w:shd w:val="clear" w:color="auto" w:fill="auto"/>
            <w:noWrap/>
            <w:vAlign w:val="bottom"/>
            <w:hideMark/>
          </w:tcPr>
          <w:p w14:paraId="48D864F7" w14:textId="262DD469"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Update M&amp;E plan</w:t>
            </w:r>
            <w:r w:rsidR="0099010B">
              <w:rPr>
                <w:rFonts w:ascii="Calibri" w:eastAsia="Times New Roman" w:hAnsi="Calibri"/>
                <w:color w:val="000000"/>
                <w:sz w:val="14"/>
                <w:szCs w:val="14"/>
                <w:lang w:val="en-AU" w:eastAsia="en-AU"/>
              </w:rPr>
              <w:t xml:space="preserve"> (if needed </w:t>
            </w:r>
            <w:proofErr w:type="gramStart"/>
            <w:r w:rsidR="0099010B">
              <w:rPr>
                <w:rFonts w:ascii="Calibri" w:eastAsia="Times New Roman" w:hAnsi="Calibri"/>
                <w:color w:val="000000"/>
                <w:sz w:val="14"/>
                <w:szCs w:val="14"/>
                <w:lang w:val="en-AU" w:eastAsia="en-AU"/>
              </w:rPr>
              <w:t>and also</w:t>
            </w:r>
            <w:proofErr w:type="gramEnd"/>
            <w:r w:rsidR="0099010B">
              <w:rPr>
                <w:rFonts w:ascii="Calibri" w:eastAsia="Times New Roman" w:hAnsi="Calibri"/>
                <w:color w:val="000000"/>
                <w:sz w:val="14"/>
                <w:szCs w:val="14"/>
                <w:lang w:val="en-AU" w:eastAsia="en-AU"/>
              </w:rPr>
              <w:t xml:space="preserve"> dependant on individual project implementation)</w:t>
            </w: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30A64580"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75C51D4F"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2602496D"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40C79976"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44572CE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5F63002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auto"/>
              <w:right w:val="nil"/>
            </w:tcBorders>
            <w:shd w:val="clear" w:color="auto" w:fill="auto"/>
            <w:noWrap/>
            <w:vAlign w:val="bottom"/>
            <w:hideMark/>
          </w:tcPr>
          <w:p w14:paraId="740A78CA"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50C8D14C"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43122A7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2AF34F73"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533BC82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000000" w:fill="BFBFBF"/>
            <w:noWrap/>
            <w:vAlign w:val="bottom"/>
            <w:hideMark/>
          </w:tcPr>
          <w:p w14:paraId="377AE7D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011D3B9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5983B578"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2CD59D7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auto"/>
              <w:right w:val="nil"/>
            </w:tcBorders>
            <w:shd w:val="clear" w:color="auto" w:fill="auto"/>
            <w:noWrap/>
            <w:vAlign w:val="bottom"/>
            <w:hideMark/>
          </w:tcPr>
          <w:p w14:paraId="1A07314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auto"/>
              <w:right w:val="nil"/>
            </w:tcBorders>
            <w:shd w:val="clear" w:color="auto" w:fill="auto"/>
            <w:noWrap/>
            <w:vAlign w:val="bottom"/>
            <w:hideMark/>
          </w:tcPr>
          <w:p w14:paraId="20FB4AF7"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auto"/>
              <w:right w:val="nil"/>
            </w:tcBorders>
            <w:shd w:val="clear" w:color="000000" w:fill="BFBFBF"/>
            <w:noWrap/>
            <w:vAlign w:val="bottom"/>
            <w:hideMark/>
          </w:tcPr>
          <w:p w14:paraId="6377A019"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single" w:sz="4" w:space="0" w:color="auto"/>
              <w:bottom w:val="single" w:sz="4" w:space="0" w:color="auto"/>
              <w:right w:val="nil"/>
            </w:tcBorders>
            <w:shd w:val="clear" w:color="auto" w:fill="auto"/>
            <w:noWrap/>
            <w:vAlign w:val="bottom"/>
            <w:hideMark/>
          </w:tcPr>
          <w:p w14:paraId="7F45CC0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83" w:type="pct"/>
            <w:tcBorders>
              <w:top w:val="single" w:sz="4" w:space="0" w:color="D9D9D9" w:themeColor="background1" w:themeShade="D9"/>
              <w:left w:val="nil"/>
              <w:bottom w:val="single" w:sz="4" w:space="0" w:color="auto"/>
              <w:right w:val="nil"/>
            </w:tcBorders>
            <w:shd w:val="clear" w:color="auto" w:fill="auto"/>
            <w:noWrap/>
            <w:vAlign w:val="bottom"/>
            <w:hideMark/>
          </w:tcPr>
          <w:p w14:paraId="33B1066E"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83" w:type="pct"/>
            <w:tcBorders>
              <w:top w:val="single" w:sz="4" w:space="0" w:color="D9D9D9" w:themeColor="background1" w:themeShade="D9"/>
              <w:left w:val="nil"/>
              <w:bottom w:val="single" w:sz="4" w:space="0" w:color="auto"/>
              <w:right w:val="nil"/>
            </w:tcBorders>
            <w:shd w:val="clear" w:color="auto" w:fill="auto"/>
            <w:noWrap/>
            <w:vAlign w:val="bottom"/>
            <w:hideMark/>
          </w:tcPr>
          <w:p w14:paraId="2950745E"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83" w:type="pct"/>
            <w:tcBorders>
              <w:top w:val="single" w:sz="4" w:space="0" w:color="D9D9D9" w:themeColor="background1" w:themeShade="D9"/>
              <w:left w:val="nil"/>
              <w:bottom w:val="single" w:sz="4" w:space="0" w:color="auto"/>
              <w:right w:val="nil"/>
            </w:tcBorders>
            <w:shd w:val="clear" w:color="auto" w:fill="auto"/>
            <w:noWrap/>
            <w:vAlign w:val="bottom"/>
            <w:hideMark/>
          </w:tcPr>
          <w:p w14:paraId="0E8CFBC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51A42C5A"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000000" w:fill="BFBFBF"/>
            <w:noWrap/>
            <w:vAlign w:val="bottom"/>
            <w:hideMark/>
          </w:tcPr>
          <w:p w14:paraId="22466CD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02CA160D"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1DBCAF11"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6A94D772"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6B1A3110"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66D92E4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000000" w:fill="BFBFBF"/>
            <w:noWrap/>
            <w:vAlign w:val="bottom"/>
            <w:hideMark/>
          </w:tcPr>
          <w:p w14:paraId="34D1DA4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single" w:sz="4" w:space="0" w:color="auto"/>
              <w:bottom w:val="single" w:sz="4" w:space="0" w:color="auto"/>
              <w:right w:val="nil"/>
            </w:tcBorders>
            <w:shd w:val="clear" w:color="auto" w:fill="auto"/>
            <w:noWrap/>
            <w:vAlign w:val="bottom"/>
            <w:hideMark/>
          </w:tcPr>
          <w:p w14:paraId="71AF7FE6"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r w:rsidRPr="003C341F">
              <w:rPr>
                <w:rFonts w:ascii="Calibri" w:eastAsia="Times New Roman" w:hAnsi="Calibri"/>
                <w:color w:val="000000"/>
                <w:sz w:val="14"/>
                <w:szCs w:val="14"/>
                <w:lang w:val="en-AU" w:eastAsia="en-AU"/>
              </w:rPr>
              <w:t> </w:t>
            </w: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74CA9DE7" w14:textId="77777777" w:rsidR="00D818F5" w:rsidRPr="003C341F" w:rsidRDefault="00D818F5" w:rsidP="00D818F5">
            <w:pPr>
              <w:spacing w:after="0" w:line="240" w:lineRule="auto"/>
              <w:jc w:val="left"/>
              <w:rPr>
                <w:rFonts w:ascii="Calibri" w:eastAsia="Times New Roman" w:hAnsi="Calibri"/>
                <w:color w:val="000000"/>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1C1890C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7577888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nil"/>
            </w:tcBorders>
            <w:shd w:val="clear" w:color="auto" w:fill="auto"/>
            <w:noWrap/>
            <w:vAlign w:val="bottom"/>
            <w:hideMark/>
          </w:tcPr>
          <w:p w14:paraId="05BE43AC"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c>
          <w:tcPr>
            <w:tcW w:w="103" w:type="pct"/>
            <w:tcBorders>
              <w:top w:val="single" w:sz="4" w:space="0" w:color="D9D9D9" w:themeColor="background1" w:themeShade="D9"/>
              <w:left w:val="nil"/>
              <w:bottom w:val="single" w:sz="4" w:space="0" w:color="auto"/>
              <w:right w:val="single" w:sz="4" w:space="0" w:color="auto"/>
            </w:tcBorders>
            <w:shd w:val="clear" w:color="auto" w:fill="auto"/>
            <w:noWrap/>
            <w:vAlign w:val="bottom"/>
            <w:hideMark/>
          </w:tcPr>
          <w:p w14:paraId="6F36C4AB" w14:textId="77777777" w:rsidR="00D818F5" w:rsidRPr="003C341F" w:rsidRDefault="00D818F5" w:rsidP="00D818F5">
            <w:pPr>
              <w:spacing w:after="0" w:line="240" w:lineRule="auto"/>
              <w:jc w:val="left"/>
              <w:rPr>
                <w:rFonts w:ascii="Times New Roman" w:eastAsia="Times New Roman" w:hAnsi="Times New Roman"/>
                <w:sz w:val="14"/>
                <w:szCs w:val="14"/>
                <w:lang w:val="en-AU" w:eastAsia="en-AU"/>
              </w:rPr>
            </w:pPr>
          </w:p>
        </w:tc>
      </w:tr>
    </w:tbl>
    <w:p w14:paraId="7D632027" w14:textId="77777777" w:rsidR="00FC5E9B" w:rsidRDefault="00FC5E9B" w:rsidP="003A0889">
      <w:pPr>
        <w:pStyle w:val="Appendixtitle"/>
        <w:outlineLvl w:val="1"/>
        <w:rPr>
          <w:lang w:val="en-AU"/>
        </w:rPr>
      </w:pPr>
      <w:bookmarkStart w:id="39" w:name="_Ref453678348"/>
      <w:bookmarkStart w:id="40" w:name="_Toc454266326"/>
      <w:bookmarkStart w:id="41" w:name="_Toc457572215"/>
      <w:bookmarkStart w:id="42" w:name="_Toc460231388"/>
    </w:p>
    <w:p w14:paraId="63EC746C" w14:textId="47A88CA4" w:rsidR="00FC5E9B" w:rsidRDefault="00FC5E9B" w:rsidP="003A0889">
      <w:pPr>
        <w:pStyle w:val="Appendixtitle"/>
        <w:outlineLvl w:val="1"/>
        <w:rPr>
          <w:lang w:val="en-AU"/>
        </w:rPr>
      </w:pPr>
    </w:p>
    <w:p w14:paraId="23F424ED" w14:textId="77777777" w:rsidR="00FC5E9B" w:rsidRDefault="00FC5E9B" w:rsidP="003A0889">
      <w:pPr>
        <w:pStyle w:val="Appendixtitle"/>
        <w:outlineLvl w:val="1"/>
        <w:rPr>
          <w:lang w:val="en-AU"/>
        </w:rPr>
      </w:pPr>
    </w:p>
    <w:p w14:paraId="3F9AE4FE" w14:textId="77777777" w:rsidR="00FC5E9B" w:rsidRDefault="00FC5E9B" w:rsidP="003A0889">
      <w:pPr>
        <w:pStyle w:val="Appendixtitle"/>
        <w:outlineLvl w:val="1"/>
        <w:rPr>
          <w:lang w:val="en-AU"/>
        </w:rPr>
      </w:pPr>
    </w:p>
    <w:p w14:paraId="1A65BDF3" w14:textId="77777777" w:rsidR="00FC5E9B" w:rsidRDefault="00FC5E9B" w:rsidP="003A0889">
      <w:pPr>
        <w:pStyle w:val="Appendixtitle"/>
        <w:outlineLvl w:val="1"/>
        <w:rPr>
          <w:lang w:val="en-AU"/>
        </w:rPr>
      </w:pPr>
    </w:p>
    <w:bookmarkEnd w:id="39"/>
    <w:bookmarkEnd w:id="40"/>
    <w:bookmarkEnd w:id="41"/>
    <w:bookmarkEnd w:id="42"/>
    <w:p w14:paraId="0E8CCFB8" w14:textId="5161C1BC" w:rsidR="00D16349" w:rsidRDefault="00D16349" w:rsidP="00C60629">
      <w:pPr>
        <w:rPr>
          <w:lang w:val="en-AU"/>
        </w:rPr>
      </w:pPr>
    </w:p>
    <w:p w14:paraId="2E5223D9" w14:textId="177B077B" w:rsidR="00FC5E9B" w:rsidRDefault="00FC5E9B" w:rsidP="00C60629">
      <w:pPr>
        <w:rPr>
          <w:lang w:val="en-AU"/>
        </w:rPr>
      </w:pPr>
    </w:p>
    <w:p w14:paraId="67A5DB6B" w14:textId="7FE64C39" w:rsidR="00FC5E9B" w:rsidRPr="003C341F" w:rsidRDefault="00FC5E9B" w:rsidP="00FC5E9B">
      <w:pPr>
        <w:pStyle w:val="Appendixtitle"/>
        <w:outlineLvl w:val="1"/>
        <w:rPr>
          <w:lang w:val="en-AU"/>
        </w:rPr>
      </w:pPr>
      <w:r w:rsidRPr="003C341F">
        <w:rPr>
          <w:lang w:val="en-AU"/>
        </w:rPr>
        <w:lastRenderedPageBreak/>
        <w:t xml:space="preserve">Appendix </w:t>
      </w:r>
      <w:r>
        <w:rPr>
          <w:lang w:val="en-AU"/>
        </w:rPr>
        <w:t>G</w:t>
      </w:r>
      <w:r w:rsidRPr="003C341F">
        <w:rPr>
          <w:lang w:val="en-AU"/>
        </w:rPr>
        <w:t xml:space="preserve">: </w:t>
      </w:r>
      <w:r>
        <w:rPr>
          <w:lang w:val="en-AU"/>
        </w:rPr>
        <w:t xml:space="preserve">Draft </w:t>
      </w:r>
      <w:r w:rsidRPr="003C341F">
        <w:rPr>
          <w:lang w:val="en-AU"/>
        </w:rPr>
        <w:t>M&amp;E framework</w:t>
      </w:r>
      <w:r>
        <w:rPr>
          <w:lang w:val="en-AU"/>
        </w:rPr>
        <w:t xml:space="preserve"> - needs to be </w:t>
      </w:r>
      <w:r w:rsidR="00FA4B02">
        <w:rPr>
          <w:lang w:val="en-AU"/>
        </w:rPr>
        <w:t>updated as necessary</w:t>
      </w:r>
      <w:r>
        <w:rPr>
          <w:lang w:val="en-AU"/>
        </w:rPr>
        <w:t xml:space="preserve"> in line with SDS 2016-2020</w:t>
      </w:r>
      <w:r w:rsidR="00EE6398">
        <w:rPr>
          <w:lang w:val="en-AU"/>
        </w:rPr>
        <w:t>, Samoa’s HSP 2008-2018 and individual project designs.</w:t>
      </w:r>
    </w:p>
    <w:p w14:paraId="5623EEA6" w14:textId="37004C75" w:rsidR="00D16349" w:rsidRPr="003C341F" w:rsidRDefault="00FC5E9B" w:rsidP="00C60629">
      <w:pPr>
        <w:rPr>
          <w:lang w:val="en-AU"/>
        </w:rPr>
      </w:pPr>
      <w:r w:rsidRPr="003C341F">
        <w:rPr>
          <w:lang w:val="en-AU"/>
        </w:rPr>
        <w:t xml:space="preserve">This M&amp;E framework has been designed to measure outcomes that can be realistically achieved within the timeframe of the program, as well as goals that may be achieved within a few years beyond the life of the program. The indicators have been carefully selected to ensure data is within the capacity of program implementers to collect (both in terms of time, </w:t>
      </w:r>
      <w:proofErr w:type="gramStart"/>
      <w:r w:rsidRPr="003C341F">
        <w:rPr>
          <w:lang w:val="en-AU"/>
        </w:rPr>
        <w:t>skills</w:t>
      </w:r>
      <w:proofErr w:type="gramEnd"/>
      <w:r w:rsidRPr="003C341F">
        <w:rPr>
          <w:lang w:val="en-AU"/>
        </w:rPr>
        <w:t xml:space="preserve"> and budget) or from appropriate existing </w:t>
      </w:r>
      <w:r>
        <w:rPr>
          <w:lang w:val="en-AU"/>
        </w:rPr>
        <w:t>Government of Samoa (GOS)</w:t>
      </w:r>
      <w:r w:rsidRPr="003C341F">
        <w:rPr>
          <w:lang w:val="en-AU"/>
        </w:rPr>
        <w:t xml:space="preserve"> data sources. </w:t>
      </w:r>
      <w:r w:rsidR="00F01727">
        <w:rPr>
          <w:lang w:val="en-AU"/>
        </w:rPr>
        <w:t xml:space="preserve">The </w:t>
      </w:r>
      <w:r w:rsidRPr="003C341F">
        <w:rPr>
          <w:lang w:val="en-AU"/>
        </w:rPr>
        <w:t xml:space="preserve">M&amp;E Framework, including refining indicators </w:t>
      </w:r>
      <w:r w:rsidR="00F01727">
        <w:rPr>
          <w:lang w:val="en-AU"/>
        </w:rPr>
        <w:t xml:space="preserve">will need to be revised and finalised </w:t>
      </w:r>
      <w:r w:rsidRPr="003C341F">
        <w:rPr>
          <w:lang w:val="en-AU"/>
        </w:rPr>
        <w:t xml:space="preserve">to ensure relevance as activities are finalised and verifying the quality and availability of </w:t>
      </w:r>
      <w:r>
        <w:rPr>
          <w:lang w:val="en-AU"/>
        </w:rPr>
        <w:t>GOS</w:t>
      </w:r>
      <w:r w:rsidRPr="003C341F">
        <w:rPr>
          <w:lang w:val="en-AU"/>
        </w:rPr>
        <w:t xml:space="preserve"> data sources.</w:t>
      </w:r>
    </w:p>
    <w:tbl>
      <w:tblPr>
        <w:tblW w:w="5000" w:type="pct"/>
        <w:tblLook w:val="04A0" w:firstRow="1" w:lastRow="0" w:firstColumn="1" w:lastColumn="0" w:noHBand="0" w:noVBand="1"/>
      </w:tblPr>
      <w:tblGrid>
        <w:gridCol w:w="3144"/>
        <w:gridCol w:w="6737"/>
        <w:gridCol w:w="2041"/>
        <w:gridCol w:w="2038"/>
      </w:tblGrid>
      <w:tr w:rsidR="004D43B8" w:rsidRPr="003C341F" w14:paraId="5DBCC58C" w14:textId="77777777" w:rsidTr="00EB1123">
        <w:trPr>
          <w:cantSplit/>
          <w:trHeight w:val="282"/>
        </w:trPr>
        <w:tc>
          <w:tcPr>
            <w:tcW w:w="5000" w:type="pct"/>
            <w:gridSpan w:val="4"/>
            <w:tcBorders>
              <w:top w:val="nil"/>
              <w:left w:val="nil"/>
              <w:bottom w:val="nil"/>
              <w:right w:val="nil"/>
            </w:tcBorders>
            <w:shd w:val="clear" w:color="000000" w:fill="F8CBAD"/>
            <w:hideMark/>
          </w:tcPr>
          <w:p w14:paraId="36D9D492" w14:textId="77777777" w:rsidR="004D43B8" w:rsidRPr="003C341F" w:rsidRDefault="004D43B8" w:rsidP="00EB1123">
            <w:pPr>
              <w:pStyle w:val="Default"/>
              <w:spacing w:before="120" w:after="0"/>
              <w:rPr>
                <w:rFonts w:asciiTheme="majorHAnsi" w:hAnsiTheme="majorHAnsi"/>
                <w:b/>
                <w:bCs/>
                <w:sz w:val="20"/>
                <w:szCs w:val="20"/>
              </w:rPr>
            </w:pPr>
            <w:r w:rsidRPr="003C341F">
              <w:rPr>
                <w:rFonts w:asciiTheme="majorHAnsi" w:hAnsiTheme="majorHAnsi"/>
                <w:b/>
                <w:bCs/>
                <w:sz w:val="20"/>
                <w:szCs w:val="20"/>
              </w:rPr>
              <w:t>Goals</w:t>
            </w:r>
          </w:p>
        </w:tc>
      </w:tr>
      <w:tr w:rsidR="00680876" w:rsidRPr="003C341F" w14:paraId="4AC409D9" w14:textId="77777777" w:rsidTr="005A0A79">
        <w:trPr>
          <w:cantSplit/>
          <w:trHeight w:val="20"/>
        </w:trPr>
        <w:tc>
          <w:tcPr>
            <w:tcW w:w="1126" w:type="pct"/>
            <w:tcBorders>
              <w:top w:val="nil"/>
              <w:left w:val="nil"/>
              <w:bottom w:val="nil"/>
              <w:right w:val="nil"/>
            </w:tcBorders>
            <w:shd w:val="clear" w:color="000000" w:fill="D9D9D9" w:themeFill="background1" w:themeFillShade="D9"/>
          </w:tcPr>
          <w:p w14:paraId="2DF363E7" w14:textId="77777777" w:rsidR="004D43B8" w:rsidRPr="003C341F" w:rsidRDefault="004D43B8" w:rsidP="00EB1123">
            <w:pPr>
              <w:pStyle w:val="Default"/>
              <w:spacing w:before="120" w:after="0"/>
              <w:rPr>
                <w:rFonts w:asciiTheme="majorHAnsi" w:hAnsiTheme="majorHAnsi"/>
                <w:b/>
                <w:bCs/>
                <w:sz w:val="20"/>
                <w:szCs w:val="20"/>
              </w:rPr>
            </w:pPr>
            <w:r w:rsidRPr="003C341F">
              <w:rPr>
                <w:rFonts w:asciiTheme="majorHAnsi" w:hAnsiTheme="majorHAnsi"/>
                <w:b/>
                <w:bCs/>
                <w:sz w:val="20"/>
                <w:szCs w:val="20"/>
              </w:rPr>
              <w:t>Outcome</w:t>
            </w:r>
          </w:p>
        </w:tc>
        <w:tc>
          <w:tcPr>
            <w:tcW w:w="2413" w:type="pct"/>
            <w:tcBorders>
              <w:top w:val="nil"/>
              <w:left w:val="nil"/>
              <w:bottom w:val="nil"/>
              <w:right w:val="nil"/>
            </w:tcBorders>
            <w:shd w:val="clear" w:color="000000" w:fill="D9D9D9" w:themeFill="background1" w:themeFillShade="D9"/>
          </w:tcPr>
          <w:p w14:paraId="6D4C58CD" w14:textId="77777777" w:rsidR="004D43B8" w:rsidRPr="003C341F" w:rsidRDefault="004D43B8" w:rsidP="00EB1123">
            <w:pPr>
              <w:pStyle w:val="Default"/>
              <w:spacing w:before="120" w:after="0"/>
              <w:rPr>
                <w:rFonts w:asciiTheme="majorHAnsi" w:hAnsiTheme="majorHAnsi"/>
                <w:b/>
                <w:bCs/>
                <w:sz w:val="20"/>
                <w:szCs w:val="20"/>
              </w:rPr>
            </w:pPr>
            <w:r w:rsidRPr="003C341F">
              <w:rPr>
                <w:rFonts w:asciiTheme="majorHAnsi" w:hAnsiTheme="majorHAnsi"/>
                <w:b/>
                <w:sz w:val="20"/>
                <w:szCs w:val="20"/>
              </w:rPr>
              <w:t>Indicator and/or monitoring question</w:t>
            </w:r>
          </w:p>
        </w:tc>
        <w:tc>
          <w:tcPr>
            <w:tcW w:w="731" w:type="pct"/>
            <w:tcBorders>
              <w:top w:val="nil"/>
              <w:left w:val="nil"/>
              <w:bottom w:val="nil"/>
              <w:right w:val="nil"/>
            </w:tcBorders>
            <w:shd w:val="clear" w:color="000000" w:fill="D9D9D9" w:themeFill="background1" w:themeFillShade="D9"/>
          </w:tcPr>
          <w:p w14:paraId="24F7A00B" w14:textId="77777777" w:rsidR="004D43B8" w:rsidRPr="003C341F" w:rsidRDefault="004D43B8" w:rsidP="00EB1123">
            <w:pPr>
              <w:pStyle w:val="Default"/>
              <w:spacing w:before="120" w:after="0"/>
              <w:rPr>
                <w:rFonts w:asciiTheme="majorHAnsi" w:hAnsiTheme="majorHAnsi"/>
                <w:b/>
                <w:sz w:val="20"/>
                <w:szCs w:val="20"/>
              </w:rPr>
            </w:pPr>
            <w:r w:rsidRPr="003C341F">
              <w:rPr>
                <w:rFonts w:asciiTheme="majorHAnsi" w:eastAsia="Times New Roman" w:hAnsiTheme="majorHAnsi"/>
                <w:b/>
                <w:bCs/>
                <w:sz w:val="20"/>
                <w:szCs w:val="20"/>
              </w:rPr>
              <w:t>Data collection method</w:t>
            </w:r>
          </w:p>
        </w:tc>
        <w:tc>
          <w:tcPr>
            <w:tcW w:w="730" w:type="pct"/>
            <w:tcBorders>
              <w:top w:val="nil"/>
              <w:left w:val="nil"/>
              <w:bottom w:val="nil"/>
              <w:right w:val="nil"/>
            </w:tcBorders>
            <w:shd w:val="clear" w:color="000000" w:fill="D9D9D9" w:themeFill="background1" w:themeFillShade="D9"/>
          </w:tcPr>
          <w:p w14:paraId="4AC38B4E" w14:textId="77777777" w:rsidR="004D43B8" w:rsidRPr="003C341F" w:rsidRDefault="004D43B8" w:rsidP="00EB1123">
            <w:pPr>
              <w:pStyle w:val="Default"/>
              <w:spacing w:before="120" w:after="0"/>
              <w:rPr>
                <w:rFonts w:asciiTheme="majorHAnsi" w:hAnsiTheme="majorHAnsi"/>
                <w:b/>
                <w:sz w:val="20"/>
                <w:szCs w:val="20"/>
              </w:rPr>
            </w:pPr>
            <w:r w:rsidRPr="003C341F">
              <w:rPr>
                <w:rFonts w:asciiTheme="majorHAnsi" w:eastAsia="Times New Roman" w:hAnsiTheme="majorHAnsi"/>
                <w:b/>
                <w:bCs/>
                <w:sz w:val="20"/>
                <w:szCs w:val="20"/>
              </w:rPr>
              <w:t>Responsibility for data collection</w:t>
            </w:r>
          </w:p>
        </w:tc>
      </w:tr>
      <w:tr w:rsidR="00680876" w:rsidRPr="003C341F" w14:paraId="4DEA91C3" w14:textId="77777777" w:rsidTr="005A0A79">
        <w:trPr>
          <w:cantSplit/>
          <w:trHeight w:val="20"/>
        </w:trPr>
        <w:tc>
          <w:tcPr>
            <w:tcW w:w="1126" w:type="pct"/>
            <w:tcBorders>
              <w:top w:val="nil"/>
              <w:left w:val="nil"/>
              <w:bottom w:val="nil"/>
              <w:right w:val="nil"/>
            </w:tcBorders>
            <w:shd w:val="clear" w:color="auto" w:fill="auto"/>
            <w:hideMark/>
          </w:tcPr>
          <w:p w14:paraId="2B584DA4" w14:textId="393680BF" w:rsidR="004D43B8" w:rsidRPr="00DA2276" w:rsidRDefault="004D43B8" w:rsidP="00EB1123">
            <w:pPr>
              <w:pStyle w:val="Default"/>
              <w:tabs>
                <w:tab w:val="left" w:pos="567"/>
              </w:tabs>
              <w:spacing w:before="120" w:after="0"/>
              <w:ind w:left="567" w:hanging="567"/>
              <w:rPr>
                <w:rFonts w:asciiTheme="majorHAnsi" w:hAnsiTheme="majorHAnsi"/>
                <w:color w:val="FF0000"/>
                <w:sz w:val="20"/>
                <w:szCs w:val="20"/>
              </w:rPr>
            </w:pPr>
            <w:r w:rsidRPr="003C341F">
              <w:rPr>
                <w:rFonts w:asciiTheme="majorHAnsi" w:hAnsiTheme="majorHAnsi"/>
                <w:sz w:val="20"/>
                <w:szCs w:val="20"/>
              </w:rPr>
              <w:t>1.</w:t>
            </w:r>
            <w:r w:rsidRPr="003C341F">
              <w:rPr>
                <w:rFonts w:asciiTheme="majorHAnsi" w:hAnsiTheme="majorHAnsi"/>
                <w:sz w:val="20"/>
                <w:szCs w:val="20"/>
              </w:rPr>
              <w:tab/>
              <w:t>NHS delivers more and better primary health care services at district level</w:t>
            </w:r>
            <w:r w:rsidR="00DA2276">
              <w:rPr>
                <w:rFonts w:asciiTheme="majorHAnsi" w:hAnsiTheme="majorHAnsi"/>
                <w:sz w:val="20"/>
                <w:szCs w:val="20"/>
              </w:rPr>
              <w:t xml:space="preserve"> </w:t>
            </w:r>
            <w:r w:rsidR="00DA2276">
              <w:rPr>
                <w:rFonts w:asciiTheme="majorHAnsi" w:hAnsiTheme="majorHAnsi"/>
                <w:color w:val="FF0000"/>
                <w:sz w:val="20"/>
                <w:szCs w:val="20"/>
              </w:rPr>
              <w:t>(to be confirmed in line with new primary health care program)</w:t>
            </w:r>
          </w:p>
          <w:p w14:paraId="5DBAB3DB" w14:textId="5C11A0F2" w:rsidR="00DA2276" w:rsidRPr="003C341F" w:rsidRDefault="00DA2276" w:rsidP="00DA2276">
            <w:pPr>
              <w:pStyle w:val="Default"/>
              <w:tabs>
                <w:tab w:val="left" w:pos="567"/>
              </w:tabs>
              <w:spacing w:before="120" w:after="0"/>
              <w:rPr>
                <w:rFonts w:asciiTheme="majorHAnsi" w:hAnsiTheme="majorHAnsi"/>
                <w:sz w:val="20"/>
                <w:szCs w:val="20"/>
              </w:rPr>
            </w:pPr>
          </w:p>
        </w:tc>
        <w:tc>
          <w:tcPr>
            <w:tcW w:w="2413" w:type="pct"/>
            <w:tcBorders>
              <w:top w:val="nil"/>
              <w:left w:val="nil"/>
              <w:bottom w:val="nil"/>
              <w:right w:val="nil"/>
            </w:tcBorders>
            <w:shd w:val="clear" w:color="auto" w:fill="auto"/>
            <w:hideMark/>
          </w:tcPr>
          <w:p w14:paraId="5E92B338" w14:textId="7566C4B5" w:rsidR="004D43B8" w:rsidRPr="003C341F" w:rsidRDefault="004D43B8" w:rsidP="00EB1123">
            <w:pPr>
              <w:pStyle w:val="Default"/>
              <w:spacing w:before="120" w:after="0"/>
              <w:rPr>
                <w:rFonts w:asciiTheme="majorHAnsi" w:hAnsiTheme="majorHAnsi"/>
                <w:sz w:val="20"/>
                <w:szCs w:val="20"/>
              </w:rPr>
            </w:pPr>
            <w:r w:rsidRPr="003C341F">
              <w:rPr>
                <w:rFonts w:asciiTheme="majorHAnsi" w:hAnsiTheme="majorHAnsi"/>
                <w:sz w:val="20"/>
                <w:szCs w:val="20"/>
              </w:rPr>
              <w:t xml:space="preserve">Proportion of the population living in communities with regular (≥ weekly) local access to </w:t>
            </w:r>
            <w:r w:rsidR="000203B5" w:rsidRPr="003C341F">
              <w:rPr>
                <w:rFonts w:asciiTheme="majorHAnsi" w:hAnsiTheme="majorHAnsi"/>
                <w:sz w:val="20"/>
                <w:szCs w:val="20"/>
              </w:rPr>
              <w:t xml:space="preserve">core </w:t>
            </w:r>
            <w:r w:rsidRPr="003C341F">
              <w:rPr>
                <w:rFonts w:asciiTheme="majorHAnsi" w:hAnsiTheme="majorHAnsi"/>
                <w:sz w:val="20"/>
                <w:szCs w:val="20"/>
              </w:rPr>
              <w:t xml:space="preserve">primary health care </w:t>
            </w:r>
            <w:r w:rsidR="000203B5" w:rsidRPr="003C341F">
              <w:rPr>
                <w:rFonts w:asciiTheme="majorHAnsi" w:hAnsiTheme="majorHAnsi"/>
                <w:sz w:val="20"/>
                <w:szCs w:val="20"/>
              </w:rPr>
              <w:t xml:space="preserve">services </w:t>
            </w:r>
            <w:r w:rsidRPr="003C341F">
              <w:rPr>
                <w:rFonts w:asciiTheme="majorHAnsi" w:hAnsiTheme="majorHAnsi"/>
                <w:sz w:val="20"/>
                <w:szCs w:val="20"/>
              </w:rPr>
              <w:t>delivered by trained health professional</w:t>
            </w:r>
            <w:r w:rsidR="006B5898" w:rsidRPr="003C341F">
              <w:rPr>
                <w:rFonts w:asciiTheme="majorHAnsi" w:hAnsiTheme="majorHAnsi"/>
                <w:sz w:val="20"/>
                <w:szCs w:val="20"/>
              </w:rPr>
              <w:t>s</w:t>
            </w:r>
            <w:r w:rsidR="000203B5" w:rsidRPr="003C341F">
              <w:rPr>
                <w:rFonts w:asciiTheme="majorHAnsi" w:hAnsiTheme="majorHAnsi"/>
                <w:sz w:val="20"/>
                <w:szCs w:val="20"/>
              </w:rPr>
              <w:t>.</w:t>
            </w:r>
          </w:p>
          <w:p w14:paraId="34883F08" w14:textId="35CE9E9B" w:rsidR="00F52350" w:rsidRPr="003C341F" w:rsidRDefault="00F52350" w:rsidP="00EB1123">
            <w:pPr>
              <w:spacing w:after="0"/>
              <w:rPr>
                <w:rFonts w:ascii="Calibri" w:hAnsi="Calibri" w:cs="Oxygen"/>
                <w:i/>
                <w:color w:val="444444"/>
                <w:sz w:val="20"/>
                <w:szCs w:val="20"/>
                <w:lang w:val="en-AU"/>
              </w:rPr>
            </w:pPr>
          </w:p>
        </w:tc>
        <w:tc>
          <w:tcPr>
            <w:tcW w:w="731" w:type="pct"/>
            <w:tcBorders>
              <w:top w:val="nil"/>
              <w:left w:val="nil"/>
              <w:bottom w:val="nil"/>
              <w:right w:val="nil"/>
            </w:tcBorders>
          </w:tcPr>
          <w:p w14:paraId="69E6E567" w14:textId="2F3067BE" w:rsidR="004D43B8" w:rsidRPr="003C341F" w:rsidRDefault="00DA2276" w:rsidP="00EB1123">
            <w:pPr>
              <w:pStyle w:val="Default"/>
              <w:spacing w:before="120" w:after="0"/>
              <w:rPr>
                <w:rFonts w:asciiTheme="majorHAnsi" w:eastAsia="Times New Roman" w:hAnsiTheme="majorHAnsi"/>
                <w:sz w:val="20"/>
                <w:szCs w:val="20"/>
              </w:rPr>
            </w:pPr>
            <w:r>
              <w:rPr>
                <w:rFonts w:asciiTheme="majorHAnsi" w:eastAsia="Times New Roman" w:hAnsiTheme="majorHAnsi"/>
                <w:sz w:val="20"/>
                <w:szCs w:val="20"/>
              </w:rPr>
              <w:t>NHS staffing</w:t>
            </w:r>
            <w:r w:rsidR="004D43B8" w:rsidRPr="003C341F">
              <w:rPr>
                <w:rFonts w:asciiTheme="majorHAnsi" w:eastAsia="Times New Roman" w:hAnsiTheme="majorHAnsi"/>
                <w:sz w:val="20"/>
                <w:szCs w:val="20"/>
              </w:rPr>
              <w:t xml:space="preserve"> &amp; rostering data; census data</w:t>
            </w:r>
          </w:p>
          <w:p w14:paraId="23B2B7EE" w14:textId="52A76085" w:rsidR="00F52350" w:rsidRPr="003C341F" w:rsidRDefault="00F52350" w:rsidP="00EB1123">
            <w:pPr>
              <w:pStyle w:val="Default"/>
              <w:spacing w:before="120" w:after="0"/>
              <w:rPr>
                <w:rFonts w:asciiTheme="majorHAnsi" w:hAnsiTheme="majorHAnsi"/>
                <w:sz w:val="20"/>
                <w:szCs w:val="20"/>
              </w:rPr>
            </w:pPr>
          </w:p>
        </w:tc>
        <w:tc>
          <w:tcPr>
            <w:tcW w:w="730" w:type="pct"/>
            <w:tcBorders>
              <w:top w:val="nil"/>
              <w:left w:val="nil"/>
              <w:bottom w:val="nil"/>
              <w:right w:val="nil"/>
            </w:tcBorders>
          </w:tcPr>
          <w:p w14:paraId="2CFFC9B6" w14:textId="1DCFA605" w:rsidR="00F52350" w:rsidRPr="00BA19FF" w:rsidRDefault="00F52350" w:rsidP="00EB1123">
            <w:pPr>
              <w:pStyle w:val="Default"/>
              <w:spacing w:before="120" w:after="0"/>
              <w:rPr>
                <w:rFonts w:asciiTheme="majorHAnsi" w:eastAsia="Times New Roman" w:hAnsiTheme="majorHAnsi"/>
                <w:color w:val="FF0000"/>
                <w:sz w:val="20"/>
                <w:szCs w:val="20"/>
              </w:rPr>
            </w:pPr>
            <w:r w:rsidRPr="003C341F">
              <w:rPr>
                <w:rFonts w:asciiTheme="majorHAnsi" w:eastAsia="Times New Roman" w:hAnsiTheme="majorHAnsi"/>
                <w:sz w:val="20"/>
                <w:szCs w:val="20"/>
              </w:rPr>
              <w:br/>
            </w:r>
            <w:r w:rsidR="00BA19FF">
              <w:rPr>
                <w:rFonts w:asciiTheme="majorHAnsi" w:eastAsia="Times New Roman" w:hAnsiTheme="majorHAnsi"/>
                <w:color w:val="FF0000"/>
                <w:sz w:val="20"/>
                <w:szCs w:val="20"/>
              </w:rPr>
              <w:t>TBC</w:t>
            </w:r>
          </w:p>
          <w:p w14:paraId="6BEA1BBD" w14:textId="77777777" w:rsidR="00F52350" w:rsidRPr="003C341F" w:rsidRDefault="00F52350" w:rsidP="00EB1123">
            <w:pPr>
              <w:pStyle w:val="Default"/>
              <w:spacing w:before="120" w:after="0"/>
              <w:rPr>
                <w:rFonts w:asciiTheme="majorHAnsi" w:eastAsia="Times New Roman" w:hAnsiTheme="majorHAnsi"/>
                <w:sz w:val="20"/>
                <w:szCs w:val="20"/>
              </w:rPr>
            </w:pPr>
          </w:p>
          <w:p w14:paraId="0F370C96" w14:textId="7A2EC1B4" w:rsidR="00F52350" w:rsidRPr="003C341F" w:rsidRDefault="00F52350" w:rsidP="00EB1123">
            <w:pPr>
              <w:pStyle w:val="Default"/>
              <w:spacing w:before="120" w:after="0"/>
              <w:rPr>
                <w:rFonts w:asciiTheme="majorHAnsi" w:hAnsiTheme="majorHAnsi"/>
                <w:sz w:val="20"/>
                <w:szCs w:val="20"/>
              </w:rPr>
            </w:pPr>
          </w:p>
        </w:tc>
      </w:tr>
      <w:tr w:rsidR="00680876" w:rsidRPr="003C341F" w14:paraId="64EAFDDE" w14:textId="77777777" w:rsidTr="005A0A79">
        <w:trPr>
          <w:cantSplit/>
          <w:trHeight w:val="20"/>
        </w:trPr>
        <w:tc>
          <w:tcPr>
            <w:tcW w:w="1126" w:type="pct"/>
            <w:tcBorders>
              <w:top w:val="nil"/>
              <w:left w:val="nil"/>
              <w:bottom w:val="nil"/>
              <w:right w:val="nil"/>
            </w:tcBorders>
            <w:shd w:val="clear" w:color="auto" w:fill="auto"/>
            <w:hideMark/>
          </w:tcPr>
          <w:p w14:paraId="3AE6B351" w14:textId="77777777" w:rsidR="004D43B8" w:rsidRPr="003C341F" w:rsidRDefault="004D43B8" w:rsidP="00EB1123">
            <w:pPr>
              <w:pStyle w:val="Default"/>
              <w:tabs>
                <w:tab w:val="left" w:pos="567"/>
              </w:tabs>
              <w:spacing w:before="120" w:after="0"/>
              <w:ind w:left="567" w:hanging="567"/>
              <w:rPr>
                <w:rFonts w:asciiTheme="majorHAnsi" w:hAnsiTheme="majorHAnsi"/>
                <w:sz w:val="20"/>
                <w:szCs w:val="20"/>
              </w:rPr>
            </w:pPr>
            <w:r w:rsidRPr="003C341F">
              <w:rPr>
                <w:rFonts w:asciiTheme="majorHAnsi" w:hAnsiTheme="majorHAnsi"/>
                <w:sz w:val="20"/>
                <w:szCs w:val="20"/>
              </w:rPr>
              <w:t xml:space="preserve">2. </w:t>
            </w:r>
            <w:r w:rsidRPr="003C341F">
              <w:rPr>
                <w:rFonts w:asciiTheme="majorHAnsi" w:hAnsiTheme="majorHAnsi"/>
                <w:sz w:val="20"/>
                <w:szCs w:val="20"/>
              </w:rPr>
              <w:tab/>
              <w:t xml:space="preserve">Improved leadership and management </w:t>
            </w:r>
            <w:proofErr w:type="gramStart"/>
            <w:r w:rsidRPr="003C341F">
              <w:rPr>
                <w:rFonts w:asciiTheme="majorHAnsi" w:hAnsiTheme="majorHAnsi"/>
                <w:sz w:val="20"/>
                <w:szCs w:val="20"/>
              </w:rPr>
              <w:t>enables</w:t>
            </w:r>
            <w:proofErr w:type="gramEnd"/>
            <w:r w:rsidRPr="003C341F">
              <w:rPr>
                <w:rFonts w:asciiTheme="majorHAnsi" w:hAnsiTheme="majorHAnsi"/>
                <w:sz w:val="20"/>
                <w:szCs w:val="20"/>
              </w:rPr>
              <w:t xml:space="preserve"> a more effective health system</w:t>
            </w:r>
          </w:p>
        </w:tc>
        <w:tc>
          <w:tcPr>
            <w:tcW w:w="2413" w:type="pct"/>
            <w:tcBorders>
              <w:top w:val="nil"/>
              <w:left w:val="nil"/>
              <w:bottom w:val="nil"/>
              <w:right w:val="nil"/>
            </w:tcBorders>
            <w:shd w:val="clear" w:color="auto" w:fill="auto"/>
            <w:hideMark/>
          </w:tcPr>
          <w:p w14:paraId="3F79FD39" w14:textId="77777777" w:rsidR="004D43B8" w:rsidRPr="003C341F" w:rsidRDefault="004D43B8" w:rsidP="00EB1123">
            <w:pPr>
              <w:pStyle w:val="Default"/>
              <w:spacing w:before="120" w:after="0"/>
              <w:rPr>
                <w:rFonts w:asciiTheme="majorHAnsi" w:hAnsiTheme="majorHAnsi"/>
                <w:sz w:val="20"/>
                <w:szCs w:val="20"/>
              </w:rPr>
            </w:pPr>
            <w:r w:rsidRPr="003C341F">
              <w:rPr>
                <w:rFonts w:asciiTheme="majorHAnsi" w:hAnsiTheme="majorHAnsi"/>
                <w:sz w:val="20"/>
                <w:szCs w:val="20"/>
              </w:rPr>
              <w:t>Examples of evidence-based change in the health sector</w:t>
            </w:r>
          </w:p>
        </w:tc>
        <w:tc>
          <w:tcPr>
            <w:tcW w:w="731" w:type="pct"/>
            <w:tcBorders>
              <w:top w:val="nil"/>
              <w:left w:val="nil"/>
              <w:bottom w:val="nil"/>
              <w:right w:val="nil"/>
            </w:tcBorders>
          </w:tcPr>
          <w:p w14:paraId="297F27EC" w14:textId="77777777" w:rsidR="004D43B8" w:rsidRDefault="004D43B8" w:rsidP="00DA2276">
            <w:pPr>
              <w:pStyle w:val="Default"/>
              <w:spacing w:before="120" w:after="0"/>
              <w:rPr>
                <w:rFonts w:asciiTheme="majorHAnsi" w:eastAsia="Times New Roman" w:hAnsiTheme="majorHAnsi"/>
                <w:sz w:val="20"/>
                <w:szCs w:val="20"/>
              </w:rPr>
            </w:pPr>
            <w:r w:rsidRPr="003C341F">
              <w:rPr>
                <w:rFonts w:asciiTheme="majorHAnsi" w:eastAsia="Times New Roman" w:hAnsiTheme="majorHAnsi"/>
                <w:sz w:val="20"/>
                <w:szCs w:val="20"/>
              </w:rPr>
              <w:t xml:space="preserve">Assessment by </w:t>
            </w:r>
            <w:r w:rsidR="0094604A" w:rsidRPr="003C341F">
              <w:rPr>
                <w:rFonts w:asciiTheme="majorHAnsi" w:eastAsia="Times New Roman" w:hAnsiTheme="majorHAnsi"/>
                <w:sz w:val="20"/>
                <w:szCs w:val="20"/>
              </w:rPr>
              <w:t>Adviser</w:t>
            </w:r>
            <w:r w:rsidRPr="003C341F">
              <w:rPr>
                <w:rFonts w:asciiTheme="majorHAnsi" w:eastAsia="Times New Roman" w:hAnsiTheme="majorHAnsi"/>
                <w:sz w:val="20"/>
                <w:szCs w:val="20"/>
              </w:rPr>
              <w:t xml:space="preserve"> (case studies)</w:t>
            </w:r>
          </w:p>
          <w:p w14:paraId="45F44288" w14:textId="5E76BB16" w:rsidR="00CB0B3B" w:rsidRPr="003C341F" w:rsidRDefault="00CB0B3B" w:rsidP="00DA2276">
            <w:pPr>
              <w:pStyle w:val="Default"/>
              <w:spacing w:before="120" w:after="0"/>
              <w:rPr>
                <w:rFonts w:asciiTheme="majorHAnsi" w:hAnsiTheme="majorHAnsi"/>
                <w:sz w:val="20"/>
                <w:szCs w:val="20"/>
              </w:rPr>
            </w:pPr>
          </w:p>
        </w:tc>
        <w:tc>
          <w:tcPr>
            <w:tcW w:w="730" w:type="pct"/>
            <w:tcBorders>
              <w:top w:val="nil"/>
              <w:left w:val="nil"/>
              <w:bottom w:val="nil"/>
              <w:right w:val="nil"/>
            </w:tcBorders>
          </w:tcPr>
          <w:p w14:paraId="46A9388B" w14:textId="50CD1E22" w:rsidR="004D43B8" w:rsidRPr="003C341F" w:rsidRDefault="00BA19FF" w:rsidP="00EB1123">
            <w:pPr>
              <w:pStyle w:val="Default"/>
              <w:spacing w:before="120" w:after="0"/>
              <w:rPr>
                <w:rFonts w:asciiTheme="majorHAnsi" w:hAnsiTheme="majorHAnsi"/>
                <w:sz w:val="20"/>
                <w:szCs w:val="20"/>
              </w:rPr>
            </w:pPr>
            <w:r>
              <w:rPr>
                <w:rFonts w:asciiTheme="majorHAnsi" w:hAnsiTheme="majorHAnsi"/>
                <w:sz w:val="20"/>
                <w:szCs w:val="20"/>
              </w:rPr>
              <w:t>Evaluator</w:t>
            </w:r>
          </w:p>
        </w:tc>
      </w:tr>
      <w:tr w:rsidR="00680876" w:rsidRPr="003C341F" w14:paraId="35BB862E" w14:textId="77777777" w:rsidTr="005A0A79">
        <w:trPr>
          <w:cantSplit/>
          <w:trHeight w:val="1425"/>
        </w:trPr>
        <w:tc>
          <w:tcPr>
            <w:tcW w:w="1126" w:type="pct"/>
            <w:tcBorders>
              <w:top w:val="nil"/>
              <w:left w:val="nil"/>
              <w:bottom w:val="nil"/>
              <w:right w:val="nil"/>
            </w:tcBorders>
            <w:shd w:val="clear" w:color="auto" w:fill="auto"/>
          </w:tcPr>
          <w:p w14:paraId="261A1188" w14:textId="77777777" w:rsidR="004D43B8" w:rsidRPr="003C341F" w:rsidRDefault="004D43B8" w:rsidP="00EB1123">
            <w:pPr>
              <w:pStyle w:val="Default"/>
              <w:tabs>
                <w:tab w:val="left" w:pos="567"/>
              </w:tabs>
              <w:spacing w:before="120" w:after="0"/>
              <w:ind w:left="567" w:hanging="567"/>
              <w:rPr>
                <w:rFonts w:asciiTheme="majorHAnsi" w:hAnsiTheme="majorHAnsi"/>
                <w:sz w:val="20"/>
                <w:szCs w:val="20"/>
              </w:rPr>
            </w:pPr>
            <w:r w:rsidRPr="003C341F">
              <w:rPr>
                <w:rFonts w:asciiTheme="majorHAnsi" w:hAnsiTheme="majorHAnsi"/>
                <w:sz w:val="20"/>
                <w:szCs w:val="20"/>
              </w:rPr>
              <w:lastRenderedPageBreak/>
              <w:t xml:space="preserve">3. </w:t>
            </w:r>
            <w:r w:rsidRPr="003C341F">
              <w:rPr>
                <w:rFonts w:asciiTheme="majorHAnsi" w:hAnsiTheme="majorHAnsi"/>
                <w:sz w:val="20"/>
                <w:szCs w:val="20"/>
              </w:rPr>
              <w:tab/>
              <w:t>Samoan women and men, especially youth, have improved sexual and reproductive health outcomes</w:t>
            </w:r>
          </w:p>
        </w:tc>
        <w:tc>
          <w:tcPr>
            <w:tcW w:w="2413" w:type="pct"/>
            <w:tcBorders>
              <w:top w:val="nil"/>
              <w:left w:val="nil"/>
              <w:bottom w:val="nil"/>
              <w:right w:val="nil"/>
            </w:tcBorders>
            <w:shd w:val="clear" w:color="auto" w:fill="auto"/>
          </w:tcPr>
          <w:p w14:paraId="511F46C0" w14:textId="6B8F20C8" w:rsidR="00FF1DCB" w:rsidRDefault="004D7D6F" w:rsidP="00EB1123">
            <w:pPr>
              <w:pStyle w:val="Default"/>
              <w:spacing w:before="120" w:after="0"/>
              <w:rPr>
                <w:rFonts w:asciiTheme="majorHAnsi" w:hAnsiTheme="majorHAnsi"/>
                <w:sz w:val="20"/>
                <w:szCs w:val="20"/>
              </w:rPr>
            </w:pPr>
            <w:r>
              <w:rPr>
                <w:rFonts w:asciiTheme="majorHAnsi" w:hAnsiTheme="majorHAnsi"/>
                <w:sz w:val="20"/>
                <w:szCs w:val="20"/>
              </w:rPr>
              <w:t xml:space="preserve">Increased % men and women (by age) using contraceptives </w:t>
            </w:r>
          </w:p>
          <w:p w14:paraId="07665CFC" w14:textId="02707A8D" w:rsidR="004D7D6F" w:rsidRDefault="004D7D6F" w:rsidP="00EB1123">
            <w:pPr>
              <w:pStyle w:val="Default"/>
              <w:spacing w:before="120" w:after="0"/>
              <w:rPr>
                <w:rFonts w:asciiTheme="majorHAnsi" w:hAnsiTheme="majorHAnsi"/>
                <w:sz w:val="20"/>
                <w:szCs w:val="20"/>
              </w:rPr>
            </w:pPr>
          </w:p>
          <w:p w14:paraId="0242C57A" w14:textId="0295742A" w:rsidR="004D7D6F" w:rsidRPr="003C341F" w:rsidRDefault="004D7D6F" w:rsidP="00EB1123">
            <w:pPr>
              <w:pStyle w:val="Default"/>
              <w:spacing w:before="120" w:after="0"/>
              <w:rPr>
                <w:rFonts w:asciiTheme="majorHAnsi" w:hAnsiTheme="majorHAnsi"/>
                <w:sz w:val="20"/>
                <w:szCs w:val="20"/>
              </w:rPr>
            </w:pPr>
            <w:r>
              <w:rPr>
                <w:rFonts w:asciiTheme="majorHAnsi" w:hAnsiTheme="majorHAnsi"/>
                <w:sz w:val="20"/>
                <w:szCs w:val="20"/>
              </w:rPr>
              <w:t>Reduced unme</w:t>
            </w:r>
            <w:r w:rsidR="005410B6">
              <w:rPr>
                <w:rFonts w:asciiTheme="majorHAnsi" w:hAnsiTheme="majorHAnsi"/>
                <w:sz w:val="20"/>
                <w:szCs w:val="20"/>
              </w:rPr>
              <w:t>t need for family planning (gend</w:t>
            </w:r>
            <w:r>
              <w:rPr>
                <w:rFonts w:asciiTheme="majorHAnsi" w:hAnsiTheme="majorHAnsi"/>
                <w:sz w:val="20"/>
                <w:szCs w:val="20"/>
              </w:rPr>
              <w:t>er and age disaggregated</w:t>
            </w:r>
          </w:p>
          <w:p w14:paraId="448EB645" w14:textId="77777777" w:rsidR="004D7D6F" w:rsidRDefault="004D7D6F" w:rsidP="00EB1123">
            <w:pPr>
              <w:pStyle w:val="Default"/>
              <w:spacing w:before="120" w:after="0"/>
              <w:rPr>
                <w:rFonts w:asciiTheme="majorHAnsi" w:hAnsiTheme="majorHAnsi"/>
                <w:sz w:val="20"/>
                <w:szCs w:val="20"/>
              </w:rPr>
            </w:pPr>
          </w:p>
          <w:p w14:paraId="37EA245E" w14:textId="40958EA9" w:rsidR="00B3545B" w:rsidRDefault="00B3545B" w:rsidP="00EB1123">
            <w:pPr>
              <w:pStyle w:val="Default"/>
              <w:spacing w:before="120" w:after="0"/>
              <w:rPr>
                <w:rFonts w:asciiTheme="majorHAnsi" w:hAnsiTheme="majorHAnsi"/>
                <w:sz w:val="20"/>
                <w:szCs w:val="20"/>
              </w:rPr>
            </w:pPr>
            <w:r w:rsidRPr="003C341F">
              <w:rPr>
                <w:rFonts w:asciiTheme="majorHAnsi" w:hAnsiTheme="majorHAnsi"/>
                <w:sz w:val="20"/>
                <w:szCs w:val="20"/>
              </w:rPr>
              <w:t xml:space="preserve">Decreased </w:t>
            </w:r>
            <w:r w:rsidR="004D7D6F">
              <w:rPr>
                <w:rFonts w:asciiTheme="majorHAnsi" w:hAnsiTheme="majorHAnsi"/>
                <w:sz w:val="20"/>
                <w:szCs w:val="20"/>
              </w:rPr>
              <w:t>Adolescent</w:t>
            </w:r>
            <w:r w:rsidRPr="003C341F">
              <w:rPr>
                <w:rFonts w:asciiTheme="majorHAnsi" w:hAnsiTheme="majorHAnsi"/>
                <w:sz w:val="20"/>
                <w:szCs w:val="20"/>
              </w:rPr>
              <w:t xml:space="preserve"> fertility rate (number of births per 1000 women aged 15-19)</w:t>
            </w:r>
          </w:p>
          <w:p w14:paraId="3B43496B" w14:textId="5322FDC0" w:rsidR="004D7D6F" w:rsidRPr="003C341F" w:rsidRDefault="004D7D6F" w:rsidP="00EB1123">
            <w:pPr>
              <w:pStyle w:val="Default"/>
              <w:spacing w:before="120" w:after="0"/>
              <w:rPr>
                <w:rFonts w:asciiTheme="majorHAnsi" w:hAnsiTheme="majorHAnsi"/>
                <w:sz w:val="20"/>
                <w:szCs w:val="20"/>
              </w:rPr>
            </w:pPr>
            <w:r>
              <w:rPr>
                <w:rFonts w:asciiTheme="majorHAnsi" w:hAnsiTheme="majorHAnsi"/>
                <w:sz w:val="20"/>
                <w:szCs w:val="20"/>
              </w:rPr>
              <w:t xml:space="preserve">Reduced Total Fertility Rate </w:t>
            </w:r>
          </w:p>
          <w:p w14:paraId="2C820437" w14:textId="77777777" w:rsidR="004D43B8" w:rsidRPr="003C341F" w:rsidRDefault="004D43B8" w:rsidP="00EB1123">
            <w:pPr>
              <w:pStyle w:val="Default"/>
              <w:spacing w:before="120" w:after="0"/>
              <w:rPr>
                <w:rFonts w:asciiTheme="majorHAnsi" w:hAnsiTheme="majorHAnsi"/>
                <w:sz w:val="20"/>
                <w:szCs w:val="20"/>
              </w:rPr>
            </w:pPr>
          </w:p>
        </w:tc>
        <w:tc>
          <w:tcPr>
            <w:tcW w:w="731" w:type="pct"/>
            <w:tcBorders>
              <w:top w:val="nil"/>
              <w:left w:val="nil"/>
              <w:bottom w:val="nil"/>
              <w:right w:val="nil"/>
            </w:tcBorders>
          </w:tcPr>
          <w:p w14:paraId="2FB9ABA2" w14:textId="2261DED9" w:rsidR="004D7D6F" w:rsidRDefault="004D7D6F" w:rsidP="00EB1123">
            <w:pPr>
              <w:pStyle w:val="Default"/>
              <w:spacing w:before="120" w:after="0"/>
              <w:rPr>
                <w:rFonts w:asciiTheme="majorHAnsi" w:eastAsia="Times New Roman" w:hAnsiTheme="majorHAnsi"/>
                <w:sz w:val="20"/>
                <w:szCs w:val="20"/>
              </w:rPr>
            </w:pPr>
            <w:r>
              <w:rPr>
                <w:rFonts w:asciiTheme="majorHAnsi" w:eastAsia="Times New Roman" w:hAnsiTheme="majorHAnsi"/>
                <w:sz w:val="20"/>
                <w:szCs w:val="20"/>
              </w:rPr>
              <w:t>Demographic and Health Survey (DHS)</w:t>
            </w:r>
          </w:p>
          <w:p w14:paraId="077815A6" w14:textId="1B4E8E66" w:rsidR="004D7D6F" w:rsidRDefault="004D7D6F" w:rsidP="00EB1123">
            <w:pPr>
              <w:pStyle w:val="Default"/>
              <w:spacing w:before="120" w:after="0"/>
              <w:rPr>
                <w:rFonts w:asciiTheme="majorHAnsi" w:eastAsia="Times New Roman" w:hAnsiTheme="majorHAnsi"/>
                <w:sz w:val="20"/>
                <w:szCs w:val="20"/>
              </w:rPr>
            </w:pPr>
            <w:r>
              <w:rPr>
                <w:rFonts w:asciiTheme="majorHAnsi" w:eastAsia="Times New Roman" w:hAnsiTheme="majorHAnsi"/>
                <w:sz w:val="20"/>
                <w:szCs w:val="20"/>
              </w:rPr>
              <w:t>DHS</w:t>
            </w:r>
          </w:p>
          <w:p w14:paraId="41E83CC0" w14:textId="77777777" w:rsidR="004D7D6F" w:rsidRDefault="004D7D6F" w:rsidP="00EB1123">
            <w:pPr>
              <w:pStyle w:val="Default"/>
              <w:spacing w:before="120" w:after="0"/>
              <w:rPr>
                <w:rFonts w:asciiTheme="majorHAnsi" w:eastAsia="Times New Roman" w:hAnsiTheme="majorHAnsi"/>
                <w:sz w:val="20"/>
                <w:szCs w:val="20"/>
              </w:rPr>
            </w:pPr>
          </w:p>
          <w:p w14:paraId="5FE1B824" w14:textId="4AF99780" w:rsidR="00B3545B" w:rsidRDefault="00397895" w:rsidP="00EB1123">
            <w:pPr>
              <w:pStyle w:val="Default"/>
              <w:spacing w:before="120" w:after="0"/>
              <w:rPr>
                <w:rFonts w:asciiTheme="majorHAnsi" w:eastAsia="Times New Roman" w:hAnsiTheme="majorHAnsi"/>
                <w:sz w:val="20"/>
                <w:szCs w:val="20"/>
              </w:rPr>
            </w:pPr>
            <w:r w:rsidRPr="003C341F">
              <w:rPr>
                <w:rFonts w:asciiTheme="majorHAnsi" w:eastAsia="Times New Roman" w:hAnsiTheme="majorHAnsi"/>
                <w:sz w:val="20"/>
                <w:szCs w:val="20"/>
              </w:rPr>
              <w:t>D</w:t>
            </w:r>
            <w:r w:rsidR="004D7D6F">
              <w:rPr>
                <w:rFonts w:asciiTheme="majorHAnsi" w:eastAsia="Times New Roman" w:hAnsiTheme="majorHAnsi"/>
                <w:sz w:val="20"/>
                <w:szCs w:val="20"/>
              </w:rPr>
              <w:t>HS</w:t>
            </w:r>
          </w:p>
          <w:p w14:paraId="54F1438E" w14:textId="77777777" w:rsidR="004D7D6F" w:rsidRDefault="004D7D6F" w:rsidP="00EB1123">
            <w:pPr>
              <w:pStyle w:val="Default"/>
              <w:spacing w:before="120" w:after="0"/>
              <w:rPr>
                <w:rFonts w:asciiTheme="majorHAnsi" w:eastAsia="Times New Roman" w:hAnsiTheme="majorHAnsi"/>
                <w:sz w:val="20"/>
                <w:szCs w:val="20"/>
              </w:rPr>
            </w:pPr>
          </w:p>
          <w:p w14:paraId="7740E826" w14:textId="0EBA72F6" w:rsidR="004D7D6F" w:rsidRPr="003C341F" w:rsidRDefault="004D7D6F" w:rsidP="00EB1123">
            <w:pPr>
              <w:pStyle w:val="Default"/>
              <w:spacing w:before="120" w:after="0"/>
              <w:rPr>
                <w:rFonts w:asciiTheme="majorHAnsi" w:eastAsia="Times New Roman" w:hAnsiTheme="majorHAnsi"/>
                <w:sz w:val="20"/>
                <w:szCs w:val="20"/>
              </w:rPr>
            </w:pPr>
            <w:r>
              <w:rPr>
                <w:rFonts w:asciiTheme="majorHAnsi" w:eastAsia="Times New Roman" w:hAnsiTheme="majorHAnsi"/>
                <w:sz w:val="20"/>
                <w:szCs w:val="20"/>
              </w:rPr>
              <w:t>DHS</w:t>
            </w:r>
          </w:p>
        </w:tc>
        <w:tc>
          <w:tcPr>
            <w:tcW w:w="730" w:type="pct"/>
            <w:tcBorders>
              <w:top w:val="nil"/>
              <w:left w:val="nil"/>
              <w:bottom w:val="nil"/>
              <w:right w:val="nil"/>
            </w:tcBorders>
          </w:tcPr>
          <w:p w14:paraId="1C499BB1" w14:textId="0D547CC1" w:rsidR="00DD52B7" w:rsidRDefault="004D7D6F" w:rsidP="00EB1123">
            <w:pPr>
              <w:pStyle w:val="Default"/>
              <w:spacing w:before="120" w:after="0"/>
              <w:rPr>
                <w:rFonts w:asciiTheme="majorHAnsi" w:eastAsia="Times New Roman" w:hAnsiTheme="majorHAnsi"/>
                <w:sz w:val="20"/>
                <w:szCs w:val="20"/>
              </w:rPr>
            </w:pPr>
            <w:r>
              <w:rPr>
                <w:rFonts w:asciiTheme="majorHAnsi" w:eastAsia="Times New Roman" w:hAnsiTheme="majorHAnsi"/>
                <w:sz w:val="20"/>
                <w:szCs w:val="20"/>
              </w:rPr>
              <w:t>MOH/SBS</w:t>
            </w:r>
          </w:p>
          <w:p w14:paraId="36BBD80B" w14:textId="4A50D692" w:rsidR="004D7D6F" w:rsidRDefault="00F63153" w:rsidP="00EB1123">
            <w:pPr>
              <w:pStyle w:val="Default"/>
              <w:spacing w:before="120" w:after="0"/>
              <w:rPr>
                <w:rFonts w:asciiTheme="majorHAnsi" w:eastAsia="Times New Roman" w:hAnsiTheme="majorHAnsi"/>
                <w:sz w:val="20"/>
                <w:szCs w:val="20"/>
              </w:rPr>
            </w:pPr>
            <w:r w:rsidRPr="003C341F">
              <w:rPr>
                <w:rFonts w:asciiTheme="majorHAnsi" w:eastAsia="Times New Roman" w:hAnsiTheme="majorHAnsi"/>
                <w:sz w:val="20"/>
                <w:szCs w:val="20"/>
              </w:rPr>
              <w:br/>
            </w:r>
            <w:r w:rsidR="004D7D6F">
              <w:rPr>
                <w:rFonts w:asciiTheme="majorHAnsi" w:eastAsia="Times New Roman" w:hAnsiTheme="majorHAnsi"/>
                <w:sz w:val="20"/>
                <w:szCs w:val="20"/>
              </w:rPr>
              <w:t>MOH/SBS</w:t>
            </w:r>
          </w:p>
          <w:p w14:paraId="16DFE2BA" w14:textId="77777777" w:rsidR="004D7D6F" w:rsidRDefault="004D7D6F" w:rsidP="00EB1123">
            <w:pPr>
              <w:pStyle w:val="Default"/>
              <w:spacing w:before="120" w:after="0"/>
              <w:rPr>
                <w:rFonts w:asciiTheme="majorHAnsi" w:eastAsia="Times New Roman" w:hAnsiTheme="majorHAnsi"/>
                <w:sz w:val="20"/>
                <w:szCs w:val="20"/>
              </w:rPr>
            </w:pPr>
          </w:p>
          <w:p w14:paraId="36F2BA0A" w14:textId="77777777" w:rsidR="004D7D6F" w:rsidRDefault="00C62C8E" w:rsidP="00EB1123">
            <w:pPr>
              <w:pStyle w:val="Default"/>
              <w:spacing w:before="120" w:after="0"/>
              <w:rPr>
                <w:rFonts w:asciiTheme="majorHAnsi" w:eastAsia="Times New Roman" w:hAnsiTheme="majorHAnsi"/>
                <w:sz w:val="20"/>
                <w:szCs w:val="20"/>
              </w:rPr>
            </w:pPr>
            <w:r w:rsidRPr="003C341F">
              <w:rPr>
                <w:rFonts w:asciiTheme="majorHAnsi" w:eastAsia="Times New Roman" w:hAnsiTheme="majorHAnsi"/>
                <w:sz w:val="20"/>
                <w:szCs w:val="20"/>
              </w:rPr>
              <w:t>MOH</w:t>
            </w:r>
            <w:r w:rsidR="004D7D6F">
              <w:rPr>
                <w:rFonts w:asciiTheme="majorHAnsi" w:eastAsia="Times New Roman" w:hAnsiTheme="majorHAnsi"/>
                <w:sz w:val="20"/>
                <w:szCs w:val="20"/>
              </w:rPr>
              <w:t>/SBS</w:t>
            </w:r>
          </w:p>
          <w:p w14:paraId="29BE923A" w14:textId="77777777" w:rsidR="004D7D6F" w:rsidRDefault="004D7D6F" w:rsidP="00EB1123">
            <w:pPr>
              <w:pStyle w:val="Default"/>
              <w:spacing w:before="120" w:after="0"/>
              <w:rPr>
                <w:rFonts w:asciiTheme="majorHAnsi" w:eastAsia="Times New Roman" w:hAnsiTheme="majorHAnsi"/>
                <w:sz w:val="20"/>
                <w:szCs w:val="20"/>
              </w:rPr>
            </w:pPr>
          </w:p>
          <w:p w14:paraId="58D31AE4" w14:textId="44706197" w:rsidR="004D7D6F" w:rsidRPr="003C341F" w:rsidRDefault="004D7D6F" w:rsidP="00EB1123">
            <w:pPr>
              <w:pStyle w:val="Default"/>
              <w:spacing w:before="120" w:after="0"/>
              <w:rPr>
                <w:rFonts w:asciiTheme="majorHAnsi" w:eastAsia="Times New Roman" w:hAnsiTheme="majorHAnsi"/>
                <w:sz w:val="20"/>
                <w:szCs w:val="20"/>
              </w:rPr>
            </w:pPr>
            <w:r>
              <w:rPr>
                <w:rFonts w:asciiTheme="majorHAnsi" w:eastAsia="Times New Roman" w:hAnsiTheme="majorHAnsi"/>
                <w:sz w:val="20"/>
                <w:szCs w:val="20"/>
              </w:rPr>
              <w:t>MOH/SBS</w:t>
            </w:r>
          </w:p>
        </w:tc>
      </w:tr>
      <w:tr w:rsidR="005A0A79" w:rsidRPr="003C341F" w14:paraId="64FB5ED1" w14:textId="77777777" w:rsidTr="005A0A79">
        <w:trPr>
          <w:cantSplit/>
          <w:trHeight w:val="507"/>
        </w:trPr>
        <w:tc>
          <w:tcPr>
            <w:tcW w:w="5000" w:type="pct"/>
            <w:gridSpan w:val="4"/>
            <w:tcBorders>
              <w:top w:val="nil"/>
              <w:left w:val="nil"/>
              <w:bottom w:val="nil"/>
              <w:right w:val="nil"/>
            </w:tcBorders>
            <w:shd w:val="clear" w:color="000000" w:fill="BDD7EE"/>
            <w:hideMark/>
          </w:tcPr>
          <w:p w14:paraId="7A0D22C2" w14:textId="4946CD1A" w:rsidR="005A0A79" w:rsidRPr="003C341F" w:rsidRDefault="005A0A79" w:rsidP="005A0213">
            <w:pPr>
              <w:pStyle w:val="Default"/>
              <w:spacing w:before="120" w:after="120"/>
              <w:rPr>
                <w:rFonts w:asciiTheme="majorHAnsi" w:hAnsiTheme="majorHAnsi"/>
                <w:b/>
                <w:bCs/>
                <w:sz w:val="20"/>
                <w:szCs w:val="20"/>
              </w:rPr>
            </w:pPr>
            <w:r w:rsidRPr="003C341F">
              <w:rPr>
                <w:rFonts w:asciiTheme="majorHAnsi" w:hAnsiTheme="majorHAnsi"/>
                <w:b/>
                <w:bCs/>
                <w:sz w:val="20"/>
                <w:szCs w:val="20"/>
              </w:rPr>
              <w:t>EOPOs</w:t>
            </w:r>
          </w:p>
        </w:tc>
      </w:tr>
      <w:tr w:rsidR="00680876" w:rsidRPr="003C341F" w14:paraId="458EAF23" w14:textId="77777777" w:rsidTr="005A0A79">
        <w:trPr>
          <w:cantSplit/>
          <w:trHeight w:val="20"/>
        </w:trPr>
        <w:tc>
          <w:tcPr>
            <w:tcW w:w="1126" w:type="pct"/>
            <w:tcBorders>
              <w:top w:val="nil"/>
              <w:left w:val="nil"/>
              <w:bottom w:val="nil"/>
              <w:right w:val="nil"/>
            </w:tcBorders>
            <w:shd w:val="clear" w:color="auto" w:fill="D9D9D9" w:themeFill="background1" w:themeFillShade="D9"/>
          </w:tcPr>
          <w:p w14:paraId="1A7158F6" w14:textId="77777777" w:rsidR="004D43B8" w:rsidRPr="003C341F" w:rsidRDefault="004D43B8" w:rsidP="00A0337B">
            <w:pPr>
              <w:pStyle w:val="Default"/>
              <w:tabs>
                <w:tab w:val="left" w:pos="567"/>
              </w:tabs>
              <w:spacing w:before="120" w:after="120"/>
              <w:rPr>
                <w:rFonts w:asciiTheme="majorHAnsi" w:hAnsiTheme="majorHAnsi"/>
                <w:sz w:val="20"/>
                <w:szCs w:val="20"/>
              </w:rPr>
            </w:pPr>
            <w:r w:rsidRPr="003C341F">
              <w:rPr>
                <w:rFonts w:asciiTheme="majorHAnsi" w:hAnsiTheme="majorHAnsi"/>
                <w:b/>
                <w:bCs/>
                <w:sz w:val="20"/>
                <w:szCs w:val="20"/>
              </w:rPr>
              <w:t>Outcome</w:t>
            </w:r>
          </w:p>
        </w:tc>
        <w:tc>
          <w:tcPr>
            <w:tcW w:w="2413" w:type="pct"/>
            <w:tcBorders>
              <w:top w:val="nil"/>
              <w:left w:val="nil"/>
              <w:bottom w:val="nil"/>
              <w:right w:val="nil"/>
            </w:tcBorders>
            <w:shd w:val="clear" w:color="auto" w:fill="D9D9D9" w:themeFill="background1" w:themeFillShade="D9"/>
          </w:tcPr>
          <w:p w14:paraId="096E9177" w14:textId="77777777" w:rsidR="004D43B8" w:rsidRPr="003C341F" w:rsidRDefault="004D43B8" w:rsidP="005A0213">
            <w:pPr>
              <w:pStyle w:val="Default"/>
              <w:spacing w:before="120" w:after="120"/>
              <w:rPr>
                <w:rFonts w:asciiTheme="majorHAnsi" w:hAnsiTheme="majorHAnsi"/>
                <w:sz w:val="20"/>
                <w:szCs w:val="20"/>
              </w:rPr>
            </w:pPr>
            <w:r w:rsidRPr="003C341F">
              <w:rPr>
                <w:rFonts w:asciiTheme="majorHAnsi" w:hAnsiTheme="majorHAnsi"/>
                <w:b/>
                <w:sz w:val="20"/>
                <w:szCs w:val="20"/>
              </w:rPr>
              <w:t>Indicator and/or monitoring question</w:t>
            </w:r>
          </w:p>
        </w:tc>
        <w:tc>
          <w:tcPr>
            <w:tcW w:w="731" w:type="pct"/>
            <w:tcBorders>
              <w:top w:val="nil"/>
              <w:left w:val="nil"/>
              <w:bottom w:val="nil"/>
              <w:right w:val="nil"/>
            </w:tcBorders>
            <w:shd w:val="clear" w:color="auto" w:fill="D9D9D9" w:themeFill="background1" w:themeFillShade="D9"/>
          </w:tcPr>
          <w:p w14:paraId="71CF2944" w14:textId="77777777" w:rsidR="004D43B8" w:rsidRPr="003C341F" w:rsidRDefault="004D43B8" w:rsidP="005A0213">
            <w:pPr>
              <w:pStyle w:val="Default"/>
              <w:spacing w:before="120" w:after="120"/>
              <w:rPr>
                <w:rFonts w:asciiTheme="majorHAnsi" w:hAnsiTheme="majorHAnsi"/>
                <w:b/>
                <w:sz w:val="20"/>
                <w:szCs w:val="20"/>
              </w:rPr>
            </w:pPr>
            <w:r w:rsidRPr="003C341F">
              <w:rPr>
                <w:rFonts w:asciiTheme="majorHAnsi" w:eastAsia="Times New Roman" w:hAnsiTheme="majorHAnsi"/>
                <w:b/>
                <w:bCs/>
                <w:sz w:val="20"/>
                <w:szCs w:val="20"/>
              </w:rPr>
              <w:t>Data collection method</w:t>
            </w:r>
          </w:p>
        </w:tc>
        <w:tc>
          <w:tcPr>
            <w:tcW w:w="730" w:type="pct"/>
            <w:tcBorders>
              <w:top w:val="nil"/>
              <w:left w:val="nil"/>
              <w:bottom w:val="nil"/>
              <w:right w:val="nil"/>
            </w:tcBorders>
            <w:shd w:val="clear" w:color="auto" w:fill="D9D9D9" w:themeFill="background1" w:themeFillShade="D9"/>
          </w:tcPr>
          <w:p w14:paraId="336F07E5" w14:textId="77777777" w:rsidR="004D43B8" w:rsidRPr="003C341F" w:rsidRDefault="004D43B8" w:rsidP="005A0213">
            <w:pPr>
              <w:pStyle w:val="Default"/>
              <w:spacing w:before="120" w:after="120"/>
              <w:rPr>
                <w:rFonts w:asciiTheme="majorHAnsi" w:hAnsiTheme="majorHAnsi"/>
                <w:b/>
                <w:sz w:val="20"/>
                <w:szCs w:val="20"/>
              </w:rPr>
            </w:pPr>
            <w:r w:rsidRPr="003C341F">
              <w:rPr>
                <w:rFonts w:asciiTheme="majorHAnsi" w:eastAsia="Times New Roman" w:hAnsiTheme="majorHAnsi"/>
                <w:b/>
                <w:bCs/>
                <w:sz w:val="20"/>
                <w:szCs w:val="20"/>
              </w:rPr>
              <w:t>Responsibility for data collection</w:t>
            </w:r>
          </w:p>
        </w:tc>
      </w:tr>
      <w:tr w:rsidR="00680876" w:rsidRPr="003C341F" w14:paraId="24D51B54" w14:textId="77777777" w:rsidTr="005A0A79">
        <w:trPr>
          <w:cantSplit/>
          <w:trHeight w:val="20"/>
        </w:trPr>
        <w:tc>
          <w:tcPr>
            <w:tcW w:w="1126" w:type="pct"/>
            <w:tcBorders>
              <w:top w:val="nil"/>
              <w:left w:val="nil"/>
              <w:bottom w:val="nil"/>
              <w:right w:val="nil"/>
            </w:tcBorders>
            <w:shd w:val="clear" w:color="auto" w:fill="auto"/>
            <w:hideMark/>
          </w:tcPr>
          <w:p w14:paraId="0DE1AE7B" w14:textId="77777777" w:rsidR="004D43B8" w:rsidRPr="00C60629" w:rsidRDefault="004D43B8" w:rsidP="00DD52B7">
            <w:pPr>
              <w:pStyle w:val="Numberedlist"/>
              <w:ind w:left="924" w:hanging="357"/>
              <w:jc w:val="left"/>
            </w:pPr>
            <w:r w:rsidRPr="00DD52B7">
              <w:rPr>
                <w:rFonts w:cs="Calibri"/>
                <w:color w:val="000000"/>
                <w:sz w:val="20"/>
                <w:szCs w:val="20"/>
                <w:lang w:eastAsia="en-US"/>
              </w:rPr>
              <w:t>Better resourcing and approaches for district-level primary health care</w:t>
            </w:r>
            <w:r w:rsidRPr="00C60629">
              <w:t xml:space="preserve"> </w:t>
            </w:r>
          </w:p>
        </w:tc>
        <w:tc>
          <w:tcPr>
            <w:tcW w:w="2413" w:type="pct"/>
            <w:tcBorders>
              <w:top w:val="nil"/>
              <w:left w:val="nil"/>
              <w:bottom w:val="nil"/>
              <w:right w:val="nil"/>
            </w:tcBorders>
            <w:shd w:val="clear" w:color="auto" w:fill="auto"/>
            <w:hideMark/>
          </w:tcPr>
          <w:p w14:paraId="25EF5337" w14:textId="1B294E4B" w:rsidR="00D74061" w:rsidRPr="003C341F" w:rsidRDefault="004D43B8" w:rsidP="005A0213">
            <w:pPr>
              <w:pStyle w:val="Default"/>
              <w:spacing w:before="120" w:after="120"/>
              <w:rPr>
                <w:rFonts w:asciiTheme="majorHAnsi" w:hAnsiTheme="majorHAnsi"/>
                <w:sz w:val="20"/>
                <w:szCs w:val="20"/>
              </w:rPr>
            </w:pPr>
            <w:r w:rsidRPr="003C341F">
              <w:rPr>
                <w:rFonts w:asciiTheme="majorHAnsi" w:hAnsiTheme="majorHAnsi"/>
                <w:sz w:val="20"/>
                <w:szCs w:val="20"/>
              </w:rPr>
              <w:t>Increased number of district hospitals and health centres reporting that funding, human res</w:t>
            </w:r>
            <w:r w:rsidR="00967226">
              <w:rPr>
                <w:rFonts w:asciiTheme="majorHAnsi" w:hAnsiTheme="majorHAnsi"/>
                <w:sz w:val="20"/>
                <w:szCs w:val="20"/>
              </w:rPr>
              <w:t xml:space="preserve">ources, </w:t>
            </w:r>
            <w:r w:rsidR="0071639E">
              <w:rPr>
                <w:rFonts w:asciiTheme="majorHAnsi" w:hAnsiTheme="majorHAnsi"/>
                <w:sz w:val="20"/>
                <w:szCs w:val="20"/>
              </w:rPr>
              <w:t xml:space="preserve">surveillance interventions, </w:t>
            </w:r>
            <w:r w:rsidR="00967226">
              <w:rPr>
                <w:rFonts w:asciiTheme="majorHAnsi" w:hAnsiTheme="majorHAnsi"/>
                <w:sz w:val="20"/>
                <w:szCs w:val="20"/>
              </w:rPr>
              <w:t>pharmaceuticals and bio</w:t>
            </w:r>
            <w:r w:rsidRPr="003C341F">
              <w:rPr>
                <w:rFonts w:asciiTheme="majorHAnsi" w:hAnsiTheme="majorHAnsi"/>
                <w:sz w:val="20"/>
                <w:szCs w:val="20"/>
              </w:rPr>
              <w:t>medical equipment meets their primary health care needs</w:t>
            </w:r>
            <w:r w:rsidR="003E0F42" w:rsidRPr="003C341F">
              <w:rPr>
                <w:rStyle w:val="FootnoteReference"/>
                <w:rFonts w:asciiTheme="majorHAnsi" w:hAnsiTheme="majorHAnsi"/>
                <w:sz w:val="20"/>
                <w:szCs w:val="20"/>
              </w:rPr>
              <w:footnoteReference w:id="8"/>
            </w:r>
          </w:p>
          <w:p w14:paraId="6958371A" w14:textId="51CB2FC1" w:rsidR="00D74061" w:rsidRPr="003C341F" w:rsidRDefault="00D74061" w:rsidP="005D102D">
            <w:pPr>
              <w:spacing w:after="0"/>
              <w:rPr>
                <w:rFonts w:cs="Oxygen"/>
                <w:color w:val="444444"/>
                <w:sz w:val="20"/>
                <w:szCs w:val="20"/>
                <w:lang w:val="en-AU"/>
              </w:rPr>
            </w:pPr>
          </w:p>
          <w:p w14:paraId="7846BD47" w14:textId="77777777" w:rsidR="004D43B8" w:rsidRPr="003C341F" w:rsidRDefault="004D43B8" w:rsidP="005A0213">
            <w:pPr>
              <w:pStyle w:val="Default"/>
              <w:spacing w:before="120" w:after="120"/>
              <w:rPr>
                <w:rFonts w:asciiTheme="majorHAnsi" w:hAnsiTheme="majorHAnsi"/>
                <w:sz w:val="20"/>
                <w:szCs w:val="20"/>
              </w:rPr>
            </w:pPr>
          </w:p>
        </w:tc>
        <w:tc>
          <w:tcPr>
            <w:tcW w:w="731" w:type="pct"/>
            <w:tcBorders>
              <w:top w:val="nil"/>
              <w:left w:val="nil"/>
              <w:bottom w:val="nil"/>
              <w:right w:val="nil"/>
            </w:tcBorders>
          </w:tcPr>
          <w:p w14:paraId="4CD84F05" w14:textId="77777777" w:rsidR="004D43B8" w:rsidRPr="003C341F" w:rsidRDefault="004D43B8" w:rsidP="005A0213">
            <w:pPr>
              <w:pStyle w:val="Default"/>
              <w:spacing w:before="120" w:after="120"/>
              <w:rPr>
                <w:rFonts w:asciiTheme="majorHAnsi" w:eastAsia="Times New Roman" w:hAnsiTheme="majorHAnsi"/>
                <w:sz w:val="20"/>
                <w:szCs w:val="20"/>
              </w:rPr>
            </w:pPr>
            <w:r w:rsidRPr="003C341F">
              <w:rPr>
                <w:rFonts w:asciiTheme="majorHAnsi" w:eastAsia="Times New Roman" w:hAnsiTheme="majorHAnsi"/>
                <w:sz w:val="20"/>
                <w:szCs w:val="20"/>
              </w:rPr>
              <w:t>Survey of district hospitals and health centres</w:t>
            </w:r>
          </w:p>
          <w:p w14:paraId="215C40F8" w14:textId="797A876D" w:rsidR="00D74061" w:rsidRPr="003C341F" w:rsidRDefault="00D74061" w:rsidP="005A0213">
            <w:pPr>
              <w:pStyle w:val="Default"/>
              <w:spacing w:before="120" w:after="120"/>
              <w:rPr>
                <w:rFonts w:asciiTheme="majorHAnsi" w:hAnsiTheme="majorHAnsi"/>
                <w:sz w:val="20"/>
                <w:szCs w:val="20"/>
              </w:rPr>
            </w:pPr>
          </w:p>
        </w:tc>
        <w:tc>
          <w:tcPr>
            <w:tcW w:w="730" w:type="pct"/>
            <w:tcBorders>
              <w:top w:val="nil"/>
              <w:left w:val="nil"/>
              <w:bottom w:val="nil"/>
              <w:right w:val="nil"/>
            </w:tcBorders>
          </w:tcPr>
          <w:p w14:paraId="72543DD5" w14:textId="478D1B3B" w:rsidR="00D74061" w:rsidRPr="003C341F" w:rsidRDefault="0071639E" w:rsidP="0071639E">
            <w:pPr>
              <w:pStyle w:val="Default"/>
              <w:spacing w:before="120" w:after="120"/>
              <w:rPr>
                <w:rFonts w:asciiTheme="majorHAnsi" w:hAnsiTheme="majorHAnsi"/>
                <w:sz w:val="20"/>
                <w:szCs w:val="20"/>
              </w:rPr>
            </w:pPr>
            <w:r w:rsidRPr="0071639E">
              <w:rPr>
                <w:rFonts w:asciiTheme="majorHAnsi" w:hAnsiTheme="majorHAnsi"/>
                <w:color w:val="FF0000"/>
                <w:sz w:val="20"/>
                <w:szCs w:val="20"/>
              </w:rPr>
              <w:t>TBC</w:t>
            </w:r>
          </w:p>
        </w:tc>
      </w:tr>
      <w:tr w:rsidR="00680876" w:rsidRPr="003C341F" w14:paraId="4C39DB51" w14:textId="77777777" w:rsidTr="005A0A79">
        <w:trPr>
          <w:cantSplit/>
          <w:trHeight w:val="20"/>
        </w:trPr>
        <w:tc>
          <w:tcPr>
            <w:tcW w:w="1126" w:type="pct"/>
            <w:tcBorders>
              <w:top w:val="nil"/>
              <w:left w:val="nil"/>
              <w:bottom w:val="nil"/>
              <w:right w:val="nil"/>
            </w:tcBorders>
            <w:shd w:val="clear" w:color="auto" w:fill="auto"/>
            <w:hideMark/>
          </w:tcPr>
          <w:p w14:paraId="6617D62C" w14:textId="77777777" w:rsidR="004D43B8" w:rsidRDefault="004D43B8" w:rsidP="00DD52B7">
            <w:pPr>
              <w:pStyle w:val="Numberedlist"/>
              <w:jc w:val="left"/>
              <w:rPr>
                <w:rFonts w:cs="Calibri"/>
                <w:color w:val="000000"/>
                <w:sz w:val="20"/>
                <w:szCs w:val="20"/>
                <w:lang w:eastAsia="en-US"/>
              </w:rPr>
            </w:pPr>
            <w:r w:rsidRPr="00DD52B7">
              <w:rPr>
                <w:rFonts w:cs="Calibri"/>
                <w:color w:val="000000"/>
                <w:sz w:val="20"/>
                <w:szCs w:val="20"/>
                <w:lang w:eastAsia="en-US"/>
              </w:rPr>
              <w:lastRenderedPageBreak/>
              <w:t xml:space="preserve">Health system staff are better equipped to effectively develop policy, deliver </w:t>
            </w:r>
            <w:proofErr w:type="gramStart"/>
            <w:r w:rsidRPr="00DD52B7">
              <w:rPr>
                <w:rFonts w:cs="Calibri"/>
                <w:color w:val="000000"/>
                <w:sz w:val="20"/>
                <w:szCs w:val="20"/>
                <w:lang w:eastAsia="en-US"/>
              </w:rPr>
              <w:t>services</w:t>
            </w:r>
            <w:proofErr w:type="gramEnd"/>
            <w:r w:rsidRPr="00DD52B7">
              <w:rPr>
                <w:rFonts w:cs="Calibri"/>
                <w:color w:val="000000"/>
                <w:sz w:val="20"/>
                <w:szCs w:val="20"/>
                <w:lang w:eastAsia="en-US"/>
              </w:rPr>
              <w:t xml:space="preserve"> and monitor performance.  </w:t>
            </w:r>
          </w:p>
          <w:p w14:paraId="05A0162F" w14:textId="77777777" w:rsidR="00255620" w:rsidRDefault="00255620" w:rsidP="00255620">
            <w:pPr>
              <w:pStyle w:val="Numberedlist"/>
              <w:numPr>
                <w:ilvl w:val="0"/>
                <w:numId w:val="0"/>
              </w:numPr>
              <w:ind w:left="927"/>
              <w:jc w:val="left"/>
              <w:rPr>
                <w:rFonts w:cs="Calibri"/>
                <w:color w:val="000000"/>
                <w:sz w:val="20"/>
                <w:szCs w:val="20"/>
                <w:lang w:eastAsia="en-US"/>
              </w:rPr>
            </w:pPr>
          </w:p>
          <w:p w14:paraId="68414949" w14:textId="77777777" w:rsidR="00255620" w:rsidRDefault="00255620" w:rsidP="00255620">
            <w:pPr>
              <w:pStyle w:val="Numberedlist"/>
              <w:numPr>
                <w:ilvl w:val="0"/>
                <w:numId w:val="0"/>
              </w:numPr>
              <w:ind w:left="927"/>
              <w:jc w:val="left"/>
              <w:rPr>
                <w:rFonts w:cs="Calibri"/>
                <w:color w:val="000000"/>
                <w:sz w:val="20"/>
                <w:szCs w:val="20"/>
                <w:lang w:eastAsia="en-US"/>
              </w:rPr>
            </w:pPr>
          </w:p>
          <w:p w14:paraId="1E861E3D" w14:textId="021E8782" w:rsidR="00255620" w:rsidRPr="00DD52B7" w:rsidRDefault="00255620" w:rsidP="00255620">
            <w:pPr>
              <w:pStyle w:val="Numberedlist"/>
              <w:numPr>
                <w:ilvl w:val="0"/>
                <w:numId w:val="0"/>
              </w:numPr>
              <w:ind w:left="927"/>
              <w:jc w:val="left"/>
              <w:rPr>
                <w:rFonts w:cs="Calibri"/>
                <w:color w:val="000000"/>
                <w:sz w:val="20"/>
                <w:szCs w:val="20"/>
                <w:lang w:eastAsia="en-US"/>
              </w:rPr>
            </w:pPr>
          </w:p>
        </w:tc>
        <w:tc>
          <w:tcPr>
            <w:tcW w:w="2413" w:type="pct"/>
            <w:tcBorders>
              <w:top w:val="nil"/>
              <w:left w:val="nil"/>
              <w:bottom w:val="nil"/>
              <w:right w:val="nil"/>
            </w:tcBorders>
            <w:shd w:val="clear" w:color="auto" w:fill="auto"/>
            <w:hideMark/>
          </w:tcPr>
          <w:p w14:paraId="1A42D0E5" w14:textId="77777777" w:rsidR="000573CC" w:rsidRPr="003C341F" w:rsidRDefault="000573CC" w:rsidP="002537C8">
            <w:pPr>
              <w:pStyle w:val="Default"/>
              <w:spacing w:before="120" w:after="120"/>
              <w:rPr>
                <w:rFonts w:asciiTheme="majorHAnsi" w:hAnsiTheme="majorHAnsi"/>
                <w:sz w:val="20"/>
                <w:szCs w:val="20"/>
              </w:rPr>
            </w:pPr>
            <w:r w:rsidRPr="003C341F">
              <w:rPr>
                <w:rFonts w:asciiTheme="majorHAnsi" w:hAnsiTheme="majorHAnsi"/>
                <w:sz w:val="20"/>
                <w:szCs w:val="20"/>
              </w:rPr>
              <w:t xml:space="preserve">Health system staff demonstrate knowledge of how to apply health information to improve their work practices </w:t>
            </w:r>
          </w:p>
          <w:p w14:paraId="1054A6A7" w14:textId="77777777" w:rsidR="003A1EC6" w:rsidRPr="003C341F" w:rsidRDefault="003A1EC6" w:rsidP="002537C8">
            <w:pPr>
              <w:pStyle w:val="Default"/>
              <w:spacing w:before="120" w:after="120"/>
              <w:rPr>
                <w:rFonts w:asciiTheme="majorHAnsi" w:hAnsiTheme="majorHAnsi"/>
                <w:sz w:val="20"/>
                <w:szCs w:val="20"/>
              </w:rPr>
            </w:pPr>
          </w:p>
          <w:p w14:paraId="2047C875" w14:textId="77777777" w:rsidR="009C172B" w:rsidRDefault="009C172B" w:rsidP="002537C8">
            <w:pPr>
              <w:pStyle w:val="Default"/>
              <w:spacing w:before="120" w:after="120"/>
              <w:rPr>
                <w:rFonts w:asciiTheme="majorHAnsi" w:hAnsiTheme="majorHAnsi"/>
                <w:sz w:val="20"/>
                <w:szCs w:val="20"/>
              </w:rPr>
            </w:pPr>
          </w:p>
          <w:p w14:paraId="1A8A16C2" w14:textId="157ED908" w:rsidR="004D43B8" w:rsidRPr="003C341F" w:rsidRDefault="000573CC" w:rsidP="002537C8">
            <w:pPr>
              <w:pStyle w:val="Default"/>
              <w:spacing w:before="120" w:after="120"/>
              <w:rPr>
                <w:rFonts w:asciiTheme="majorHAnsi" w:hAnsiTheme="majorHAnsi"/>
                <w:sz w:val="20"/>
                <w:szCs w:val="20"/>
              </w:rPr>
            </w:pPr>
            <w:r w:rsidRPr="003C341F">
              <w:rPr>
                <w:rFonts w:asciiTheme="majorHAnsi" w:hAnsiTheme="majorHAnsi"/>
                <w:sz w:val="20"/>
                <w:szCs w:val="20"/>
              </w:rPr>
              <w:t>Health system staff report health sector institutional arrangements better enable them to perform their role</w:t>
            </w:r>
          </w:p>
        </w:tc>
        <w:tc>
          <w:tcPr>
            <w:tcW w:w="731" w:type="pct"/>
            <w:tcBorders>
              <w:top w:val="nil"/>
              <w:left w:val="nil"/>
              <w:bottom w:val="nil"/>
              <w:right w:val="nil"/>
            </w:tcBorders>
          </w:tcPr>
          <w:p w14:paraId="6075EB9A" w14:textId="1A7DB58B" w:rsidR="003A1EC6" w:rsidRPr="003C341F" w:rsidRDefault="000573CC" w:rsidP="005A0213">
            <w:pPr>
              <w:pStyle w:val="Default"/>
              <w:spacing w:before="120" w:after="120"/>
              <w:rPr>
                <w:rFonts w:asciiTheme="majorHAnsi" w:eastAsia="Times New Roman" w:hAnsiTheme="majorHAnsi"/>
                <w:sz w:val="20"/>
                <w:szCs w:val="20"/>
              </w:rPr>
            </w:pPr>
            <w:r w:rsidRPr="003C341F">
              <w:rPr>
                <w:rFonts w:asciiTheme="majorHAnsi" w:eastAsia="Times New Roman" w:hAnsiTheme="majorHAnsi"/>
                <w:sz w:val="20"/>
                <w:szCs w:val="20"/>
              </w:rPr>
              <w:t>Survey of sample of health system staff</w:t>
            </w:r>
            <w:r w:rsidR="002537C8" w:rsidRPr="003C341F">
              <w:rPr>
                <w:rFonts w:asciiTheme="majorHAnsi" w:eastAsia="Times New Roman" w:hAnsiTheme="majorHAnsi"/>
                <w:sz w:val="20"/>
                <w:szCs w:val="20"/>
              </w:rPr>
              <w:t xml:space="preserve"> </w:t>
            </w:r>
            <w:r w:rsidR="009C172B">
              <w:rPr>
                <w:rFonts w:asciiTheme="majorHAnsi" w:eastAsia="Times New Roman" w:hAnsiTheme="majorHAnsi"/>
                <w:sz w:val="20"/>
                <w:szCs w:val="20"/>
              </w:rPr>
              <w:t>&amp; information from SPP</w:t>
            </w:r>
            <w:r w:rsidR="00BA19FF">
              <w:rPr>
                <w:rFonts w:asciiTheme="majorHAnsi" w:eastAsia="Times New Roman" w:hAnsiTheme="majorHAnsi"/>
                <w:sz w:val="20"/>
                <w:szCs w:val="20"/>
              </w:rPr>
              <w:t xml:space="preserve"> &amp; HIS</w:t>
            </w:r>
            <w:r w:rsidR="009C172B">
              <w:rPr>
                <w:rFonts w:asciiTheme="majorHAnsi" w:eastAsia="Times New Roman" w:hAnsiTheme="majorHAnsi"/>
                <w:sz w:val="20"/>
                <w:szCs w:val="20"/>
              </w:rPr>
              <w:t xml:space="preserve"> reviews</w:t>
            </w:r>
          </w:p>
          <w:p w14:paraId="26DC63DD" w14:textId="3D4491A6" w:rsidR="003A1EC6" w:rsidRPr="003C341F" w:rsidRDefault="003A1EC6" w:rsidP="00007AAD">
            <w:pPr>
              <w:pStyle w:val="Default"/>
              <w:spacing w:before="120" w:after="120"/>
              <w:rPr>
                <w:rFonts w:asciiTheme="majorHAnsi" w:hAnsiTheme="majorHAnsi"/>
                <w:sz w:val="20"/>
                <w:szCs w:val="20"/>
              </w:rPr>
            </w:pPr>
            <w:r w:rsidRPr="003C341F">
              <w:rPr>
                <w:rFonts w:asciiTheme="majorHAnsi" w:eastAsia="Times New Roman" w:hAnsiTheme="majorHAnsi"/>
                <w:sz w:val="20"/>
                <w:szCs w:val="20"/>
              </w:rPr>
              <w:t xml:space="preserve">Survey </w:t>
            </w:r>
            <w:r w:rsidR="00007AAD" w:rsidRPr="003C341F">
              <w:rPr>
                <w:rFonts w:asciiTheme="majorHAnsi" w:eastAsia="Times New Roman" w:hAnsiTheme="majorHAnsi"/>
                <w:sz w:val="20"/>
                <w:szCs w:val="20"/>
              </w:rPr>
              <w:t>and/or interviews with</w:t>
            </w:r>
            <w:r w:rsidRPr="003C341F">
              <w:rPr>
                <w:rFonts w:asciiTheme="majorHAnsi" w:eastAsia="Times New Roman" w:hAnsiTheme="majorHAnsi"/>
                <w:sz w:val="20"/>
                <w:szCs w:val="20"/>
              </w:rPr>
              <w:t xml:space="preserve"> sample of health system staff</w:t>
            </w:r>
            <w:r w:rsidR="009C172B">
              <w:rPr>
                <w:rFonts w:asciiTheme="majorHAnsi" w:eastAsia="Times New Roman" w:hAnsiTheme="majorHAnsi"/>
                <w:sz w:val="20"/>
                <w:szCs w:val="20"/>
              </w:rPr>
              <w:t xml:space="preserve"> &amp; from SPP reviews</w:t>
            </w:r>
          </w:p>
        </w:tc>
        <w:tc>
          <w:tcPr>
            <w:tcW w:w="730" w:type="pct"/>
            <w:tcBorders>
              <w:top w:val="nil"/>
              <w:left w:val="nil"/>
              <w:bottom w:val="nil"/>
              <w:right w:val="nil"/>
            </w:tcBorders>
          </w:tcPr>
          <w:p w14:paraId="6FEFE4DB" w14:textId="3061ECBD" w:rsidR="004D43B8" w:rsidRPr="001017F9" w:rsidRDefault="0071639E" w:rsidP="005A0213">
            <w:pPr>
              <w:pStyle w:val="Default"/>
              <w:spacing w:before="120" w:after="120"/>
              <w:rPr>
                <w:rFonts w:asciiTheme="majorHAnsi" w:eastAsia="Times New Roman" w:hAnsiTheme="majorHAnsi"/>
                <w:color w:val="auto"/>
                <w:sz w:val="20"/>
                <w:szCs w:val="20"/>
              </w:rPr>
            </w:pPr>
            <w:r w:rsidRPr="0071639E">
              <w:rPr>
                <w:rFonts w:asciiTheme="majorHAnsi" w:eastAsia="Times New Roman" w:hAnsiTheme="majorHAnsi"/>
                <w:color w:val="FF0000"/>
                <w:sz w:val="20"/>
                <w:szCs w:val="20"/>
              </w:rPr>
              <w:t>TBC</w:t>
            </w:r>
            <w:r w:rsidR="00E66230">
              <w:rPr>
                <w:rFonts w:asciiTheme="majorHAnsi" w:eastAsia="Times New Roman" w:hAnsiTheme="majorHAnsi"/>
                <w:color w:val="auto"/>
                <w:sz w:val="20"/>
                <w:szCs w:val="20"/>
              </w:rPr>
              <w:t>/</w:t>
            </w:r>
            <w:r w:rsidR="001017F9" w:rsidRPr="001017F9">
              <w:rPr>
                <w:rFonts w:asciiTheme="majorHAnsi" w:eastAsia="Times New Roman" w:hAnsiTheme="majorHAnsi"/>
                <w:color w:val="auto"/>
                <w:sz w:val="20"/>
                <w:szCs w:val="20"/>
              </w:rPr>
              <w:t>Evaluators</w:t>
            </w:r>
          </w:p>
          <w:p w14:paraId="612BA203" w14:textId="77777777" w:rsidR="005D55D6" w:rsidRPr="003C341F" w:rsidRDefault="005D55D6" w:rsidP="005A0213">
            <w:pPr>
              <w:pStyle w:val="Default"/>
              <w:spacing w:before="120" w:after="120"/>
              <w:rPr>
                <w:rFonts w:asciiTheme="majorHAnsi" w:eastAsia="Times New Roman" w:hAnsiTheme="majorHAnsi"/>
                <w:sz w:val="20"/>
                <w:szCs w:val="20"/>
              </w:rPr>
            </w:pPr>
          </w:p>
          <w:p w14:paraId="7ED51E57" w14:textId="77777777" w:rsidR="003A1EC6" w:rsidRDefault="003A1EC6" w:rsidP="005A0213">
            <w:pPr>
              <w:pStyle w:val="Default"/>
              <w:spacing w:before="120" w:after="120"/>
              <w:rPr>
                <w:rFonts w:asciiTheme="majorHAnsi" w:hAnsiTheme="majorHAnsi"/>
                <w:sz w:val="20"/>
                <w:szCs w:val="20"/>
              </w:rPr>
            </w:pPr>
          </w:p>
          <w:p w14:paraId="7893B82C" w14:textId="77777777" w:rsidR="009C172B" w:rsidRDefault="009C172B" w:rsidP="005A0213">
            <w:pPr>
              <w:pStyle w:val="Default"/>
              <w:spacing w:before="120" w:after="120"/>
              <w:rPr>
                <w:rFonts w:asciiTheme="majorHAnsi" w:hAnsiTheme="majorHAnsi"/>
                <w:sz w:val="20"/>
                <w:szCs w:val="20"/>
              </w:rPr>
            </w:pPr>
          </w:p>
          <w:p w14:paraId="61F3420D" w14:textId="42FF7E48" w:rsidR="009C172B" w:rsidRPr="003C341F" w:rsidRDefault="001017F9" w:rsidP="005A0213">
            <w:pPr>
              <w:pStyle w:val="Default"/>
              <w:spacing w:before="120" w:after="120"/>
              <w:rPr>
                <w:rFonts w:asciiTheme="majorHAnsi" w:hAnsiTheme="majorHAnsi"/>
                <w:sz w:val="20"/>
                <w:szCs w:val="20"/>
              </w:rPr>
            </w:pPr>
            <w:r w:rsidRPr="001017F9">
              <w:rPr>
                <w:rFonts w:asciiTheme="majorHAnsi" w:hAnsiTheme="majorHAnsi"/>
                <w:color w:val="FF0000"/>
                <w:sz w:val="20"/>
                <w:szCs w:val="20"/>
              </w:rPr>
              <w:t>TBC</w:t>
            </w:r>
            <w:r w:rsidR="00E66230">
              <w:rPr>
                <w:rFonts w:asciiTheme="majorHAnsi" w:hAnsiTheme="majorHAnsi"/>
                <w:sz w:val="20"/>
                <w:szCs w:val="20"/>
              </w:rPr>
              <w:t>/</w:t>
            </w:r>
            <w:r w:rsidR="009C172B">
              <w:rPr>
                <w:rFonts w:asciiTheme="majorHAnsi" w:hAnsiTheme="majorHAnsi"/>
                <w:sz w:val="20"/>
                <w:szCs w:val="20"/>
              </w:rPr>
              <w:t>Evaluators</w:t>
            </w:r>
          </w:p>
        </w:tc>
      </w:tr>
      <w:tr w:rsidR="00680876" w:rsidRPr="003C341F" w14:paraId="37DFBAAD" w14:textId="77777777" w:rsidTr="005A0A79">
        <w:trPr>
          <w:cantSplit/>
          <w:trHeight w:val="20"/>
        </w:trPr>
        <w:tc>
          <w:tcPr>
            <w:tcW w:w="1126" w:type="pct"/>
            <w:tcBorders>
              <w:top w:val="nil"/>
              <w:left w:val="nil"/>
              <w:bottom w:val="nil"/>
              <w:right w:val="nil"/>
            </w:tcBorders>
            <w:shd w:val="clear" w:color="auto" w:fill="auto"/>
            <w:hideMark/>
          </w:tcPr>
          <w:p w14:paraId="629F9029" w14:textId="77777777" w:rsidR="004D43B8" w:rsidRPr="00DD52B7" w:rsidRDefault="004D43B8" w:rsidP="00DD52B7">
            <w:pPr>
              <w:pStyle w:val="Numberedlist"/>
              <w:jc w:val="left"/>
              <w:rPr>
                <w:rFonts w:cs="Calibri"/>
                <w:color w:val="000000"/>
                <w:sz w:val="20"/>
                <w:szCs w:val="20"/>
                <w:lang w:eastAsia="en-US"/>
              </w:rPr>
            </w:pPr>
            <w:r w:rsidRPr="00DD52B7">
              <w:rPr>
                <w:rFonts w:cs="Calibri"/>
                <w:color w:val="000000"/>
                <w:sz w:val="20"/>
                <w:szCs w:val="20"/>
                <w:lang w:eastAsia="en-US"/>
              </w:rPr>
              <w:t xml:space="preserve">More women and men, including youth, are accessing SRH services </w:t>
            </w:r>
          </w:p>
        </w:tc>
        <w:tc>
          <w:tcPr>
            <w:tcW w:w="2413" w:type="pct"/>
            <w:tcBorders>
              <w:top w:val="nil"/>
              <w:left w:val="nil"/>
              <w:bottom w:val="nil"/>
              <w:right w:val="nil"/>
            </w:tcBorders>
            <w:shd w:val="clear" w:color="auto" w:fill="auto"/>
            <w:hideMark/>
          </w:tcPr>
          <w:p w14:paraId="1E6A57A7" w14:textId="77777777" w:rsidR="004D43B8" w:rsidRPr="003C341F" w:rsidRDefault="004D43B8" w:rsidP="005A0213">
            <w:pPr>
              <w:pStyle w:val="Default"/>
              <w:spacing w:before="120" w:after="120"/>
              <w:rPr>
                <w:rFonts w:asciiTheme="majorHAnsi" w:hAnsiTheme="majorHAnsi"/>
                <w:sz w:val="20"/>
                <w:szCs w:val="20"/>
              </w:rPr>
            </w:pPr>
            <w:r w:rsidRPr="003C341F">
              <w:rPr>
                <w:rFonts w:asciiTheme="majorHAnsi" w:hAnsiTheme="majorHAnsi"/>
                <w:sz w:val="20"/>
                <w:szCs w:val="20"/>
              </w:rPr>
              <w:t>Increased numbers of women and men, including youth and people with a disability, accessing SRH services</w:t>
            </w:r>
          </w:p>
          <w:p w14:paraId="70B16494" w14:textId="77777777" w:rsidR="00875D1A" w:rsidRPr="003C341F" w:rsidRDefault="00875D1A" w:rsidP="005A0213">
            <w:pPr>
              <w:pStyle w:val="Default"/>
              <w:spacing w:before="120" w:after="120"/>
              <w:rPr>
                <w:rFonts w:asciiTheme="majorHAnsi" w:hAnsiTheme="majorHAnsi"/>
                <w:sz w:val="20"/>
                <w:szCs w:val="20"/>
              </w:rPr>
            </w:pPr>
          </w:p>
          <w:p w14:paraId="606C6378" w14:textId="093290EE" w:rsidR="00875D1A" w:rsidRPr="003C341F" w:rsidRDefault="00875D1A" w:rsidP="00DA2276">
            <w:pPr>
              <w:pStyle w:val="Default"/>
              <w:spacing w:before="120" w:after="120"/>
              <w:rPr>
                <w:rFonts w:asciiTheme="majorHAnsi" w:hAnsiTheme="majorHAnsi"/>
                <w:sz w:val="20"/>
                <w:szCs w:val="20"/>
              </w:rPr>
            </w:pPr>
            <w:r w:rsidRPr="003C341F">
              <w:rPr>
                <w:rFonts w:asciiTheme="majorHAnsi" w:hAnsiTheme="majorHAnsi"/>
                <w:sz w:val="20"/>
                <w:szCs w:val="20"/>
              </w:rPr>
              <w:t>Increased prevalence of contraceptive use</w:t>
            </w:r>
          </w:p>
        </w:tc>
        <w:tc>
          <w:tcPr>
            <w:tcW w:w="731" w:type="pct"/>
            <w:tcBorders>
              <w:top w:val="nil"/>
              <w:left w:val="nil"/>
              <w:bottom w:val="nil"/>
              <w:right w:val="nil"/>
            </w:tcBorders>
          </w:tcPr>
          <w:p w14:paraId="3930ED67" w14:textId="199EEF36" w:rsidR="004D43B8" w:rsidRPr="003C341F" w:rsidRDefault="004D43B8" w:rsidP="00C60629">
            <w:pPr>
              <w:pStyle w:val="Default"/>
              <w:spacing w:before="120" w:after="120"/>
              <w:rPr>
                <w:rFonts w:asciiTheme="majorHAnsi" w:eastAsia="Times New Roman" w:hAnsiTheme="majorHAnsi"/>
                <w:sz w:val="20"/>
                <w:szCs w:val="20"/>
              </w:rPr>
            </w:pPr>
            <w:r w:rsidRPr="003C341F">
              <w:rPr>
                <w:rFonts w:asciiTheme="majorHAnsi" w:eastAsia="Times New Roman" w:hAnsiTheme="majorHAnsi"/>
                <w:sz w:val="20"/>
                <w:szCs w:val="20"/>
              </w:rPr>
              <w:t xml:space="preserve">SFHA </w:t>
            </w:r>
            <w:r w:rsidR="00DA2276">
              <w:rPr>
                <w:rFonts w:asciiTheme="majorHAnsi" w:eastAsia="Times New Roman" w:hAnsiTheme="majorHAnsi"/>
                <w:sz w:val="20"/>
                <w:szCs w:val="20"/>
              </w:rPr>
              <w:t>data</w:t>
            </w:r>
          </w:p>
          <w:p w14:paraId="25105718" w14:textId="77777777" w:rsidR="00875D1A" w:rsidRPr="003C341F" w:rsidRDefault="00875D1A" w:rsidP="00C60629">
            <w:pPr>
              <w:pStyle w:val="Default"/>
              <w:spacing w:before="120" w:after="120"/>
              <w:rPr>
                <w:rFonts w:asciiTheme="majorHAnsi" w:eastAsia="Times New Roman" w:hAnsiTheme="majorHAnsi"/>
                <w:sz w:val="20"/>
                <w:szCs w:val="20"/>
              </w:rPr>
            </w:pPr>
          </w:p>
          <w:p w14:paraId="7EEA02EA" w14:textId="10D0AC28" w:rsidR="00875D1A" w:rsidRPr="003C341F" w:rsidRDefault="00875D1A" w:rsidP="00C60629">
            <w:pPr>
              <w:pStyle w:val="Default"/>
              <w:spacing w:before="120" w:after="120"/>
              <w:rPr>
                <w:rFonts w:asciiTheme="majorHAnsi" w:hAnsiTheme="majorHAnsi"/>
                <w:sz w:val="20"/>
                <w:szCs w:val="20"/>
              </w:rPr>
            </w:pPr>
            <w:r w:rsidRPr="003C341F">
              <w:rPr>
                <w:rFonts w:asciiTheme="majorHAnsi" w:eastAsia="Times New Roman" w:hAnsiTheme="majorHAnsi"/>
                <w:sz w:val="20"/>
                <w:szCs w:val="20"/>
              </w:rPr>
              <w:t>Demographic and Health Survey</w:t>
            </w:r>
            <w:r w:rsidR="00484401">
              <w:rPr>
                <w:rFonts w:asciiTheme="majorHAnsi" w:eastAsia="Times New Roman" w:hAnsiTheme="majorHAnsi"/>
                <w:sz w:val="20"/>
                <w:szCs w:val="20"/>
              </w:rPr>
              <w:t xml:space="preserve"> or service data</w:t>
            </w:r>
          </w:p>
        </w:tc>
        <w:tc>
          <w:tcPr>
            <w:tcW w:w="730" w:type="pct"/>
            <w:tcBorders>
              <w:top w:val="nil"/>
              <w:left w:val="nil"/>
              <w:bottom w:val="nil"/>
              <w:right w:val="nil"/>
            </w:tcBorders>
          </w:tcPr>
          <w:p w14:paraId="727ECAFC" w14:textId="0E86BDEB" w:rsidR="00875D1A" w:rsidRPr="003C341F" w:rsidRDefault="00E66230" w:rsidP="00C60629">
            <w:pPr>
              <w:pStyle w:val="Default"/>
              <w:spacing w:before="120" w:after="120"/>
              <w:rPr>
                <w:rFonts w:asciiTheme="majorHAnsi" w:eastAsia="Times New Roman" w:hAnsiTheme="majorHAnsi"/>
                <w:sz w:val="20"/>
                <w:szCs w:val="20"/>
              </w:rPr>
            </w:pPr>
            <w:r>
              <w:rPr>
                <w:rFonts w:asciiTheme="majorHAnsi" w:eastAsia="Times New Roman" w:hAnsiTheme="majorHAnsi"/>
                <w:sz w:val="20"/>
                <w:szCs w:val="20"/>
              </w:rPr>
              <w:t>MOH/</w:t>
            </w:r>
            <w:r w:rsidR="004D43B8" w:rsidRPr="003C341F">
              <w:rPr>
                <w:rFonts w:asciiTheme="majorHAnsi" w:eastAsia="Times New Roman" w:hAnsiTheme="majorHAnsi"/>
                <w:sz w:val="20"/>
                <w:szCs w:val="20"/>
              </w:rPr>
              <w:t xml:space="preserve">SFHA </w:t>
            </w:r>
          </w:p>
          <w:p w14:paraId="67601FFA" w14:textId="77777777" w:rsidR="00C60629" w:rsidRDefault="00C60629" w:rsidP="00C60629">
            <w:pPr>
              <w:pStyle w:val="Default"/>
              <w:spacing w:before="120" w:after="120"/>
              <w:rPr>
                <w:rFonts w:asciiTheme="majorHAnsi" w:eastAsia="Times New Roman" w:hAnsiTheme="majorHAnsi"/>
                <w:sz w:val="20"/>
                <w:szCs w:val="20"/>
              </w:rPr>
            </w:pPr>
          </w:p>
          <w:p w14:paraId="053E08AE" w14:textId="22A94C0F" w:rsidR="00875D1A" w:rsidRPr="003C341F" w:rsidRDefault="00C62C8E" w:rsidP="00C60629">
            <w:pPr>
              <w:pStyle w:val="Default"/>
              <w:spacing w:before="120" w:after="120"/>
              <w:rPr>
                <w:rFonts w:asciiTheme="majorHAnsi" w:eastAsia="Times New Roman" w:hAnsiTheme="majorHAnsi"/>
                <w:sz w:val="20"/>
                <w:szCs w:val="20"/>
              </w:rPr>
            </w:pPr>
            <w:r w:rsidRPr="003C341F">
              <w:rPr>
                <w:rFonts w:asciiTheme="majorHAnsi" w:eastAsia="Times New Roman" w:hAnsiTheme="majorHAnsi"/>
                <w:sz w:val="20"/>
                <w:szCs w:val="20"/>
              </w:rPr>
              <w:t>MOH</w:t>
            </w:r>
            <w:r w:rsidR="00E66230">
              <w:rPr>
                <w:rFonts w:asciiTheme="majorHAnsi" w:eastAsia="Times New Roman" w:hAnsiTheme="majorHAnsi"/>
                <w:sz w:val="20"/>
                <w:szCs w:val="20"/>
              </w:rPr>
              <w:t>/</w:t>
            </w:r>
            <w:r w:rsidR="007C751E">
              <w:rPr>
                <w:rFonts w:asciiTheme="majorHAnsi" w:eastAsia="Times New Roman" w:hAnsiTheme="majorHAnsi"/>
                <w:sz w:val="20"/>
                <w:szCs w:val="20"/>
              </w:rPr>
              <w:t>SFHA</w:t>
            </w:r>
          </w:p>
        </w:tc>
      </w:tr>
    </w:tbl>
    <w:p w14:paraId="1D0952EB" w14:textId="77777777" w:rsidR="00D763B5" w:rsidRPr="003C341F" w:rsidRDefault="00D763B5" w:rsidP="00485717">
      <w:pPr>
        <w:rPr>
          <w:lang w:val="en-AU"/>
        </w:rPr>
      </w:pPr>
    </w:p>
    <w:tbl>
      <w:tblPr>
        <w:tblW w:w="5000" w:type="pct"/>
        <w:tblLook w:val="04A0" w:firstRow="1" w:lastRow="0" w:firstColumn="1" w:lastColumn="0" w:noHBand="0" w:noVBand="1"/>
      </w:tblPr>
      <w:tblGrid>
        <w:gridCol w:w="3141"/>
        <w:gridCol w:w="6734"/>
        <w:gridCol w:w="2041"/>
        <w:gridCol w:w="2044"/>
      </w:tblGrid>
      <w:tr w:rsidR="005A0A79" w:rsidRPr="003C341F" w14:paraId="4D051004" w14:textId="77777777" w:rsidTr="005A0A79">
        <w:trPr>
          <w:cantSplit/>
          <w:trHeight w:val="20"/>
          <w:tblHeader/>
        </w:trPr>
        <w:tc>
          <w:tcPr>
            <w:tcW w:w="5000" w:type="pct"/>
            <w:gridSpan w:val="4"/>
            <w:tcBorders>
              <w:top w:val="nil"/>
              <w:left w:val="nil"/>
              <w:right w:val="nil"/>
            </w:tcBorders>
            <w:shd w:val="clear" w:color="auto" w:fill="C2D69B" w:themeFill="accent3" w:themeFillTint="99"/>
          </w:tcPr>
          <w:p w14:paraId="0743BF0D" w14:textId="473151B8" w:rsidR="005A0A79" w:rsidRPr="003C341F" w:rsidRDefault="005A0A79" w:rsidP="005A0213">
            <w:pPr>
              <w:pStyle w:val="Default"/>
              <w:spacing w:before="120" w:after="120"/>
              <w:rPr>
                <w:rFonts w:asciiTheme="majorHAnsi" w:eastAsia="Times New Roman" w:hAnsiTheme="majorHAnsi"/>
                <w:b/>
                <w:bCs/>
                <w:sz w:val="20"/>
                <w:szCs w:val="20"/>
              </w:rPr>
            </w:pPr>
            <w:r w:rsidRPr="003C341F">
              <w:rPr>
                <w:rFonts w:asciiTheme="majorHAnsi" w:hAnsiTheme="majorHAnsi"/>
                <w:b/>
                <w:bCs/>
                <w:sz w:val="20"/>
                <w:szCs w:val="20"/>
              </w:rPr>
              <w:t>Intermediate outcomes</w:t>
            </w:r>
          </w:p>
        </w:tc>
      </w:tr>
      <w:tr w:rsidR="00680876" w:rsidRPr="003C341F" w14:paraId="4DCAB5DB" w14:textId="77777777" w:rsidTr="00A0337B">
        <w:trPr>
          <w:cantSplit/>
          <w:trHeight w:val="20"/>
          <w:tblHeader/>
        </w:trPr>
        <w:tc>
          <w:tcPr>
            <w:tcW w:w="1125" w:type="pct"/>
            <w:tcBorders>
              <w:top w:val="nil"/>
              <w:left w:val="nil"/>
              <w:right w:val="nil"/>
            </w:tcBorders>
            <w:shd w:val="clear" w:color="auto" w:fill="D9D9D9" w:themeFill="background1" w:themeFillShade="D9"/>
          </w:tcPr>
          <w:p w14:paraId="56444F6E" w14:textId="77777777" w:rsidR="004A5BAA" w:rsidRPr="003C341F" w:rsidRDefault="004A5BAA" w:rsidP="005A0213">
            <w:pPr>
              <w:pStyle w:val="Default"/>
              <w:tabs>
                <w:tab w:val="left" w:pos="567"/>
              </w:tabs>
              <w:spacing w:before="120" w:after="120"/>
              <w:ind w:left="567" w:hanging="567"/>
              <w:rPr>
                <w:rFonts w:asciiTheme="majorHAnsi" w:hAnsiTheme="majorHAnsi"/>
                <w:sz w:val="20"/>
                <w:szCs w:val="20"/>
              </w:rPr>
            </w:pPr>
            <w:r w:rsidRPr="003C341F">
              <w:rPr>
                <w:rFonts w:asciiTheme="majorHAnsi" w:hAnsiTheme="majorHAnsi"/>
                <w:b/>
                <w:bCs/>
                <w:sz w:val="20"/>
                <w:szCs w:val="20"/>
              </w:rPr>
              <w:t>Outcome</w:t>
            </w:r>
          </w:p>
        </w:tc>
        <w:tc>
          <w:tcPr>
            <w:tcW w:w="2412" w:type="pct"/>
            <w:tcBorders>
              <w:top w:val="nil"/>
              <w:left w:val="nil"/>
              <w:bottom w:val="nil"/>
              <w:right w:val="nil"/>
            </w:tcBorders>
            <w:shd w:val="clear" w:color="auto" w:fill="D9D9D9" w:themeFill="background1" w:themeFillShade="D9"/>
          </w:tcPr>
          <w:p w14:paraId="15A810F8"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b/>
                <w:sz w:val="20"/>
                <w:szCs w:val="20"/>
              </w:rPr>
              <w:t>Indicator and/or monitoring question</w:t>
            </w:r>
          </w:p>
        </w:tc>
        <w:tc>
          <w:tcPr>
            <w:tcW w:w="731" w:type="pct"/>
            <w:tcBorders>
              <w:top w:val="nil"/>
              <w:left w:val="nil"/>
              <w:bottom w:val="nil"/>
              <w:right w:val="nil"/>
            </w:tcBorders>
            <w:shd w:val="clear" w:color="auto" w:fill="D9D9D9" w:themeFill="background1" w:themeFillShade="D9"/>
          </w:tcPr>
          <w:p w14:paraId="6B9FC40C" w14:textId="77777777" w:rsidR="004A5BAA" w:rsidRPr="003C341F" w:rsidRDefault="004A5BAA" w:rsidP="003F1C96">
            <w:pPr>
              <w:pStyle w:val="Default"/>
              <w:spacing w:before="120" w:after="120"/>
              <w:rPr>
                <w:rFonts w:asciiTheme="majorHAnsi" w:hAnsiTheme="majorHAnsi"/>
                <w:sz w:val="20"/>
                <w:szCs w:val="20"/>
              </w:rPr>
            </w:pPr>
            <w:r w:rsidRPr="003C341F">
              <w:rPr>
                <w:rFonts w:asciiTheme="majorHAnsi" w:eastAsia="Times New Roman" w:hAnsiTheme="majorHAnsi"/>
                <w:b/>
                <w:bCs/>
                <w:sz w:val="20"/>
                <w:szCs w:val="20"/>
              </w:rPr>
              <w:t>Data collection method</w:t>
            </w:r>
          </w:p>
        </w:tc>
        <w:tc>
          <w:tcPr>
            <w:tcW w:w="731" w:type="pct"/>
            <w:tcBorders>
              <w:top w:val="nil"/>
              <w:left w:val="nil"/>
              <w:bottom w:val="nil"/>
              <w:right w:val="nil"/>
            </w:tcBorders>
            <w:shd w:val="clear" w:color="auto" w:fill="D9D9D9" w:themeFill="background1" w:themeFillShade="D9"/>
          </w:tcPr>
          <w:p w14:paraId="6B30E4E9"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eastAsia="Times New Roman" w:hAnsiTheme="majorHAnsi"/>
                <w:b/>
                <w:bCs/>
                <w:sz w:val="20"/>
                <w:szCs w:val="20"/>
              </w:rPr>
              <w:t>Responsibility for data collection</w:t>
            </w:r>
          </w:p>
        </w:tc>
      </w:tr>
      <w:tr w:rsidR="00680876" w:rsidRPr="003C341F" w14:paraId="09F24E48" w14:textId="77777777" w:rsidTr="00A0337B">
        <w:trPr>
          <w:cantSplit/>
          <w:trHeight w:val="20"/>
        </w:trPr>
        <w:tc>
          <w:tcPr>
            <w:tcW w:w="1125" w:type="pct"/>
            <w:vMerge w:val="restart"/>
            <w:tcBorders>
              <w:top w:val="nil"/>
              <w:left w:val="nil"/>
              <w:right w:val="nil"/>
            </w:tcBorders>
            <w:shd w:val="clear" w:color="auto" w:fill="auto"/>
            <w:hideMark/>
          </w:tcPr>
          <w:p w14:paraId="74AF6C18" w14:textId="5D3EFA8D" w:rsidR="004A5BAA" w:rsidRPr="003C341F" w:rsidRDefault="004A5BAA" w:rsidP="005A0213">
            <w:pPr>
              <w:pStyle w:val="Default"/>
              <w:tabs>
                <w:tab w:val="left" w:pos="567"/>
              </w:tabs>
              <w:spacing w:before="120" w:after="120"/>
              <w:ind w:left="567" w:hanging="567"/>
              <w:rPr>
                <w:rFonts w:asciiTheme="majorHAnsi" w:hAnsiTheme="majorHAnsi"/>
                <w:sz w:val="20"/>
                <w:szCs w:val="20"/>
              </w:rPr>
            </w:pPr>
            <w:r w:rsidRPr="003C341F">
              <w:rPr>
                <w:rFonts w:asciiTheme="majorHAnsi" w:hAnsiTheme="majorHAnsi"/>
                <w:sz w:val="20"/>
                <w:szCs w:val="20"/>
              </w:rPr>
              <w:t xml:space="preserve">1.1 </w:t>
            </w:r>
            <w:r w:rsidRPr="003C341F">
              <w:rPr>
                <w:rFonts w:asciiTheme="majorHAnsi" w:hAnsiTheme="majorHAnsi"/>
                <w:sz w:val="20"/>
                <w:szCs w:val="20"/>
              </w:rPr>
              <w:tab/>
              <w:t xml:space="preserve">NHS explores and replicates effective approaches for </w:t>
            </w:r>
            <w:r w:rsidRPr="003C341F">
              <w:rPr>
                <w:rFonts w:asciiTheme="majorHAnsi" w:hAnsiTheme="majorHAnsi"/>
                <w:sz w:val="20"/>
                <w:szCs w:val="20"/>
              </w:rPr>
              <w:lastRenderedPageBreak/>
              <w:t>delivering district level primary health care</w:t>
            </w:r>
            <w:r w:rsidR="008B691D">
              <w:rPr>
                <w:rFonts w:asciiTheme="majorHAnsi" w:hAnsiTheme="majorHAnsi"/>
                <w:sz w:val="20"/>
                <w:szCs w:val="20"/>
              </w:rPr>
              <w:t xml:space="preserve"> </w:t>
            </w:r>
            <w:r w:rsidR="008B691D">
              <w:rPr>
                <w:rFonts w:asciiTheme="majorHAnsi" w:hAnsiTheme="majorHAnsi"/>
                <w:color w:val="FF0000"/>
                <w:sz w:val="20"/>
                <w:szCs w:val="20"/>
              </w:rPr>
              <w:t>(to be confirmed in line with new primary health care program)</w:t>
            </w:r>
          </w:p>
        </w:tc>
        <w:tc>
          <w:tcPr>
            <w:tcW w:w="2412" w:type="pct"/>
            <w:tcBorders>
              <w:top w:val="nil"/>
              <w:left w:val="nil"/>
              <w:bottom w:val="nil"/>
              <w:right w:val="nil"/>
            </w:tcBorders>
            <w:shd w:val="clear" w:color="auto" w:fill="auto"/>
            <w:hideMark/>
          </w:tcPr>
          <w:p w14:paraId="08D2D73F" w14:textId="77777777" w:rsidR="004A5BAA" w:rsidRPr="003C341F" w:rsidRDefault="004A5BAA" w:rsidP="00306EAB">
            <w:pPr>
              <w:pStyle w:val="Default"/>
              <w:spacing w:before="120" w:after="120"/>
              <w:rPr>
                <w:rFonts w:asciiTheme="majorHAnsi" w:hAnsiTheme="majorHAnsi"/>
                <w:sz w:val="20"/>
                <w:szCs w:val="20"/>
              </w:rPr>
            </w:pPr>
            <w:r w:rsidRPr="003C341F">
              <w:rPr>
                <w:rFonts w:asciiTheme="majorHAnsi" w:hAnsiTheme="majorHAnsi"/>
                <w:sz w:val="20"/>
                <w:szCs w:val="20"/>
              </w:rPr>
              <w:lastRenderedPageBreak/>
              <w:t xml:space="preserve">Proportion of the population living in communities where tailored district-level primary health care approaches are being </w:t>
            </w:r>
            <w:r w:rsidR="0049051A" w:rsidRPr="003C341F">
              <w:rPr>
                <w:rFonts w:asciiTheme="majorHAnsi" w:hAnsiTheme="majorHAnsi"/>
                <w:sz w:val="20"/>
                <w:szCs w:val="20"/>
              </w:rPr>
              <w:t>introduced</w:t>
            </w:r>
            <w:r w:rsidRPr="003C341F">
              <w:rPr>
                <w:rStyle w:val="FootnoteReference"/>
                <w:rFonts w:asciiTheme="majorHAnsi" w:hAnsiTheme="majorHAnsi"/>
                <w:sz w:val="20"/>
                <w:szCs w:val="20"/>
              </w:rPr>
              <w:footnoteReference w:id="9"/>
            </w:r>
          </w:p>
        </w:tc>
        <w:tc>
          <w:tcPr>
            <w:tcW w:w="731" w:type="pct"/>
            <w:tcBorders>
              <w:top w:val="nil"/>
              <w:left w:val="nil"/>
              <w:bottom w:val="nil"/>
              <w:right w:val="nil"/>
            </w:tcBorders>
          </w:tcPr>
          <w:p w14:paraId="1B984F8D" w14:textId="77777777" w:rsidR="004A5BAA" w:rsidRPr="003C341F" w:rsidRDefault="004A5BAA">
            <w:pPr>
              <w:pStyle w:val="Default"/>
              <w:spacing w:before="120" w:after="120"/>
              <w:rPr>
                <w:rFonts w:asciiTheme="majorHAnsi" w:hAnsiTheme="majorHAnsi"/>
                <w:sz w:val="20"/>
                <w:szCs w:val="20"/>
              </w:rPr>
            </w:pPr>
            <w:r w:rsidRPr="003C341F">
              <w:rPr>
                <w:rFonts w:asciiTheme="majorHAnsi" w:hAnsiTheme="majorHAnsi"/>
                <w:sz w:val="20"/>
                <w:szCs w:val="20"/>
              </w:rPr>
              <w:t xml:space="preserve">NHS plans for </w:t>
            </w:r>
            <w:r w:rsidR="00450DD0" w:rsidRPr="003C341F">
              <w:rPr>
                <w:rFonts w:asciiTheme="majorHAnsi" w:hAnsiTheme="majorHAnsi"/>
                <w:sz w:val="20"/>
                <w:szCs w:val="20"/>
              </w:rPr>
              <w:t>new services</w:t>
            </w:r>
            <w:r w:rsidRPr="003C341F">
              <w:rPr>
                <w:rFonts w:asciiTheme="majorHAnsi" w:hAnsiTheme="majorHAnsi"/>
                <w:sz w:val="20"/>
                <w:szCs w:val="20"/>
              </w:rPr>
              <w:t>; census data</w:t>
            </w:r>
          </w:p>
        </w:tc>
        <w:tc>
          <w:tcPr>
            <w:tcW w:w="731" w:type="pct"/>
            <w:tcBorders>
              <w:top w:val="nil"/>
              <w:left w:val="nil"/>
              <w:bottom w:val="nil"/>
              <w:right w:val="nil"/>
            </w:tcBorders>
          </w:tcPr>
          <w:p w14:paraId="3D308886" w14:textId="17A91237" w:rsidR="004A5BAA" w:rsidRPr="008B691D" w:rsidRDefault="008B691D" w:rsidP="005A0213">
            <w:pPr>
              <w:pStyle w:val="Default"/>
              <w:spacing w:before="120" w:after="120"/>
              <w:rPr>
                <w:rFonts w:asciiTheme="majorHAnsi" w:hAnsiTheme="majorHAnsi"/>
                <w:color w:val="FF0000"/>
                <w:sz w:val="20"/>
                <w:szCs w:val="20"/>
              </w:rPr>
            </w:pPr>
            <w:r>
              <w:rPr>
                <w:rFonts w:asciiTheme="majorHAnsi" w:hAnsiTheme="majorHAnsi"/>
                <w:color w:val="FF0000"/>
                <w:sz w:val="20"/>
                <w:szCs w:val="20"/>
              </w:rPr>
              <w:t>TBC</w:t>
            </w:r>
          </w:p>
        </w:tc>
      </w:tr>
      <w:tr w:rsidR="00680876" w:rsidRPr="003C341F" w14:paraId="4A364F31" w14:textId="77777777" w:rsidTr="00A0337B">
        <w:trPr>
          <w:cantSplit/>
          <w:trHeight w:val="20"/>
        </w:trPr>
        <w:tc>
          <w:tcPr>
            <w:tcW w:w="1125" w:type="pct"/>
            <w:vMerge/>
            <w:tcBorders>
              <w:left w:val="nil"/>
              <w:bottom w:val="nil"/>
              <w:right w:val="nil"/>
            </w:tcBorders>
            <w:shd w:val="clear" w:color="auto" w:fill="auto"/>
            <w:hideMark/>
          </w:tcPr>
          <w:p w14:paraId="2FB1CC37" w14:textId="77777777" w:rsidR="004A5BAA" w:rsidRPr="003C341F" w:rsidRDefault="004A5BAA" w:rsidP="005A0213">
            <w:pPr>
              <w:pStyle w:val="Default"/>
              <w:spacing w:before="120" w:after="120"/>
              <w:rPr>
                <w:rFonts w:asciiTheme="majorHAnsi" w:hAnsiTheme="majorHAnsi"/>
                <w:sz w:val="20"/>
                <w:szCs w:val="20"/>
              </w:rPr>
            </w:pPr>
          </w:p>
        </w:tc>
        <w:tc>
          <w:tcPr>
            <w:tcW w:w="2412" w:type="pct"/>
            <w:tcBorders>
              <w:top w:val="nil"/>
              <w:left w:val="nil"/>
              <w:bottom w:val="nil"/>
              <w:right w:val="nil"/>
            </w:tcBorders>
            <w:shd w:val="clear" w:color="auto" w:fill="auto"/>
            <w:hideMark/>
          </w:tcPr>
          <w:p w14:paraId="52F42C53" w14:textId="77777777" w:rsidR="00703048"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 xml:space="preserve">Proportion of the population living in communities where tailored district-level primary health care approaches have been embedded on a </w:t>
            </w:r>
            <w:proofErr w:type="gramStart"/>
            <w:r w:rsidRPr="003C341F">
              <w:rPr>
                <w:rFonts w:asciiTheme="majorHAnsi" w:hAnsiTheme="majorHAnsi"/>
                <w:sz w:val="20"/>
                <w:szCs w:val="20"/>
              </w:rPr>
              <w:t>longer term</w:t>
            </w:r>
            <w:proofErr w:type="gramEnd"/>
            <w:r w:rsidRPr="003C341F">
              <w:rPr>
                <w:rFonts w:asciiTheme="majorHAnsi" w:hAnsiTheme="majorHAnsi"/>
                <w:sz w:val="20"/>
                <w:szCs w:val="20"/>
              </w:rPr>
              <w:t xml:space="preserve"> basis</w:t>
            </w:r>
            <w:r w:rsidRPr="003C341F">
              <w:rPr>
                <w:rStyle w:val="FootnoteReference"/>
                <w:rFonts w:asciiTheme="majorHAnsi" w:eastAsia="Times New Roman" w:hAnsiTheme="majorHAnsi"/>
                <w:sz w:val="20"/>
                <w:szCs w:val="20"/>
              </w:rPr>
              <w:footnoteReference w:id="10"/>
            </w:r>
          </w:p>
          <w:p w14:paraId="7C555DE4" w14:textId="77777777" w:rsidR="00703048" w:rsidRPr="003C341F" w:rsidRDefault="00703048" w:rsidP="005A0213">
            <w:pPr>
              <w:pStyle w:val="Default"/>
              <w:spacing w:before="120" w:after="120"/>
              <w:rPr>
                <w:rFonts w:asciiTheme="majorHAnsi" w:hAnsiTheme="majorHAnsi"/>
                <w:sz w:val="20"/>
                <w:szCs w:val="20"/>
              </w:rPr>
            </w:pPr>
            <w:r w:rsidRPr="003C341F">
              <w:rPr>
                <w:rFonts w:asciiTheme="majorHAnsi" w:hAnsiTheme="majorHAnsi"/>
                <w:sz w:val="20"/>
                <w:szCs w:val="20"/>
              </w:rPr>
              <w:br/>
            </w:r>
          </w:p>
          <w:p w14:paraId="71FFE9B0" w14:textId="5DF04DB8" w:rsidR="004A5BAA" w:rsidRPr="003C341F" w:rsidRDefault="004A5BAA" w:rsidP="005A0213">
            <w:pPr>
              <w:pStyle w:val="Default"/>
              <w:spacing w:before="120" w:after="120"/>
              <w:rPr>
                <w:rFonts w:asciiTheme="majorHAnsi" w:hAnsiTheme="majorHAnsi"/>
                <w:sz w:val="20"/>
                <w:szCs w:val="20"/>
              </w:rPr>
            </w:pPr>
          </w:p>
        </w:tc>
        <w:tc>
          <w:tcPr>
            <w:tcW w:w="731" w:type="pct"/>
            <w:tcBorders>
              <w:top w:val="nil"/>
              <w:left w:val="nil"/>
              <w:bottom w:val="nil"/>
              <w:right w:val="nil"/>
            </w:tcBorders>
          </w:tcPr>
          <w:p w14:paraId="01B4FA81" w14:textId="77777777" w:rsidR="004A5BAA" w:rsidRPr="003C341F" w:rsidRDefault="004A5BAA" w:rsidP="003F1C96">
            <w:pPr>
              <w:pStyle w:val="Default"/>
              <w:spacing w:before="120" w:after="120"/>
              <w:rPr>
                <w:rFonts w:asciiTheme="majorHAnsi" w:eastAsia="Times New Roman" w:hAnsiTheme="majorHAnsi"/>
                <w:sz w:val="20"/>
                <w:szCs w:val="20"/>
              </w:rPr>
            </w:pPr>
            <w:r w:rsidRPr="003C341F">
              <w:rPr>
                <w:rFonts w:asciiTheme="majorHAnsi" w:eastAsia="Times New Roman" w:hAnsiTheme="majorHAnsi"/>
                <w:sz w:val="20"/>
                <w:szCs w:val="20"/>
              </w:rPr>
              <w:t>NHS staffing &amp; rostering data for embedded sites; census data</w:t>
            </w:r>
          </w:p>
          <w:p w14:paraId="16FADA31" w14:textId="6110D60B" w:rsidR="00703048" w:rsidRPr="003C341F" w:rsidRDefault="00703048" w:rsidP="003F1C96">
            <w:pPr>
              <w:pStyle w:val="Default"/>
              <w:spacing w:before="120" w:after="120"/>
              <w:rPr>
                <w:rFonts w:asciiTheme="majorHAnsi" w:hAnsiTheme="majorHAnsi"/>
                <w:sz w:val="20"/>
                <w:szCs w:val="20"/>
              </w:rPr>
            </w:pPr>
          </w:p>
        </w:tc>
        <w:tc>
          <w:tcPr>
            <w:tcW w:w="731" w:type="pct"/>
            <w:tcBorders>
              <w:top w:val="nil"/>
              <w:left w:val="nil"/>
              <w:bottom w:val="nil"/>
              <w:right w:val="nil"/>
            </w:tcBorders>
          </w:tcPr>
          <w:p w14:paraId="51587967" w14:textId="08C29411" w:rsidR="00703048" w:rsidRPr="003C341F" w:rsidRDefault="008B691D" w:rsidP="00621C99">
            <w:pPr>
              <w:pStyle w:val="Default"/>
              <w:spacing w:before="120" w:after="120"/>
              <w:rPr>
                <w:rFonts w:asciiTheme="majorHAnsi" w:hAnsiTheme="majorHAnsi"/>
                <w:sz w:val="20"/>
                <w:szCs w:val="20"/>
              </w:rPr>
            </w:pPr>
            <w:r w:rsidRPr="008B691D">
              <w:rPr>
                <w:rFonts w:asciiTheme="majorHAnsi" w:hAnsiTheme="majorHAnsi"/>
                <w:color w:val="FF0000"/>
                <w:sz w:val="20"/>
                <w:szCs w:val="20"/>
              </w:rPr>
              <w:t>TBC</w:t>
            </w:r>
          </w:p>
        </w:tc>
      </w:tr>
      <w:tr w:rsidR="00680876" w:rsidRPr="003C341F" w14:paraId="646F2109" w14:textId="77777777" w:rsidTr="005D102D">
        <w:trPr>
          <w:cantSplit/>
          <w:trHeight w:val="1006"/>
        </w:trPr>
        <w:tc>
          <w:tcPr>
            <w:tcW w:w="1125" w:type="pct"/>
            <w:vMerge w:val="restart"/>
            <w:tcBorders>
              <w:top w:val="nil"/>
              <w:left w:val="nil"/>
              <w:right w:val="nil"/>
            </w:tcBorders>
            <w:shd w:val="clear" w:color="auto" w:fill="auto"/>
            <w:hideMark/>
          </w:tcPr>
          <w:p w14:paraId="2088DE6C" w14:textId="48D3417A" w:rsidR="004A5BAA" w:rsidRPr="003C341F" w:rsidRDefault="004A5BAA" w:rsidP="005A0213">
            <w:pPr>
              <w:pStyle w:val="Default"/>
              <w:tabs>
                <w:tab w:val="left" w:pos="567"/>
              </w:tabs>
              <w:spacing w:before="120" w:after="120"/>
              <w:ind w:left="567" w:hanging="567"/>
              <w:rPr>
                <w:rFonts w:asciiTheme="majorHAnsi" w:hAnsiTheme="majorHAnsi"/>
                <w:sz w:val="20"/>
                <w:szCs w:val="20"/>
              </w:rPr>
            </w:pPr>
            <w:r w:rsidRPr="003C341F">
              <w:rPr>
                <w:rFonts w:asciiTheme="majorHAnsi" w:hAnsiTheme="majorHAnsi"/>
                <w:sz w:val="20"/>
                <w:szCs w:val="20"/>
              </w:rPr>
              <w:t xml:space="preserve">1.2 </w:t>
            </w:r>
            <w:r w:rsidRPr="003C341F">
              <w:rPr>
                <w:rFonts w:asciiTheme="majorHAnsi" w:hAnsiTheme="majorHAnsi"/>
                <w:sz w:val="20"/>
                <w:szCs w:val="20"/>
              </w:rPr>
              <w:tab/>
            </w:r>
            <w:r w:rsidR="00C62C8E" w:rsidRPr="003C341F">
              <w:rPr>
                <w:rFonts w:asciiTheme="majorHAnsi" w:hAnsiTheme="majorHAnsi"/>
                <w:sz w:val="20"/>
                <w:szCs w:val="20"/>
              </w:rPr>
              <w:t>MOH</w:t>
            </w:r>
            <w:r w:rsidRPr="003C341F">
              <w:rPr>
                <w:rFonts w:asciiTheme="majorHAnsi" w:hAnsiTheme="majorHAnsi"/>
                <w:sz w:val="20"/>
                <w:szCs w:val="20"/>
              </w:rPr>
              <w:t xml:space="preserve"> M&amp;E of primary health care models informs better policy on district-level primary health </w:t>
            </w:r>
            <w:proofErr w:type="gramStart"/>
            <w:r w:rsidRPr="003C341F">
              <w:rPr>
                <w:rFonts w:asciiTheme="majorHAnsi" w:hAnsiTheme="majorHAnsi"/>
                <w:sz w:val="20"/>
                <w:szCs w:val="20"/>
              </w:rPr>
              <w:t>care</w:t>
            </w:r>
            <w:r w:rsidR="008B691D">
              <w:rPr>
                <w:rFonts w:asciiTheme="majorHAnsi" w:hAnsiTheme="majorHAnsi"/>
                <w:sz w:val="20"/>
                <w:szCs w:val="20"/>
              </w:rPr>
              <w:t xml:space="preserve"> </w:t>
            </w:r>
            <w:r w:rsidRPr="003C341F">
              <w:rPr>
                <w:rFonts w:asciiTheme="majorHAnsi" w:hAnsiTheme="majorHAnsi"/>
                <w:sz w:val="20"/>
                <w:szCs w:val="20"/>
              </w:rPr>
              <w:t xml:space="preserve"> </w:t>
            </w:r>
            <w:r w:rsidR="008B691D">
              <w:rPr>
                <w:rFonts w:asciiTheme="majorHAnsi" w:hAnsiTheme="majorHAnsi"/>
                <w:color w:val="FF0000"/>
                <w:sz w:val="20"/>
                <w:szCs w:val="20"/>
              </w:rPr>
              <w:t>(</w:t>
            </w:r>
            <w:proofErr w:type="gramEnd"/>
            <w:r w:rsidR="008B691D">
              <w:rPr>
                <w:rFonts w:asciiTheme="majorHAnsi" w:hAnsiTheme="majorHAnsi"/>
                <w:color w:val="FF0000"/>
                <w:sz w:val="20"/>
                <w:szCs w:val="20"/>
              </w:rPr>
              <w:t>to be confirmed in line with new primary health care program)</w:t>
            </w:r>
            <w:r w:rsidRPr="003C341F">
              <w:rPr>
                <w:rFonts w:asciiTheme="majorHAnsi" w:hAnsiTheme="majorHAnsi"/>
                <w:sz w:val="20"/>
                <w:szCs w:val="20"/>
              </w:rPr>
              <w:t xml:space="preserve"> </w:t>
            </w:r>
          </w:p>
        </w:tc>
        <w:tc>
          <w:tcPr>
            <w:tcW w:w="2412" w:type="pct"/>
            <w:tcBorders>
              <w:top w:val="nil"/>
              <w:left w:val="nil"/>
              <w:bottom w:val="nil"/>
              <w:right w:val="nil"/>
            </w:tcBorders>
            <w:shd w:val="clear" w:color="auto" w:fill="auto"/>
            <w:hideMark/>
          </w:tcPr>
          <w:p w14:paraId="3DC9A3FC"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 xml:space="preserve">Proportion of tailored district-level primary health care approaches that have been subjected to formal M&amp;E by </w:t>
            </w:r>
            <w:r w:rsidR="00C62C8E" w:rsidRPr="003C341F">
              <w:rPr>
                <w:rFonts w:asciiTheme="majorHAnsi" w:hAnsiTheme="majorHAnsi"/>
                <w:sz w:val="20"/>
                <w:szCs w:val="20"/>
              </w:rPr>
              <w:t>MOH</w:t>
            </w:r>
          </w:p>
        </w:tc>
        <w:tc>
          <w:tcPr>
            <w:tcW w:w="731" w:type="pct"/>
            <w:tcBorders>
              <w:top w:val="nil"/>
              <w:left w:val="nil"/>
              <w:bottom w:val="nil"/>
              <w:right w:val="nil"/>
            </w:tcBorders>
          </w:tcPr>
          <w:p w14:paraId="7BA4D0B6" w14:textId="77777777" w:rsidR="004A5BAA" w:rsidRPr="003C341F" w:rsidRDefault="00C62C8E" w:rsidP="005A0213">
            <w:pPr>
              <w:pStyle w:val="Default"/>
              <w:spacing w:before="120" w:after="120"/>
              <w:rPr>
                <w:rFonts w:asciiTheme="majorHAnsi" w:hAnsiTheme="majorHAnsi"/>
                <w:sz w:val="20"/>
                <w:szCs w:val="20"/>
              </w:rPr>
            </w:pPr>
            <w:r w:rsidRPr="003C341F">
              <w:rPr>
                <w:rFonts w:asciiTheme="majorHAnsi" w:hAnsiTheme="majorHAnsi"/>
                <w:sz w:val="20"/>
                <w:szCs w:val="20"/>
              </w:rPr>
              <w:t>MOH</w:t>
            </w:r>
            <w:r w:rsidR="004A5BAA" w:rsidRPr="003C341F">
              <w:rPr>
                <w:rFonts w:asciiTheme="majorHAnsi" w:hAnsiTheme="majorHAnsi"/>
                <w:sz w:val="20"/>
                <w:szCs w:val="20"/>
              </w:rPr>
              <w:t xml:space="preserve"> M&amp;E records/reports; interviews</w:t>
            </w:r>
          </w:p>
        </w:tc>
        <w:tc>
          <w:tcPr>
            <w:tcW w:w="731" w:type="pct"/>
            <w:tcBorders>
              <w:top w:val="nil"/>
              <w:left w:val="nil"/>
              <w:bottom w:val="nil"/>
              <w:right w:val="nil"/>
            </w:tcBorders>
          </w:tcPr>
          <w:p w14:paraId="7CE7D1F8" w14:textId="301C7DAF" w:rsidR="004A5BAA" w:rsidRPr="003C341F" w:rsidRDefault="008B691D" w:rsidP="0069660D">
            <w:pPr>
              <w:pStyle w:val="Default"/>
              <w:spacing w:before="120" w:after="120"/>
              <w:rPr>
                <w:rFonts w:asciiTheme="majorHAnsi" w:hAnsiTheme="majorHAnsi"/>
                <w:sz w:val="20"/>
                <w:szCs w:val="20"/>
              </w:rPr>
            </w:pPr>
            <w:r>
              <w:rPr>
                <w:rFonts w:asciiTheme="majorHAnsi" w:hAnsiTheme="majorHAnsi"/>
                <w:color w:val="FF0000"/>
                <w:sz w:val="20"/>
                <w:szCs w:val="20"/>
              </w:rPr>
              <w:t>TBC</w:t>
            </w:r>
          </w:p>
        </w:tc>
      </w:tr>
      <w:tr w:rsidR="00680876" w:rsidRPr="003C341F" w14:paraId="598727B8" w14:textId="77777777" w:rsidTr="00A0337B">
        <w:trPr>
          <w:cantSplit/>
          <w:trHeight w:val="20"/>
        </w:trPr>
        <w:tc>
          <w:tcPr>
            <w:tcW w:w="1125" w:type="pct"/>
            <w:vMerge/>
            <w:tcBorders>
              <w:left w:val="nil"/>
              <w:right w:val="nil"/>
            </w:tcBorders>
            <w:shd w:val="clear" w:color="auto" w:fill="auto"/>
            <w:hideMark/>
          </w:tcPr>
          <w:p w14:paraId="16533F8C" w14:textId="77777777" w:rsidR="004A5BAA" w:rsidRPr="003C341F" w:rsidRDefault="004A5BAA" w:rsidP="005A0213">
            <w:pPr>
              <w:pStyle w:val="Default"/>
              <w:spacing w:before="120" w:after="120"/>
              <w:rPr>
                <w:rFonts w:asciiTheme="majorHAnsi" w:hAnsiTheme="majorHAnsi"/>
                <w:sz w:val="20"/>
                <w:szCs w:val="20"/>
              </w:rPr>
            </w:pPr>
          </w:p>
        </w:tc>
        <w:tc>
          <w:tcPr>
            <w:tcW w:w="2412" w:type="pct"/>
            <w:tcBorders>
              <w:top w:val="nil"/>
              <w:left w:val="nil"/>
              <w:bottom w:val="nil"/>
              <w:right w:val="nil"/>
            </w:tcBorders>
            <w:shd w:val="clear" w:color="auto" w:fill="auto"/>
            <w:hideMark/>
          </w:tcPr>
          <w:p w14:paraId="12B99935" w14:textId="77777777" w:rsidR="004A5BAA" w:rsidRPr="003C341F" w:rsidRDefault="00C62C8E" w:rsidP="005A0213">
            <w:pPr>
              <w:pStyle w:val="Default"/>
              <w:spacing w:before="120" w:after="120"/>
              <w:rPr>
                <w:rFonts w:asciiTheme="majorHAnsi" w:hAnsiTheme="majorHAnsi"/>
                <w:sz w:val="20"/>
                <w:szCs w:val="20"/>
              </w:rPr>
            </w:pPr>
            <w:r w:rsidRPr="003C341F">
              <w:rPr>
                <w:rFonts w:asciiTheme="majorHAnsi" w:hAnsiTheme="majorHAnsi"/>
                <w:sz w:val="20"/>
                <w:szCs w:val="20"/>
              </w:rPr>
              <w:t>MOH</w:t>
            </w:r>
            <w:r w:rsidR="004A5BAA" w:rsidRPr="003C341F">
              <w:rPr>
                <w:rFonts w:asciiTheme="majorHAnsi" w:hAnsiTheme="majorHAnsi"/>
                <w:sz w:val="20"/>
                <w:szCs w:val="20"/>
              </w:rPr>
              <w:t xml:space="preserve"> timely dissemination of M&amp;E findings on primary health care models to key stakeholders, especially NHS, in a user-friendly format</w:t>
            </w:r>
          </w:p>
        </w:tc>
        <w:tc>
          <w:tcPr>
            <w:tcW w:w="731" w:type="pct"/>
            <w:tcBorders>
              <w:top w:val="nil"/>
              <w:left w:val="nil"/>
              <w:bottom w:val="nil"/>
              <w:right w:val="nil"/>
            </w:tcBorders>
          </w:tcPr>
          <w:p w14:paraId="75373455" w14:textId="77777777" w:rsidR="004A5BAA" w:rsidRPr="003C341F" w:rsidRDefault="00C62C8E" w:rsidP="005A0213">
            <w:pPr>
              <w:pStyle w:val="Default"/>
              <w:spacing w:before="120" w:after="120"/>
              <w:rPr>
                <w:rFonts w:asciiTheme="majorHAnsi" w:hAnsiTheme="majorHAnsi"/>
                <w:sz w:val="20"/>
                <w:szCs w:val="20"/>
              </w:rPr>
            </w:pPr>
            <w:r w:rsidRPr="003C341F">
              <w:rPr>
                <w:rFonts w:asciiTheme="majorHAnsi" w:hAnsiTheme="majorHAnsi"/>
                <w:sz w:val="20"/>
                <w:szCs w:val="20"/>
              </w:rPr>
              <w:t>MOH</w:t>
            </w:r>
            <w:r w:rsidR="004A5BAA" w:rsidRPr="003C341F">
              <w:rPr>
                <w:rFonts w:asciiTheme="majorHAnsi" w:hAnsiTheme="majorHAnsi"/>
                <w:sz w:val="20"/>
                <w:szCs w:val="20"/>
              </w:rPr>
              <w:t xml:space="preserve"> M&amp;E records/reports; interviews</w:t>
            </w:r>
          </w:p>
        </w:tc>
        <w:tc>
          <w:tcPr>
            <w:tcW w:w="731" w:type="pct"/>
            <w:tcBorders>
              <w:top w:val="nil"/>
              <w:left w:val="nil"/>
              <w:bottom w:val="nil"/>
              <w:right w:val="nil"/>
            </w:tcBorders>
          </w:tcPr>
          <w:p w14:paraId="61DF95EA" w14:textId="48B73305" w:rsidR="004A5BAA" w:rsidRPr="003C341F" w:rsidRDefault="008B691D" w:rsidP="0069660D">
            <w:pPr>
              <w:pStyle w:val="Default"/>
              <w:spacing w:before="120" w:after="120"/>
              <w:rPr>
                <w:rFonts w:asciiTheme="majorHAnsi" w:hAnsiTheme="majorHAnsi"/>
                <w:sz w:val="20"/>
                <w:szCs w:val="20"/>
              </w:rPr>
            </w:pPr>
            <w:r>
              <w:rPr>
                <w:rFonts w:asciiTheme="majorHAnsi" w:hAnsiTheme="majorHAnsi"/>
                <w:color w:val="FF0000"/>
                <w:sz w:val="20"/>
                <w:szCs w:val="20"/>
              </w:rPr>
              <w:t>TBC</w:t>
            </w:r>
          </w:p>
        </w:tc>
      </w:tr>
      <w:tr w:rsidR="00680876" w:rsidRPr="003C341F" w14:paraId="472C8218" w14:textId="77777777" w:rsidTr="00A0337B">
        <w:trPr>
          <w:cantSplit/>
          <w:trHeight w:val="20"/>
        </w:trPr>
        <w:tc>
          <w:tcPr>
            <w:tcW w:w="1125" w:type="pct"/>
            <w:vMerge/>
            <w:tcBorders>
              <w:left w:val="nil"/>
              <w:right w:val="nil"/>
            </w:tcBorders>
            <w:shd w:val="clear" w:color="auto" w:fill="auto"/>
          </w:tcPr>
          <w:p w14:paraId="310BA565" w14:textId="77777777" w:rsidR="004A5BAA" w:rsidRPr="003C341F" w:rsidRDefault="004A5BAA" w:rsidP="005A0213">
            <w:pPr>
              <w:pStyle w:val="Default"/>
              <w:spacing w:before="120" w:after="120"/>
              <w:rPr>
                <w:rFonts w:asciiTheme="majorHAnsi" w:hAnsiTheme="majorHAnsi"/>
                <w:sz w:val="20"/>
                <w:szCs w:val="20"/>
              </w:rPr>
            </w:pPr>
          </w:p>
        </w:tc>
        <w:tc>
          <w:tcPr>
            <w:tcW w:w="2412" w:type="pct"/>
            <w:tcBorders>
              <w:top w:val="nil"/>
              <w:left w:val="nil"/>
              <w:bottom w:val="nil"/>
              <w:right w:val="nil"/>
            </w:tcBorders>
            <w:shd w:val="clear" w:color="auto" w:fill="auto"/>
          </w:tcPr>
          <w:p w14:paraId="26D4EE95" w14:textId="77777777" w:rsidR="004A5BAA" w:rsidRPr="003C341F" w:rsidRDefault="00C62C8E" w:rsidP="005A0213">
            <w:pPr>
              <w:pStyle w:val="Default"/>
              <w:spacing w:before="120" w:after="120"/>
              <w:rPr>
                <w:rFonts w:asciiTheme="majorHAnsi" w:hAnsiTheme="majorHAnsi"/>
                <w:sz w:val="20"/>
                <w:szCs w:val="20"/>
              </w:rPr>
            </w:pPr>
            <w:r w:rsidRPr="003C341F">
              <w:rPr>
                <w:rFonts w:asciiTheme="majorHAnsi" w:hAnsiTheme="majorHAnsi"/>
                <w:sz w:val="20"/>
                <w:szCs w:val="20"/>
              </w:rPr>
              <w:t>MOH</w:t>
            </w:r>
            <w:r w:rsidR="004A5BAA" w:rsidRPr="003C341F">
              <w:rPr>
                <w:rFonts w:asciiTheme="majorHAnsi" w:hAnsiTheme="majorHAnsi"/>
                <w:sz w:val="20"/>
                <w:szCs w:val="20"/>
              </w:rPr>
              <w:t xml:space="preserve"> ability to specify needs for primary health care services at district level based on analysis of evidence</w:t>
            </w:r>
          </w:p>
        </w:tc>
        <w:tc>
          <w:tcPr>
            <w:tcW w:w="731" w:type="pct"/>
            <w:tcBorders>
              <w:top w:val="nil"/>
              <w:left w:val="nil"/>
              <w:bottom w:val="nil"/>
              <w:right w:val="nil"/>
            </w:tcBorders>
          </w:tcPr>
          <w:p w14:paraId="51D18A44"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 xml:space="preserve">Needs analysis reports produced by </w:t>
            </w:r>
            <w:r w:rsidR="00C62C8E" w:rsidRPr="003C341F">
              <w:rPr>
                <w:rFonts w:asciiTheme="majorHAnsi" w:hAnsiTheme="majorHAnsi"/>
                <w:sz w:val="20"/>
                <w:szCs w:val="20"/>
              </w:rPr>
              <w:t>MOH</w:t>
            </w:r>
            <w:r w:rsidRPr="003C341F">
              <w:rPr>
                <w:rFonts w:asciiTheme="majorHAnsi" w:hAnsiTheme="majorHAnsi"/>
                <w:sz w:val="20"/>
                <w:szCs w:val="20"/>
              </w:rPr>
              <w:t xml:space="preserve"> </w:t>
            </w:r>
          </w:p>
        </w:tc>
        <w:tc>
          <w:tcPr>
            <w:tcW w:w="731" w:type="pct"/>
            <w:tcBorders>
              <w:top w:val="nil"/>
              <w:left w:val="nil"/>
              <w:bottom w:val="nil"/>
              <w:right w:val="nil"/>
            </w:tcBorders>
          </w:tcPr>
          <w:p w14:paraId="6EB23F1F" w14:textId="6BCDABA7" w:rsidR="004A5BAA" w:rsidRPr="003C341F" w:rsidRDefault="008B691D" w:rsidP="0069660D">
            <w:pPr>
              <w:pStyle w:val="Default"/>
              <w:spacing w:before="120" w:after="120"/>
              <w:rPr>
                <w:rFonts w:asciiTheme="majorHAnsi" w:hAnsiTheme="majorHAnsi"/>
                <w:sz w:val="20"/>
                <w:szCs w:val="20"/>
              </w:rPr>
            </w:pPr>
            <w:r>
              <w:rPr>
                <w:rFonts w:asciiTheme="majorHAnsi" w:hAnsiTheme="majorHAnsi"/>
                <w:color w:val="FF0000"/>
                <w:sz w:val="20"/>
                <w:szCs w:val="20"/>
              </w:rPr>
              <w:t>TBC</w:t>
            </w:r>
          </w:p>
        </w:tc>
      </w:tr>
      <w:tr w:rsidR="00680876" w:rsidRPr="003C341F" w14:paraId="70FD26DC" w14:textId="77777777" w:rsidTr="00A0337B">
        <w:trPr>
          <w:cantSplit/>
          <w:trHeight w:val="20"/>
        </w:trPr>
        <w:tc>
          <w:tcPr>
            <w:tcW w:w="1125" w:type="pct"/>
            <w:vMerge/>
            <w:tcBorders>
              <w:left w:val="nil"/>
              <w:bottom w:val="nil"/>
              <w:right w:val="nil"/>
            </w:tcBorders>
            <w:shd w:val="clear" w:color="auto" w:fill="auto"/>
          </w:tcPr>
          <w:p w14:paraId="1187BA0C" w14:textId="77777777" w:rsidR="004A5BAA" w:rsidRPr="003C341F" w:rsidRDefault="004A5BAA" w:rsidP="005A0213">
            <w:pPr>
              <w:pStyle w:val="Default"/>
              <w:spacing w:before="120" w:after="120"/>
              <w:rPr>
                <w:rFonts w:asciiTheme="majorHAnsi" w:hAnsiTheme="majorHAnsi"/>
                <w:sz w:val="20"/>
                <w:szCs w:val="20"/>
              </w:rPr>
            </w:pPr>
          </w:p>
        </w:tc>
        <w:tc>
          <w:tcPr>
            <w:tcW w:w="2412" w:type="pct"/>
            <w:tcBorders>
              <w:top w:val="nil"/>
              <w:left w:val="nil"/>
              <w:bottom w:val="nil"/>
              <w:right w:val="nil"/>
            </w:tcBorders>
            <w:shd w:val="clear" w:color="auto" w:fill="auto"/>
          </w:tcPr>
          <w:p w14:paraId="1EF92458"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NHS decisions on replication of tailored district-level primary health care approaches are based on evidence</w:t>
            </w:r>
          </w:p>
        </w:tc>
        <w:tc>
          <w:tcPr>
            <w:tcW w:w="731" w:type="pct"/>
            <w:tcBorders>
              <w:top w:val="nil"/>
              <w:left w:val="nil"/>
              <w:bottom w:val="nil"/>
              <w:right w:val="nil"/>
            </w:tcBorders>
          </w:tcPr>
          <w:p w14:paraId="56F41078"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Business cases prepared for replication of approaches</w:t>
            </w:r>
          </w:p>
        </w:tc>
        <w:tc>
          <w:tcPr>
            <w:tcW w:w="731" w:type="pct"/>
            <w:tcBorders>
              <w:top w:val="nil"/>
              <w:left w:val="nil"/>
              <w:bottom w:val="nil"/>
              <w:right w:val="nil"/>
            </w:tcBorders>
          </w:tcPr>
          <w:p w14:paraId="6C28B6E4" w14:textId="7CF307BD" w:rsidR="004A5BAA" w:rsidRPr="003C341F" w:rsidRDefault="008B691D" w:rsidP="005A0213">
            <w:pPr>
              <w:pStyle w:val="Default"/>
              <w:spacing w:before="120" w:after="120"/>
              <w:rPr>
                <w:rFonts w:asciiTheme="majorHAnsi" w:hAnsiTheme="majorHAnsi"/>
                <w:sz w:val="20"/>
                <w:szCs w:val="20"/>
              </w:rPr>
            </w:pPr>
            <w:r>
              <w:rPr>
                <w:rFonts w:asciiTheme="majorHAnsi" w:hAnsiTheme="majorHAnsi"/>
                <w:color w:val="FF0000"/>
                <w:sz w:val="20"/>
                <w:szCs w:val="20"/>
              </w:rPr>
              <w:t>TBC</w:t>
            </w:r>
          </w:p>
        </w:tc>
      </w:tr>
      <w:tr w:rsidR="00680876" w:rsidRPr="003C341F" w14:paraId="38B06BA5" w14:textId="77777777" w:rsidTr="00A0337B">
        <w:trPr>
          <w:cantSplit/>
          <w:trHeight w:val="20"/>
        </w:trPr>
        <w:tc>
          <w:tcPr>
            <w:tcW w:w="1125" w:type="pct"/>
            <w:vMerge w:val="restart"/>
            <w:tcBorders>
              <w:top w:val="nil"/>
              <w:left w:val="nil"/>
              <w:right w:val="nil"/>
            </w:tcBorders>
            <w:shd w:val="clear" w:color="auto" w:fill="auto"/>
            <w:hideMark/>
          </w:tcPr>
          <w:p w14:paraId="3AC8C4A0" w14:textId="2602768E" w:rsidR="004A5BAA" w:rsidRPr="003C341F" w:rsidRDefault="004A5BAA" w:rsidP="005A0213">
            <w:pPr>
              <w:pStyle w:val="Default"/>
              <w:tabs>
                <w:tab w:val="left" w:pos="567"/>
              </w:tabs>
              <w:spacing w:before="120" w:after="120"/>
              <w:ind w:left="567" w:hanging="567"/>
              <w:rPr>
                <w:rFonts w:asciiTheme="majorHAnsi" w:hAnsiTheme="majorHAnsi"/>
                <w:sz w:val="20"/>
                <w:szCs w:val="20"/>
              </w:rPr>
            </w:pPr>
            <w:r w:rsidRPr="003C341F">
              <w:rPr>
                <w:rFonts w:asciiTheme="majorHAnsi" w:hAnsiTheme="majorHAnsi"/>
                <w:sz w:val="20"/>
                <w:szCs w:val="20"/>
              </w:rPr>
              <w:t xml:space="preserve">1.3 </w:t>
            </w:r>
            <w:r w:rsidRPr="003C341F">
              <w:rPr>
                <w:rFonts w:asciiTheme="majorHAnsi" w:hAnsiTheme="majorHAnsi"/>
                <w:sz w:val="20"/>
                <w:szCs w:val="20"/>
              </w:rPr>
              <w:tab/>
              <w:t xml:space="preserve">Health services, including primary care services, have access to the supplies and </w:t>
            </w:r>
            <w:r w:rsidRPr="003C341F">
              <w:rPr>
                <w:rFonts w:asciiTheme="majorHAnsi" w:hAnsiTheme="majorHAnsi"/>
                <w:sz w:val="20"/>
                <w:szCs w:val="20"/>
              </w:rPr>
              <w:lastRenderedPageBreak/>
              <w:t xml:space="preserve">equipment </w:t>
            </w:r>
            <w:r w:rsidR="0097732F">
              <w:rPr>
                <w:rFonts w:asciiTheme="majorHAnsi" w:hAnsiTheme="majorHAnsi"/>
                <w:sz w:val="20"/>
                <w:szCs w:val="20"/>
              </w:rPr>
              <w:t xml:space="preserve">and surveillance interventions </w:t>
            </w:r>
            <w:r w:rsidRPr="003C341F">
              <w:rPr>
                <w:rFonts w:asciiTheme="majorHAnsi" w:hAnsiTheme="majorHAnsi"/>
                <w:sz w:val="20"/>
                <w:szCs w:val="20"/>
              </w:rPr>
              <w:t>they need to be effective</w:t>
            </w:r>
          </w:p>
        </w:tc>
        <w:tc>
          <w:tcPr>
            <w:tcW w:w="2412" w:type="pct"/>
            <w:tcBorders>
              <w:top w:val="nil"/>
              <w:left w:val="nil"/>
              <w:bottom w:val="nil"/>
              <w:right w:val="nil"/>
            </w:tcBorders>
            <w:shd w:val="clear" w:color="auto" w:fill="auto"/>
            <w:hideMark/>
          </w:tcPr>
          <w:p w14:paraId="432C0DF5"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lastRenderedPageBreak/>
              <w:t>Reduced number of reported stock-outs of pharmaceuticals</w:t>
            </w:r>
          </w:p>
        </w:tc>
        <w:tc>
          <w:tcPr>
            <w:tcW w:w="731" w:type="pct"/>
            <w:tcBorders>
              <w:top w:val="nil"/>
              <w:left w:val="nil"/>
              <w:bottom w:val="nil"/>
              <w:right w:val="nil"/>
            </w:tcBorders>
          </w:tcPr>
          <w:p w14:paraId="0C20560F"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NHS records from hospitals and health centres</w:t>
            </w:r>
          </w:p>
        </w:tc>
        <w:tc>
          <w:tcPr>
            <w:tcW w:w="731" w:type="pct"/>
            <w:tcBorders>
              <w:top w:val="nil"/>
              <w:left w:val="nil"/>
              <w:bottom w:val="nil"/>
              <w:right w:val="nil"/>
            </w:tcBorders>
          </w:tcPr>
          <w:p w14:paraId="4F92400F" w14:textId="77777777" w:rsidR="004A5BAA" w:rsidRPr="003C341F" w:rsidRDefault="00680876" w:rsidP="005A0213">
            <w:pPr>
              <w:pStyle w:val="Default"/>
              <w:spacing w:before="120" w:after="120"/>
              <w:rPr>
                <w:rFonts w:asciiTheme="majorHAnsi" w:hAnsiTheme="majorHAnsi"/>
                <w:sz w:val="20"/>
                <w:szCs w:val="20"/>
              </w:rPr>
            </w:pPr>
            <w:r w:rsidRPr="003C341F">
              <w:rPr>
                <w:rFonts w:asciiTheme="majorHAnsi" w:hAnsiTheme="majorHAnsi"/>
                <w:sz w:val="20"/>
                <w:szCs w:val="20"/>
              </w:rPr>
              <w:t>Pharmaceutical</w:t>
            </w:r>
            <w:r w:rsidR="004A5BAA" w:rsidRPr="003C341F">
              <w:rPr>
                <w:rFonts w:asciiTheme="majorHAnsi" w:hAnsiTheme="majorHAnsi"/>
                <w:sz w:val="20"/>
                <w:szCs w:val="20"/>
              </w:rPr>
              <w:t xml:space="preserve"> </w:t>
            </w:r>
            <w:r w:rsidRPr="003C341F">
              <w:rPr>
                <w:rFonts w:asciiTheme="majorHAnsi" w:hAnsiTheme="majorHAnsi"/>
                <w:sz w:val="20"/>
                <w:szCs w:val="20"/>
              </w:rPr>
              <w:t>procurement</w:t>
            </w:r>
            <w:r w:rsidR="004A5BAA" w:rsidRPr="003C341F">
              <w:rPr>
                <w:rFonts w:asciiTheme="majorHAnsi" w:hAnsiTheme="majorHAnsi"/>
                <w:sz w:val="20"/>
                <w:szCs w:val="20"/>
              </w:rPr>
              <w:t xml:space="preserve"> </w:t>
            </w:r>
            <w:r w:rsidRPr="003C341F">
              <w:rPr>
                <w:rFonts w:asciiTheme="majorHAnsi" w:hAnsiTheme="majorHAnsi"/>
                <w:sz w:val="20"/>
                <w:szCs w:val="20"/>
              </w:rPr>
              <w:t>specialist</w:t>
            </w:r>
          </w:p>
        </w:tc>
      </w:tr>
      <w:tr w:rsidR="00680876" w:rsidRPr="003C341F" w14:paraId="1E5AFE98" w14:textId="77777777" w:rsidTr="00A0337B">
        <w:trPr>
          <w:cantSplit/>
          <w:trHeight w:val="20"/>
        </w:trPr>
        <w:tc>
          <w:tcPr>
            <w:tcW w:w="1125" w:type="pct"/>
            <w:vMerge/>
            <w:tcBorders>
              <w:left w:val="nil"/>
              <w:right w:val="nil"/>
            </w:tcBorders>
            <w:shd w:val="clear" w:color="auto" w:fill="auto"/>
          </w:tcPr>
          <w:p w14:paraId="631E7DDE" w14:textId="77777777" w:rsidR="004A5BAA" w:rsidRPr="003C341F" w:rsidRDefault="004A5BAA" w:rsidP="005A0213">
            <w:pPr>
              <w:pStyle w:val="Default"/>
              <w:spacing w:before="120" w:after="120"/>
              <w:rPr>
                <w:rFonts w:asciiTheme="majorHAnsi" w:hAnsiTheme="majorHAnsi"/>
                <w:sz w:val="20"/>
                <w:szCs w:val="20"/>
              </w:rPr>
            </w:pPr>
          </w:p>
        </w:tc>
        <w:tc>
          <w:tcPr>
            <w:tcW w:w="2412" w:type="pct"/>
            <w:tcBorders>
              <w:top w:val="nil"/>
              <w:left w:val="nil"/>
              <w:bottom w:val="nil"/>
              <w:right w:val="nil"/>
            </w:tcBorders>
            <w:shd w:val="clear" w:color="auto" w:fill="auto"/>
          </w:tcPr>
          <w:p w14:paraId="23CFA131"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 xml:space="preserve">Change in prices paid for a defined ‘basket’ of pharmaceuticals and other supplies/equipment </w:t>
            </w:r>
          </w:p>
        </w:tc>
        <w:tc>
          <w:tcPr>
            <w:tcW w:w="731" w:type="pct"/>
            <w:tcBorders>
              <w:top w:val="nil"/>
              <w:left w:val="nil"/>
              <w:bottom w:val="nil"/>
              <w:right w:val="nil"/>
            </w:tcBorders>
          </w:tcPr>
          <w:p w14:paraId="6F678BB8"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NHS finance reports</w:t>
            </w:r>
          </w:p>
        </w:tc>
        <w:tc>
          <w:tcPr>
            <w:tcW w:w="731" w:type="pct"/>
            <w:tcBorders>
              <w:top w:val="nil"/>
              <w:left w:val="nil"/>
              <w:bottom w:val="nil"/>
              <w:right w:val="nil"/>
            </w:tcBorders>
          </w:tcPr>
          <w:p w14:paraId="72681783" w14:textId="77777777" w:rsidR="004A5BAA" w:rsidRPr="003C341F" w:rsidRDefault="004A5BAA" w:rsidP="00B212AF">
            <w:pPr>
              <w:pStyle w:val="Default"/>
              <w:spacing w:before="120" w:after="120"/>
              <w:rPr>
                <w:rFonts w:asciiTheme="majorHAnsi" w:hAnsiTheme="majorHAnsi"/>
                <w:sz w:val="20"/>
                <w:szCs w:val="20"/>
              </w:rPr>
            </w:pPr>
            <w:r w:rsidRPr="003C341F">
              <w:rPr>
                <w:rFonts w:asciiTheme="majorHAnsi" w:hAnsiTheme="majorHAnsi"/>
                <w:sz w:val="20"/>
                <w:szCs w:val="20"/>
              </w:rPr>
              <w:t xml:space="preserve">NHS </w:t>
            </w:r>
            <w:proofErr w:type="gramStart"/>
            <w:r w:rsidRPr="003C341F">
              <w:rPr>
                <w:rFonts w:asciiTheme="majorHAnsi" w:hAnsiTheme="majorHAnsi"/>
                <w:sz w:val="20"/>
                <w:szCs w:val="20"/>
              </w:rPr>
              <w:t>Finance;</w:t>
            </w:r>
            <w:proofErr w:type="gramEnd"/>
            <w:r w:rsidRPr="003C341F">
              <w:rPr>
                <w:rFonts w:asciiTheme="majorHAnsi" w:hAnsiTheme="majorHAnsi"/>
                <w:sz w:val="20"/>
                <w:szCs w:val="20"/>
              </w:rPr>
              <w:t xml:space="preserve"> Pharmaceutical &amp; biomedical procurement specialists (to define ‘basket’ of good)</w:t>
            </w:r>
          </w:p>
        </w:tc>
      </w:tr>
      <w:tr w:rsidR="00680876" w:rsidRPr="003C341F" w14:paraId="766E2E0F" w14:textId="77777777" w:rsidTr="00A0337B">
        <w:trPr>
          <w:cantSplit/>
          <w:trHeight w:val="20"/>
        </w:trPr>
        <w:tc>
          <w:tcPr>
            <w:tcW w:w="1125" w:type="pct"/>
            <w:vMerge/>
            <w:tcBorders>
              <w:left w:val="nil"/>
              <w:right w:val="nil"/>
            </w:tcBorders>
            <w:shd w:val="clear" w:color="auto" w:fill="auto"/>
            <w:hideMark/>
          </w:tcPr>
          <w:p w14:paraId="23E5C664" w14:textId="77777777" w:rsidR="004A5BAA" w:rsidRPr="003C341F" w:rsidRDefault="004A5BAA" w:rsidP="005A0213">
            <w:pPr>
              <w:pStyle w:val="Default"/>
              <w:spacing w:before="120" w:after="120"/>
              <w:rPr>
                <w:rFonts w:asciiTheme="majorHAnsi" w:hAnsiTheme="majorHAnsi"/>
                <w:sz w:val="20"/>
                <w:szCs w:val="20"/>
              </w:rPr>
            </w:pPr>
          </w:p>
        </w:tc>
        <w:tc>
          <w:tcPr>
            <w:tcW w:w="2412" w:type="pct"/>
            <w:tcBorders>
              <w:top w:val="nil"/>
              <w:left w:val="nil"/>
              <w:bottom w:val="nil"/>
              <w:right w:val="nil"/>
            </w:tcBorders>
            <w:shd w:val="clear" w:color="auto" w:fill="auto"/>
            <w:hideMark/>
          </w:tcPr>
          <w:p w14:paraId="40F8B482" w14:textId="01D53C58" w:rsidR="004A5BAA" w:rsidRPr="003C341F" w:rsidRDefault="00967226" w:rsidP="005A0213">
            <w:pPr>
              <w:pStyle w:val="Default"/>
              <w:spacing w:before="120" w:after="120"/>
              <w:rPr>
                <w:rFonts w:asciiTheme="majorHAnsi" w:hAnsiTheme="majorHAnsi"/>
                <w:sz w:val="20"/>
                <w:szCs w:val="20"/>
              </w:rPr>
            </w:pPr>
            <w:r>
              <w:rPr>
                <w:rFonts w:asciiTheme="majorHAnsi" w:hAnsiTheme="majorHAnsi"/>
                <w:sz w:val="20"/>
                <w:szCs w:val="20"/>
              </w:rPr>
              <w:t>Bio</w:t>
            </w:r>
            <w:r w:rsidR="004A5BAA" w:rsidRPr="003C341F">
              <w:rPr>
                <w:rFonts w:asciiTheme="majorHAnsi" w:hAnsiTheme="majorHAnsi"/>
                <w:sz w:val="20"/>
                <w:szCs w:val="20"/>
              </w:rPr>
              <w:t>medical equipment maintained according to standard schedules</w:t>
            </w:r>
          </w:p>
        </w:tc>
        <w:tc>
          <w:tcPr>
            <w:tcW w:w="731" w:type="pct"/>
            <w:tcBorders>
              <w:top w:val="nil"/>
              <w:left w:val="nil"/>
              <w:bottom w:val="nil"/>
              <w:right w:val="nil"/>
            </w:tcBorders>
          </w:tcPr>
          <w:p w14:paraId="2031B253"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NHS records from hospitals and health centres</w:t>
            </w:r>
          </w:p>
        </w:tc>
        <w:tc>
          <w:tcPr>
            <w:tcW w:w="731" w:type="pct"/>
            <w:tcBorders>
              <w:top w:val="nil"/>
              <w:left w:val="nil"/>
              <w:bottom w:val="nil"/>
              <w:right w:val="nil"/>
            </w:tcBorders>
          </w:tcPr>
          <w:p w14:paraId="2D92DE7D"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Biomedical engineering advisor (NHS)</w:t>
            </w:r>
          </w:p>
        </w:tc>
      </w:tr>
      <w:tr w:rsidR="00680876" w:rsidRPr="003C341F" w14:paraId="28FCDA05" w14:textId="77777777" w:rsidTr="00A0337B">
        <w:trPr>
          <w:cantSplit/>
          <w:trHeight w:val="20"/>
        </w:trPr>
        <w:tc>
          <w:tcPr>
            <w:tcW w:w="1125" w:type="pct"/>
            <w:vMerge/>
            <w:tcBorders>
              <w:left w:val="nil"/>
              <w:bottom w:val="nil"/>
              <w:right w:val="nil"/>
            </w:tcBorders>
            <w:shd w:val="clear" w:color="auto" w:fill="auto"/>
            <w:hideMark/>
          </w:tcPr>
          <w:p w14:paraId="7BE9EEAE" w14:textId="77777777" w:rsidR="004A5BAA" w:rsidRPr="003C341F" w:rsidRDefault="004A5BAA" w:rsidP="005A0213">
            <w:pPr>
              <w:pStyle w:val="Default"/>
              <w:spacing w:before="120" w:after="120"/>
              <w:rPr>
                <w:rFonts w:asciiTheme="majorHAnsi" w:hAnsiTheme="majorHAnsi"/>
                <w:sz w:val="20"/>
                <w:szCs w:val="20"/>
              </w:rPr>
            </w:pPr>
          </w:p>
        </w:tc>
        <w:tc>
          <w:tcPr>
            <w:tcW w:w="2412" w:type="pct"/>
            <w:tcBorders>
              <w:top w:val="nil"/>
              <w:left w:val="nil"/>
              <w:bottom w:val="nil"/>
              <w:right w:val="nil"/>
            </w:tcBorders>
            <w:shd w:val="clear" w:color="auto" w:fill="auto"/>
            <w:hideMark/>
          </w:tcPr>
          <w:p w14:paraId="22350BCB" w14:textId="77777777" w:rsidR="004A5BAA"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Reduced waiting time t</w:t>
            </w:r>
            <w:r w:rsidR="00967226">
              <w:rPr>
                <w:rFonts w:asciiTheme="majorHAnsi" w:hAnsiTheme="majorHAnsi"/>
                <w:sz w:val="20"/>
                <w:szCs w:val="20"/>
              </w:rPr>
              <w:t>o replace or repair damaged bio</w:t>
            </w:r>
            <w:r w:rsidRPr="003C341F">
              <w:rPr>
                <w:rFonts w:asciiTheme="majorHAnsi" w:hAnsiTheme="majorHAnsi"/>
                <w:sz w:val="20"/>
                <w:szCs w:val="20"/>
              </w:rPr>
              <w:t>medical equipment</w:t>
            </w:r>
          </w:p>
          <w:p w14:paraId="3C3891EA" w14:textId="77777777" w:rsidR="0097732F" w:rsidRDefault="0097732F" w:rsidP="005A0213">
            <w:pPr>
              <w:pStyle w:val="Default"/>
              <w:spacing w:before="120" w:after="120"/>
              <w:rPr>
                <w:rFonts w:asciiTheme="majorHAnsi" w:hAnsiTheme="majorHAnsi"/>
                <w:sz w:val="20"/>
                <w:szCs w:val="20"/>
              </w:rPr>
            </w:pPr>
          </w:p>
          <w:p w14:paraId="6FF2BD05" w14:textId="77777777" w:rsidR="0097732F" w:rsidRDefault="0097732F" w:rsidP="005A0213">
            <w:pPr>
              <w:pStyle w:val="Default"/>
              <w:spacing w:before="120" w:after="120"/>
              <w:rPr>
                <w:rFonts w:asciiTheme="majorHAnsi" w:hAnsiTheme="majorHAnsi"/>
                <w:sz w:val="20"/>
                <w:szCs w:val="20"/>
              </w:rPr>
            </w:pPr>
          </w:p>
          <w:p w14:paraId="4122A7B2" w14:textId="6665F19B" w:rsidR="0097732F" w:rsidRDefault="0097732F" w:rsidP="005A0213">
            <w:pPr>
              <w:pStyle w:val="Default"/>
              <w:spacing w:before="120" w:after="120"/>
              <w:rPr>
                <w:rFonts w:asciiTheme="majorHAnsi" w:hAnsiTheme="majorHAnsi"/>
                <w:sz w:val="20"/>
                <w:szCs w:val="20"/>
              </w:rPr>
            </w:pPr>
            <w:r>
              <w:rPr>
                <w:rFonts w:asciiTheme="majorHAnsi" w:hAnsiTheme="majorHAnsi"/>
                <w:sz w:val="20"/>
                <w:szCs w:val="20"/>
              </w:rPr>
              <w:t>Surveillance Information available in an accurate and timely manner to inform public health intervention</w:t>
            </w:r>
          </w:p>
          <w:p w14:paraId="58768584" w14:textId="5E2EB6AB" w:rsidR="0097732F" w:rsidRPr="003C341F" w:rsidRDefault="0097732F" w:rsidP="005A0213">
            <w:pPr>
              <w:pStyle w:val="Default"/>
              <w:spacing w:before="120" w:after="120"/>
              <w:rPr>
                <w:rFonts w:asciiTheme="majorHAnsi" w:hAnsiTheme="majorHAnsi"/>
                <w:sz w:val="20"/>
                <w:szCs w:val="20"/>
              </w:rPr>
            </w:pPr>
          </w:p>
        </w:tc>
        <w:tc>
          <w:tcPr>
            <w:tcW w:w="731" w:type="pct"/>
            <w:tcBorders>
              <w:top w:val="nil"/>
              <w:left w:val="nil"/>
              <w:bottom w:val="nil"/>
              <w:right w:val="nil"/>
            </w:tcBorders>
          </w:tcPr>
          <w:p w14:paraId="56B8BC47" w14:textId="77777777" w:rsidR="004A5BAA"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NHS records from hospitals and health centres</w:t>
            </w:r>
          </w:p>
          <w:p w14:paraId="49C9CF1C" w14:textId="77777777" w:rsidR="0097732F" w:rsidRDefault="0097732F" w:rsidP="005A0213">
            <w:pPr>
              <w:pStyle w:val="Default"/>
              <w:spacing w:before="120" w:after="120"/>
              <w:rPr>
                <w:rFonts w:asciiTheme="majorHAnsi" w:hAnsiTheme="majorHAnsi"/>
                <w:sz w:val="20"/>
                <w:szCs w:val="20"/>
              </w:rPr>
            </w:pPr>
          </w:p>
          <w:p w14:paraId="55ECFFFA" w14:textId="4152E1C9" w:rsidR="0097732F" w:rsidRPr="003C341F" w:rsidRDefault="0097732F" w:rsidP="005A0213">
            <w:pPr>
              <w:pStyle w:val="Default"/>
              <w:spacing w:before="120" w:after="120"/>
              <w:rPr>
                <w:rFonts w:asciiTheme="majorHAnsi" w:hAnsiTheme="majorHAnsi"/>
                <w:sz w:val="20"/>
                <w:szCs w:val="20"/>
              </w:rPr>
            </w:pPr>
            <w:r>
              <w:rPr>
                <w:rFonts w:asciiTheme="majorHAnsi" w:hAnsiTheme="majorHAnsi"/>
                <w:sz w:val="20"/>
                <w:szCs w:val="20"/>
              </w:rPr>
              <w:t>MOH surveillance records</w:t>
            </w:r>
          </w:p>
        </w:tc>
        <w:tc>
          <w:tcPr>
            <w:tcW w:w="731" w:type="pct"/>
            <w:tcBorders>
              <w:top w:val="nil"/>
              <w:left w:val="nil"/>
              <w:bottom w:val="nil"/>
              <w:right w:val="nil"/>
            </w:tcBorders>
          </w:tcPr>
          <w:p w14:paraId="55C00B3E" w14:textId="77777777" w:rsidR="004A5BAA"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Biomedical engineering advisor (NHS)</w:t>
            </w:r>
          </w:p>
          <w:p w14:paraId="362505AD" w14:textId="77777777" w:rsidR="0097732F" w:rsidRDefault="0097732F" w:rsidP="005A0213">
            <w:pPr>
              <w:pStyle w:val="Default"/>
              <w:spacing w:before="120" w:after="120"/>
              <w:rPr>
                <w:rFonts w:asciiTheme="majorHAnsi" w:hAnsiTheme="majorHAnsi"/>
                <w:sz w:val="20"/>
                <w:szCs w:val="20"/>
              </w:rPr>
            </w:pPr>
          </w:p>
          <w:p w14:paraId="02115952" w14:textId="77777777" w:rsidR="0097732F" w:rsidRDefault="0097732F" w:rsidP="005A0213">
            <w:pPr>
              <w:pStyle w:val="Default"/>
              <w:spacing w:before="120" w:after="120"/>
              <w:rPr>
                <w:rFonts w:asciiTheme="majorHAnsi" w:hAnsiTheme="majorHAnsi"/>
                <w:sz w:val="20"/>
                <w:szCs w:val="20"/>
              </w:rPr>
            </w:pPr>
            <w:proofErr w:type="spellStart"/>
            <w:r>
              <w:rPr>
                <w:rFonts w:asciiTheme="majorHAnsi" w:hAnsiTheme="majorHAnsi"/>
                <w:sz w:val="20"/>
                <w:szCs w:val="20"/>
              </w:rPr>
              <w:t>Epidimeologist</w:t>
            </w:r>
            <w:proofErr w:type="spellEnd"/>
          </w:p>
          <w:p w14:paraId="002510A9" w14:textId="523F7443" w:rsidR="0097732F" w:rsidRPr="003C341F" w:rsidRDefault="0097732F" w:rsidP="005A0213">
            <w:pPr>
              <w:pStyle w:val="Default"/>
              <w:spacing w:before="120" w:after="120"/>
              <w:rPr>
                <w:rFonts w:asciiTheme="majorHAnsi" w:hAnsiTheme="majorHAnsi"/>
                <w:sz w:val="20"/>
                <w:szCs w:val="20"/>
              </w:rPr>
            </w:pPr>
            <w:r>
              <w:rPr>
                <w:rFonts w:asciiTheme="majorHAnsi" w:hAnsiTheme="majorHAnsi"/>
                <w:sz w:val="20"/>
                <w:szCs w:val="20"/>
              </w:rPr>
              <w:t>(MOH)</w:t>
            </w:r>
          </w:p>
        </w:tc>
      </w:tr>
      <w:tr w:rsidR="00680876" w:rsidRPr="003C341F" w14:paraId="01D58633" w14:textId="77777777" w:rsidTr="00A0337B">
        <w:trPr>
          <w:cantSplit/>
          <w:trHeight w:val="20"/>
        </w:trPr>
        <w:tc>
          <w:tcPr>
            <w:tcW w:w="1125" w:type="pct"/>
            <w:vMerge w:val="restart"/>
            <w:tcBorders>
              <w:top w:val="nil"/>
              <w:left w:val="nil"/>
              <w:right w:val="nil"/>
            </w:tcBorders>
            <w:shd w:val="clear" w:color="auto" w:fill="auto"/>
            <w:hideMark/>
          </w:tcPr>
          <w:p w14:paraId="0744B542" w14:textId="77777777" w:rsidR="004A5BAA" w:rsidRPr="003C341F" w:rsidRDefault="004A5BAA" w:rsidP="005A0213">
            <w:pPr>
              <w:pStyle w:val="Default"/>
              <w:tabs>
                <w:tab w:val="left" w:pos="567"/>
              </w:tabs>
              <w:spacing w:before="120" w:after="120"/>
              <w:ind w:left="567" w:hanging="567"/>
              <w:rPr>
                <w:rFonts w:asciiTheme="majorHAnsi" w:hAnsiTheme="majorHAnsi"/>
                <w:sz w:val="20"/>
                <w:szCs w:val="20"/>
              </w:rPr>
            </w:pPr>
            <w:r w:rsidRPr="003C341F">
              <w:rPr>
                <w:rFonts w:asciiTheme="majorHAnsi" w:hAnsiTheme="majorHAnsi"/>
                <w:sz w:val="20"/>
                <w:szCs w:val="20"/>
              </w:rPr>
              <w:t xml:space="preserve">2.1 </w:t>
            </w:r>
            <w:r w:rsidRPr="003C341F">
              <w:rPr>
                <w:rFonts w:asciiTheme="majorHAnsi" w:hAnsiTheme="majorHAnsi"/>
                <w:sz w:val="20"/>
                <w:szCs w:val="20"/>
              </w:rPr>
              <w:tab/>
              <w:t>Senior leaders and managers have access to reliable information and analysis to inform policy and oversight</w:t>
            </w:r>
          </w:p>
        </w:tc>
        <w:tc>
          <w:tcPr>
            <w:tcW w:w="2412" w:type="pct"/>
            <w:tcBorders>
              <w:top w:val="nil"/>
              <w:left w:val="nil"/>
              <w:bottom w:val="nil"/>
              <w:right w:val="nil"/>
            </w:tcBorders>
            <w:shd w:val="clear" w:color="auto" w:fill="auto"/>
            <w:hideMark/>
          </w:tcPr>
          <w:p w14:paraId="71EA52C1"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Increase in routine use of health information by senior leaders and managers to inform decision-making (as evidenced by use of up-to-date performance/activity data in routine reports)</w:t>
            </w:r>
          </w:p>
        </w:tc>
        <w:tc>
          <w:tcPr>
            <w:tcW w:w="731" w:type="pct"/>
            <w:tcBorders>
              <w:top w:val="nil"/>
              <w:left w:val="nil"/>
              <w:bottom w:val="nil"/>
              <w:right w:val="nil"/>
            </w:tcBorders>
          </w:tcPr>
          <w:p w14:paraId="4575B5A4" w14:textId="1C4EB131"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Review of routine reports</w:t>
            </w:r>
            <w:r w:rsidR="0097732F">
              <w:rPr>
                <w:rFonts w:asciiTheme="majorHAnsi" w:hAnsiTheme="majorHAnsi"/>
                <w:sz w:val="20"/>
                <w:szCs w:val="20"/>
              </w:rPr>
              <w:t xml:space="preserve"> or from SPP reviews and evaluations</w:t>
            </w:r>
          </w:p>
        </w:tc>
        <w:tc>
          <w:tcPr>
            <w:tcW w:w="731" w:type="pct"/>
            <w:tcBorders>
              <w:top w:val="nil"/>
              <w:left w:val="nil"/>
              <w:bottom w:val="nil"/>
              <w:right w:val="nil"/>
            </w:tcBorders>
          </w:tcPr>
          <w:p w14:paraId="4FC63469" w14:textId="0C868B19" w:rsidR="004A5BAA" w:rsidRPr="0097732F" w:rsidRDefault="008B691D" w:rsidP="005A0213">
            <w:pPr>
              <w:pStyle w:val="Default"/>
              <w:spacing w:before="120" w:after="120"/>
              <w:rPr>
                <w:rFonts w:asciiTheme="majorHAnsi" w:hAnsiTheme="majorHAnsi"/>
                <w:color w:val="auto"/>
                <w:sz w:val="20"/>
                <w:szCs w:val="20"/>
              </w:rPr>
            </w:pPr>
            <w:r>
              <w:rPr>
                <w:rFonts w:asciiTheme="majorHAnsi" w:hAnsiTheme="majorHAnsi"/>
                <w:color w:val="FF0000"/>
                <w:sz w:val="20"/>
                <w:szCs w:val="20"/>
              </w:rPr>
              <w:t>TBC</w:t>
            </w:r>
            <w:r w:rsidR="0097732F">
              <w:rPr>
                <w:rFonts w:asciiTheme="majorHAnsi" w:hAnsiTheme="majorHAnsi"/>
                <w:color w:val="FF0000"/>
                <w:sz w:val="20"/>
                <w:szCs w:val="20"/>
              </w:rPr>
              <w:t xml:space="preserve"> </w:t>
            </w:r>
            <w:r w:rsidR="0097732F">
              <w:rPr>
                <w:rFonts w:asciiTheme="majorHAnsi" w:hAnsiTheme="majorHAnsi"/>
                <w:color w:val="auto"/>
                <w:sz w:val="20"/>
                <w:szCs w:val="20"/>
              </w:rPr>
              <w:t xml:space="preserve">/ SPP </w:t>
            </w:r>
          </w:p>
        </w:tc>
      </w:tr>
      <w:tr w:rsidR="00680876" w:rsidRPr="003C341F" w14:paraId="00AEF361" w14:textId="77777777" w:rsidTr="00A0337B">
        <w:trPr>
          <w:cantSplit/>
          <w:trHeight w:val="20"/>
        </w:trPr>
        <w:tc>
          <w:tcPr>
            <w:tcW w:w="1125" w:type="pct"/>
            <w:vMerge/>
            <w:tcBorders>
              <w:left w:val="nil"/>
              <w:bottom w:val="nil"/>
              <w:right w:val="nil"/>
            </w:tcBorders>
            <w:shd w:val="clear" w:color="auto" w:fill="auto"/>
          </w:tcPr>
          <w:p w14:paraId="778A1523" w14:textId="77777777" w:rsidR="004A5BAA" w:rsidRPr="003C341F" w:rsidRDefault="004A5BAA" w:rsidP="005A0213">
            <w:pPr>
              <w:pStyle w:val="Default"/>
              <w:tabs>
                <w:tab w:val="left" w:pos="567"/>
              </w:tabs>
              <w:spacing w:before="120" w:after="120"/>
              <w:ind w:left="567" w:hanging="567"/>
              <w:rPr>
                <w:rFonts w:asciiTheme="majorHAnsi" w:hAnsiTheme="majorHAnsi"/>
                <w:sz w:val="20"/>
                <w:szCs w:val="20"/>
              </w:rPr>
            </w:pPr>
          </w:p>
        </w:tc>
        <w:tc>
          <w:tcPr>
            <w:tcW w:w="2412" w:type="pct"/>
            <w:tcBorders>
              <w:top w:val="nil"/>
              <w:left w:val="nil"/>
              <w:bottom w:val="nil"/>
              <w:right w:val="nil"/>
            </w:tcBorders>
            <w:shd w:val="clear" w:color="auto" w:fill="auto"/>
          </w:tcPr>
          <w:p w14:paraId="0759CBEB"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Growth in frequency of senior leaders and managers accessing health information system following its introduction</w:t>
            </w:r>
            <w:bookmarkStart w:id="43" w:name="_Ref454281320"/>
            <w:r w:rsidRPr="003C341F">
              <w:rPr>
                <w:rStyle w:val="FootnoteReference"/>
                <w:rFonts w:asciiTheme="majorHAnsi" w:hAnsiTheme="majorHAnsi"/>
                <w:sz w:val="20"/>
                <w:szCs w:val="20"/>
              </w:rPr>
              <w:footnoteReference w:id="11"/>
            </w:r>
            <w:bookmarkEnd w:id="43"/>
          </w:p>
        </w:tc>
        <w:tc>
          <w:tcPr>
            <w:tcW w:w="731" w:type="pct"/>
            <w:tcBorders>
              <w:top w:val="nil"/>
              <w:left w:val="nil"/>
              <w:bottom w:val="nil"/>
              <w:right w:val="nil"/>
            </w:tcBorders>
          </w:tcPr>
          <w:p w14:paraId="1AF0A5A7" w14:textId="77777777" w:rsidR="004A5BAA" w:rsidRPr="003C341F" w:rsidRDefault="004A5BAA" w:rsidP="003F1C96">
            <w:pPr>
              <w:pStyle w:val="Default"/>
              <w:spacing w:before="120" w:after="120"/>
              <w:rPr>
                <w:rFonts w:asciiTheme="majorHAnsi" w:hAnsiTheme="majorHAnsi"/>
                <w:sz w:val="20"/>
                <w:szCs w:val="20"/>
              </w:rPr>
            </w:pPr>
            <w:r w:rsidRPr="003C341F">
              <w:rPr>
                <w:rFonts w:asciiTheme="majorHAnsi" w:hAnsiTheme="majorHAnsi"/>
                <w:sz w:val="20"/>
                <w:szCs w:val="20"/>
              </w:rPr>
              <w:t>Health information system utilisation logs (analysed by staff cohort)</w:t>
            </w:r>
          </w:p>
        </w:tc>
        <w:tc>
          <w:tcPr>
            <w:tcW w:w="731" w:type="pct"/>
            <w:tcBorders>
              <w:top w:val="nil"/>
              <w:left w:val="nil"/>
              <w:bottom w:val="nil"/>
              <w:right w:val="nil"/>
            </w:tcBorders>
          </w:tcPr>
          <w:p w14:paraId="1D0FC2C0" w14:textId="05862BC6"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 xml:space="preserve">Health information system manager </w:t>
            </w:r>
            <w:r w:rsidR="0097732F">
              <w:rPr>
                <w:rFonts w:asciiTheme="majorHAnsi" w:hAnsiTheme="majorHAnsi"/>
                <w:sz w:val="20"/>
                <w:szCs w:val="20"/>
              </w:rPr>
              <w:t xml:space="preserve">(MOH) </w:t>
            </w:r>
            <w:r w:rsidRPr="008B691D">
              <w:rPr>
                <w:rFonts w:asciiTheme="majorHAnsi" w:hAnsiTheme="majorHAnsi"/>
                <w:color w:val="FF0000"/>
                <w:sz w:val="20"/>
                <w:szCs w:val="20"/>
              </w:rPr>
              <w:t>(TBC)</w:t>
            </w:r>
          </w:p>
        </w:tc>
      </w:tr>
      <w:tr w:rsidR="00680876" w:rsidRPr="003C341F" w14:paraId="7E4268A7" w14:textId="77777777" w:rsidTr="00A0337B">
        <w:trPr>
          <w:cantSplit/>
          <w:trHeight w:val="20"/>
        </w:trPr>
        <w:tc>
          <w:tcPr>
            <w:tcW w:w="1125" w:type="pct"/>
            <w:tcBorders>
              <w:top w:val="nil"/>
              <w:left w:val="nil"/>
              <w:bottom w:val="nil"/>
              <w:right w:val="nil"/>
            </w:tcBorders>
            <w:shd w:val="clear" w:color="auto" w:fill="auto"/>
            <w:hideMark/>
          </w:tcPr>
          <w:p w14:paraId="52BB897C" w14:textId="77777777" w:rsidR="004A5BAA" w:rsidRPr="003C341F" w:rsidRDefault="004A5BAA" w:rsidP="005A0213">
            <w:pPr>
              <w:pStyle w:val="Default"/>
              <w:tabs>
                <w:tab w:val="left" w:pos="567"/>
              </w:tabs>
              <w:spacing w:before="120" w:after="120"/>
              <w:ind w:left="567" w:hanging="567"/>
              <w:rPr>
                <w:rFonts w:asciiTheme="majorHAnsi" w:hAnsiTheme="majorHAnsi"/>
                <w:sz w:val="20"/>
                <w:szCs w:val="20"/>
              </w:rPr>
            </w:pPr>
            <w:r w:rsidRPr="003C341F">
              <w:rPr>
                <w:rFonts w:asciiTheme="majorHAnsi" w:hAnsiTheme="majorHAnsi"/>
                <w:sz w:val="20"/>
                <w:szCs w:val="20"/>
              </w:rPr>
              <w:t xml:space="preserve">2.2 </w:t>
            </w:r>
            <w:r w:rsidRPr="003C341F">
              <w:rPr>
                <w:rFonts w:asciiTheme="majorHAnsi" w:hAnsiTheme="majorHAnsi"/>
                <w:sz w:val="20"/>
                <w:szCs w:val="20"/>
              </w:rPr>
              <w:tab/>
              <w:t xml:space="preserve">The health workforce has access to information required to plan, </w:t>
            </w:r>
            <w:proofErr w:type="gramStart"/>
            <w:r w:rsidRPr="003C341F">
              <w:rPr>
                <w:rFonts w:asciiTheme="majorHAnsi" w:hAnsiTheme="majorHAnsi"/>
                <w:sz w:val="20"/>
                <w:szCs w:val="20"/>
              </w:rPr>
              <w:t>deliver</w:t>
            </w:r>
            <w:proofErr w:type="gramEnd"/>
            <w:r w:rsidRPr="003C341F">
              <w:rPr>
                <w:rFonts w:asciiTheme="majorHAnsi" w:hAnsiTheme="majorHAnsi"/>
                <w:sz w:val="20"/>
                <w:szCs w:val="20"/>
              </w:rPr>
              <w:t xml:space="preserve"> and monitor services </w:t>
            </w:r>
          </w:p>
        </w:tc>
        <w:tc>
          <w:tcPr>
            <w:tcW w:w="2412" w:type="pct"/>
            <w:tcBorders>
              <w:top w:val="nil"/>
              <w:left w:val="nil"/>
              <w:bottom w:val="nil"/>
              <w:right w:val="nil"/>
            </w:tcBorders>
            <w:shd w:val="clear" w:color="auto" w:fill="auto"/>
            <w:hideMark/>
          </w:tcPr>
          <w:p w14:paraId="7F962B31" w14:textId="64DA6E9E"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Increased uptake of health information system by managers and clinicians working at operational levels</w:t>
            </w:r>
            <w:r w:rsidRPr="003C341F">
              <w:rPr>
                <w:rFonts w:asciiTheme="majorHAnsi" w:hAnsiTheme="majorHAnsi"/>
                <w:sz w:val="20"/>
                <w:szCs w:val="20"/>
                <w:vertAlign w:val="superscript"/>
              </w:rPr>
              <w:fldChar w:fldCharType="begin"/>
            </w:r>
            <w:r w:rsidRPr="003C341F">
              <w:rPr>
                <w:rFonts w:asciiTheme="majorHAnsi" w:hAnsiTheme="majorHAnsi"/>
                <w:sz w:val="20"/>
                <w:szCs w:val="20"/>
                <w:vertAlign w:val="superscript"/>
              </w:rPr>
              <w:instrText xml:space="preserve"> NOTEREF _Ref454281320 \h  \* MERGEFORMAT </w:instrText>
            </w:r>
            <w:r w:rsidRPr="003C341F">
              <w:rPr>
                <w:rFonts w:asciiTheme="majorHAnsi" w:hAnsiTheme="majorHAnsi"/>
                <w:sz w:val="20"/>
                <w:szCs w:val="20"/>
                <w:vertAlign w:val="superscript"/>
              </w:rPr>
            </w:r>
            <w:r w:rsidRPr="003C341F">
              <w:rPr>
                <w:rFonts w:asciiTheme="majorHAnsi" w:hAnsiTheme="majorHAnsi"/>
                <w:sz w:val="20"/>
                <w:szCs w:val="20"/>
                <w:vertAlign w:val="superscript"/>
              </w:rPr>
              <w:fldChar w:fldCharType="separate"/>
            </w:r>
            <w:r w:rsidR="005410B6">
              <w:rPr>
                <w:rFonts w:asciiTheme="majorHAnsi" w:hAnsiTheme="majorHAnsi"/>
                <w:sz w:val="20"/>
                <w:szCs w:val="20"/>
                <w:vertAlign w:val="superscript"/>
              </w:rPr>
              <w:t>11</w:t>
            </w:r>
            <w:r w:rsidRPr="003C341F">
              <w:rPr>
                <w:rFonts w:asciiTheme="majorHAnsi" w:hAnsiTheme="majorHAnsi"/>
                <w:sz w:val="20"/>
                <w:szCs w:val="20"/>
                <w:vertAlign w:val="superscript"/>
              </w:rPr>
              <w:fldChar w:fldCharType="end"/>
            </w:r>
          </w:p>
        </w:tc>
        <w:tc>
          <w:tcPr>
            <w:tcW w:w="731" w:type="pct"/>
            <w:tcBorders>
              <w:top w:val="nil"/>
              <w:left w:val="nil"/>
              <w:bottom w:val="nil"/>
              <w:right w:val="nil"/>
            </w:tcBorders>
          </w:tcPr>
          <w:p w14:paraId="3F03F79A" w14:textId="77777777" w:rsidR="004A5BAA" w:rsidRPr="003C341F" w:rsidRDefault="004A5BAA" w:rsidP="003F1C96">
            <w:pPr>
              <w:pStyle w:val="Default"/>
              <w:spacing w:before="120" w:after="120"/>
              <w:rPr>
                <w:rFonts w:asciiTheme="majorHAnsi" w:hAnsiTheme="majorHAnsi"/>
                <w:sz w:val="20"/>
                <w:szCs w:val="20"/>
              </w:rPr>
            </w:pPr>
            <w:r w:rsidRPr="003C341F">
              <w:rPr>
                <w:rFonts w:asciiTheme="majorHAnsi" w:hAnsiTheme="majorHAnsi"/>
                <w:sz w:val="20"/>
                <w:szCs w:val="20"/>
              </w:rPr>
              <w:t xml:space="preserve">Health information system utilisation logs (analysed by staff cohort) </w:t>
            </w:r>
          </w:p>
        </w:tc>
        <w:tc>
          <w:tcPr>
            <w:tcW w:w="731" w:type="pct"/>
            <w:tcBorders>
              <w:top w:val="nil"/>
              <w:left w:val="nil"/>
              <w:bottom w:val="nil"/>
              <w:right w:val="nil"/>
            </w:tcBorders>
          </w:tcPr>
          <w:p w14:paraId="163EB214" w14:textId="4680531D"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Health information system manager</w:t>
            </w:r>
            <w:r w:rsidR="0097732F">
              <w:rPr>
                <w:rFonts w:asciiTheme="majorHAnsi" w:hAnsiTheme="majorHAnsi"/>
                <w:sz w:val="20"/>
                <w:szCs w:val="20"/>
              </w:rPr>
              <w:t xml:space="preserve"> (MOH)</w:t>
            </w:r>
            <w:r w:rsidRPr="003C341F">
              <w:rPr>
                <w:rFonts w:asciiTheme="majorHAnsi" w:hAnsiTheme="majorHAnsi"/>
                <w:sz w:val="20"/>
                <w:szCs w:val="20"/>
              </w:rPr>
              <w:t xml:space="preserve"> </w:t>
            </w:r>
            <w:r w:rsidRPr="008B691D">
              <w:rPr>
                <w:rFonts w:asciiTheme="majorHAnsi" w:hAnsiTheme="majorHAnsi"/>
                <w:color w:val="FF0000"/>
                <w:sz w:val="20"/>
                <w:szCs w:val="20"/>
              </w:rPr>
              <w:t>(TBC)</w:t>
            </w:r>
          </w:p>
        </w:tc>
      </w:tr>
      <w:tr w:rsidR="00680876" w:rsidRPr="003C341F" w14:paraId="3EDB373B" w14:textId="77777777" w:rsidTr="00A0337B">
        <w:trPr>
          <w:cantSplit/>
          <w:trHeight w:val="20"/>
        </w:trPr>
        <w:tc>
          <w:tcPr>
            <w:tcW w:w="1125" w:type="pct"/>
            <w:vMerge w:val="restart"/>
            <w:tcBorders>
              <w:top w:val="nil"/>
              <w:left w:val="nil"/>
              <w:right w:val="nil"/>
            </w:tcBorders>
            <w:shd w:val="clear" w:color="auto" w:fill="auto"/>
            <w:hideMark/>
          </w:tcPr>
          <w:p w14:paraId="54B5C222" w14:textId="77777777" w:rsidR="004A5BAA" w:rsidRPr="003C341F" w:rsidRDefault="004A5BAA" w:rsidP="005A0213">
            <w:pPr>
              <w:pStyle w:val="Default"/>
              <w:tabs>
                <w:tab w:val="left" w:pos="567"/>
              </w:tabs>
              <w:spacing w:before="120" w:after="120"/>
              <w:ind w:left="567" w:hanging="567"/>
              <w:rPr>
                <w:rFonts w:asciiTheme="majorHAnsi" w:hAnsiTheme="majorHAnsi"/>
                <w:sz w:val="20"/>
                <w:szCs w:val="20"/>
              </w:rPr>
            </w:pPr>
            <w:r w:rsidRPr="003C341F">
              <w:rPr>
                <w:rFonts w:asciiTheme="majorHAnsi" w:hAnsiTheme="majorHAnsi"/>
                <w:sz w:val="20"/>
                <w:szCs w:val="20"/>
              </w:rPr>
              <w:t xml:space="preserve">2.3 </w:t>
            </w:r>
            <w:r w:rsidRPr="003C341F">
              <w:rPr>
                <w:rFonts w:asciiTheme="majorHAnsi" w:hAnsiTheme="majorHAnsi"/>
                <w:sz w:val="20"/>
                <w:szCs w:val="20"/>
              </w:rPr>
              <w:tab/>
              <w:t>Health sector institutional arrangements are better adapted to Samoa’s health needs</w:t>
            </w:r>
          </w:p>
        </w:tc>
        <w:tc>
          <w:tcPr>
            <w:tcW w:w="2412" w:type="pct"/>
            <w:tcBorders>
              <w:top w:val="nil"/>
              <w:left w:val="nil"/>
              <w:bottom w:val="nil"/>
              <w:right w:val="nil"/>
            </w:tcBorders>
            <w:shd w:val="clear" w:color="auto" w:fill="auto"/>
            <w:hideMark/>
          </w:tcPr>
          <w:p w14:paraId="5BE568BE"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Consensus between key health stakeholders on priority institutional issues to address</w:t>
            </w:r>
          </w:p>
        </w:tc>
        <w:tc>
          <w:tcPr>
            <w:tcW w:w="731" w:type="pct"/>
            <w:tcBorders>
              <w:top w:val="nil"/>
              <w:left w:val="nil"/>
              <w:bottom w:val="nil"/>
              <w:right w:val="nil"/>
            </w:tcBorders>
          </w:tcPr>
          <w:p w14:paraId="0AF02B6D"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Interviews &amp; observations</w:t>
            </w:r>
          </w:p>
        </w:tc>
        <w:tc>
          <w:tcPr>
            <w:tcW w:w="731" w:type="pct"/>
            <w:tcBorders>
              <w:top w:val="nil"/>
              <w:left w:val="nil"/>
              <w:bottom w:val="nil"/>
              <w:right w:val="nil"/>
            </w:tcBorders>
          </w:tcPr>
          <w:p w14:paraId="3ABEA560" w14:textId="4FC36C56" w:rsidR="004A5BAA" w:rsidRPr="003C341F" w:rsidRDefault="008B691D" w:rsidP="005A0213">
            <w:pPr>
              <w:pStyle w:val="Default"/>
              <w:spacing w:before="120" w:after="120"/>
              <w:rPr>
                <w:rFonts w:asciiTheme="majorHAnsi" w:hAnsiTheme="majorHAnsi"/>
                <w:sz w:val="20"/>
                <w:szCs w:val="20"/>
              </w:rPr>
            </w:pPr>
            <w:r w:rsidRPr="008B691D">
              <w:rPr>
                <w:rFonts w:asciiTheme="majorHAnsi" w:hAnsiTheme="majorHAnsi"/>
                <w:color w:val="FF0000"/>
                <w:sz w:val="20"/>
                <w:szCs w:val="20"/>
              </w:rPr>
              <w:t>Evaluators</w:t>
            </w:r>
          </w:p>
        </w:tc>
      </w:tr>
      <w:tr w:rsidR="00680876" w:rsidRPr="003C341F" w14:paraId="77F4DC8A" w14:textId="77777777" w:rsidTr="00A0337B">
        <w:trPr>
          <w:cantSplit/>
          <w:trHeight w:val="20"/>
        </w:trPr>
        <w:tc>
          <w:tcPr>
            <w:tcW w:w="1125" w:type="pct"/>
            <w:vMerge/>
            <w:tcBorders>
              <w:left w:val="nil"/>
              <w:bottom w:val="nil"/>
              <w:right w:val="nil"/>
            </w:tcBorders>
            <w:shd w:val="clear" w:color="auto" w:fill="auto"/>
            <w:hideMark/>
          </w:tcPr>
          <w:p w14:paraId="7AE2A6BA" w14:textId="77777777" w:rsidR="004A5BAA" w:rsidRPr="003C341F" w:rsidRDefault="004A5BAA" w:rsidP="005A0213">
            <w:pPr>
              <w:pStyle w:val="Default"/>
              <w:spacing w:before="120" w:after="120"/>
              <w:rPr>
                <w:rFonts w:asciiTheme="majorHAnsi" w:hAnsiTheme="majorHAnsi"/>
                <w:sz w:val="20"/>
                <w:szCs w:val="20"/>
              </w:rPr>
            </w:pPr>
          </w:p>
        </w:tc>
        <w:tc>
          <w:tcPr>
            <w:tcW w:w="2412" w:type="pct"/>
            <w:tcBorders>
              <w:top w:val="nil"/>
              <w:left w:val="nil"/>
              <w:bottom w:val="nil"/>
              <w:right w:val="nil"/>
            </w:tcBorders>
            <w:shd w:val="clear" w:color="auto" w:fill="auto"/>
            <w:hideMark/>
          </w:tcPr>
          <w:p w14:paraId="642314AB"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 xml:space="preserve">Growth in number of formal agreements relating to service delivery between </w:t>
            </w:r>
            <w:r w:rsidR="00C62C8E" w:rsidRPr="003C341F">
              <w:rPr>
                <w:rFonts w:asciiTheme="majorHAnsi" w:hAnsiTheme="majorHAnsi"/>
                <w:sz w:val="20"/>
                <w:szCs w:val="20"/>
              </w:rPr>
              <w:t>MOH</w:t>
            </w:r>
            <w:r w:rsidRPr="003C341F">
              <w:rPr>
                <w:rFonts w:asciiTheme="majorHAnsi" w:hAnsiTheme="majorHAnsi"/>
                <w:sz w:val="20"/>
                <w:szCs w:val="20"/>
              </w:rPr>
              <w:t xml:space="preserve"> and NHS</w:t>
            </w:r>
          </w:p>
        </w:tc>
        <w:tc>
          <w:tcPr>
            <w:tcW w:w="731" w:type="pct"/>
            <w:tcBorders>
              <w:top w:val="nil"/>
              <w:left w:val="nil"/>
              <w:bottom w:val="nil"/>
              <w:right w:val="nil"/>
            </w:tcBorders>
          </w:tcPr>
          <w:p w14:paraId="30DCE1ED" w14:textId="3CE460FC"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Review of formal documentation</w:t>
            </w:r>
            <w:r w:rsidR="0097732F">
              <w:rPr>
                <w:rFonts w:asciiTheme="majorHAnsi" w:hAnsiTheme="majorHAnsi"/>
                <w:sz w:val="20"/>
                <w:szCs w:val="20"/>
              </w:rPr>
              <w:t xml:space="preserve"> through SSP</w:t>
            </w:r>
          </w:p>
        </w:tc>
        <w:tc>
          <w:tcPr>
            <w:tcW w:w="731" w:type="pct"/>
            <w:tcBorders>
              <w:top w:val="nil"/>
              <w:left w:val="nil"/>
              <w:bottom w:val="nil"/>
              <w:right w:val="nil"/>
            </w:tcBorders>
          </w:tcPr>
          <w:p w14:paraId="24D419F7" w14:textId="26BC4631" w:rsidR="004A5BAA" w:rsidRPr="003C341F" w:rsidRDefault="0097732F" w:rsidP="005A0213">
            <w:pPr>
              <w:pStyle w:val="Default"/>
              <w:spacing w:before="120" w:after="120"/>
              <w:rPr>
                <w:rFonts w:asciiTheme="majorHAnsi" w:hAnsiTheme="majorHAnsi"/>
                <w:sz w:val="20"/>
                <w:szCs w:val="20"/>
              </w:rPr>
            </w:pPr>
            <w:r>
              <w:rPr>
                <w:rFonts w:asciiTheme="majorHAnsi" w:hAnsiTheme="majorHAnsi"/>
                <w:color w:val="auto"/>
                <w:sz w:val="20"/>
                <w:szCs w:val="20"/>
              </w:rPr>
              <w:t>MOH</w:t>
            </w:r>
          </w:p>
        </w:tc>
      </w:tr>
      <w:tr w:rsidR="00680876" w:rsidRPr="003C341F" w14:paraId="190EE7AE" w14:textId="77777777" w:rsidTr="00A0337B">
        <w:trPr>
          <w:cantSplit/>
          <w:trHeight w:val="20"/>
        </w:trPr>
        <w:tc>
          <w:tcPr>
            <w:tcW w:w="1125" w:type="pct"/>
            <w:vMerge w:val="restart"/>
            <w:tcBorders>
              <w:top w:val="nil"/>
              <w:left w:val="nil"/>
              <w:right w:val="nil"/>
            </w:tcBorders>
            <w:shd w:val="clear" w:color="auto" w:fill="auto"/>
            <w:hideMark/>
          </w:tcPr>
          <w:p w14:paraId="07BD82BD" w14:textId="77777777" w:rsidR="004A5BAA" w:rsidRPr="003C341F" w:rsidRDefault="004A5BAA" w:rsidP="005A0213">
            <w:pPr>
              <w:pStyle w:val="Default"/>
              <w:tabs>
                <w:tab w:val="left" w:pos="567"/>
              </w:tabs>
              <w:spacing w:before="120" w:after="120"/>
              <w:ind w:left="567" w:hanging="567"/>
              <w:rPr>
                <w:rFonts w:asciiTheme="majorHAnsi" w:hAnsiTheme="majorHAnsi"/>
                <w:sz w:val="20"/>
                <w:szCs w:val="20"/>
              </w:rPr>
            </w:pPr>
            <w:r w:rsidRPr="003C341F">
              <w:rPr>
                <w:rFonts w:asciiTheme="majorHAnsi" w:hAnsiTheme="majorHAnsi"/>
                <w:sz w:val="20"/>
                <w:szCs w:val="20"/>
              </w:rPr>
              <w:t xml:space="preserve">3.1 </w:t>
            </w:r>
            <w:r w:rsidRPr="003C341F">
              <w:rPr>
                <w:rFonts w:asciiTheme="majorHAnsi" w:hAnsiTheme="majorHAnsi"/>
                <w:sz w:val="20"/>
                <w:szCs w:val="20"/>
              </w:rPr>
              <w:tab/>
              <w:t>SFHA has improved organisational performance (</w:t>
            </w:r>
            <w:r w:rsidR="00F43F6F" w:rsidRPr="003C341F">
              <w:rPr>
                <w:rFonts w:asciiTheme="majorHAnsi" w:hAnsiTheme="majorHAnsi"/>
                <w:sz w:val="20"/>
                <w:szCs w:val="20"/>
              </w:rPr>
              <w:t>e.g.</w:t>
            </w:r>
            <w:r w:rsidRPr="003C341F">
              <w:rPr>
                <w:rFonts w:asciiTheme="majorHAnsi" w:hAnsiTheme="majorHAnsi"/>
                <w:sz w:val="20"/>
                <w:szCs w:val="20"/>
              </w:rPr>
              <w:t xml:space="preserve"> clear role and strategic direction, management)</w:t>
            </w:r>
          </w:p>
        </w:tc>
        <w:tc>
          <w:tcPr>
            <w:tcW w:w="2412" w:type="pct"/>
            <w:tcBorders>
              <w:top w:val="nil"/>
              <w:left w:val="nil"/>
              <w:bottom w:val="nil"/>
              <w:right w:val="nil"/>
            </w:tcBorders>
            <w:shd w:val="clear" w:color="auto" w:fill="auto"/>
            <w:hideMark/>
          </w:tcPr>
          <w:p w14:paraId="0C4D2FA8" w14:textId="46A71D0E"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 xml:space="preserve">SFHA has documented strategic plan that </w:t>
            </w:r>
            <w:proofErr w:type="gramStart"/>
            <w:r w:rsidRPr="003C341F">
              <w:rPr>
                <w:rFonts w:asciiTheme="majorHAnsi" w:hAnsiTheme="majorHAnsi"/>
                <w:sz w:val="20"/>
                <w:szCs w:val="20"/>
              </w:rPr>
              <w:t xml:space="preserve">is </w:t>
            </w:r>
            <w:r w:rsidR="008B691D">
              <w:rPr>
                <w:rFonts w:asciiTheme="majorHAnsi" w:hAnsiTheme="majorHAnsi"/>
                <w:sz w:val="20"/>
                <w:szCs w:val="20"/>
              </w:rPr>
              <w:t xml:space="preserve"> endorsed</w:t>
            </w:r>
            <w:proofErr w:type="gramEnd"/>
            <w:r w:rsidR="008B691D">
              <w:rPr>
                <w:rFonts w:asciiTheme="majorHAnsi" w:hAnsiTheme="majorHAnsi"/>
                <w:sz w:val="20"/>
                <w:szCs w:val="20"/>
              </w:rPr>
              <w:t xml:space="preserve"> by DFAT</w:t>
            </w:r>
            <w:r w:rsidR="00F75C83">
              <w:rPr>
                <w:rFonts w:asciiTheme="majorHAnsi" w:hAnsiTheme="majorHAnsi"/>
                <w:sz w:val="20"/>
                <w:szCs w:val="20"/>
              </w:rPr>
              <w:t xml:space="preserve">, </w:t>
            </w:r>
            <w:r w:rsidRPr="003C341F">
              <w:rPr>
                <w:rFonts w:asciiTheme="majorHAnsi" w:hAnsiTheme="majorHAnsi"/>
                <w:sz w:val="20"/>
                <w:szCs w:val="20"/>
              </w:rPr>
              <w:t>implemented and monitored</w:t>
            </w:r>
          </w:p>
        </w:tc>
        <w:tc>
          <w:tcPr>
            <w:tcW w:w="731" w:type="pct"/>
            <w:tcBorders>
              <w:top w:val="nil"/>
              <w:left w:val="nil"/>
              <w:bottom w:val="nil"/>
              <w:right w:val="nil"/>
            </w:tcBorders>
          </w:tcPr>
          <w:p w14:paraId="0829ECD8" w14:textId="77777777" w:rsidR="004A5BAA" w:rsidRPr="003C341F" w:rsidRDefault="004A5BAA" w:rsidP="00B0377E">
            <w:pPr>
              <w:pStyle w:val="Default"/>
              <w:spacing w:before="120" w:after="120"/>
              <w:rPr>
                <w:rFonts w:asciiTheme="majorHAnsi" w:hAnsiTheme="majorHAnsi"/>
                <w:sz w:val="20"/>
                <w:szCs w:val="20"/>
              </w:rPr>
            </w:pPr>
            <w:r w:rsidRPr="003C341F">
              <w:rPr>
                <w:rFonts w:asciiTheme="majorHAnsi" w:hAnsiTheme="majorHAnsi"/>
                <w:sz w:val="20"/>
                <w:szCs w:val="20"/>
              </w:rPr>
              <w:t>Preparation of plan completed; reports on towards plan targets/goals</w:t>
            </w:r>
          </w:p>
        </w:tc>
        <w:tc>
          <w:tcPr>
            <w:tcW w:w="731" w:type="pct"/>
            <w:tcBorders>
              <w:top w:val="nil"/>
              <w:left w:val="nil"/>
              <w:bottom w:val="nil"/>
              <w:right w:val="nil"/>
            </w:tcBorders>
          </w:tcPr>
          <w:p w14:paraId="4B6FBF68" w14:textId="7A19BD25" w:rsidR="004A5BAA" w:rsidRPr="003C341F" w:rsidRDefault="0097732F" w:rsidP="0097732F">
            <w:pPr>
              <w:pStyle w:val="Default"/>
              <w:spacing w:before="120" w:after="120"/>
              <w:rPr>
                <w:rFonts w:asciiTheme="majorHAnsi" w:hAnsiTheme="majorHAnsi"/>
                <w:sz w:val="20"/>
                <w:szCs w:val="20"/>
              </w:rPr>
            </w:pPr>
            <w:r>
              <w:rPr>
                <w:rFonts w:asciiTheme="majorHAnsi" w:hAnsiTheme="majorHAnsi"/>
                <w:sz w:val="20"/>
                <w:szCs w:val="20"/>
              </w:rPr>
              <w:t>SFHA</w:t>
            </w:r>
            <w:r w:rsidR="004A5BAA" w:rsidRPr="003C341F">
              <w:rPr>
                <w:rFonts w:asciiTheme="majorHAnsi" w:hAnsiTheme="majorHAnsi"/>
                <w:sz w:val="20"/>
                <w:szCs w:val="20"/>
              </w:rPr>
              <w:t xml:space="preserve"> </w:t>
            </w:r>
          </w:p>
        </w:tc>
      </w:tr>
      <w:tr w:rsidR="00680876" w:rsidRPr="003C341F" w14:paraId="4E9FFAB2" w14:textId="77777777" w:rsidTr="00A0337B">
        <w:trPr>
          <w:cantSplit/>
          <w:trHeight w:val="20"/>
        </w:trPr>
        <w:tc>
          <w:tcPr>
            <w:tcW w:w="1125" w:type="pct"/>
            <w:vMerge/>
            <w:tcBorders>
              <w:left w:val="nil"/>
              <w:bottom w:val="nil"/>
              <w:right w:val="nil"/>
            </w:tcBorders>
            <w:shd w:val="clear" w:color="auto" w:fill="auto"/>
            <w:hideMark/>
          </w:tcPr>
          <w:p w14:paraId="6BDAAB17" w14:textId="77777777" w:rsidR="004A5BAA" w:rsidRPr="003C341F" w:rsidRDefault="004A5BAA" w:rsidP="005A0213">
            <w:pPr>
              <w:pStyle w:val="Default"/>
              <w:spacing w:before="120" w:after="120"/>
              <w:rPr>
                <w:rFonts w:asciiTheme="majorHAnsi" w:hAnsiTheme="majorHAnsi"/>
                <w:sz w:val="20"/>
                <w:szCs w:val="20"/>
              </w:rPr>
            </w:pPr>
          </w:p>
        </w:tc>
        <w:tc>
          <w:tcPr>
            <w:tcW w:w="2412" w:type="pct"/>
            <w:tcBorders>
              <w:top w:val="nil"/>
              <w:left w:val="nil"/>
              <w:bottom w:val="nil"/>
              <w:right w:val="nil"/>
            </w:tcBorders>
            <w:shd w:val="clear" w:color="auto" w:fill="auto"/>
            <w:hideMark/>
          </w:tcPr>
          <w:p w14:paraId="3EE289FE"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SFHA financial management meets requirements for donor funding</w:t>
            </w:r>
          </w:p>
        </w:tc>
        <w:tc>
          <w:tcPr>
            <w:tcW w:w="731" w:type="pct"/>
            <w:tcBorders>
              <w:top w:val="nil"/>
              <w:left w:val="nil"/>
              <w:bottom w:val="nil"/>
              <w:right w:val="nil"/>
            </w:tcBorders>
          </w:tcPr>
          <w:p w14:paraId="13D499D6"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DFAT assessment of financial management systems and processes</w:t>
            </w:r>
          </w:p>
        </w:tc>
        <w:tc>
          <w:tcPr>
            <w:tcW w:w="731" w:type="pct"/>
            <w:tcBorders>
              <w:top w:val="nil"/>
              <w:left w:val="nil"/>
              <w:bottom w:val="nil"/>
              <w:right w:val="nil"/>
            </w:tcBorders>
          </w:tcPr>
          <w:p w14:paraId="5E1E61EF" w14:textId="7ABA9F9F" w:rsidR="004A5BAA" w:rsidRPr="003C341F" w:rsidRDefault="004A5BAA" w:rsidP="0097732F">
            <w:pPr>
              <w:pStyle w:val="Default"/>
              <w:spacing w:before="120" w:after="120"/>
              <w:rPr>
                <w:rFonts w:asciiTheme="majorHAnsi" w:hAnsiTheme="majorHAnsi"/>
                <w:sz w:val="20"/>
                <w:szCs w:val="20"/>
              </w:rPr>
            </w:pPr>
            <w:r w:rsidRPr="003C341F">
              <w:rPr>
                <w:rFonts w:asciiTheme="majorHAnsi" w:hAnsiTheme="majorHAnsi"/>
                <w:sz w:val="20"/>
                <w:szCs w:val="20"/>
              </w:rPr>
              <w:t xml:space="preserve">DFAT </w:t>
            </w:r>
          </w:p>
        </w:tc>
      </w:tr>
      <w:tr w:rsidR="00680876" w:rsidRPr="003C341F" w14:paraId="2C091766" w14:textId="77777777" w:rsidTr="00A0337B">
        <w:trPr>
          <w:cantSplit/>
          <w:trHeight w:val="20"/>
        </w:trPr>
        <w:tc>
          <w:tcPr>
            <w:tcW w:w="1125" w:type="pct"/>
            <w:tcBorders>
              <w:top w:val="nil"/>
              <w:left w:val="nil"/>
              <w:bottom w:val="nil"/>
              <w:right w:val="nil"/>
            </w:tcBorders>
            <w:shd w:val="clear" w:color="auto" w:fill="auto"/>
            <w:hideMark/>
          </w:tcPr>
          <w:p w14:paraId="6A615594" w14:textId="77777777" w:rsidR="004A5BAA" w:rsidRPr="003C341F" w:rsidRDefault="004A5BAA" w:rsidP="005A0213">
            <w:pPr>
              <w:pStyle w:val="Default"/>
              <w:tabs>
                <w:tab w:val="left" w:pos="567"/>
              </w:tabs>
              <w:spacing w:before="120" w:after="120"/>
              <w:ind w:left="567" w:hanging="567"/>
              <w:rPr>
                <w:rFonts w:asciiTheme="majorHAnsi" w:hAnsiTheme="majorHAnsi"/>
                <w:sz w:val="20"/>
                <w:szCs w:val="20"/>
              </w:rPr>
            </w:pPr>
            <w:r w:rsidRPr="003C341F">
              <w:rPr>
                <w:rFonts w:asciiTheme="majorHAnsi" w:hAnsiTheme="majorHAnsi"/>
                <w:sz w:val="20"/>
                <w:szCs w:val="20"/>
              </w:rPr>
              <w:lastRenderedPageBreak/>
              <w:t xml:space="preserve">3.2 </w:t>
            </w:r>
            <w:r w:rsidRPr="003C341F">
              <w:rPr>
                <w:rFonts w:asciiTheme="majorHAnsi" w:hAnsiTheme="majorHAnsi"/>
                <w:sz w:val="20"/>
                <w:szCs w:val="20"/>
              </w:rPr>
              <w:tab/>
              <w:t xml:space="preserve">SFHA services are delivered in locations and in ways that are affordable, </w:t>
            </w:r>
            <w:proofErr w:type="gramStart"/>
            <w:r w:rsidRPr="003C341F">
              <w:rPr>
                <w:rFonts w:asciiTheme="majorHAnsi" w:hAnsiTheme="majorHAnsi"/>
                <w:sz w:val="20"/>
                <w:szCs w:val="20"/>
              </w:rPr>
              <w:t>accessible</w:t>
            </w:r>
            <w:proofErr w:type="gramEnd"/>
            <w:r w:rsidRPr="003C341F">
              <w:rPr>
                <w:rFonts w:asciiTheme="majorHAnsi" w:hAnsiTheme="majorHAnsi"/>
                <w:sz w:val="20"/>
                <w:szCs w:val="20"/>
              </w:rPr>
              <w:t xml:space="preserve"> and appropriate.</w:t>
            </w:r>
          </w:p>
        </w:tc>
        <w:tc>
          <w:tcPr>
            <w:tcW w:w="2412" w:type="pct"/>
            <w:tcBorders>
              <w:top w:val="nil"/>
              <w:left w:val="nil"/>
              <w:bottom w:val="nil"/>
              <w:right w:val="nil"/>
            </w:tcBorders>
            <w:shd w:val="clear" w:color="auto" w:fill="auto"/>
            <w:hideMark/>
          </w:tcPr>
          <w:p w14:paraId="331D0394" w14:textId="77777777" w:rsidR="00AF5FD2"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Increased numbers of men and women, including youth, accessing SFHA's SRH services</w:t>
            </w:r>
            <w:bookmarkStart w:id="44" w:name="_Ref454281466"/>
            <w:r w:rsidRPr="003C341F">
              <w:rPr>
                <w:rStyle w:val="FootnoteReference"/>
                <w:rFonts w:asciiTheme="majorHAnsi" w:hAnsiTheme="majorHAnsi"/>
                <w:sz w:val="20"/>
                <w:szCs w:val="20"/>
              </w:rPr>
              <w:footnoteReference w:id="12"/>
            </w:r>
            <w:bookmarkEnd w:id="44"/>
            <w:r w:rsidRPr="003C341F">
              <w:rPr>
                <w:rFonts w:asciiTheme="majorHAnsi" w:hAnsiTheme="majorHAnsi"/>
                <w:sz w:val="20"/>
                <w:szCs w:val="20"/>
              </w:rPr>
              <w:t xml:space="preserve"> </w:t>
            </w:r>
          </w:p>
          <w:p w14:paraId="7B1F256B" w14:textId="77777777" w:rsidR="004A5BAA" w:rsidRPr="003C341F" w:rsidRDefault="00E6327D" w:rsidP="005A0213">
            <w:pPr>
              <w:pStyle w:val="Default"/>
              <w:spacing w:before="120" w:after="120"/>
              <w:rPr>
                <w:rFonts w:asciiTheme="majorHAnsi" w:hAnsiTheme="majorHAnsi"/>
                <w:sz w:val="20"/>
                <w:szCs w:val="20"/>
              </w:rPr>
            </w:pPr>
            <w:r w:rsidRPr="003C341F">
              <w:rPr>
                <w:rFonts w:asciiTheme="majorHAnsi" w:hAnsiTheme="majorHAnsi"/>
                <w:sz w:val="20"/>
                <w:szCs w:val="20"/>
              </w:rPr>
              <w:t>Increased # contraceptives distributed by SFHA</w:t>
            </w:r>
          </w:p>
        </w:tc>
        <w:tc>
          <w:tcPr>
            <w:tcW w:w="731" w:type="pct"/>
            <w:tcBorders>
              <w:top w:val="nil"/>
              <w:left w:val="nil"/>
              <w:bottom w:val="nil"/>
              <w:right w:val="nil"/>
            </w:tcBorders>
          </w:tcPr>
          <w:p w14:paraId="74EB8635" w14:textId="77777777" w:rsidR="004A5BAA" w:rsidRPr="003C341F" w:rsidRDefault="004A5BAA" w:rsidP="003F1C96">
            <w:pPr>
              <w:pStyle w:val="Default"/>
              <w:spacing w:before="120" w:after="120"/>
              <w:rPr>
                <w:rFonts w:asciiTheme="majorHAnsi" w:hAnsiTheme="majorHAnsi"/>
                <w:sz w:val="20"/>
                <w:szCs w:val="20"/>
              </w:rPr>
            </w:pPr>
            <w:r w:rsidRPr="003C341F">
              <w:rPr>
                <w:rFonts w:asciiTheme="majorHAnsi" w:hAnsiTheme="majorHAnsi"/>
                <w:sz w:val="20"/>
                <w:szCs w:val="20"/>
              </w:rPr>
              <w:t>SFHA clinical records</w:t>
            </w:r>
          </w:p>
          <w:p w14:paraId="0A88A7B4" w14:textId="77777777" w:rsidR="00395E11" w:rsidRPr="003C341F" w:rsidRDefault="00395E11" w:rsidP="003F1C96">
            <w:pPr>
              <w:pStyle w:val="Default"/>
              <w:spacing w:before="120" w:after="120"/>
              <w:rPr>
                <w:rFonts w:asciiTheme="majorHAnsi" w:hAnsiTheme="majorHAnsi"/>
                <w:sz w:val="20"/>
                <w:szCs w:val="20"/>
              </w:rPr>
            </w:pPr>
          </w:p>
          <w:p w14:paraId="37964F07" w14:textId="77777777" w:rsidR="00395E11" w:rsidRPr="003C341F" w:rsidRDefault="00395E11" w:rsidP="003F1C96">
            <w:pPr>
              <w:pStyle w:val="Default"/>
              <w:spacing w:before="120" w:after="120"/>
              <w:rPr>
                <w:rFonts w:asciiTheme="majorHAnsi" w:hAnsiTheme="majorHAnsi"/>
                <w:sz w:val="20"/>
                <w:szCs w:val="20"/>
              </w:rPr>
            </w:pPr>
            <w:r w:rsidRPr="003C341F">
              <w:rPr>
                <w:rFonts w:asciiTheme="majorHAnsi" w:hAnsiTheme="majorHAnsi"/>
                <w:sz w:val="20"/>
                <w:szCs w:val="20"/>
              </w:rPr>
              <w:t>SFHA clinical records</w:t>
            </w:r>
          </w:p>
        </w:tc>
        <w:tc>
          <w:tcPr>
            <w:tcW w:w="731" w:type="pct"/>
            <w:tcBorders>
              <w:top w:val="nil"/>
              <w:left w:val="nil"/>
              <w:bottom w:val="nil"/>
              <w:right w:val="nil"/>
            </w:tcBorders>
          </w:tcPr>
          <w:p w14:paraId="1C628095" w14:textId="69ACFE15"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 xml:space="preserve">SFHA </w:t>
            </w:r>
          </w:p>
          <w:p w14:paraId="09EBA115" w14:textId="77777777" w:rsidR="00395E11" w:rsidRPr="003C341F" w:rsidRDefault="00395E11" w:rsidP="005A0213">
            <w:pPr>
              <w:pStyle w:val="Default"/>
              <w:spacing w:before="120" w:after="120"/>
              <w:rPr>
                <w:rFonts w:asciiTheme="majorHAnsi" w:hAnsiTheme="majorHAnsi"/>
                <w:sz w:val="20"/>
                <w:szCs w:val="20"/>
              </w:rPr>
            </w:pPr>
          </w:p>
          <w:p w14:paraId="2F8F6B03" w14:textId="4EC69F74" w:rsidR="00395E11" w:rsidRPr="003C341F" w:rsidRDefault="00395E11" w:rsidP="0097732F">
            <w:pPr>
              <w:pStyle w:val="Default"/>
              <w:spacing w:before="120" w:after="120"/>
              <w:rPr>
                <w:rFonts w:asciiTheme="majorHAnsi" w:hAnsiTheme="majorHAnsi"/>
                <w:sz w:val="20"/>
                <w:szCs w:val="20"/>
              </w:rPr>
            </w:pPr>
            <w:r w:rsidRPr="003C341F">
              <w:rPr>
                <w:rFonts w:asciiTheme="majorHAnsi" w:hAnsiTheme="majorHAnsi"/>
                <w:sz w:val="20"/>
                <w:szCs w:val="20"/>
              </w:rPr>
              <w:t>SFHA</w:t>
            </w:r>
          </w:p>
        </w:tc>
      </w:tr>
      <w:tr w:rsidR="00680876" w:rsidRPr="003C341F" w14:paraId="18B335DF" w14:textId="77777777" w:rsidTr="00A0337B">
        <w:trPr>
          <w:cantSplit/>
          <w:trHeight w:val="20"/>
        </w:trPr>
        <w:tc>
          <w:tcPr>
            <w:tcW w:w="1125" w:type="pct"/>
            <w:vMerge w:val="restart"/>
            <w:tcBorders>
              <w:top w:val="nil"/>
              <w:left w:val="nil"/>
              <w:right w:val="nil"/>
            </w:tcBorders>
            <w:shd w:val="clear" w:color="auto" w:fill="auto"/>
            <w:hideMark/>
          </w:tcPr>
          <w:p w14:paraId="73D37E91" w14:textId="77777777" w:rsidR="004A5BAA" w:rsidRPr="003C341F" w:rsidRDefault="004A5BAA" w:rsidP="005A0213">
            <w:pPr>
              <w:pStyle w:val="Default"/>
              <w:tabs>
                <w:tab w:val="left" w:pos="567"/>
              </w:tabs>
              <w:spacing w:before="120" w:after="120"/>
              <w:ind w:left="567" w:hanging="567"/>
              <w:rPr>
                <w:rFonts w:asciiTheme="majorHAnsi" w:hAnsiTheme="majorHAnsi"/>
                <w:sz w:val="20"/>
                <w:szCs w:val="20"/>
              </w:rPr>
            </w:pPr>
            <w:r w:rsidRPr="003C341F">
              <w:rPr>
                <w:rFonts w:asciiTheme="majorHAnsi" w:hAnsiTheme="majorHAnsi"/>
                <w:sz w:val="20"/>
                <w:szCs w:val="20"/>
              </w:rPr>
              <w:t xml:space="preserve">3.3 </w:t>
            </w:r>
            <w:r w:rsidRPr="003C341F">
              <w:rPr>
                <w:rFonts w:asciiTheme="majorHAnsi" w:hAnsiTheme="majorHAnsi"/>
                <w:sz w:val="20"/>
                <w:szCs w:val="20"/>
              </w:rPr>
              <w:tab/>
              <w:t>SFHA implements innovative solution(s) to improve SRH service delivery</w:t>
            </w:r>
          </w:p>
        </w:tc>
        <w:tc>
          <w:tcPr>
            <w:tcW w:w="2412" w:type="pct"/>
            <w:tcBorders>
              <w:top w:val="nil"/>
              <w:left w:val="nil"/>
              <w:bottom w:val="nil"/>
              <w:right w:val="nil"/>
            </w:tcBorders>
            <w:shd w:val="clear" w:color="auto" w:fill="auto"/>
            <w:hideMark/>
          </w:tcPr>
          <w:p w14:paraId="13AB6AB4" w14:textId="7A3FBA27" w:rsidR="004A5BAA" w:rsidRPr="003C341F" w:rsidRDefault="004A5BAA" w:rsidP="00E66230">
            <w:pPr>
              <w:pStyle w:val="Default"/>
              <w:spacing w:before="120" w:after="120"/>
              <w:rPr>
                <w:rFonts w:asciiTheme="majorHAnsi" w:hAnsiTheme="majorHAnsi"/>
                <w:sz w:val="20"/>
                <w:szCs w:val="20"/>
              </w:rPr>
            </w:pPr>
            <w:r w:rsidRPr="003C341F">
              <w:rPr>
                <w:rFonts w:asciiTheme="majorHAnsi" w:hAnsiTheme="majorHAnsi"/>
                <w:sz w:val="20"/>
                <w:szCs w:val="20"/>
              </w:rPr>
              <w:t>Proportion of the population</w:t>
            </w:r>
            <w:r w:rsidR="00531ACC" w:rsidRPr="003C341F">
              <w:rPr>
                <w:rStyle w:val="FootnoteReference"/>
                <w:rFonts w:asciiTheme="majorHAnsi" w:hAnsiTheme="majorHAnsi"/>
                <w:sz w:val="20"/>
                <w:szCs w:val="20"/>
              </w:rPr>
              <w:footnoteReference w:id="13"/>
            </w:r>
            <w:r w:rsidRPr="003C341F">
              <w:rPr>
                <w:rFonts w:asciiTheme="majorHAnsi" w:hAnsiTheme="majorHAnsi"/>
                <w:sz w:val="20"/>
                <w:szCs w:val="20"/>
              </w:rPr>
              <w:t xml:space="preserve"> living in communities with regular (≥ quarterly) local access to sexual and reproductive health services delivered by SFHA</w:t>
            </w:r>
            <w:r w:rsidR="00E66230">
              <w:rPr>
                <w:rFonts w:asciiTheme="majorHAnsi" w:hAnsiTheme="majorHAnsi"/>
                <w:sz w:val="20"/>
                <w:szCs w:val="20"/>
                <w:vertAlign w:val="superscript"/>
              </w:rPr>
              <w:t>12</w:t>
            </w:r>
          </w:p>
        </w:tc>
        <w:tc>
          <w:tcPr>
            <w:tcW w:w="731" w:type="pct"/>
            <w:tcBorders>
              <w:top w:val="nil"/>
              <w:left w:val="nil"/>
              <w:bottom w:val="nil"/>
              <w:right w:val="nil"/>
            </w:tcBorders>
          </w:tcPr>
          <w:p w14:paraId="32292FC4"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SFHA clinical records; census data</w:t>
            </w:r>
          </w:p>
        </w:tc>
        <w:tc>
          <w:tcPr>
            <w:tcW w:w="731" w:type="pct"/>
            <w:tcBorders>
              <w:top w:val="nil"/>
              <w:left w:val="nil"/>
              <w:bottom w:val="nil"/>
              <w:right w:val="nil"/>
            </w:tcBorders>
          </w:tcPr>
          <w:p w14:paraId="711A4AC4" w14:textId="13F03E2F" w:rsidR="004A5BAA" w:rsidRPr="003C341F" w:rsidRDefault="0097732F" w:rsidP="0097732F">
            <w:pPr>
              <w:pStyle w:val="Default"/>
              <w:spacing w:before="120" w:after="120"/>
              <w:rPr>
                <w:rFonts w:asciiTheme="majorHAnsi" w:hAnsiTheme="majorHAnsi"/>
                <w:sz w:val="20"/>
                <w:szCs w:val="20"/>
              </w:rPr>
            </w:pPr>
            <w:r>
              <w:rPr>
                <w:rFonts w:asciiTheme="majorHAnsi" w:hAnsiTheme="majorHAnsi"/>
                <w:sz w:val="20"/>
                <w:szCs w:val="20"/>
              </w:rPr>
              <w:t xml:space="preserve">SFHA </w:t>
            </w:r>
          </w:p>
        </w:tc>
      </w:tr>
      <w:tr w:rsidR="00680876" w:rsidRPr="003C341F" w14:paraId="35247A10" w14:textId="77777777" w:rsidTr="00A0337B">
        <w:trPr>
          <w:cantSplit/>
          <w:trHeight w:val="20"/>
        </w:trPr>
        <w:tc>
          <w:tcPr>
            <w:tcW w:w="1125" w:type="pct"/>
            <w:vMerge/>
            <w:tcBorders>
              <w:left w:val="nil"/>
              <w:bottom w:val="nil"/>
              <w:right w:val="nil"/>
            </w:tcBorders>
            <w:shd w:val="clear" w:color="auto" w:fill="auto"/>
            <w:hideMark/>
          </w:tcPr>
          <w:p w14:paraId="2E265872" w14:textId="77777777" w:rsidR="004A5BAA" w:rsidRPr="003C341F" w:rsidRDefault="004A5BAA" w:rsidP="005A0213">
            <w:pPr>
              <w:pStyle w:val="Default"/>
              <w:spacing w:before="120" w:after="120"/>
              <w:rPr>
                <w:rFonts w:asciiTheme="majorHAnsi" w:hAnsiTheme="majorHAnsi"/>
                <w:sz w:val="20"/>
                <w:szCs w:val="20"/>
              </w:rPr>
            </w:pPr>
          </w:p>
        </w:tc>
        <w:tc>
          <w:tcPr>
            <w:tcW w:w="2412" w:type="pct"/>
            <w:tcBorders>
              <w:top w:val="nil"/>
              <w:left w:val="nil"/>
              <w:bottom w:val="nil"/>
              <w:right w:val="nil"/>
            </w:tcBorders>
            <w:shd w:val="clear" w:color="auto" w:fill="auto"/>
            <w:hideMark/>
          </w:tcPr>
          <w:p w14:paraId="101BDC3E" w14:textId="6E04C81A" w:rsidR="004A5BAA" w:rsidRPr="003C341F" w:rsidRDefault="004A5BAA" w:rsidP="00E66230">
            <w:pPr>
              <w:pStyle w:val="Default"/>
              <w:spacing w:before="120" w:after="120"/>
              <w:rPr>
                <w:rFonts w:asciiTheme="majorHAnsi" w:hAnsiTheme="majorHAnsi"/>
                <w:sz w:val="20"/>
                <w:szCs w:val="20"/>
              </w:rPr>
            </w:pPr>
            <w:r w:rsidRPr="003C341F">
              <w:rPr>
                <w:rFonts w:asciiTheme="majorHAnsi" w:hAnsiTheme="majorHAnsi"/>
                <w:sz w:val="20"/>
                <w:szCs w:val="20"/>
              </w:rPr>
              <w:t>Proportion of the non-urban population living in communities with regular (≥ quarterly) local access to sexual and reproductive health services delivered by SFHA</w:t>
            </w:r>
            <w:r w:rsidR="00E66230">
              <w:rPr>
                <w:rFonts w:asciiTheme="majorHAnsi" w:hAnsiTheme="majorHAnsi"/>
                <w:sz w:val="20"/>
                <w:szCs w:val="20"/>
                <w:vertAlign w:val="superscript"/>
              </w:rPr>
              <w:t>12</w:t>
            </w:r>
          </w:p>
        </w:tc>
        <w:tc>
          <w:tcPr>
            <w:tcW w:w="731" w:type="pct"/>
            <w:tcBorders>
              <w:top w:val="nil"/>
              <w:left w:val="nil"/>
              <w:bottom w:val="nil"/>
              <w:right w:val="nil"/>
            </w:tcBorders>
          </w:tcPr>
          <w:p w14:paraId="17DCED4C" w14:textId="77777777" w:rsidR="004A5BAA" w:rsidRPr="003C341F" w:rsidRDefault="004A5BAA" w:rsidP="005A0213">
            <w:pPr>
              <w:pStyle w:val="Default"/>
              <w:spacing w:before="120" w:after="120"/>
              <w:rPr>
                <w:rFonts w:asciiTheme="majorHAnsi" w:hAnsiTheme="majorHAnsi"/>
                <w:sz w:val="20"/>
                <w:szCs w:val="20"/>
              </w:rPr>
            </w:pPr>
            <w:r w:rsidRPr="003C341F">
              <w:rPr>
                <w:rFonts w:asciiTheme="majorHAnsi" w:hAnsiTheme="majorHAnsi"/>
                <w:sz w:val="20"/>
                <w:szCs w:val="20"/>
              </w:rPr>
              <w:t>SFHA clinical records; census data</w:t>
            </w:r>
          </w:p>
        </w:tc>
        <w:tc>
          <w:tcPr>
            <w:tcW w:w="731" w:type="pct"/>
            <w:tcBorders>
              <w:top w:val="nil"/>
              <w:left w:val="nil"/>
              <w:bottom w:val="nil"/>
              <w:right w:val="nil"/>
            </w:tcBorders>
          </w:tcPr>
          <w:p w14:paraId="11884DFC" w14:textId="74C22419" w:rsidR="004A5BAA" w:rsidRPr="003C341F" w:rsidRDefault="004A5BAA" w:rsidP="0097732F">
            <w:pPr>
              <w:pStyle w:val="Default"/>
              <w:spacing w:before="120" w:after="120"/>
              <w:rPr>
                <w:rFonts w:asciiTheme="majorHAnsi" w:hAnsiTheme="majorHAnsi"/>
                <w:sz w:val="20"/>
                <w:szCs w:val="20"/>
              </w:rPr>
            </w:pPr>
            <w:r w:rsidRPr="003C341F">
              <w:rPr>
                <w:rFonts w:asciiTheme="majorHAnsi" w:hAnsiTheme="majorHAnsi"/>
                <w:sz w:val="20"/>
                <w:szCs w:val="20"/>
              </w:rPr>
              <w:t xml:space="preserve">SFHA </w:t>
            </w:r>
          </w:p>
        </w:tc>
      </w:tr>
    </w:tbl>
    <w:p w14:paraId="536B9685" w14:textId="77777777" w:rsidR="003475F2" w:rsidRPr="003C341F" w:rsidRDefault="003475F2" w:rsidP="00A0337B">
      <w:pPr>
        <w:rPr>
          <w:lang w:val="en-AU"/>
        </w:rPr>
      </w:pPr>
    </w:p>
    <w:p w14:paraId="617A5CEF" w14:textId="77777777" w:rsidR="0081129C" w:rsidRPr="003C341F" w:rsidRDefault="0081129C">
      <w:pPr>
        <w:spacing w:after="0"/>
        <w:rPr>
          <w:lang w:val="en-AU"/>
        </w:rPr>
        <w:sectPr w:rsidR="0081129C" w:rsidRPr="003C341F" w:rsidSect="00E63DC4">
          <w:type w:val="continuous"/>
          <w:pgSz w:w="16840" w:h="11900" w:orient="landscape"/>
          <w:pgMar w:top="1440" w:right="1440" w:bottom="1440" w:left="1440" w:header="708" w:footer="708" w:gutter="0"/>
          <w:cols w:space="708"/>
          <w:docGrid w:linePitch="360"/>
        </w:sectPr>
      </w:pPr>
    </w:p>
    <w:p w14:paraId="2E4C16E4" w14:textId="390428D7" w:rsidR="00872E70" w:rsidRPr="003C341F" w:rsidRDefault="002E03F6" w:rsidP="0081129C">
      <w:pPr>
        <w:pStyle w:val="Appendixtitle"/>
        <w:outlineLvl w:val="1"/>
        <w:rPr>
          <w:lang w:val="en-AU"/>
        </w:rPr>
      </w:pPr>
      <w:bookmarkStart w:id="45" w:name="_Ref453655922"/>
      <w:bookmarkStart w:id="46" w:name="_Toc454266327"/>
      <w:bookmarkStart w:id="47" w:name="_Toc457572216"/>
      <w:bookmarkStart w:id="48" w:name="_Toc460231389"/>
      <w:r w:rsidRPr="003C341F">
        <w:rPr>
          <w:lang w:val="en-AU"/>
        </w:rPr>
        <w:lastRenderedPageBreak/>
        <w:t>Appendix</w:t>
      </w:r>
      <w:r w:rsidR="00240621" w:rsidRPr="003C341F">
        <w:rPr>
          <w:lang w:val="en-AU"/>
        </w:rPr>
        <w:t xml:space="preserve"> H</w:t>
      </w:r>
      <w:bookmarkEnd w:id="45"/>
      <w:r w:rsidRPr="003C341F">
        <w:rPr>
          <w:lang w:val="en-AU"/>
        </w:rPr>
        <w:t xml:space="preserve">: Risk </w:t>
      </w:r>
      <w:bookmarkEnd w:id="46"/>
      <w:r w:rsidR="00F04CAC">
        <w:rPr>
          <w:lang w:val="en-AU"/>
        </w:rPr>
        <w:t>management plan</w:t>
      </w:r>
      <w:r w:rsidR="0081129C" w:rsidRPr="003C341F">
        <w:rPr>
          <w:lang w:val="en-AU"/>
        </w:rPr>
        <w:t xml:space="preserve"> (external)</w:t>
      </w:r>
      <w:bookmarkEnd w:id="47"/>
      <w:bookmarkEnd w:id="48"/>
    </w:p>
    <w:p w14:paraId="3816E90B" w14:textId="77777777" w:rsidR="00872E70" w:rsidRPr="003C341F" w:rsidRDefault="00872E70" w:rsidP="003E45D5">
      <w:pPr>
        <w:pStyle w:val="Appendixtitle"/>
        <w:rPr>
          <w:lang w:val="en-AU"/>
        </w:rPr>
      </w:pPr>
      <w:r w:rsidRPr="003C341F">
        <w:rPr>
          <w:lang w:val="en-AU"/>
        </w:rPr>
        <w:br w:type="page"/>
      </w:r>
    </w:p>
    <w:p w14:paraId="4FDB2FC9" w14:textId="0AE19DF2" w:rsidR="001F37C2" w:rsidRPr="00DD52B7" w:rsidRDefault="005C7EA4" w:rsidP="00DD52B7">
      <w:pPr>
        <w:pStyle w:val="Appendixtitle"/>
        <w:outlineLvl w:val="1"/>
        <w:rPr>
          <w:lang w:val="en-AU"/>
        </w:rPr>
      </w:pPr>
      <w:bookmarkStart w:id="49" w:name="_Toc457572217"/>
      <w:bookmarkStart w:id="50" w:name="_Toc460231390"/>
      <w:r w:rsidRPr="003C341F">
        <w:rPr>
          <w:lang w:val="en-AU"/>
        </w:rPr>
        <w:lastRenderedPageBreak/>
        <w:t xml:space="preserve">Appendix </w:t>
      </w:r>
      <w:r w:rsidR="00872E70" w:rsidRPr="003C341F">
        <w:rPr>
          <w:lang w:val="en-AU"/>
        </w:rPr>
        <w:t>I</w:t>
      </w:r>
      <w:r w:rsidRPr="003C341F">
        <w:rPr>
          <w:lang w:val="en-AU"/>
        </w:rPr>
        <w:t>: Position descriptions/Terms of reference</w:t>
      </w:r>
      <w:bookmarkEnd w:id="49"/>
      <w:bookmarkEnd w:id="50"/>
      <w:r w:rsidR="00DD52B7">
        <w:rPr>
          <w:lang w:val="en-AU"/>
        </w:rPr>
        <w:t xml:space="preserve"> (external)</w:t>
      </w:r>
    </w:p>
    <w:sectPr w:rsidR="001F37C2" w:rsidRPr="00DD52B7" w:rsidSect="00E63DC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6A8BF" w14:textId="77777777" w:rsidR="004612F9" w:rsidRDefault="004612F9" w:rsidP="003635A3">
      <w:r>
        <w:separator/>
      </w:r>
    </w:p>
    <w:p w14:paraId="12A4776A" w14:textId="77777777" w:rsidR="004612F9" w:rsidRDefault="004612F9"/>
  </w:endnote>
  <w:endnote w:type="continuationSeparator" w:id="0">
    <w:p w14:paraId="0AA3A5BD" w14:textId="77777777" w:rsidR="004612F9" w:rsidRDefault="004612F9" w:rsidP="003635A3">
      <w:r>
        <w:continuationSeparator/>
      </w:r>
    </w:p>
    <w:p w14:paraId="431A072C" w14:textId="77777777" w:rsidR="004612F9" w:rsidRDefault="00461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HGMinchoB">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UNFPA-Text">
    <w:altName w:val="Times New Roman"/>
    <w:panose1 w:val="00000000000000000000"/>
    <w:charset w:val="A3"/>
    <w:family w:val="auto"/>
    <w:notTrueType/>
    <w:pitch w:val="default"/>
    <w:sig w:usb0="20000003" w:usb1="00000000" w:usb2="00000000" w:usb3="00000000" w:csb0="00000101" w:csb1="00000000"/>
  </w:font>
  <w:font w:name="Univers-Light">
    <w:panose1 w:val="00000000000000000000"/>
    <w:charset w:val="00"/>
    <w:family w:val="swiss"/>
    <w:notTrueType/>
    <w:pitch w:val="default"/>
    <w:sig w:usb0="00000003" w:usb1="00000000" w:usb2="00000000" w:usb3="00000000" w:csb0="00000001" w:csb1="00000000"/>
  </w:font>
  <w:font w:name="Oxyge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759CF" w14:textId="77777777" w:rsidR="004612F9" w:rsidRDefault="004612F9" w:rsidP="0013293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CD182B" w14:textId="77777777" w:rsidR="004612F9" w:rsidRDefault="004612F9" w:rsidP="002B79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1EB65" w14:textId="77777777" w:rsidR="004612F9" w:rsidRPr="00CF209E" w:rsidRDefault="004612F9" w:rsidP="0071265C">
    <w:pPr>
      <w:spacing w:after="0"/>
      <w:rPr>
        <w:rFonts w:eastAsiaTheme="minorHAnsi"/>
        <w:i/>
      </w:rPr>
    </w:pPr>
    <w:r w:rsidRPr="00CF209E">
      <w:rPr>
        <w:rFonts w:eastAsia="HGｺﾞｼｯｸM" w:cs="Arial"/>
        <w:b/>
        <w:i/>
        <w:sz w:val="18"/>
      </w:rPr>
      <w:t>Disclaimer</w:t>
    </w:r>
  </w:p>
  <w:p w14:paraId="2C30845E" w14:textId="77777777" w:rsidR="004612F9" w:rsidRPr="00CF209E" w:rsidRDefault="004612F9" w:rsidP="00CF209E">
    <w:pPr>
      <w:spacing w:after="0"/>
      <w:rPr>
        <w:rFonts w:eastAsia="HGMinchoB"/>
        <w:i/>
        <w:iCs/>
        <w:sz w:val="18"/>
        <w:szCs w:val="20"/>
        <w:lang w:val="en-AU" w:eastAsia="ja-JP"/>
      </w:rPr>
    </w:pPr>
    <w:r w:rsidRPr="00CF209E">
      <w:rPr>
        <w:rFonts w:eastAsia="HGMinchoB"/>
        <w:i/>
        <w:iCs/>
        <w:sz w:val="18"/>
        <w:szCs w:val="20"/>
        <w:lang w:val="en-AU" w:eastAsia="ja-JP"/>
      </w:rPr>
      <w:t>The Specialist Health Service (SHS) provides health technical assistance to the Australian Government. The SHS is an initiative funded by the Australian Government Department of Foreign Affairs and Trad</w:t>
    </w:r>
    <w:r>
      <w:rPr>
        <w:rFonts w:eastAsia="HGMinchoB"/>
        <w:i/>
        <w:iCs/>
        <w:sz w:val="18"/>
        <w:szCs w:val="20"/>
        <w:lang w:val="en-AU" w:eastAsia="ja-JP"/>
      </w:rPr>
      <w:t xml:space="preserve">e (DFAT) and managed by </w:t>
    </w:r>
    <w:proofErr w:type="spellStart"/>
    <w:r>
      <w:rPr>
        <w:rFonts w:eastAsia="HGMinchoB"/>
        <w:i/>
        <w:iCs/>
        <w:sz w:val="18"/>
        <w:szCs w:val="20"/>
        <w:lang w:val="en-AU" w:eastAsia="ja-JP"/>
      </w:rPr>
      <w:t>Abt</w:t>
    </w:r>
    <w:proofErr w:type="spellEnd"/>
    <w:r>
      <w:rPr>
        <w:rFonts w:eastAsia="HGMinchoB"/>
        <w:i/>
        <w:iCs/>
        <w:sz w:val="18"/>
        <w:szCs w:val="20"/>
        <w:lang w:val="en-AU" w:eastAsia="ja-JP"/>
      </w:rPr>
      <w:t xml:space="preserve"> Associates </w:t>
    </w:r>
    <w:r w:rsidRPr="00CF209E">
      <w:rPr>
        <w:rFonts w:eastAsia="HGMinchoB"/>
        <w:i/>
        <w:iCs/>
        <w:sz w:val="18"/>
        <w:szCs w:val="20"/>
        <w:lang w:val="en-AU" w:eastAsia="ja-JP"/>
      </w:rPr>
      <w:t>Pty Ltd.</w:t>
    </w:r>
  </w:p>
  <w:p w14:paraId="5C52DB98" w14:textId="77777777" w:rsidR="004612F9" w:rsidRPr="00CF209E" w:rsidRDefault="004612F9" w:rsidP="00CF209E">
    <w:pPr>
      <w:spacing w:after="0"/>
      <w:rPr>
        <w:rFonts w:eastAsia="HGMinchoB"/>
        <w:i/>
        <w:iCs/>
        <w:sz w:val="18"/>
        <w:szCs w:val="20"/>
        <w:lang w:val="en-AU" w:eastAsia="ja-JP"/>
      </w:rPr>
    </w:pPr>
  </w:p>
  <w:p w14:paraId="71BF4110" w14:textId="77777777" w:rsidR="004612F9" w:rsidRPr="00CF209E" w:rsidRDefault="004612F9" w:rsidP="00CF209E">
    <w:pPr>
      <w:spacing w:after="0"/>
      <w:rPr>
        <w:rFonts w:eastAsia="HGMinchoB"/>
        <w:i/>
        <w:iCs/>
        <w:sz w:val="18"/>
        <w:szCs w:val="20"/>
        <w:lang w:val="en-AU" w:eastAsia="ja-JP"/>
      </w:rPr>
    </w:pPr>
    <w:r w:rsidRPr="00CF209E">
      <w:rPr>
        <w:rFonts w:eastAsia="HGMinchoB"/>
        <w:i/>
        <w:iCs/>
        <w:sz w:val="18"/>
        <w:szCs w:val="20"/>
        <w:lang w:val="en-AU" w:eastAsia="ja-JP"/>
      </w:rPr>
      <w:t xml:space="preserve">This document was produced by the </w:t>
    </w:r>
    <w:proofErr w:type="gramStart"/>
    <w:r w:rsidRPr="00CF209E">
      <w:rPr>
        <w:rFonts w:eastAsia="HGMinchoB"/>
        <w:i/>
        <w:iCs/>
        <w:sz w:val="18"/>
        <w:szCs w:val="20"/>
        <w:lang w:val="en-AU" w:eastAsia="ja-JP"/>
      </w:rPr>
      <w:t>SHS, and</w:t>
    </w:r>
    <w:proofErr w:type="gramEnd"/>
    <w:r w:rsidRPr="00CF209E">
      <w:rPr>
        <w:rFonts w:eastAsia="HGMinchoB"/>
        <w:i/>
        <w:iCs/>
        <w:sz w:val="18"/>
        <w:szCs w:val="20"/>
        <w:lang w:val="en-AU" w:eastAsia="ja-JP"/>
      </w:rPr>
      <w:t xml:space="preserve"> does not necessarily represent the views or the policy of DFAT or the Commonwealth of Australia.</w:t>
    </w:r>
  </w:p>
  <w:p w14:paraId="513003C3" w14:textId="77777777" w:rsidR="004612F9" w:rsidRPr="00CF209E" w:rsidRDefault="004612F9" w:rsidP="00CF209E">
    <w:pPr>
      <w:spacing w:after="0"/>
      <w:rPr>
        <w:rFonts w:eastAsia="HGMinchoB"/>
        <w:i/>
        <w:iCs/>
        <w:sz w:val="18"/>
        <w:szCs w:val="20"/>
        <w:lang w:val="en-AU" w:eastAsia="ja-JP"/>
      </w:rPr>
    </w:pPr>
  </w:p>
  <w:p w14:paraId="3A0D40E8" w14:textId="77777777" w:rsidR="004612F9" w:rsidRPr="00CF209E" w:rsidRDefault="004612F9" w:rsidP="00CF209E">
    <w:pPr>
      <w:spacing w:after="0"/>
      <w:rPr>
        <w:rFonts w:eastAsia="HGMinchoB"/>
        <w:i/>
        <w:iCs/>
        <w:sz w:val="18"/>
        <w:szCs w:val="20"/>
        <w:lang w:val="en-AU" w:eastAsia="ja-JP"/>
      </w:rPr>
    </w:pPr>
    <w:r w:rsidRPr="00CF209E">
      <w:rPr>
        <w:rFonts w:eastAsia="HGMinchoB"/>
        <w:i/>
        <w:iCs/>
        <w:sz w:val="18"/>
        <w:szCs w:val="20"/>
        <w:lang w:val="en-AU" w:eastAsia="ja-JP"/>
      </w:rPr>
      <w:t xml:space="preserve">This document has been prepared solely for the purpose agreed with the SHS and for the information of the commissioning Commonwealth Government </w:t>
    </w:r>
    <w:proofErr w:type="gramStart"/>
    <w:r w:rsidRPr="00CF209E">
      <w:rPr>
        <w:rFonts w:eastAsia="HGMinchoB"/>
        <w:i/>
        <w:iCs/>
        <w:sz w:val="18"/>
        <w:szCs w:val="20"/>
        <w:lang w:val="en-AU" w:eastAsia="ja-JP"/>
      </w:rPr>
      <w:t>Agency, and</w:t>
    </w:r>
    <w:proofErr w:type="gramEnd"/>
    <w:r w:rsidRPr="00CF209E">
      <w:rPr>
        <w:rFonts w:eastAsia="HGMinchoB"/>
        <w:i/>
        <w:iCs/>
        <w:sz w:val="18"/>
        <w:szCs w:val="20"/>
        <w:lang w:val="en-AU" w:eastAsia="ja-JP"/>
      </w:rPr>
      <w:t xml:space="preserve"> is not to be used for any other purpose or distributed to any other party without DFAT’s prior written consent.</w:t>
    </w:r>
  </w:p>
  <w:p w14:paraId="297FE1CB" w14:textId="77777777" w:rsidR="004612F9" w:rsidRPr="00CF209E" w:rsidRDefault="004612F9" w:rsidP="00CF209E">
    <w:pPr>
      <w:spacing w:after="0"/>
      <w:rPr>
        <w:rFonts w:eastAsia="HGMinchoB"/>
        <w:i/>
        <w:iCs/>
        <w:sz w:val="18"/>
        <w:szCs w:val="20"/>
        <w:lang w:val="en-AU" w:eastAsia="ja-JP"/>
      </w:rPr>
    </w:pPr>
  </w:p>
  <w:p w14:paraId="2A05F699" w14:textId="77777777" w:rsidR="004612F9" w:rsidRPr="00CF209E" w:rsidRDefault="004612F9" w:rsidP="00CF209E">
    <w:pPr>
      <w:spacing w:after="0"/>
      <w:rPr>
        <w:rFonts w:eastAsia="HGMinchoB"/>
        <w:i/>
        <w:iCs/>
        <w:sz w:val="18"/>
        <w:szCs w:val="20"/>
        <w:lang w:val="en-AU" w:eastAsia="ja-JP"/>
      </w:rPr>
    </w:pPr>
    <w:r w:rsidRPr="00CF209E">
      <w:rPr>
        <w:rFonts w:eastAsia="HGMinchoB"/>
        <w:i/>
        <w:iCs/>
        <w:sz w:val="18"/>
        <w:szCs w:val="20"/>
        <w:lang w:val="en-AU" w:eastAsia="ja-JP"/>
      </w:rPr>
      <w:t>The Common</w:t>
    </w:r>
    <w:r>
      <w:rPr>
        <w:rFonts w:eastAsia="HGMinchoB"/>
        <w:i/>
        <w:iCs/>
        <w:sz w:val="18"/>
        <w:szCs w:val="20"/>
        <w:lang w:val="en-AU" w:eastAsia="ja-JP"/>
      </w:rPr>
      <w:t xml:space="preserve">wealth of Australia and </w:t>
    </w:r>
    <w:proofErr w:type="spellStart"/>
    <w:r>
      <w:rPr>
        <w:rFonts w:eastAsia="HGMinchoB"/>
        <w:i/>
        <w:iCs/>
        <w:sz w:val="18"/>
        <w:szCs w:val="20"/>
        <w:lang w:val="en-AU" w:eastAsia="ja-JP"/>
      </w:rPr>
      <w:t>Abt</w:t>
    </w:r>
    <w:proofErr w:type="spellEnd"/>
    <w:r>
      <w:rPr>
        <w:rFonts w:eastAsia="HGMinchoB"/>
        <w:i/>
        <w:iCs/>
        <w:sz w:val="18"/>
        <w:szCs w:val="20"/>
        <w:lang w:val="en-AU" w:eastAsia="ja-JP"/>
      </w:rPr>
      <w:t xml:space="preserve"> Associates </w:t>
    </w:r>
    <w:r w:rsidRPr="00CF209E">
      <w:rPr>
        <w:rFonts w:eastAsia="HGMinchoB"/>
        <w:i/>
        <w:iCs/>
        <w:sz w:val="18"/>
        <w:szCs w:val="20"/>
        <w:lang w:val="en-AU" w:eastAsia="ja-JP"/>
      </w:rPr>
      <w:t>Pty Ltd accept no responsibility for any loss, damage or injury resulting from reliance on any of the information or views contained in this document.</w:t>
    </w:r>
  </w:p>
  <w:p w14:paraId="41D21ADB" w14:textId="77777777" w:rsidR="004612F9" w:rsidRPr="00CF209E" w:rsidRDefault="004612F9" w:rsidP="00CF209E">
    <w:pPr>
      <w:spacing w:after="0"/>
      <w:rPr>
        <w:rFonts w:eastAsia="HGMinchoB"/>
        <w:i/>
        <w:iCs/>
        <w:sz w:val="18"/>
        <w:szCs w:val="20"/>
        <w:lang w:val="en-AU" w:eastAsia="ja-JP"/>
      </w:rPr>
    </w:pPr>
  </w:p>
  <w:p w14:paraId="345D2424" w14:textId="77777777" w:rsidR="004612F9" w:rsidRPr="00CF209E" w:rsidRDefault="004612F9" w:rsidP="00CF209E">
    <w:pPr>
      <w:spacing w:after="0"/>
      <w:rPr>
        <w:rFonts w:eastAsia="HGMinchoB"/>
        <w:i/>
        <w:iCs/>
        <w:sz w:val="18"/>
        <w:szCs w:val="20"/>
        <w:lang w:val="en-AU" w:eastAsia="ja-JP"/>
      </w:rPr>
    </w:pPr>
    <w:r w:rsidRPr="00CF209E">
      <w:rPr>
        <w:rFonts w:eastAsia="HGMinchoB"/>
        <w:i/>
        <w:iCs/>
        <w:sz w:val="18"/>
        <w:szCs w:val="20"/>
        <w:lang w:val="en-AU" w:eastAsia="ja-JP"/>
      </w:rPr>
      <w:t>© Commonwealth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02A1E" w14:textId="77777777" w:rsidR="004612F9" w:rsidRDefault="004612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9B338" w14:textId="77777777" w:rsidR="004612F9" w:rsidRDefault="004612F9" w:rsidP="0013293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ED5E48" w14:textId="77777777" w:rsidR="004612F9" w:rsidRDefault="004612F9" w:rsidP="002B79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EE50" w14:textId="4FBE8AA7" w:rsidR="004612F9" w:rsidRPr="00B64395" w:rsidRDefault="004612F9" w:rsidP="00D27744">
    <w:pPr>
      <w:pStyle w:val="Footer"/>
      <w:pBdr>
        <w:top w:val="single" w:sz="4" w:space="1" w:color="auto"/>
      </w:pBdr>
      <w:tabs>
        <w:tab w:val="clear" w:pos="9026"/>
        <w:tab w:val="right" w:pos="9753"/>
      </w:tabs>
      <w:spacing w:before="180"/>
      <w:rPr>
        <w:sz w:val="18"/>
      </w:rPr>
    </w:pPr>
    <w:r>
      <w:rPr>
        <w:sz w:val="18"/>
      </w:rPr>
      <w:t>Samoa Health Design Appendices</w:t>
    </w:r>
    <w:r>
      <w:rPr>
        <w:sz w:val="18"/>
      </w:rPr>
      <w:ptab w:relativeTo="margin" w:alignment="right" w:leader="none"/>
    </w:r>
    <w:r w:rsidRPr="00B64395">
      <w:rPr>
        <w:color w:val="DA291C"/>
        <w:sz w:val="18"/>
      </w:rPr>
      <w:sym w:font="Wingdings" w:char="F06E"/>
    </w:r>
    <w:r w:rsidRPr="00B64395">
      <w:rPr>
        <w:sz w:val="18"/>
      </w:rPr>
      <w:t xml:space="preserve"> </w:t>
    </w:r>
    <w:sdt>
      <w:sdtPr>
        <w:rPr>
          <w:sz w:val="18"/>
        </w:rPr>
        <w:id w:val="-257370062"/>
        <w:docPartObj>
          <w:docPartGallery w:val="Page Numbers (Bottom of Page)"/>
          <w:docPartUnique/>
        </w:docPartObj>
      </w:sdtPr>
      <w:sdtEndPr>
        <w:rPr>
          <w:noProof/>
        </w:rPr>
      </w:sdtEndPr>
      <w:sdtContent>
        <w:r w:rsidRPr="00B64395">
          <w:rPr>
            <w:sz w:val="18"/>
          </w:rPr>
          <w:fldChar w:fldCharType="begin"/>
        </w:r>
        <w:r w:rsidRPr="00B64395">
          <w:rPr>
            <w:sz w:val="18"/>
          </w:rPr>
          <w:instrText xml:space="preserve"> PAGE   \* MERGEFORMAT </w:instrText>
        </w:r>
        <w:r w:rsidRPr="00B64395">
          <w:rPr>
            <w:sz w:val="18"/>
          </w:rPr>
          <w:fldChar w:fldCharType="separate"/>
        </w:r>
        <w:r>
          <w:rPr>
            <w:noProof/>
            <w:sz w:val="18"/>
          </w:rPr>
          <w:t>25</w:t>
        </w:r>
        <w:r w:rsidRPr="00B64395">
          <w:rPr>
            <w:noProof/>
            <w:sz w:val="18"/>
          </w:rPr>
          <w:fldChar w:fldCharType="end"/>
        </w:r>
      </w:sdtContent>
    </w:sdt>
  </w:p>
  <w:p w14:paraId="3C393792" w14:textId="5166731B" w:rsidR="004612F9" w:rsidRPr="001465AD" w:rsidRDefault="004612F9" w:rsidP="001465AD">
    <w:pPr>
      <w:pStyle w:val="Footer"/>
      <w:tabs>
        <w:tab w:val="clear" w:pos="9026"/>
        <w:tab w:val="right" w:pos="9753"/>
      </w:tabs>
      <w:rPr>
        <w:color w:val="DA291C"/>
        <w:sz w:val="18"/>
      </w:rPr>
    </w:pPr>
    <w:r w:rsidRPr="00B64395">
      <w:rPr>
        <w:color w:val="DA291C"/>
        <w:sz w:val="18"/>
      </w:rPr>
      <w:t>Specialist Health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25326" w14:textId="77777777" w:rsidR="004612F9" w:rsidRDefault="004612F9">
      <w:r>
        <w:separator/>
      </w:r>
    </w:p>
  </w:footnote>
  <w:footnote w:type="continuationSeparator" w:id="0">
    <w:p w14:paraId="25370D0A" w14:textId="77777777" w:rsidR="004612F9" w:rsidRDefault="004612F9" w:rsidP="003635A3">
      <w:r>
        <w:continuationSeparator/>
      </w:r>
    </w:p>
    <w:p w14:paraId="4BFC037C" w14:textId="77777777" w:rsidR="004612F9" w:rsidRDefault="004612F9"/>
  </w:footnote>
  <w:footnote w:id="1">
    <w:p w14:paraId="536C7D72" w14:textId="77777777" w:rsidR="004612F9" w:rsidRPr="00D27744" w:rsidRDefault="004612F9" w:rsidP="00D27744">
      <w:pPr>
        <w:pStyle w:val="FootnoteText"/>
        <w:spacing w:after="0" w:line="240" w:lineRule="auto"/>
        <w:ind w:left="284" w:hanging="284"/>
        <w:rPr>
          <w:rFonts w:ascii="Arial" w:hAnsi="Arial" w:cs="Arial"/>
          <w:sz w:val="18"/>
          <w:szCs w:val="18"/>
        </w:rPr>
      </w:pPr>
      <w:r w:rsidRPr="00D27744">
        <w:rPr>
          <w:rStyle w:val="FootnoteReference"/>
          <w:rFonts w:ascii="Arial" w:hAnsi="Arial" w:cs="Arial"/>
          <w:sz w:val="18"/>
          <w:szCs w:val="18"/>
        </w:rPr>
        <w:footnoteRef/>
      </w:r>
      <w:r w:rsidRPr="00D27744">
        <w:rPr>
          <w:rFonts w:ascii="Arial" w:hAnsi="Arial" w:cs="Arial"/>
          <w:sz w:val="18"/>
          <w:szCs w:val="18"/>
        </w:rPr>
        <w:t xml:space="preserve"> </w:t>
      </w:r>
      <w:r w:rsidRPr="00D27744">
        <w:rPr>
          <w:rFonts w:ascii="Arial" w:hAnsi="Arial" w:cs="Arial"/>
          <w:sz w:val="18"/>
          <w:szCs w:val="18"/>
        </w:rPr>
        <w:tab/>
        <w:t>This situation is not unique to Samoa. For example, similar challenges arose following the introduction of a ‘purchaser/provider’ arrangement in the British NHS where most senior staff had gained experience in service delivery and few had the expertise needed to operate effectively as funders/commissioners of health services.</w:t>
      </w:r>
    </w:p>
  </w:footnote>
  <w:footnote w:id="2">
    <w:p w14:paraId="04156ECF" w14:textId="77777777" w:rsidR="004612F9" w:rsidRPr="00D27744" w:rsidRDefault="004612F9" w:rsidP="00D27744">
      <w:pPr>
        <w:pStyle w:val="FootnoteText"/>
        <w:spacing w:after="0" w:line="240" w:lineRule="auto"/>
        <w:ind w:left="284" w:hanging="284"/>
        <w:rPr>
          <w:rFonts w:ascii="Arial" w:hAnsi="Arial" w:cs="Arial"/>
          <w:sz w:val="18"/>
          <w:szCs w:val="18"/>
        </w:rPr>
      </w:pPr>
      <w:r w:rsidRPr="00D27744">
        <w:rPr>
          <w:rStyle w:val="FootnoteReference"/>
          <w:rFonts w:ascii="Arial" w:hAnsi="Arial" w:cs="Arial"/>
          <w:sz w:val="18"/>
          <w:szCs w:val="18"/>
        </w:rPr>
        <w:footnoteRef/>
      </w:r>
      <w:r w:rsidRPr="00D27744">
        <w:rPr>
          <w:rFonts w:ascii="Arial" w:hAnsi="Arial" w:cs="Arial"/>
          <w:sz w:val="18"/>
          <w:szCs w:val="18"/>
        </w:rPr>
        <w:t xml:space="preserve"> </w:t>
      </w:r>
      <w:r w:rsidRPr="00D27744">
        <w:rPr>
          <w:rFonts w:ascii="Arial" w:hAnsi="Arial" w:cs="Arial"/>
          <w:sz w:val="18"/>
          <w:szCs w:val="18"/>
        </w:rPr>
        <w:tab/>
        <w:t>https://www.corumhealth.com.au/products/lots-one</w:t>
      </w:r>
    </w:p>
  </w:footnote>
  <w:footnote w:id="3">
    <w:p w14:paraId="145A947B" w14:textId="77777777" w:rsidR="004612F9" w:rsidRPr="00D27744" w:rsidRDefault="004612F9" w:rsidP="00D27744">
      <w:pPr>
        <w:pStyle w:val="FootnoteText"/>
        <w:spacing w:after="0" w:line="240" w:lineRule="auto"/>
        <w:ind w:left="284" w:hanging="284"/>
        <w:rPr>
          <w:rFonts w:ascii="Arial" w:hAnsi="Arial" w:cs="Arial"/>
          <w:sz w:val="18"/>
          <w:szCs w:val="18"/>
        </w:rPr>
      </w:pPr>
      <w:r w:rsidRPr="00D27744">
        <w:rPr>
          <w:rStyle w:val="FootnoteReference"/>
          <w:rFonts w:ascii="Arial" w:hAnsi="Arial" w:cs="Arial"/>
          <w:sz w:val="18"/>
          <w:szCs w:val="18"/>
        </w:rPr>
        <w:footnoteRef/>
      </w:r>
      <w:r w:rsidRPr="00D27744">
        <w:rPr>
          <w:rFonts w:ascii="Arial" w:hAnsi="Arial" w:cs="Arial"/>
          <w:sz w:val="18"/>
          <w:szCs w:val="18"/>
        </w:rPr>
        <w:t xml:space="preserve"> </w:t>
      </w:r>
      <w:r w:rsidRPr="00D27744">
        <w:rPr>
          <w:rFonts w:ascii="Arial" w:hAnsi="Arial" w:cs="Arial"/>
          <w:sz w:val="18"/>
          <w:szCs w:val="18"/>
        </w:rPr>
        <w:tab/>
        <w:t>https://www.corumhealth.com.au/products/lots-one</w:t>
      </w:r>
    </w:p>
  </w:footnote>
  <w:footnote w:id="4">
    <w:p w14:paraId="71FEFC43" w14:textId="77777777" w:rsidR="004612F9" w:rsidRPr="00D27744" w:rsidRDefault="004612F9" w:rsidP="00D27744">
      <w:pPr>
        <w:pStyle w:val="FootnoteText"/>
        <w:spacing w:after="0" w:line="240" w:lineRule="auto"/>
        <w:ind w:left="284" w:hanging="284"/>
        <w:rPr>
          <w:rFonts w:ascii="Arial" w:hAnsi="Arial" w:cs="Arial"/>
          <w:sz w:val="18"/>
          <w:szCs w:val="18"/>
        </w:rPr>
      </w:pPr>
      <w:r w:rsidRPr="00D27744">
        <w:rPr>
          <w:rStyle w:val="FootnoteReference"/>
          <w:rFonts w:ascii="Arial" w:hAnsi="Arial" w:cs="Arial"/>
          <w:sz w:val="18"/>
          <w:szCs w:val="18"/>
        </w:rPr>
        <w:footnoteRef/>
      </w:r>
      <w:r w:rsidRPr="00D27744">
        <w:rPr>
          <w:rFonts w:ascii="Arial" w:hAnsi="Arial" w:cs="Arial"/>
          <w:sz w:val="18"/>
          <w:szCs w:val="18"/>
        </w:rPr>
        <w:t xml:space="preserve"> </w:t>
      </w:r>
      <w:r w:rsidRPr="00D27744">
        <w:rPr>
          <w:rFonts w:ascii="Arial" w:hAnsi="Arial" w:cs="Arial"/>
          <w:sz w:val="18"/>
          <w:szCs w:val="18"/>
        </w:rPr>
        <w:tab/>
        <w:t>http://www.medtechglobal.com/</w:t>
      </w:r>
    </w:p>
  </w:footnote>
  <w:footnote w:id="5">
    <w:p w14:paraId="5E207E6A" w14:textId="77777777" w:rsidR="004612F9" w:rsidRPr="00D27744" w:rsidRDefault="004612F9" w:rsidP="00D27744">
      <w:pPr>
        <w:pStyle w:val="FootnoteText"/>
        <w:spacing w:after="0" w:line="240" w:lineRule="auto"/>
        <w:ind w:left="284" w:hanging="284"/>
        <w:rPr>
          <w:rFonts w:ascii="Arial" w:hAnsi="Arial" w:cs="Arial"/>
          <w:sz w:val="18"/>
          <w:szCs w:val="18"/>
        </w:rPr>
      </w:pPr>
      <w:r w:rsidRPr="00D27744">
        <w:rPr>
          <w:rStyle w:val="FootnoteReference"/>
          <w:rFonts w:ascii="Arial" w:hAnsi="Arial" w:cs="Arial"/>
          <w:sz w:val="18"/>
          <w:szCs w:val="18"/>
        </w:rPr>
        <w:footnoteRef/>
      </w:r>
      <w:r w:rsidRPr="00D27744">
        <w:rPr>
          <w:rFonts w:ascii="Arial" w:hAnsi="Arial" w:cs="Arial"/>
          <w:sz w:val="18"/>
          <w:szCs w:val="18"/>
        </w:rPr>
        <w:t xml:space="preserve"> </w:t>
      </w:r>
      <w:r w:rsidRPr="00D27744">
        <w:rPr>
          <w:rFonts w:ascii="Arial" w:hAnsi="Arial" w:cs="Arial"/>
          <w:sz w:val="18"/>
          <w:szCs w:val="18"/>
        </w:rPr>
        <w:tab/>
        <w:t>http://www.medsphere.com/</w:t>
      </w:r>
    </w:p>
  </w:footnote>
  <w:footnote w:id="6">
    <w:p w14:paraId="1F9E8DE3" w14:textId="77777777" w:rsidR="004612F9" w:rsidRPr="00D27744" w:rsidRDefault="004612F9" w:rsidP="00D27744">
      <w:pPr>
        <w:pStyle w:val="FootnoteText"/>
        <w:spacing w:after="0" w:line="240" w:lineRule="auto"/>
        <w:ind w:left="284" w:hanging="284"/>
        <w:rPr>
          <w:rFonts w:ascii="Arial" w:hAnsi="Arial" w:cs="Arial"/>
          <w:sz w:val="18"/>
          <w:szCs w:val="18"/>
        </w:rPr>
      </w:pPr>
      <w:r w:rsidRPr="00D27744">
        <w:rPr>
          <w:rStyle w:val="FootnoteReference"/>
          <w:rFonts w:ascii="Arial" w:hAnsi="Arial" w:cs="Arial"/>
          <w:sz w:val="18"/>
          <w:szCs w:val="18"/>
        </w:rPr>
        <w:footnoteRef/>
      </w:r>
      <w:r w:rsidRPr="00D27744">
        <w:rPr>
          <w:rFonts w:ascii="Arial" w:hAnsi="Arial" w:cs="Arial"/>
          <w:sz w:val="18"/>
          <w:szCs w:val="18"/>
        </w:rPr>
        <w:t xml:space="preserve"> </w:t>
      </w:r>
      <w:r w:rsidRPr="00D27744">
        <w:rPr>
          <w:rFonts w:ascii="Arial" w:hAnsi="Arial" w:cs="Arial"/>
          <w:sz w:val="18"/>
          <w:szCs w:val="18"/>
        </w:rPr>
        <w:tab/>
        <w:t>https://www.dhis2.org/inaction</w:t>
      </w:r>
    </w:p>
  </w:footnote>
  <w:footnote w:id="7">
    <w:p w14:paraId="20B60E17" w14:textId="77777777" w:rsidR="004612F9" w:rsidRPr="00D27744" w:rsidRDefault="004612F9" w:rsidP="00D27744">
      <w:pPr>
        <w:pStyle w:val="FootnoteText"/>
        <w:spacing w:after="0" w:line="240" w:lineRule="auto"/>
        <w:ind w:left="284" w:hanging="284"/>
        <w:rPr>
          <w:rFonts w:ascii="Arial" w:hAnsi="Arial" w:cs="Arial"/>
          <w:sz w:val="18"/>
          <w:szCs w:val="18"/>
        </w:rPr>
      </w:pPr>
      <w:r w:rsidRPr="00D27744">
        <w:rPr>
          <w:rStyle w:val="FootnoteReference"/>
          <w:rFonts w:ascii="Arial" w:eastAsiaTheme="majorEastAsia" w:hAnsi="Arial" w:cs="Arial"/>
          <w:sz w:val="18"/>
          <w:szCs w:val="18"/>
        </w:rPr>
        <w:footnoteRef/>
      </w:r>
      <w:r w:rsidRPr="00D27744">
        <w:rPr>
          <w:rFonts w:ascii="Arial" w:hAnsi="Arial" w:cs="Arial"/>
          <w:sz w:val="18"/>
          <w:szCs w:val="18"/>
        </w:rPr>
        <w:t xml:space="preserve"> </w:t>
      </w:r>
      <w:r w:rsidRPr="00D27744">
        <w:rPr>
          <w:rFonts w:ascii="Arial" w:hAnsi="Arial" w:cs="Arial"/>
          <w:sz w:val="18"/>
          <w:szCs w:val="18"/>
        </w:rPr>
        <w:tab/>
        <w:t>It is anticipated that information needs will largely be identified using a ‘normative’ approach and by drawing analogies with other, similar health systems. A detailed information needs analysis is not considered to be necessary.</w:t>
      </w:r>
    </w:p>
  </w:footnote>
  <w:footnote w:id="8">
    <w:p w14:paraId="34C70E31" w14:textId="4B5B9695" w:rsidR="004612F9" w:rsidRPr="00D27744" w:rsidRDefault="004612F9" w:rsidP="00D27744">
      <w:pPr>
        <w:pStyle w:val="FootnoteText"/>
        <w:spacing w:after="0" w:line="240" w:lineRule="auto"/>
        <w:rPr>
          <w:rFonts w:ascii="Arial" w:hAnsi="Arial" w:cs="Arial"/>
          <w:sz w:val="18"/>
          <w:szCs w:val="18"/>
        </w:rPr>
      </w:pPr>
      <w:r w:rsidRPr="00D27744">
        <w:rPr>
          <w:rStyle w:val="FootnoteReference"/>
          <w:rFonts w:ascii="Arial" w:hAnsi="Arial" w:cs="Arial"/>
          <w:sz w:val="18"/>
          <w:szCs w:val="18"/>
        </w:rPr>
        <w:footnoteRef/>
      </w:r>
      <w:r w:rsidRPr="00D27744">
        <w:rPr>
          <w:rFonts w:ascii="Arial" w:hAnsi="Arial" w:cs="Arial"/>
          <w:sz w:val="18"/>
          <w:szCs w:val="18"/>
        </w:rPr>
        <w:t xml:space="preserve"> </w:t>
      </w:r>
      <w:r>
        <w:rPr>
          <w:rFonts w:ascii="Arial" w:hAnsi="Arial" w:cs="Arial"/>
          <w:sz w:val="18"/>
          <w:szCs w:val="18"/>
        </w:rPr>
        <w:t>A</w:t>
      </w:r>
      <w:r w:rsidRPr="00D27744">
        <w:rPr>
          <w:rFonts w:ascii="Arial" w:hAnsi="Arial" w:cs="Arial"/>
          <w:sz w:val="18"/>
          <w:szCs w:val="18"/>
        </w:rPr>
        <w:t xml:space="preserve">dditional indicators under EOPO 1 </w:t>
      </w:r>
      <w:r>
        <w:rPr>
          <w:rFonts w:ascii="Arial" w:hAnsi="Arial" w:cs="Arial"/>
          <w:sz w:val="18"/>
          <w:szCs w:val="18"/>
        </w:rPr>
        <w:t xml:space="preserve">will need to be added </w:t>
      </w:r>
      <w:r w:rsidRPr="00D27744">
        <w:rPr>
          <w:rFonts w:ascii="Arial" w:hAnsi="Arial" w:cs="Arial"/>
          <w:sz w:val="18"/>
          <w:szCs w:val="18"/>
        </w:rPr>
        <w:t xml:space="preserve">to reflect the work of the district-level PHC approaches, once the </w:t>
      </w:r>
      <w:r>
        <w:rPr>
          <w:rFonts w:ascii="Arial" w:hAnsi="Arial" w:cs="Arial"/>
          <w:sz w:val="18"/>
          <w:szCs w:val="18"/>
        </w:rPr>
        <w:t xml:space="preserve">new PHC program is finalised. </w:t>
      </w:r>
    </w:p>
  </w:footnote>
  <w:footnote w:id="9">
    <w:p w14:paraId="5378434B" w14:textId="77777777" w:rsidR="004612F9" w:rsidRPr="00D27744" w:rsidRDefault="004612F9" w:rsidP="00D27744">
      <w:pPr>
        <w:pStyle w:val="FootnoteText"/>
        <w:spacing w:after="0" w:line="240" w:lineRule="auto"/>
        <w:rPr>
          <w:rFonts w:ascii="Arial" w:hAnsi="Arial" w:cs="Arial"/>
          <w:sz w:val="18"/>
          <w:szCs w:val="18"/>
        </w:rPr>
      </w:pPr>
      <w:r w:rsidRPr="00D27744">
        <w:rPr>
          <w:rStyle w:val="FootnoteReference"/>
          <w:rFonts w:ascii="Arial" w:hAnsi="Arial" w:cs="Arial"/>
          <w:sz w:val="18"/>
          <w:szCs w:val="18"/>
        </w:rPr>
        <w:footnoteRef/>
      </w:r>
      <w:r w:rsidRPr="00D27744">
        <w:rPr>
          <w:rFonts w:ascii="Arial" w:hAnsi="Arial" w:cs="Arial"/>
          <w:sz w:val="18"/>
          <w:szCs w:val="18"/>
        </w:rPr>
        <w:t xml:space="preserve"> Possible alternative is proportion of NHS resources allocated to new district-level primary health care approaches</w:t>
      </w:r>
    </w:p>
  </w:footnote>
  <w:footnote w:id="10">
    <w:p w14:paraId="47BA77C0" w14:textId="77777777" w:rsidR="004612F9" w:rsidRPr="00D27744" w:rsidRDefault="004612F9" w:rsidP="00D27744">
      <w:pPr>
        <w:pStyle w:val="FootnoteText"/>
        <w:spacing w:after="0" w:line="240" w:lineRule="auto"/>
        <w:rPr>
          <w:rFonts w:ascii="Arial" w:hAnsi="Arial" w:cs="Arial"/>
          <w:sz w:val="18"/>
          <w:szCs w:val="18"/>
        </w:rPr>
      </w:pPr>
      <w:r w:rsidRPr="00D27744">
        <w:rPr>
          <w:rStyle w:val="FootnoteReference"/>
          <w:rFonts w:ascii="Arial" w:hAnsi="Arial" w:cs="Arial"/>
          <w:sz w:val="18"/>
          <w:szCs w:val="18"/>
        </w:rPr>
        <w:footnoteRef/>
      </w:r>
      <w:r w:rsidRPr="00D27744">
        <w:rPr>
          <w:rFonts w:ascii="Arial" w:hAnsi="Arial" w:cs="Arial"/>
          <w:sz w:val="18"/>
          <w:szCs w:val="18"/>
        </w:rPr>
        <w:t xml:space="preserve"> </w:t>
      </w:r>
      <w:r w:rsidRPr="00D27744">
        <w:rPr>
          <w:rFonts w:ascii="Arial" w:eastAsia="Times New Roman" w:hAnsi="Arial" w:cs="Arial"/>
          <w:color w:val="000000"/>
          <w:sz w:val="18"/>
          <w:szCs w:val="18"/>
        </w:rPr>
        <w:t>Possible alternative is proportion of NHS resources allocated to embedded tailored district-level primary health care approaches</w:t>
      </w:r>
    </w:p>
  </w:footnote>
  <w:footnote w:id="11">
    <w:p w14:paraId="5790E2FB" w14:textId="77777777" w:rsidR="004612F9" w:rsidRPr="00D27744" w:rsidRDefault="004612F9" w:rsidP="00D27744">
      <w:pPr>
        <w:pStyle w:val="FootnoteText"/>
        <w:spacing w:after="0" w:line="240" w:lineRule="auto"/>
        <w:rPr>
          <w:rFonts w:ascii="Arial" w:hAnsi="Arial" w:cs="Arial"/>
          <w:sz w:val="18"/>
          <w:szCs w:val="18"/>
        </w:rPr>
      </w:pPr>
      <w:r w:rsidRPr="00D27744">
        <w:rPr>
          <w:rStyle w:val="FootnoteReference"/>
          <w:rFonts w:ascii="Arial" w:hAnsi="Arial" w:cs="Arial"/>
          <w:sz w:val="18"/>
          <w:szCs w:val="18"/>
        </w:rPr>
        <w:footnoteRef/>
      </w:r>
      <w:r w:rsidRPr="00D27744">
        <w:rPr>
          <w:rFonts w:ascii="Arial" w:hAnsi="Arial" w:cs="Arial"/>
          <w:sz w:val="18"/>
          <w:szCs w:val="18"/>
        </w:rPr>
        <w:t xml:space="preserve"> Use of these measures will only become feasible after the health information system has become operational</w:t>
      </w:r>
    </w:p>
  </w:footnote>
  <w:footnote w:id="12">
    <w:p w14:paraId="6C60960A" w14:textId="3A63E521" w:rsidR="004612F9" w:rsidRPr="00D27744" w:rsidRDefault="004612F9" w:rsidP="00D27744">
      <w:pPr>
        <w:pStyle w:val="FootnoteText"/>
        <w:spacing w:after="0" w:line="240" w:lineRule="auto"/>
        <w:rPr>
          <w:rFonts w:ascii="Arial" w:hAnsi="Arial" w:cs="Arial"/>
          <w:sz w:val="18"/>
          <w:szCs w:val="18"/>
        </w:rPr>
      </w:pPr>
      <w:r w:rsidRPr="00D27744">
        <w:rPr>
          <w:rStyle w:val="FootnoteReference"/>
          <w:rFonts w:ascii="Arial" w:hAnsi="Arial" w:cs="Arial"/>
          <w:sz w:val="18"/>
          <w:szCs w:val="18"/>
        </w:rPr>
        <w:footnoteRef/>
      </w:r>
      <w:r w:rsidRPr="00D27744">
        <w:rPr>
          <w:rFonts w:ascii="Arial" w:hAnsi="Arial" w:cs="Arial"/>
          <w:sz w:val="18"/>
          <w:szCs w:val="18"/>
        </w:rPr>
        <w:t xml:space="preserve"> Measures relating to SFHA service delivery may need to be revised following completion of </w:t>
      </w:r>
      <w:r>
        <w:rPr>
          <w:rFonts w:ascii="Arial" w:hAnsi="Arial" w:cs="Arial"/>
          <w:sz w:val="18"/>
          <w:szCs w:val="18"/>
        </w:rPr>
        <w:t>the SRH design</w:t>
      </w:r>
    </w:p>
  </w:footnote>
  <w:footnote w:id="13">
    <w:p w14:paraId="5068FC30" w14:textId="43D1B289" w:rsidR="004612F9" w:rsidRPr="00D27744" w:rsidRDefault="004612F9" w:rsidP="00D27744">
      <w:pPr>
        <w:pStyle w:val="FootnoteText"/>
        <w:spacing w:after="0" w:line="240" w:lineRule="auto"/>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335A"/>
    <w:multiLevelType w:val="hybridMultilevel"/>
    <w:tmpl w:val="904AD58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7847187"/>
    <w:multiLevelType w:val="hybridMultilevel"/>
    <w:tmpl w:val="6B226B18"/>
    <w:lvl w:ilvl="0" w:tplc="0B08A474">
      <w:start w:val="1"/>
      <w:numFmt w:val="upperLetter"/>
      <w:pStyle w:val="NumberedTit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0D079F"/>
    <w:multiLevelType w:val="multilevel"/>
    <w:tmpl w:val="F924A72A"/>
    <w:styleLink w:val="Numberedlist-Objectives"/>
    <w:lvl w:ilvl="0">
      <w:start w:val="1"/>
      <w:numFmt w:val="decimal"/>
      <w:lvlText w:val="Objective %1 - "/>
      <w:lvlJc w:val="left"/>
      <w:pPr>
        <w:tabs>
          <w:tab w:val="num" w:pos="567"/>
        </w:tabs>
        <w:ind w:left="567" w:hanging="567"/>
      </w:pPr>
      <w:rPr>
        <w:rFonts w:asciiTheme="minorHAnsi" w:hAnsiTheme="minorHAnsi" w:hint="default"/>
        <w:sz w:val="24"/>
      </w:rPr>
    </w:lvl>
    <w:lvl w:ilvl="1">
      <w:start w:val="1"/>
      <w:numFmt w:val="decimal"/>
      <w:lvlText w:val="%2.%1"/>
      <w:lvlJc w:val="left"/>
      <w:pPr>
        <w:ind w:left="927" w:hanging="360"/>
      </w:pPr>
      <w:rPr>
        <w:rFonts w:asciiTheme="minorHAnsi" w:hAnsiTheme="minorHAnsi"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E17FD1"/>
    <w:multiLevelType w:val="hybridMultilevel"/>
    <w:tmpl w:val="81AE8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B4A3F"/>
    <w:multiLevelType w:val="hybridMultilevel"/>
    <w:tmpl w:val="00CCE28E"/>
    <w:lvl w:ilvl="0" w:tplc="18026E3A">
      <w:start w:val="1"/>
      <w:numFmt w:val="bullet"/>
      <w:pStyle w:val="Bullet1-Lo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351130"/>
    <w:multiLevelType w:val="hybridMultilevel"/>
    <w:tmpl w:val="D562A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E1174"/>
    <w:multiLevelType w:val="hybridMultilevel"/>
    <w:tmpl w:val="8D4E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0311C"/>
    <w:multiLevelType w:val="hybridMultilevel"/>
    <w:tmpl w:val="516ADF42"/>
    <w:lvl w:ilvl="0" w:tplc="96B656B0">
      <w:start w:val="1"/>
      <w:numFmt w:val="bullet"/>
      <w:lvlText w:val=""/>
      <w:lvlJc w:val="left"/>
      <w:pPr>
        <w:ind w:left="5606"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0D5BFB"/>
    <w:multiLevelType w:val="hybridMultilevel"/>
    <w:tmpl w:val="E8104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FB60B1"/>
    <w:multiLevelType w:val="hybridMultilevel"/>
    <w:tmpl w:val="84A88D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0417DA"/>
    <w:multiLevelType w:val="hybridMultilevel"/>
    <w:tmpl w:val="7AE2B5A8"/>
    <w:lvl w:ilvl="0" w:tplc="16005200">
      <w:start w:val="1"/>
      <w:numFmt w:val="decimal"/>
      <w:pStyle w:val="Numberedlist"/>
      <w:lvlText w:val="%1."/>
      <w:lvlJc w:val="left"/>
      <w:pPr>
        <w:ind w:left="927"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217FBB"/>
    <w:multiLevelType w:val="hybridMultilevel"/>
    <w:tmpl w:val="C210618C"/>
    <w:lvl w:ilvl="0" w:tplc="F63AA58E">
      <w:start w:val="1"/>
      <w:numFmt w:val="bullet"/>
      <w:lvlText w:val=""/>
      <w:lvlJc w:val="left"/>
      <w:pPr>
        <w:ind w:left="1494" w:hanging="360"/>
      </w:pPr>
      <w:rPr>
        <w:rFonts w:ascii="Wingdings" w:hAnsi="Wingdings" w:hint="default"/>
      </w:rPr>
    </w:lvl>
    <w:lvl w:ilvl="1" w:tplc="04090003">
      <w:start w:val="1"/>
      <w:numFmt w:val="bullet"/>
      <w:pStyle w:val="Bulletpoint2leftaligned"/>
      <w:lvlText w:val="o"/>
      <w:lvlJc w:val="left"/>
      <w:pPr>
        <w:ind w:left="2160" w:hanging="360"/>
      </w:pPr>
      <w:rPr>
        <w:rFonts w:ascii="Courier New" w:hAnsi="Courier New" w:hint="default"/>
      </w:rPr>
    </w:lvl>
    <w:lvl w:ilvl="2" w:tplc="04090005">
      <w:start w:val="1"/>
      <w:numFmt w:val="bullet"/>
      <w:pStyle w:val="Bulletpoint3"/>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5E7381"/>
    <w:multiLevelType w:val="hybridMultilevel"/>
    <w:tmpl w:val="2D7C7ACC"/>
    <w:lvl w:ilvl="0" w:tplc="E3700636">
      <w:start w:val="1"/>
      <w:numFmt w:val="decimal"/>
      <w:lvlText w:val="%1."/>
      <w:lvlJc w:val="left"/>
      <w:pPr>
        <w:ind w:left="720" w:hanging="360"/>
      </w:pPr>
      <w:rPr>
        <w:rFonts w:hint="default"/>
      </w:rPr>
    </w:lvl>
    <w:lvl w:ilvl="1" w:tplc="43CC787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C614C"/>
    <w:multiLevelType w:val="hybridMultilevel"/>
    <w:tmpl w:val="B2F63EE6"/>
    <w:lvl w:ilvl="0" w:tplc="8F38F60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CE49E0"/>
    <w:multiLevelType w:val="hybridMultilevel"/>
    <w:tmpl w:val="A4A86D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D3D480B"/>
    <w:multiLevelType w:val="hybridMultilevel"/>
    <w:tmpl w:val="14E29B02"/>
    <w:lvl w:ilvl="0" w:tplc="7F4628C2">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3">
      <w:start w:val="1"/>
      <w:numFmt w:val="bullet"/>
      <w:lvlText w:val="o"/>
      <w:lvlJc w:val="left"/>
      <w:pPr>
        <w:ind w:left="2727" w:hanging="360"/>
      </w:pPr>
      <w:rPr>
        <w:rFonts w:ascii="Courier New" w:hAnsi="Courier New" w:cs="Courier New"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FF15D0D"/>
    <w:multiLevelType w:val="hybridMultilevel"/>
    <w:tmpl w:val="3124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17C9A"/>
    <w:multiLevelType w:val="multilevel"/>
    <w:tmpl w:val="B05C310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2D4DA5"/>
    <w:multiLevelType w:val="hybridMultilevel"/>
    <w:tmpl w:val="0A50E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000EC5"/>
    <w:multiLevelType w:val="hybridMultilevel"/>
    <w:tmpl w:val="84A88D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6202E1"/>
    <w:multiLevelType w:val="hybridMultilevel"/>
    <w:tmpl w:val="4202C4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A9220E7"/>
    <w:multiLevelType w:val="hybridMultilevel"/>
    <w:tmpl w:val="D3C23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D1099"/>
    <w:multiLevelType w:val="hybridMultilevel"/>
    <w:tmpl w:val="84A88D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8175B2"/>
    <w:multiLevelType w:val="hybridMultilevel"/>
    <w:tmpl w:val="1066559A"/>
    <w:lvl w:ilvl="0" w:tplc="0C090015">
      <w:start w:val="6"/>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52386A"/>
    <w:multiLevelType w:val="multilevel"/>
    <w:tmpl w:val="8A963296"/>
    <w:lvl w:ilvl="0">
      <w:start w:val="1"/>
      <w:numFmt w:val="decimal"/>
      <w:lvlText w:val="Objective %1 - "/>
      <w:lvlJc w:val="left"/>
      <w:pPr>
        <w:tabs>
          <w:tab w:val="num" w:pos="567"/>
        </w:tabs>
        <w:ind w:left="567" w:hanging="567"/>
      </w:pPr>
      <w:rPr>
        <w:rFonts w:hint="default"/>
      </w:rPr>
    </w:lvl>
    <w:lvl w:ilvl="1">
      <w:start w:val="1"/>
      <w:numFmt w:val="decimal"/>
      <w:pStyle w:val="Numberedparas-2level"/>
      <w:lvlText w:val="%2.%1"/>
      <w:lvlJc w:val="left"/>
      <w:pPr>
        <w:ind w:left="927"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F60907"/>
    <w:multiLevelType w:val="multilevel"/>
    <w:tmpl w:val="11BA87A0"/>
    <w:lvl w:ilvl="0">
      <w:start w:val="1"/>
      <w:numFmt w:val="bullet"/>
      <w:pStyle w:val="Bullet1-Brief"/>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F7A528B"/>
    <w:multiLevelType w:val="hybridMultilevel"/>
    <w:tmpl w:val="C1128946"/>
    <w:lvl w:ilvl="0" w:tplc="D062D304">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25"/>
  </w:num>
  <w:num w:numId="4">
    <w:abstractNumId w:val="2"/>
  </w:num>
  <w:num w:numId="5">
    <w:abstractNumId w:val="26"/>
  </w:num>
  <w:num w:numId="6">
    <w:abstractNumId w:val="13"/>
  </w:num>
  <w:num w:numId="7">
    <w:abstractNumId w:val="8"/>
  </w:num>
  <w:num w:numId="8">
    <w:abstractNumId w:val="18"/>
  </w:num>
  <w:num w:numId="9">
    <w:abstractNumId w:val="17"/>
  </w:num>
  <w:num w:numId="10">
    <w:abstractNumId w:val="9"/>
  </w:num>
  <w:num w:numId="11">
    <w:abstractNumId w:val="3"/>
  </w:num>
  <w:num w:numId="12">
    <w:abstractNumId w:val="22"/>
  </w:num>
  <w:num w:numId="13">
    <w:abstractNumId w:val="5"/>
  </w:num>
  <w:num w:numId="14">
    <w:abstractNumId w:val="27"/>
  </w:num>
  <w:num w:numId="15">
    <w:abstractNumId w:val="11"/>
  </w:num>
  <w:num w:numId="16">
    <w:abstractNumId w:val="11"/>
    <w:lvlOverride w:ilvl="0">
      <w:startOverride w:val="1"/>
    </w:lvlOverride>
  </w:num>
  <w:num w:numId="17">
    <w:abstractNumId w:val="1"/>
  </w:num>
  <w:num w:numId="18">
    <w:abstractNumId w:val="16"/>
  </w:num>
  <w:num w:numId="19">
    <w:abstractNumId w:val="6"/>
  </w:num>
  <w:num w:numId="20">
    <w:abstractNumId w:val="0"/>
  </w:num>
  <w:num w:numId="21">
    <w:abstractNumId w:val="14"/>
  </w:num>
  <w:num w:numId="22">
    <w:abstractNumId w:val="21"/>
  </w:num>
  <w:num w:numId="23">
    <w:abstractNumId w:val="15"/>
  </w:num>
  <w:num w:numId="24">
    <w:abstractNumId w:val="4"/>
  </w:num>
  <w:num w:numId="25">
    <w:abstractNumId w:val="19"/>
  </w:num>
  <w:num w:numId="26">
    <w:abstractNumId w:val="20"/>
  </w:num>
  <w:num w:numId="27">
    <w:abstractNumId w:val="10"/>
  </w:num>
  <w:num w:numId="28">
    <w:abstractNumId w:val="23"/>
  </w:num>
  <w:num w:numId="29">
    <w:abstractNumId w:val="2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proofState w:spelling="clean" w:grammar="clean"/>
  <w:defaultTabStop w:val="720"/>
  <w:hyphenationZone w:val="357"/>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C0"/>
    <w:rsid w:val="00000204"/>
    <w:rsid w:val="00001B65"/>
    <w:rsid w:val="00001C3D"/>
    <w:rsid w:val="00002583"/>
    <w:rsid w:val="000047EE"/>
    <w:rsid w:val="0000666B"/>
    <w:rsid w:val="000069AE"/>
    <w:rsid w:val="00007AAD"/>
    <w:rsid w:val="0001237E"/>
    <w:rsid w:val="00013609"/>
    <w:rsid w:val="00015398"/>
    <w:rsid w:val="00016E33"/>
    <w:rsid w:val="00017181"/>
    <w:rsid w:val="0001732F"/>
    <w:rsid w:val="000203B5"/>
    <w:rsid w:val="00020707"/>
    <w:rsid w:val="00020D88"/>
    <w:rsid w:val="000213D8"/>
    <w:rsid w:val="00021E91"/>
    <w:rsid w:val="00025160"/>
    <w:rsid w:val="00026D9F"/>
    <w:rsid w:val="000273D3"/>
    <w:rsid w:val="000307BA"/>
    <w:rsid w:val="00030E16"/>
    <w:rsid w:val="0003121B"/>
    <w:rsid w:val="000327F5"/>
    <w:rsid w:val="0004215A"/>
    <w:rsid w:val="0004269D"/>
    <w:rsid w:val="000440D1"/>
    <w:rsid w:val="000442A8"/>
    <w:rsid w:val="00045907"/>
    <w:rsid w:val="00046DD7"/>
    <w:rsid w:val="00047B7F"/>
    <w:rsid w:val="0005356E"/>
    <w:rsid w:val="000536B4"/>
    <w:rsid w:val="00053C54"/>
    <w:rsid w:val="00054194"/>
    <w:rsid w:val="00056566"/>
    <w:rsid w:val="000573CC"/>
    <w:rsid w:val="000609AF"/>
    <w:rsid w:val="000649E6"/>
    <w:rsid w:val="0007129B"/>
    <w:rsid w:val="000716D1"/>
    <w:rsid w:val="00072564"/>
    <w:rsid w:val="00072BAB"/>
    <w:rsid w:val="000738B1"/>
    <w:rsid w:val="00080FDE"/>
    <w:rsid w:val="00081453"/>
    <w:rsid w:val="00081FE3"/>
    <w:rsid w:val="00082B6B"/>
    <w:rsid w:val="0008452D"/>
    <w:rsid w:val="00084572"/>
    <w:rsid w:val="00086D11"/>
    <w:rsid w:val="00095795"/>
    <w:rsid w:val="000A004C"/>
    <w:rsid w:val="000A09BA"/>
    <w:rsid w:val="000A2AF2"/>
    <w:rsid w:val="000A58E6"/>
    <w:rsid w:val="000A5EDE"/>
    <w:rsid w:val="000B0F9A"/>
    <w:rsid w:val="000B2425"/>
    <w:rsid w:val="000B68AD"/>
    <w:rsid w:val="000C1B37"/>
    <w:rsid w:val="000C27E3"/>
    <w:rsid w:val="000C34B4"/>
    <w:rsid w:val="000C34C4"/>
    <w:rsid w:val="000C4948"/>
    <w:rsid w:val="000C7B2B"/>
    <w:rsid w:val="000C7CCD"/>
    <w:rsid w:val="000D2C1D"/>
    <w:rsid w:val="000D3915"/>
    <w:rsid w:val="000D3B21"/>
    <w:rsid w:val="000D463C"/>
    <w:rsid w:val="000D4A5D"/>
    <w:rsid w:val="000D5819"/>
    <w:rsid w:val="000E2382"/>
    <w:rsid w:val="000E43C1"/>
    <w:rsid w:val="000E6283"/>
    <w:rsid w:val="000F1F4E"/>
    <w:rsid w:val="000F382F"/>
    <w:rsid w:val="000F6770"/>
    <w:rsid w:val="000F74BF"/>
    <w:rsid w:val="000F7D8D"/>
    <w:rsid w:val="00100C6A"/>
    <w:rsid w:val="001017F9"/>
    <w:rsid w:val="001032DF"/>
    <w:rsid w:val="00104A95"/>
    <w:rsid w:val="00104C86"/>
    <w:rsid w:val="0010503D"/>
    <w:rsid w:val="00106120"/>
    <w:rsid w:val="00112AA3"/>
    <w:rsid w:val="00112E8F"/>
    <w:rsid w:val="00113931"/>
    <w:rsid w:val="0011440D"/>
    <w:rsid w:val="0011766A"/>
    <w:rsid w:val="00117671"/>
    <w:rsid w:val="00120626"/>
    <w:rsid w:val="001241B4"/>
    <w:rsid w:val="0012605F"/>
    <w:rsid w:val="0013135B"/>
    <w:rsid w:val="0013158C"/>
    <w:rsid w:val="00132788"/>
    <w:rsid w:val="001328FF"/>
    <w:rsid w:val="00132931"/>
    <w:rsid w:val="00133D3B"/>
    <w:rsid w:val="001347CA"/>
    <w:rsid w:val="00134A93"/>
    <w:rsid w:val="00134C86"/>
    <w:rsid w:val="001353A0"/>
    <w:rsid w:val="001413B0"/>
    <w:rsid w:val="0014222A"/>
    <w:rsid w:val="00142775"/>
    <w:rsid w:val="00144651"/>
    <w:rsid w:val="001450B4"/>
    <w:rsid w:val="001458AC"/>
    <w:rsid w:val="00145CFF"/>
    <w:rsid w:val="001465AD"/>
    <w:rsid w:val="00150063"/>
    <w:rsid w:val="00153270"/>
    <w:rsid w:val="001535FB"/>
    <w:rsid w:val="00154648"/>
    <w:rsid w:val="00156C82"/>
    <w:rsid w:val="001612F4"/>
    <w:rsid w:val="0016376D"/>
    <w:rsid w:val="00166101"/>
    <w:rsid w:val="00167838"/>
    <w:rsid w:val="001678AF"/>
    <w:rsid w:val="00171EF7"/>
    <w:rsid w:val="0017283B"/>
    <w:rsid w:val="00172BEF"/>
    <w:rsid w:val="00173FDF"/>
    <w:rsid w:val="001763A4"/>
    <w:rsid w:val="001769A8"/>
    <w:rsid w:val="00180592"/>
    <w:rsid w:val="0018138D"/>
    <w:rsid w:val="001852BE"/>
    <w:rsid w:val="00185EE0"/>
    <w:rsid w:val="00186CAB"/>
    <w:rsid w:val="00192CB9"/>
    <w:rsid w:val="00196F0F"/>
    <w:rsid w:val="001A0B88"/>
    <w:rsid w:val="001A0E7B"/>
    <w:rsid w:val="001A3186"/>
    <w:rsid w:val="001A3D79"/>
    <w:rsid w:val="001A44A3"/>
    <w:rsid w:val="001A571C"/>
    <w:rsid w:val="001B2C4B"/>
    <w:rsid w:val="001B4FAA"/>
    <w:rsid w:val="001B53D0"/>
    <w:rsid w:val="001B7AD8"/>
    <w:rsid w:val="001C2A71"/>
    <w:rsid w:val="001C2C29"/>
    <w:rsid w:val="001C52E4"/>
    <w:rsid w:val="001C599F"/>
    <w:rsid w:val="001D2189"/>
    <w:rsid w:val="001D263F"/>
    <w:rsid w:val="001D3BD3"/>
    <w:rsid w:val="001D5A6B"/>
    <w:rsid w:val="001D5AF2"/>
    <w:rsid w:val="001D65B8"/>
    <w:rsid w:val="001D6AE7"/>
    <w:rsid w:val="001D7BB2"/>
    <w:rsid w:val="001D7E13"/>
    <w:rsid w:val="001E07F3"/>
    <w:rsid w:val="001E2583"/>
    <w:rsid w:val="001E2B45"/>
    <w:rsid w:val="001E2B73"/>
    <w:rsid w:val="001E5A55"/>
    <w:rsid w:val="001E620E"/>
    <w:rsid w:val="001E7C05"/>
    <w:rsid w:val="001F1A05"/>
    <w:rsid w:val="001F249D"/>
    <w:rsid w:val="001F2B04"/>
    <w:rsid w:val="001F37C2"/>
    <w:rsid w:val="001F73DD"/>
    <w:rsid w:val="0020312B"/>
    <w:rsid w:val="00203153"/>
    <w:rsid w:val="002035F3"/>
    <w:rsid w:val="00204837"/>
    <w:rsid w:val="0020598D"/>
    <w:rsid w:val="0020632D"/>
    <w:rsid w:val="00206349"/>
    <w:rsid w:val="0020691F"/>
    <w:rsid w:val="00211871"/>
    <w:rsid w:val="00212874"/>
    <w:rsid w:val="00215DC6"/>
    <w:rsid w:val="00217A14"/>
    <w:rsid w:val="0022102E"/>
    <w:rsid w:val="00222E96"/>
    <w:rsid w:val="002237A7"/>
    <w:rsid w:val="00224AC8"/>
    <w:rsid w:val="00225426"/>
    <w:rsid w:val="002278F9"/>
    <w:rsid w:val="00227D41"/>
    <w:rsid w:val="002315CE"/>
    <w:rsid w:val="0023651A"/>
    <w:rsid w:val="002379DF"/>
    <w:rsid w:val="002402FA"/>
    <w:rsid w:val="00240621"/>
    <w:rsid w:val="00241E43"/>
    <w:rsid w:val="00242289"/>
    <w:rsid w:val="00242428"/>
    <w:rsid w:val="0024259C"/>
    <w:rsid w:val="00246C0C"/>
    <w:rsid w:val="00247470"/>
    <w:rsid w:val="00250807"/>
    <w:rsid w:val="0025157E"/>
    <w:rsid w:val="00252D3F"/>
    <w:rsid w:val="0025329A"/>
    <w:rsid w:val="002537C8"/>
    <w:rsid w:val="002548CD"/>
    <w:rsid w:val="00255620"/>
    <w:rsid w:val="00255B62"/>
    <w:rsid w:val="00261496"/>
    <w:rsid w:val="00262087"/>
    <w:rsid w:val="002647B0"/>
    <w:rsid w:val="00265716"/>
    <w:rsid w:val="0027089C"/>
    <w:rsid w:val="00271EE3"/>
    <w:rsid w:val="002723BC"/>
    <w:rsid w:val="00275E7C"/>
    <w:rsid w:val="00277CF9"/>
    <w:rsid w:val="00277E68"/>
    <w:rsid w:val="00277EFF"/>
    <w:rsid w:val="00277FFB"/>
    <w:rsid w:val="0028131D"/>
    <w:rsid w:val="00285BAF"/>
    <w:rsid w:val="00287BB7"/>
    <w:rsid w:val="00290A76"/>
    <w:rsid w:val="00292B0A"/>
    <w:rsid w:val="00292CB4"/>
    <w:rsid w:val="00293845"/>
    <w:rsid w:val="0029447B"/>
    <w:rsid w:val="00294495"/>
    <w:rsid w:val="00295BB4"/>
    <w:rsid w:val="002964A9"/>
    <w:rsid w:val="002964DC"/>
    <w:rsid w:val="002970C9"/>
    <w:rsid w:val="002A0901"/>
    <w:rsid w:val="002A1328"/>
    <w:rsid w:val="002A147D"/>
    <w:rsid w:val="002A1DC8"/>
    <w:rsid w:val="002A3B5B"/>
    <w:rsid w:val="002A5191"/>
    <w:rsid w:val="002A7DE0"/>
    <w:rsid w:val="002B010C"/>
    <w:rsid w:val="002B1385"/>
    <w:rsid w:val="002B2848"/>
    <w:rsid w:val="002B3357"/>
    <w:rsid w:val="002B50ED"/>
    <w:rsid w:val="002B6DA2"/>
    <w:rsid w:val="002B7905"/>
    <w:rsid w:val="002C0409"/>
    <w:rsid w:val="002C0DB8"/>
    <w:rsid w:val="002C4941"/>
    <w:rsid w:val="002C499D"/>
    <w:rsid w:val="002C597C"/>
    <w:rsid w:val="002C7F8F"/>
    <w:rsid w:val="002D0C27"/>
    <w:rsid w:val="002D16F9"/>
    <w:rsid w:val="002D36CB"/>
    <w:rsid w:val="002D704B"/>
    <w:rsid w:val="002D792E"/>
    <w:rsid w:val="002E03F6"/>
    <w:rsid w:val="002E1714"/>
    <w:rsid w:val="002E30EC"/>
    <w:rsid w:val="002E3308"/>
    <w:rsid w:val="002E49DB"/>
    <w:rsid w:val="002E4CEC"/>
    <w:rsid w:val="002E4F36"/>
    <w:rsid w:val="002E6453"/>
    <w:rsid w:val="002E66D9"/>
    <w:rsid w:val="002E693C"/>
    <w:rsid w:val="002F08AC"/>
    <w:rsid w:val="002F380E"/>
    <w:rsid w:val="00304D14"/>
    <w:rsid w:val="0030607C"/>
    <w:rsid w:val="00306EAB"/>
    <w:rsid w:val="0031057B"/>
    <w:rsid w:val="0031284C"/>
    <w:rsid w:val="00313A68"/>
    <w:rsid w:val="00314430"/>
    <w:rsid w:val="00314680"/>
    <w:rsid w:val="00314ACA"/>
    <w:rsid w:val="00315306"/>
    <w:rsid w:val="00315D80"/>
    <w:rsid w:val="00317388"/>
    <w:rsid w:val="00317F28"/>
    <w:rsid w:val="00321A39"/>
    <w:rsid w:val="00321D5B"/>
    <w:rsid w:val="003220AC"/>
    <w:rsid w:val="003229E1"/>
    <w:rsid w:val="0032325D"/>
    <w:rsid w:val="00323819"/>
    <w:rsid w:val="00325974"/>
    <w:rsid w:val="00327950"/>
    <w:rsid w:val="00334626"/>
    <w:rsid w:val="00334982"/>
    <w:rsid w:val="00336AC7"/>
    <w:rsid w:val="00336E9D"/>
    <w:rsid w:val="00337304"/>
    <w:rsid w:val="003417B3"/>
    <w:rsid w:val="0034456A"/>
    <w:rsid w:val="003475F2"/>
    <w:rsid w:val="00350338"/>
    <w:rsid w:val="003512B3"/>
    <w:rsid w:val="00351967"/>
    <w:rsid w:val="00352535"/>
    <w:rsid w:val="003532AC"/>
    <w:rsid w:val="00355710"/>
    <w:rsid w:val="0035641F"/>
    <w:rsid w:val="00356787"/>
    <w:rsid w:val="0035732D"/>
    <w:rsid w:val="003635A3"/>
    <w:rsid w:val="00363660"/>
    <w:rsid w:val="00363C84"/>
    <w:rsid w:val="00364C73"/>
    <w:rsid w:val="00366A4B"/>
    <w:rsid w:val="00375264"/>
    <w:rsid w:val="00375CF0"/>
    <w:rsid w:val="00377F78"/>
    <w:rsid w:val="0038248D"/>
    <w:rsid w:val="00382728"/>
    <w:rsid w:val="00382E8D"/>
    <w:rsid w:val="00383A42"/>
    <w:rsid w:val="00383B62"/>
    <w:rsid w:val="00383C87"/>
    <w:rsid w:val="00384B19"/>
    <w:rsid w:val="00387177"/>
    <w:rsid w:val="00391ADA"/>
    <w:rsid w:val="0039322E"/>
    <w:rsid w:val="0039327C"/>
    <w:rsid w:val="00393C2B"/>
    <w:rsid w:val="00395DFC"/>
    <w:rsid w:val="00395E11"/>
    <w:rsid w:val="00397091"/>
    <w:rsid w:val="0039747D"/>
    <w:rsid w:val="00397895"/>
    <w:rsid w:val="00397A02"/>
    <w:rsid w:val="003A0889"/>
    <w:rsid w:val="003A1EC6"/>
    <w:rsid w:val="003A38BE"/>
    <w:rsid w:val="003A3D08"/>
    <w:rsid w:val="003A470D"/>
    <w:rsid w:val="003A51A6"/>
    <w:rsid w:val="003A7125"/>
    <w:rsid w:val="003A71B6"/>
    <w:rsid w:val="003A73A2"/>
    <w:rsid w:val="003B2088"/>
    <w:rsid w:val="003B53BB"/>
    <w:rsid w:val="003B5DD4"/>
    <w:rsid w:val="003C048A"/>
    <w:rsid w:val="003C073A"/>
    <w:rsid w:val="003C1EF4"/>
    <w:rsid w:val="003C2529"/>
    <w:rsid w:val="003C278A"/>
    <w:rsid w:val="003C2C26"/>
    <w:rsid w:val="003C2FBD"/>
    <w:rsid w:val="003C341F"/>
    <w:rsid w:val="003C62E4"/>
    <w:rsid w:val="003D0541"/>
    <w:rsid w:val="003D1B35"/>
    <w:rsid w:val="003D3E85"/>
    <w:rsid w:val="003D41F9"/>
    <w:rsid w:val="003D4F37"/>
    <w:rsid w:val="003D5484"/>
    <w:rsid w:val="003E0C39"/>
    <w:rsid w:val="003E0F42"/>
    <w:rsid w:val="003E45D5"/>
    <w:rsid w:val="003E4682"/>
    <w:rsid w:val="003E71B7"/>
    <w:rsid w:val="003E7B4F"/>
    <w:rsid w:val="003F0A81"/>
    <w:rsid w:val="003F1C96"/>
    <w:rsid w:val="003F7389"/>
    <w:rsid w:val="004024E7"/>
    <w:rsid w:val="00402CB0"/>
    <w:rsid w:val="00402FBD"/>
    <w:rsid w:val="00403160"/>
    <w:rsid w:val="00403CF1"/>
    <w:rsid w:val="004063A7"/>
    <w:rsid w:val="00406724"/>
    <w:rsid w:val="00410EC9"/>
    <w:rsid w:val="00413139"/>
    <w:rsid w:val="00413346"/>
    <w:rsid w:val="00413967"/>
    <w:rsid w:val="00415D9D"/>
    <w:rsid w:val="00417390"/>
    <w:rsid w:val="00417B17"/>
    <w:rsid w:val="004204F5"/>
    <w:rsid w:val="00420930"/>
    <w:rsid w:val="00422A18"/>
    <w:rsid w:val="00423A1F"/>
    <w:rsid w:val="00423BF4"/>
    <w:rsid w:val="00423FE7"/>
    <w:rsid w:val="004251BC"/>
    <w:rsid w:val="004273AE"/>
    <w:rsid w:val="004321A0"/>
    <w:rsid w:val="00434FED"/>
    <w:rsid w:val="0043568D"/>
    <w:rsid w:val="00436EDE"/>
    <w:rsid w:val="00440F48"/>
    <w:rsid w:val="004444C6"/>
    <w:rsid w:val="0044462B"/>
    <w:rsid w:val="004448DD"/>
    <w:rsid w:val="0044783D"/>
    <w:rsid w:val="00450715"/>
    <w:rsid w:val="00450DD0"/>
    <w:rsid w:val="004519FE"/>
    <w:rsid w:val="00451A7E"/>
    <w:rsid w:val="00452090"/>
    <w:rsid w:val="004531AE"/>
    <w:rsid w:val="00453F3F"/>
    <w:rsid w:val="0045559D"/>
    <w:rsid w:val="00460498"/>
    <w:rsid w:val="004605B9"/>
    <w:rsid w:val="00460DD3"/>
    <w:rsid w:val="004612F9"/>
    <w:rsid w:val="00462241"/>
    <w:rsid w:val="00462CB6"/>
    <w:rsid w:val="004635E8"/>
    <w:rsid w:val="00464967"/>
    <w:rsid w:val="00466743"/>
    <w:rsid w:val="004668DE"/>
    <w:rsid w:val="00467036"/>
    <w:rsid w:val="00467FCB"/>
    <w:rsid w:val="00470F73"/>
    <w:rsid w:val="00471213"/>
    <w:rsid w:val="00472960"/>
    <w:rsid w:val="00473750"/>
    <w:rsid w:val="00473883"/>
    <w:rsid w:val="0047711A"/>
    <w:rsid w:val="00481035"/>
    <w:rsid w:val="00483582"/>
    <w:rsid w:val="004836FE"/>
    <w:rsid w:val="004840A0"/>
    <w:rsid w:val="00484401"/>
    <w:rsid w:val="00484DBE"/>
    <w:rsid w:val="00485717"/>
    <w:rsid w:val="004857F0"/>
    <w:rsid w:val="004858A9"/>
    <w:rsid w:val="004859E6"/>
    <w:rsid w:val="00486D8F"/>
    <w:rsid w:val="00487E1D"/>
    <w:rsid w:val="00490246"/>
    <w:rsid w:val="0049051A"/>
    <w:rsid w:val="00490AD7"/>
    <w:rsid w:val="0049200D"/>
    <w:rsid w:val="004930EC"/>
    <w:rsid w:val="0049395E"/>
    <w:rsid w:val="004944B8"/>
    <w:rsid w:val="004946CB"/>
    <w:rsid w:val="0049531F"/>
    <w:rsid w:val="00495E61"/>
    <w:rsid w:val="004A1928"/>
    <w:rsid w:val="004A4403"/>
    <w:rsid w:val="004A471C"/>
    <w:rsid w:val="004A5BAA"/>
    <w:rsid w:val="004A680E"/>
    <w:rsid w:val="004A6F24"/>
    <w:rsid w:val="004A73BF"/>
    <w:rsid w:val="004A77B9"/>
    <w:rsid w:val="004B50E4"/>
    <w:rsid w:val="004C093A"/>
    <w:rsid w:val="004C3822"/>
    <w:rsid w:val="004D03C5"/>
    <w:rsid w:val="004D08AA"/>
    <w:rsid w:val="004D43B8"/>
    <w:rsid w:val="004D4D1C"/>
    <w:rsid w:val="004D6DB5"/>
    <w:rsid w:val="004D7730"/>
    <w:rsid w:val="004D7D6F"/>
    <w:rsid w:val="004D7F5F"/>
    <w:rsid w:val="004E0277"/>
    <w:rsid w:val="004E0C03"/>
    <w:rsid w:val="004E0E64"/>
    <w:rsid w:val="004E1D66"/>
    <w:rsid w:val="004E20C0"/>
    <w:rsid w:val="004E2316"/>
    <w:rsid w:val="004E2FB5"/>
    <w:rsid w:val="004F13C3"/>
    <w:rsid w:val="004F4472"/>
    <w:rsid w:val="004F5D91"/>
    <w:rsid w:val="004F606B"/>
    <w:rsid w:val="00503509"/>
    <w:rsid w:val="00511782"/>
    <w:rsid w:val="00511C70"/>
    <w:rsid w:val="0051337E"/>
    <w:rsid w:val="005140C9"/>
    <w:rsid w:val="00516149"/>
    <w:rsid w:val="00516996"/>
    <w:rsid w:val="00522DF3"/>
    <w:rsid w:val="0052595E"/>
    <w:rsid w:val="00525E02"/>
    <w:rsid w:val="00527D63"/>
    <w:rsid w:val="00531ACC"/>
    <w:rsid w:val="005346D8"/>
    <w:rsid w:val="005358F6"/>
    <w:rsid w:val="005372BB"/>
    <w:rsid w:val="00540468"/>
    <w:rsid w:val="005410B6"/>
    <w:rsid w:val="00541522"/>
    <w:rsid w:val="00541649"/>
    <w:rsid w:val="00542A91"/>
    <w:rsid w:val="005430C5"/>
    <w:rsid w:val="00543B12"/>
    <w:rsid w:val="005451AF"/>
    <w:rsid w:val="00553563"/>
    <w:rsid w:val="00553938"/>
    <w:rsid w:val="00555ABF"/>
    <w:rsid w:val="00557081"/>
    <w:rsid w:val="00557E6F"/>
    <w:rsid w:val="00560AC5"/>
    <w:rsid w:val="00560EAD"/>
    <w:rsid w:val="00561EFB"/>
    <w:rsid w:val="00561F02"/>
    <w:rsid w:val="0056317F"/>
    <w:rsid w:val="00563F29"/>
    <w:rsid w:val="005657AF"/>
    <w:rsid w:val="00565D5F"/>
    <w:rsid w:val="00565F63"/>
    <w:rsid w:val="00570724"/>
    <w:rsid w:val="005713FD"/>
    <w:rsid w:val="005717EC"/>
    <w:rsid w:val="005758CC"/>
    <w:rsid w:val="005762AA"/>
    <w:rsid w:val="005763E8"/>
    <w:rsid w:val="00576749"/>
    <w:rsid w:val="00577B19"/>
    <w:rsid w:val="00577F23"/>
    <w:rsid w:val="00580712"/>
    <w:rsid w:val="00584936"/>
    <w:rsid w:val="005926AF"/>
    <w:rsid w:val="00595072"/>
    <w:rsid w:val="00595BF1"/>
    <w:rsid w:val="005963BD"/>
    <w:rsid w:val="00596A90"/>
    <w:rsid w:val="00596B0F"/>
    <w:rsid w:val="00596E15"/>
    <w:rsid w:val="00597D4E"/>
    <w:rsid w:val="005A0213"/>
    <w:rsid w:val="005A0A79"/>
    <w:rsid w:val="005A0E87"/>
    <w:rsid w:val="005A166D"/>
    <w:rsid w:val="005A2415"/>
    <w:rsid w:val="005A278B"/>
    <w:rsid w:val="005A3233"/>
    <w:rsid w:val="005A357A"/>
    <w:rsid w:val="005A427A"/>
    <w:rsid w:val="005A49F3"/>
    <w:rsid w:val="005A52E8"/>
    <w:rsid w:val="005B043F"/>
    <w:rsid w:val="005B0537"/>
    <w:rsid w:val="005B0BBE"/>
    <w:rsid w:val="005B2CD3"/>
    <w:rsid w:val="005B3AFB"/>
    <w:rsid w:val="005B3B1F"/>
    <w:rsid w:val="005B4384"/>
    <w:rsid w:val="005C0A3C"/>
    <w:rsid w:val="005C1CAA"/>
    <w:rsid w:val="005C1EC0"/>
    <w:rsid w:val="005C21E5"/>
    <w:rsid w:val="005C24CB"/>
    <w:rsid w:val="005C25AC"/>
    <w:rsid w:val="005C2B36"/>
    <w:rsid w:val="005C304D"/>
    <w:rsid w:val="005C4538"/>
    <w:rsid w:val="005C7EA4"/>
    <w:rsid w:val="005D017B"/>
    <w:rsid w:val="005D0F2B"/>
    <w:rsid w:val="005D102D"/>
    <w:rsid w:val="005D3DEB"/>
    <w:rsid w:val="005D44C8"/>
    <w:rsid w:val="005D55D6"/>
    <w:rsid w:val="005E0946"/>
    <w:rsid w:val="005E0A84"/>
    <w:rsid w:val="005E345A"/>
    <w:rsid w:val="005E4A6F"/>
    <w:rsid w:val="005E4D21"/>
    <w:rsid w:val="005E5B1B"/>
    <w:rsid w:val="005E7475"/>
    <w:rsid w:val="005E753E"/>
    <w:rsid w:val="005F013B"/>
    <w:rsid w:val="005F3E36"/>
    <w:rsid w:val="005F4738"/>
    <w:rsid w:val="005F49B6"/>
    <w:rsid w:val="005F6FAE"/>
    <w:rsid w:val="00600DA9"/>
    <w:rsid w:val="00606336"/>
    <w:rsid w:val="00606AEF"/>
    <w:rsid w:val="0060731C"/>
    <w:rsid w:val="0060745C"/>
    <w:rsid w:val="00611434"/>
    <w:rsid w:val="00611CE4"/>
    <w:rsid w:val="0061551B"/>
    <w:rsid w:val="00615EE8"/>
    <w:rsid w:val="0061643C"/>
    <w:rsid w:val="0061669C"/>
    <w:rsid w:val="006174B7"/>
    <w:rsid w:val="00620319"/>
    <w:rsid w:val="00620521"/>
    <w:rsid w:val="00620FE6"/>
    <w:rsid w:val="00621C99"/>
    <w:rsid w:val="00623B0F"/>
    <w:rsid w:val="0062549A"/>
    <w:rsid w:val="00625DA4"/>
    <w:rsid w:val="00626355"/>
    <w:rsid w:val="00627034"/>
    <w:rsid w:val="00627D83"/>
    <w:rsid w:val="00627E2B"/>
    <w:rsid w:val="00627FC8"/>
    <w:rsid w:val="00631E28"/>
    <w:rsid w:val="00631E9F"/>
    <w:rsid w:val="00632B9A"/>
    <w:rsid w:val="00634311"/>
    <w:rsid w:val="00635E3C"/>
    <w:rsid w:val="00635FCB"/>
    <w:rsid w:val="0064100F"/>
    <w:rsid w:val="0064511D"/>
    <w:rsid w:val="0064528A"/>
    <w:rsid w:val="00651265"/>
    <w:rsid w:val="00651461"/>
    <w:rsid w:val="00653C9B"/>
    <w:rsid w:val="006545BB"/>
    <w:rsid w:val="00654D11"/>
    <w:rsid w:val="00660771"/>
    <w:rsid w:val="00660AA3"/>
    <w:rsid w:val="006619F5"/>
    <w:rsid w:val="00661F5D"/>
    <w:rsid w:val="00662F77"/>
    <w:rsid w:val="006643BB"/>
    <w:rsid w:val="00665296"/>
    <w:rsid w:val="00665586"/>
    <w:rsid w:val="006713A6"/>
    <w:rsid w:val="00672B83"/>
    <w:rsid w:val="0067531E"/>
    <w:rsid w:val="0067535C"/>
    <w:rsid w:val="00676A9A"/>
    <w:rsid w:val="00680876"/>
    <w:rsid w:val="006835EF"/>
    <w:rsid w:val="00683A19"/>
    <w:rsid w:val="006852D0"/>
    <w:rsid w:val="00690162"/>
    <w:rsid w:val="00692A56"/>
    <w:rsid w:val="00693B02"/>
    <w:rsid w:val="00693E1F"/>
    <w:rsid w:val="0069660D"/>
    <w:rsid w:val="00696634"/>
    <w:rsid w:val="006977A8"/>
    <w:rsid w:val="00697C05"/>
    <w:rsid w:val="006A1F7B"/>
    <w:rsid w:val="006A5E47"/>
    <w:rsid w:val="006A6D36"/>
    <w:rsid w:val="006A7A9E"/>
    <w:rsid w:val="006B0F2A"/>
    <w:rsid w:val="006B2226"/>
    <w:rsid w:val="006B31D2"/>
    <w:rsid w:val="006B3849"/>
    <w:rsid w:val="006B3A09"/>
    <w:rsid w:val="006B5898"/>
    <w:rsid w:val="006B6416"/>
    <w:rsid w:val="006C1660"/>
    <w:rsid w:val="006C2A29"/>
    <w:rsid w:val="006C2AE2"/>
    <w:rsid w:val="006C3062"/>
    <w:rsid w:val="006C3183"/>
    <w:rsid w:val="006C4B12"/>
    <w:rsid w:val="006C535B"/>
    <w:rsid w:val="006C6725"/>
    <w:rsid w:val="006C7A2C"/>
    <w:rsid w:val="006D00A9"/>
    <w:rsid w:val="006D27C4"/>
    <w:rsid w:val="006D3F68"/>
    <w:rsid w:val="006D5B33"/>
    <w:rsid w:val="006E0DC5"/>
    <w:rsid w:val="006E3AFA"/>
    <w:rsid w:val="006E6DAB"/>
    <w:rsid w:val="006E777A"/>
    <w:rsid w:val="006F35D6"/>
    <w:rsid w:val="006F3E29"/>
    <w:rsid w:val="006F4A1C"/>
    <w:rsid w:val="006F4A87"/>
    <w:rsid w:val="006F597E"/>
    <w:rsid w:val="006F6150"/>
    <w:rsid w:val="00701B94"/>
    <w:rsid w:val="00702503"/>
    <w:rsid w:val="00703048"/>
    <w:rsid w:val="007063FE"/>
    <w:rsid w:val="007105E2"/>
    <w:rsid w:val="00712090"/>
    <w:rsid w:val="0071212B"/>
    <w:rsid w:val="0071265C"/>
    <w:rsid w:val="00712E65"/>
    <w:rsid w:val="007151B6"/>
    <w:rsid w:val="0071639E"/>
    <w:rsid w:val="0071735D"/>
    <w:rsid w:val="00722124"/>
    <w:rsid w:val="00725FFC"/>
    <w:rsid w:val="00726CEE"/>
    <w:rsid w:val="007271EE"/>
    <w:rsid w:val="00730CA1"/>
    <w:rsid w:val="00731D58"/>
    <w:rsid w:val="00733500"/>
    <w:rsid w:val="00733ED3"/>
    <w:rsid w:val="00736D63"/>
    <w:rsid w:val="00737F76"/>
    <w:rsid w:val="0074514C"/>
    <w:rsid w:val="00746B96"/>
    <w:rsid w:val="00747AD8"/>
    <w:rsid w:val="007516A2"/>
    <w:rsid w:val="007516C5"/>
    <w:rsid w:val="00752203"/>
    <w:rsid w:val="00755D98"/>
    <w:rsid w:val="00756E9B"/>
    <w:rsid w:val="00757012"/>
    <w:rsid w:val="00757411"/>
    <w:rsid w:val="007656C7"/>
    <w:rsid w:val="00770339"/>
    <w:rsid w:val="007706E0"/>
    <w:rsid w:val="00770823"/>
    <w:rsid w:val="00771EC3"/>
    <w:rsid w:val="00772CC2"/>
    <w:rsid w:val="00775BEF"/>
    <w:rsid w:val="00776A60"/>
    <w:rsid w:val="0077775B"/>
    <w:rsid w:val="00781AD9"/>
    <w:rsid w:val="00784810"/>
    <w:rsid w:val="00784A34"/>
    <w:rsid w:val="00787F07"/>
    <w:rsid w:val="00790BCF"/>
    <w:rsid w:val="0079353D"/>
    <w:rsid w:val="00794D46"/>
    <w:rsid w:val="00795ACD"/>
    <w:rsid w:val="0079796B"/>
    <w:rsid w:val="007A17B2"/>
    <w:rsid w:val="007A2172"/>
    <w:rsid w:val="007A21AC"/>
    <w:rsid w:val="007A26B8"/>
    <w:rsid w:val="007A47FA"/>
    <w:rsid w:val="007A4CEE"/>
    <w:rsid w:val="007A50E0"/>
    <w:rsid w:val="007A76CD"/>
    <w:rsid w:val="007B35BF"/>
    <w:rsid w:val="007B6729"/>
    <w:rsid w:val="007B71D1"/>
    <w:rsid w:val="007B7BF9"/>
    <w:rsid w:val="007C0BD6"/>
    <w:rsid w:val="007C1769"/>
    <w:rsid w:val="007C2058"/>
    <w:rsid w:val="007C2651"/>
    <w:rsid w:val="007C37DD"/>
    <w:rsid w:val="007C6B88"/>
    <w:rsid w:val="007C751E"/>
    <w:rsid w:val="007C7B88"/>
    <w:rsid w:val="007D14C4"/>
    <w:rsid w:val="007D26BC"/>
    <w:rsid w:val="007D34C0"/>
    <w:rsid w:val="007D556C"/>
    <w:rsid w:val="007D5906"/>
    <w:rsid w:val="007E04D1"/>
    <w:rsid w:val="007E1D4A"/>
    <w:rsid w:val="007E3D66"/>
    <w:rsid w:val="007E3E4F"/>
    <w:rsid w:val="007E5CFC"/>
    <w:rsid w:val="007E7F46"/>
    <w:rsid w:val="007F2F28"/>
    <w:rsid w:val="007F424D"/>
    <w:rsid w:val="007F6374"/>
    <w:rsid w:val="007F6ADA"/>
    <w:rsid w:val="008005C3"/>
    <w:rsid w:val="0080126B"/>
    <w:rsid w:val="008028DB"/>
    <w:rsid w:val="00803A40"/>
    <w:rsid w:val="00804AD4"/>
    <w:rsid w:val="00806A57"/>
    <w:rsid w:val="008078EC"/>
    <w:rsid w:val="0081129C"/>
    <w:rsid w:val="00813890"/>
    <w:rsid w:val="00813968"/>
    <w:rsid w:val="00814397"/>
    <w:rsid w:val="00817C66"/>
    <w:rsid w:val="0082067C"/>
    <w:rsid w:val="0082145B"/>
    <w:rsid w:val="0082194E"/>
    <w:rsid w:val="0082280E"/>
    <w:rsid w:val="0082283E"/>
    <w:rsid w:val="008232B5"/>
    <w:rsid w:val="00830EE9"/>
    <w:rsid w:val="00833BC7"/>
    <w:rsid w:val="00835536"/>
    <w:rsid w:val="0084001E"/>
    <w:rsid w:val="008402FC"/>
    <w:rsid w:val="0084267A"/>
    <w:rsid w:val="008432C5"/>
    <w:rsid w:val="008438A5"/>
    <w:rsid w:val="00844E33"/>
    <w:rsid w:val="008474CB"/>
    <w:rsid w:val="00852F75"/>
    <w:rsid w:val="008535F0"/>
    <w:rsid w:val="00853F2B"/>
    <w:rsid w:val="008546B9"/>
    <w:rsid w:val="00855592"/>
    <w:rsid w:val="00856798"/>
    <w:rsid w:val="008601E0"/>
    <w:rsid w:val="00864A1A"/>
    <w:rsid w:val="00864F7C"/>
    <w:rsid w:val="00872E70"/>
    <w:rsid w:val="00875951"/>
    <w:rsid w:val="00875D1A"/>
    <w:rsid w:val="00884BD1"/>
    <w:rsid w:val="0088529A"/>
    <w:rsid w:val="00886794"/>
    <w:rsid w:val="008877AA"/>
    <w:rsid w:val="008919C4"/>
    <w:rsid w:val="0089215D"/>
    <w:rsid w:val="008926F6"/>
    <w:rsid w:val="008A02C2"/>
    <w:rsid w:val="008A335B"/>
    <w:rsid w:val="008A51A4"/>
    <w:rsid w:val="008A5287"/>
    <w:rsid w:val="008A5BE1"/>
    <w:rsid w:val="008B033B"/>
    <w:rsid w:val="008B0D4A"/>
    <w:rsid w:val="008B1C64"/>
    <w:rsid w:val="008B4EB0"/>
    <w:rsid w:val="008B536F"/>
    <w:rsid w:val="008B5AFC"/>
    <w:rsid w:val="008B691D"/>
    <w:rsid w:val="008C62DF"/>
    <w:rsid w:val="008D15EE"/>
    <w:rsid w:val="008D1EAC"/>
    <w:rsid w:val="008D4597"/>
    <w:rsid w:val="008D46B5"/>
    <w:rsid w:val="008D753C"/>
    <w:rsid w:val="008E1EE3"/>
    <w:rsid w:val="008E2659"/>
    <w:rsid w:val="008E2D10"/>
    <w:rsid w:val="008E3CCE"/>
    <w:rsid w:val="008E3F99"/>
    <w:rsid w:val="008E58B8"/>
    <w:rsid w:val="008E5B5E"/>
    <w:rsid w:val="008F1B76"/>
    <w:rsid w:val="008F6935"/>
    <w:rsid w:val="008F7AB0"/>
    <w:rsid w:val="00900FF8"/>
    <w:rsid w:val="00905B41"/>
    <w:rsid w:val="00906EBD"/>
    <w:rsid w:val="009076A9"/>
    <w:rsid w:val="00907D39"/>
    <w:rsid w:val="00912D9B"/>
    <w:rsid w:val="0091384A"/>
    <w:rsid w:val="00914174"/>
    <w:rsid w:val="00916855"/>
    <w:rsid w:val="00921988"/>
    <w:rsid w:val="00922E51"/>
    <w:rsid w:val="00923302"/>
    <w:rsid w:val="00926DC7"/>
    <w:rsid w:val="00927D2A"/>
    <w:rsid w:val="00927F65"/>
    <w:rsid w:val="009300A5"/>
    <w:rsid w:val="009300B6"/>
    <w:rsid w:val="00930A44"/>
    <w:rsid w:val="009311F1"/>
    <w:rsid w:val="00931466"/>
    <w:rsid w:val="00931F15"/>
    <w:rsid w:val="00932398"/>
    <w:rsid w:val="00933033"/>
    <w:rsid w:val="009331EF"/>
    <w:rsid w:val="0093371D"/>
    <w:rsid w:val="00937E49"/>
    <w:rsid w:val="009409D0"/>
    <w:rsid w:val="0094604A"/>
    <w:rsid w:val="0094626E"/>
    <w:rsid w:val="009464AF"/>
    <w:rsid w:val="00946C51"/>
    <w:rsid w:val="00946CD8"/>
    <w:rsid w:val="00950130"/>
    <w:rsid w:val="009524D7"/>
    <w:rsid w:val="00952961"/>
    <w:rsid w:val="00952BDA"/>
    <w:rsid w:val="00952CC3"/>
    <w:rsid w:val="00953DE3"/>
    <w:rsid w:val="009542E6"/>
    <w:rsid w:val="009545E2"/>
    <w:rsid w:val="009547B7"/>
    <w:rsid w:val="00954EC9"/>
    <w:rsid w:val="00957487"/>
    <w:rsid w:val="009607D3"/>
    <w:rsid w:val="00962193"/>
    <w:rsid w:val="009632E3"/>
    <w:rsid w:val="00963D84"/>
    <w:rsid w:val="00964FBD"/>
    <w:rsid w:val="00965886"/>
    <w:rsid w:val="00965FE5"/>
    <w:rsid w:val="00966A1E"/>
    <w:rsid w:val="00967226"/>
    <w:rsid w:val="00967BE4"/>
    <w:rsid w:val="00972CAD"/>
    <w:rsid w:val="00972FCA"/>
    <w:rsid w:val="00973A71"/>
    <w:rsid w:val="009753B8"/>
    <w:rsid w:val="00975B23"/>
    <w:rsid w:val="00976B24"/>
    <w:rsid w:val="0097732F"/>
    <w:rsid w:val="009809EE"/>
    <w:rsid w:val="00981153"/>
    <w:rsid w:val="009831FF"/>
    <w:rsid w:val="0098358D"/>
    <w:rsid w:val="009843BD"/>
    <w:rsid w:val="00985861"/>
    <w:rsid w:val="0099010B"/>
    <w:rsid w:val="00991A80"/>
    <w:rsid w:val="00992969"/>
    <w:rsid w:val="009952EB"/>
    <w:rsid w:val="009A0C69"/>
    <w:rsid w:val="009A2BCC"/>
    <w:rsid w:val="009A2D2A"/>
    <w:rsid w:val="009A4A47"/>
    <w:rsid w:val="009A512F"/>
    <w:rsid w:val="009B0ACA"/>
    <w:rsid w:val="009B0BBE"/>
    <w:rsid w:val="009B2E67"/>
    <w:rsid w:val="009B3112"/>
    <w:rsid w:val="009B3180"/>
    <w:rsid w:val="009B3425"/>
    <w:rsid w:val="009B34F0"/>
    <w:rsid w:val="009B56C7"/>
    <w:rsid w:val="009B6571"/>
    <w:rsid w:val="009B6CDE"/>
    <w:rsid w:val="009B7303"/>
    <w:rsid w:val="009B7692"/>
    <w:rsid w:val="009C0D05"/>
    <w:rsid w:val="009C172B"/>
    <w:rsid w:val="009C1DF9"/>
    <w:rsid w:val="009C628E"/>
    <w:rsid w:val="009C655D"/>
    <w:rsid w:val="009C73E1"/>
    <w:rsid w:val="009D006E"/>
    <w:rsid w:val="009D0CD9"/>
    <w:rsid w:val="009D2815"/>
    <w:rsid w:val="009D47A2"/>
    <w:rsid w:val="009D5B0D"/>
    <w:rsid w:val="009E019F"/>
    <w:rsid w:val="009E3478"/>
    <w:rsid w:val="009E3DD0"/>
    <w:rsid w:val="009E50BA"/>
    <w:rsid w:val="009E5AAB"/>
    <w:rsid w:val="009E6ECF"/>
    <w:rsid w:val="009E792C"/>
    <w:rsid w:val="009E79E3"/>
    <w:rsid w:val="009F15C9"/>
    <w:rsid w:val="009F375D"/>
    <w:rsid w:val="009F469D"/>
    <w:rsid w:val="009F4EB4"/>
    <w:rsid w:val="009F4FC4"/>
    <w:rsid w:val="009F56E9"/>
    <w:rsid w:val="009F6CD9"/>
    <w:rsid w:val="00A004CD"/>
    <w:rsid w:val="00A01847"/>
    <w:rsid w:val="00A02257"/>
    <w:rsid w:val="00A02957"/>
    <w:rsid w:val="00A0337B"/>
    <w:rsid w:val="00A04AE9"/>
    <w:rsid w:val="00A04DF5"/>
    <w:rsid w:val="00A05838"/>
    <w:rsid w:val="00A0583D"/>
    <w:rsid w:val="00A069D2"/>
    <w:rsid w:val="00A06F8E"/>
    <w:rsid w:val="00A11753"/>
    <w:rsid w:val="00A11B73"/>
    <w:rsid w:val="00A1259E"/>
    <w:rsid w:val="00A125C7"/>
    <w:rsid w:val="00A135F5"/>
    <w:rsid w:val="00A143F6"/>
    <w:rsid w:val="00A1543E"/>
    <w:rsid w:val="00A15DF3"/>
    <w:rsid w:val="00A16DBD"/>
    <w:rsid w:val="00A21C4A"/>
    <w:rsid w:val="00A23DBE"/>
    <w:rsid w:val="00A25FE9"/>
    <w:rsid w:val="00A31D1D"/>
    <w:rsid w:val="00A354D7"/>
    <w:rsid w:val="00A374FD"/>
    <w:rsid w:val="00A37EB0"/>
    <w:rsid w:val="00A4053A"/>
    <w:rsid w:val="00A4056D"/>
    <w:rsid w:val="00A40F09"/>
    <w:rsid w:val="00A41A44"/>
    <w:rsid w:val="00A43155"/>
    <w:rsid w:val="00A4337E"/>
    <w:rsid w:val="00A45387"/>
    <w:rsid w:val="00A45D91"/>
    <w:rsid w:val="00A4629E"/>
    <w:rsid w:val="00A465A4"/>
    <w:rsid w:val="00A50E1D"/>
    <w:rsid w:val="00A519C2"/>
    <w:rsid w:val="00A53AD5"/>
    <w:rsid w:val="00A60F39"/>
    <w:rsid w:val="00A611F4"/>
    <w:rsid w:val="00A634AC"/>
    <w:rsid w:val="00A64005"/>
    <w:rsid w:val="00A64038"/>
    <w:rsid w:val="00A643D7"/>
    <w:rsid w:val="00A656AE"/>
    <w:rsid w:val="00A65B6F"/>
    <w:rsid w:val="00A66C7A"/>
    <w:rsid w:val="00A67544"/>
    <w:rsid w:val="00A73B03"/>
    <w:rsid w:val="00A75594"/>
    <w:rsid w:val="00A759FB"/>
    <w:rsid w:val="00A80319"/>
    <w:rsid w:val="00A81C8F"/>
    <w:rsid w:val="00A83433"/>
    <w:rsid w:val="00A8497A"/>
    <w:rsid w:val="00A8709F"/>
    <w:rsid w:val="00A87BD5"/>
    <w:rsid w:val="00A925AC"/>
    <w:rsid w:val="00A92AC2"/>
    <w:rsid w:val="00A93CBC"/>
    <w:rsid w:val="00A94DA1"/>
    <w:rsid w:val="00A95142"/>
    <w:rsid w:val="00A9667B"/>
    <w:rsid w:val="00A97A57"/>
    <w:rsid w:val="00AA09E2"/>
    <w:rsid w:val="00AA1C99"/>
    <w:rsid w:val="00AA2B6A"/>
    <w:rsid w:val="00AA305E"/>
    <w:rsid w:val="00AA34E6"/>
    <w:rsid w:val="00AA5370"/>
    <w:rsid w:val="00AA6111"/>
    <w:rsid w:val="00AA7967"/>
    <w:rsid w:val="00AA79D1"/>
    <w:rsid w:val="00AB03DB"/>
    <w:rsid w:val="00AB0448"/>
    <w:rsid w:val="00AB05B7"/>
    <w:rsid w:val="00AB46A2"/>
    <w:rsid w:val="00AB474F"/>
    <w:rsid w:val="00AB4F3E"/>
    <w:rsid w:val="00AB4F7B"/>
    <w:rsid w:val="00AB7301"/>
    <w:rsid w:val="00AC161E"/>
    <w:rsid w:val="00AC18A0"/>
    <w:rsid w:val="00AC3585"/>
    <w:rsid w:val="00AC7CFB"/>
    <w:rsid w:val="00AC7EE9"/>
    <w:rsid w:val="00AD1C9B"/>
    <w:rsid w:val="00AD5B80"/>
    <w:rsid w:val="00AE07D9"/>
    <w:rsid w:val="00AE3548"/>
    <w:rsid w:val="00AE4CD4"/>
    <w:rsid w:val="00AE7F5F"/>
    <w:rsid w:val="00AF056E"/>
    <w:rsid w:val="00AF127F"/>
    <w:rsid w:val="00AF13A7"/>
    <w:rsid w:val="00AF14C9"/>
    <w:rsid w:val="00AF35AF"/>
    <w:rsid w:val="00AF4562"/>
    <w:rsid w:val="00AF5FD2"/>
    <w:rsid w:val="00AF631A"/>
    <w:rsid w:val="00AF6564"/>
    <w:rsid w:val="00AF6960"/>
    <w:rsid w:val="00AF7774"/>
    <w:rsid w:val="00B0377E"/>
    <w:rsid w:val="00B038B4"/>
    <w:rsid w:val="00B04938"/>
    <w:rsid w:val="00B05556"/>
    <w:rsid w:val="00B1165F"/>
    <w:rsid w:val="00B116F5"/>
    <w:rsid w:val="00B1237A"/>
    <w:rsid w:val="00B13471"/>
    <w:rsid w:val="00B13F1F"/>
    <w:rsid w:val="00B14514"/>
    <w:rsid w:val="00B159A1"/>
    <w:rsid w:val="00B166D9"/>
    <w:rsid w:val="00B16973"/>
    <w:rsid w:val="00B212AF"/>
    <w:rsid w:val="00B217FF"/>
    <w:rsid w:val="00B21B85"/>
    <w:rsid w:val="00B21F7E"/>
    <w:rsid w:val="00B22941"/>
    <w:rsid w:val="00B25D5D"/>
    <w:rsid w:val="00B27464"/>
    <w:rsid w:val="00B277F5"/>
    <w:rsid w:val="00B27B08"/>
    <w:rsid w:val="00B3489A"/>
    <w:rsid w:val="00B3545B"/>
    <w:rsid w:val="00B3577B"/>
    <w:rsid w:val="00B379E2"/>
    <w:rsid w:val="00B40A70"/>
    <w:rsid w:val="00B41510"/>
    <w:rsid w:val="00B432CF"/>
    <w:rsid w:val="00B43EC9"/>
    <w:rsid w:val="00B442AB"/>
    <w:rsid w:val="00B46A6E"/>
    <w:rsid w:val="00B47309"/>
    <w:rsid w:val="00B54C96"/>
    <w:rsid w:val="00B550CF"/>
    <w:rsid w:val="00B570AF"/>
    <w:rsid w:val="00B6013C"/>
    <w:rsid w:val="00B601B6"/>
    <w:rsid w:val="00B61587"/>
    <w:rsid w:val="00B61C17"/>
    <w:rsid w:val="00B62422"/>
    <w:rsid w:val="00B62F86"/>
    <w:rsid w:val="00B635E3"/>
    <w:rsid w:val="00B641CE"/>
    <w:rsid w:val="00B651EB"/>
    <w:rsid w:val="00B67BE0"/>
    <w:rsid w:val="00B72029"/>
    <w:rsid w:val="00B74C56"/>
    <w:rsid w:val="00B74E88"/>
    <w:rsid w:val="00B772E0"/>
    <w:rsid w:val="00B81A02"/>
    <w:rsid w:val="00B82E2E"/>
    <w:rsid w:val="00B83109"/>
    <w:rsid w:val="00B832D9"/>
    <w:rsid w:val="00B83B0E"/>
    <w:rsid w:val="00B90218"/>
    <w:rsid w:val="00B906ED"/>
    <w:rsid w:val="00B9167F"/>
    <w:rsid w:val="00B92BB4"/>
    <w:rsid w:val="00B93B22"/>
    <w:rsid w:val="00B9491B"/>
    <w:rsid w:val="00B94B8E"/>
    <w:rsid w:val="00B960A0"/>
    <w:rsid w:val="00B96F49"/>
    <w:rsid w:val="00B972CF"/>
    <w:rsid w:val="00BA01A3"/>
    <w:rsid w:val="00BA1465"/>
    <w:rsid w:val="00BA19FF"/>
    <w:rsid w:val="00BA1D56"/>
    <w:rsid w:val="00BA3F1A"/>
    <w:rsid w:val="00BA59C3"/>
    <w:rsid w:val="00BA72CF"/>
    <w:rsid w:val="00BA7516"/>
    <w:rsid w:val="00BA7D06"/>
    <w:rsid w:val="00BB4A0D"/>
    <w:rsid w:val="00BC1E30"/>
    <w:rsid w:val="00BC4212"/>
    <w:rsid w:val="00BC4473"/>
    <w:rsid w:val="00BC47B6"/>
    <w:rsid w:val="00BC4CA3"/>
    <w:rsid w:val="00BC7962"/>
    <w:rsid w:val="00BD0AE4"/>
    <w:rsid w:val="00BD148D"/>
    <w:rsid w:val="00BD1EC1"/>
    <w:rsid w:val="00BD22ED"/>
    <w:rsid w:val="00BD57C1"/>
    <w:rsid w:val="00BD64A9"/>
    <w:rsid w:val="00BD6E30"/>
    <w:rsid w:val="00BD74E7"/>
    <w:rsid w:val="00BD7939"/>
    <w:rsid w:val="00BE0251"/>
    <w:rsid w:val="00BE121B"/>
    <w:rsid w:val="00BE2400"/>
    <w:rsid w:val="00BE2D5C"/>
    <w:rsid w:val="00BE59E7"/>
    <w:rsid w:val="00BE72B9"/>
    <w:rsid w:val="00BF0EF0"/>
    <w:rsid w:val="00BF2A37"/>
    <w:rsid w:val="00BF2B1B"/>
    <w:rsid w:val="00BF7B3D"/>
    <w:rsid w:val="00C01C5D"/>
    <w:rsid w:val="00C040AC"/>
    <w:rsid w:val="00C0513E"/>
    <w:rsid w:val="00C10C5E"/>
    <w:rsid w:val="00C1144F"/>
    <w:rsid w:val="00C11DC0"/>
    <w:rsid w:val="00C12D3C"/>
    <w:rsid w:val="00C14AFB"/>
    <w:rsid w:val="00C16D0A"/>
    <w:rsid w:val="00C26271"/>
    <w:rsid w:val="00C316E1"/>
    <w:rsid w:val="00C32728"/>
    <w:rsid w:val="00C34503"/>
    <w:rsid w:val="00C34943"/>
    <w:rsid w:val="00C40093"/>
    <w:rsid w:val="00C40AE1"/>
    <w:rsid w:val="00C421A6"/>
    <w:rsid w:val="00C4447B"/>
    <w:rsid w:val="00C4450F"/>
    <w:rsid w:val="00C46A7D"/>
    <w:rsid w:val="00C47F5E"/>
    <w:rsid w:val="00C52639"/>
    <w:rsid w:val="00C53C8A"/>
    <w:rsid w:val="00C54D3F"/>
    <w:rsid w:val="00C54FC1"/>
    <w:rsid w:val="00C54FD5"/>
    <w:rsid w:val="00C555EF"/>
    <w:rsid w:val="00C566CA"/>
    <w:rsid w:val="00C60629"/>
    <w:rsid w:val="00C623BA"/>
    <w:rsid w:val="00C62C8E"/>
    <w:rsid w:val="00C632FF"/>
    <w:rsid w:val="00C70110"/>
    <w:rsid w:val="00C7286D"/>
    <w:rsid w:val="00C73C07"/>
    <w:rsid w:val="00C73C3C"/>
    <w:rsid w:val="00C808C2"/>
    <w:rsid w:val="00C80BAE"/>
    <w:rsid w:val="00C85310"/>
    <w:rsid w:val="00C85B1B"/>
    <w:rsid w:val="00C85D50"/>
    <w:rsid w:val="00C86ED8"/>
    <w:rsid w:val="00C876B4"/>
    <w:rsid w:val="00C90432"/>
    <w:rsid w:val="00C908FE"/>
    <w:rsid w:val="00C9241D"/>
    <w:rsid w:val="00C93B0B"/>
    <w:rsid w:val="00C94550"/>
    <w:rsid w:val="00C95E90"/>
    <w:rsid w:val="00C96710"/>
    <w:rsid w:val="00C9740D"/>
    <w:rsid w:val="00C975EB"/>
    <w:rsid w:val="00CA20DE"/>
    <w:rsid w:val="00CA2BEE"/>
    <w:rsid w:val="00CA4014"/>
    <w:rsid w:val="00CA5BC7"/>
    <w:rsid w:val="00CB0482"/>
    <w:rsid w:val="00CB0B3B"/>
    <w:rsid w:val="00CB0FF3"/>
    <w:rsid w:val="00CB2B59"/>
    <w:rsid w:val="00CB2EE0"/>
    <w:rsid w:val="00CB4F95"/>
    <w:rsid w:val="00CB5642"/>
    <w:rsid w:val="00CB694A"/>
    <w:rsid w:val="00CB6A79"/>
    <w:rsid w:val="00CB6F6E"/>
    <w:rsid w:val="00CB6FDC"/>
    <w:rsid w:val="00CC0116"/>
    <w:rsid w:val="00CC1492"/>
    <w:rsid w:val="00CC4211"/>
    <w:rsid w:val="00CC5C6D"/>
    <w:rsid w:val="00CD381C"/>
    <w:rsid w:val="00CD3EEF"/>
    <w:rsid w:val="00CD45A8"/>
    <w:rsid w:val="00CD4B0C"/>
    <w:rsid w:val="00CD5230"/>
    <w:rsid w:val="00CE0ABD"/>
    <w:rsid w:val="00CE1687"/>
    <w:rsid w:val="00CE207E"/>
    <w:rsid w:val="00CE225F"/>
    <w:rsid w:val="00CE43EB"/>
    <w:rsid w:val="00CE4BF3"/>
    <w:rsid w:val="00CE6A0A"/>
    <w:rsid w:val="00CF0794"/>
    <w:rsid w:val="00CF189A"/>
    <w:rsid w:val="00CF209E"/>
    <w:rsid w:val="00CF2D08"/>
    <w:rsid w:val="00CF755D"/>
    <w:rsid w:val="00CF7D44"/>
    <w:rsid w:val="00D02F2E"/>
    <w:rsid w:val="00D0343F"/>
    <w:rsid w:val="00D04EC9"/>
    <w:rsid w:val="00D05497"/>
    <w:rsid w:val="00D05590"/>
    <w:rsid w:val="00D06CA5"/>
    <w:rsid w:val="00D11454"/>
    <w:rsid w:val="00D128DD"/>
    <w:rsid w:val="00D136CB"/>
    <w:rsid w:val="00D16349"/>
    <w:rsid w:val="00D24C11"/>
    <w:rsid w:val="00D24E7A"/>
    <w:rsid w:val="00D27744"/>
    <w:rsid w:val="00D27F48"/>
    <w:rsid w:val="00D32F82"/>
    <w:rsid w:val="00D35083"/>
    <w:rsid w:val="00D3536C"/>
    <w:rsid w:val="00D366FB"/>
    <w:rsid w:val="00D3702D"/>
    <w:rsid w:val="00D447D6"/>
    <w:rsid w:val="00D44ED3"/>
    <w:rsid w:val="00D4701A"/>
    <w:rsid w:val="00D50023"/>
    <w:rsid w:val="00D51865"/>
    <w:rsid w:val="00D52906"/>
    <w:rsid w:val="00D57220"/>
    <w:rsid w:val="00D6347F"/>
    <w:rsid w:val="00D63AE5"/>
    <w:rsid w:val="00D64350"/>
    <w:rsid w:val="00D64D91"/>
    <w:rsid w:val="00D71E2B"/>
    <w:rsid w:val="00D72C0A"/>
    <w:rsid w:val="00D74061"/>
    <w:rsid w:val="00D747F4"/>
    <w:rsid w:val="00D74D22"/>
    <w:rsid w:val="00D763B5"/>
    <w:rsid w:val="00D81576"/>
    <w:rsid w:val="00D818F5"/>
    <w:rsid w:val="00D81B13"/>
    <w:rsid w:val="00D839D5"/>
    <w:rsid w:val="00D86424"/>
    <w:rsid w:val="00D87586"/>
    <w:rsid w:val="00D906A0"/>
    <w:rsid w:val="00D910FC"/>
    <w:rsid w:val="00D9194F"/>
    <w:rsid w:val="00D9231B"/>
    <w:rsid w:val="00D92806"/>
    <w:rsid w:val="00D9509C"/>
    <w:rsid w:val="00D95DA1"/>
    <w:rsid w:val="00DA0B85"/>
    <w:rsid w:val="00DA1C51"/>
    <w:rsid w:val="00DA1CF9"/>
    <w:rsid w:val="00DA2276"/>
    <w:rsid w:val="00DA4198"/>
    <w:rsid w:val="00DA46A2"/>
    <w:rsid w:val="00DA565F"/>
    <w:rsid w:val="00DA56AE"/>
    <w:rsid w:val="00DA5E9B"/>
    <w:rsid w:val="00DA606C"/>
    <w:rsid w:val="00DA6FEF"/>
    <w:rsid w:val="00DB01C7"/>
    <w:rsid w:val="00DB09B2"/>
    <w:rsid w:val="00DB13C5"/>
    <w:rsid w:val="00DB1C24"/>
    <w:rsid w:val="00DB43AF"/>
    <w:rsid w:val="00DB58CC"/>
    <w:rsid w:val="00DC0614"/>
    <w:rsid w:val="00DC0BE0"/>
    <w:rsid w:val="00DC1F2C"/>
    <w:rsid w:val="00DC7678"/>
    <w:rsid w:val="00DC7F15"/>
    <w:rsid w:val="00DD06FB"/>
    <w:rsid w:val="00DD077B"/>
    <w:rsid w:val="00DD0ECA"/>
    <w:rsid w:val="00DD15A5"/>
    <w:rsid w:val="00DD52B7"/>
    <w:rsid w:val="00DD6008"/>
    <w:rsid w:val="00DE0473"/>
    <w:rsid w:val="00DE1A2C"/>
    <w:rsid w:val="00DE39B8"/>
    <w:rsid w:val="00DE3A88"/>
    <w:rsid w:val="00DE62E1"/>
    <w:rsid w:val="00DE728F"/>
    <w:rsid w:val="00DE72F0"/>
    <w:rsid w:val="00DF082C"/>
    <w:rsid w:val="00DF1DEC"/>
    <w:rsid w:val="00DF2521"/>
    <w:rsid w:val="00DF3D5B"/>
    <w:rsid w:val="00DF4E70"/>
    <w:rsid w:val="00DF5368"/>
    <w:rsid w:val="00DF5697"/>
    <w:rsid w:val="00DF56AB"/>
    <w:rsid w:val="00DF7BAD"/>
    <w:rsid w:val="00E02832"/>
    <w:rsid w:val="00E02D88"/>
    <w:rsid w:val="00E048B8"/>
    <w:rsid w:val="00E059B4"/>
    <w:rsid w:val="00E075F3"/>
    <w:rsid w:val="00E07BCD"/>
    <w:rsid w:val="00E1044B"/>
    <w:rsid w:val="00E114C4"/>
    <w:rsid w:val="00E11A2A"/>
    <w:rsid w:val="00E127DA"/>
    <w:rsid w:val="00E128DF"/>
    <w:rsid w:val="00E13416"/>
    <w:rsid w:val="00E13425"/>
    <w:rsid w:val="00E16C0F"/>
    <w:rsid w:val="00E177B5"/>
    <w:rsid w:val="00E20BE0"/>
    <w:rsid w:val="00E27598"/>
    <w:rsid w:val="00E30ECF"/>
    <w:rsid w:val="00E358D1"/>
    <w:rsid w:val="00E3595E"/>
    <w:rsid w:val="00E36992"/>
    <w:rsid w:val="00E4270A"/>
    <w:rsid w:val="00E430CE"/>
    <w:rsid w:val="00E432B1"/>
    <w:rsid w:val="00E45697"/>
    <w:rsid w:val="00E4621B"/>
    <w:rsid w:val="00E50489"/>
    <w:rsid w:val="00E50823"/>
    <w:rsid w:val="00E5179A"/>
    <w:rsid w:val="00E52C21"/>
    <w:rsid w:val="00E5740F"/>
    <w:rsid w:val="00E615C5"/>
    <w:rsid w:val="00E61BB3"/>
    <w:rsid w:val="00E62241"/>
    <w:rsid w:val="00E62352"/>
    <w:rsid w:val="00E6327D"/>
    <w:rsid w:val="00E63DC4"/>
    <w:rsid w:val="00E64676"/>
    <w:rsid w:val="00E66230"/>
    <w:rsid w:val="00E6632B"/>
    <w:rsid w:val="00E66B3E"/>
    <w:rsid w:val="00E70011"/>
    <w:rsid w:val="00E700A1"/>
    <w:rsid w:val="00E705E6"/>
    <w:rsid w:val="00E70DC3"/>
    <w:rsid w:val="00E7599D"/>
    <w:rsid w:val="00E76306"/>
    <w:rsid w:val="00E76940"/>
    <w:rsid w:val="00E769C6"/>
    <w:rsid w:val="00E774E5"/>
    <w:rsid w:val="00E818B1"/>
    <w:rsid w:val="00E87682"/>
    <w:rsid w:val="00E90250"/>
    <w:rsid w:val="00E9122C"/>
    <w:rsid w:val="00E9151A"/>
    <w:rsid w:val="00E92792"/>
    <w:rsid w:val="00E938FA"/>
    <w:rsid w:val="00E946FA"/>
    <w:rsid w:val="00E964CC"/>
    <w:rsid w:val="00EA0ED1"/>
    <w:rsid w:val="00EA36EF"/>
    <w:rsid w:val="00EA3C64"/>
    <w:rsid w:val="00EA41C4"/>
    <w:rsid w:val="00EA437F"/>
    <w:rsid w:val="00EA53B6"/>
    <w:rsid w:val="00EA5ADE"/>
    <w:rsid w:val="00EB1123"/>
    <w:rsid w:val="00EB1D4A"/>
    <w:rsid w:val="00EB2C88"/>
    <w:rsid w:val="00EB2CC1"/>
    <w:rsid w:val="00EB322C"/>
    <w:rsid w:val="00EB42DB"/>
    <w:rsid w:val="00EC0188"/>
    <w:rsid w:val="00EC1B48"/>
    <w:rsid w:val="00EC37E1"/>
    <w:rsid w:val="00EC575D"/>
    <w:rsid w:val="00ED1331"/>
    <w:rsid w:val="00ED2F64"/>
    <w:rsid w:val="00ED436F"/>
    <w:rsid w:val="00ED5EC6"/>
    <w:rsid w:val="00EE02D0"/>
    <w:rsid w:val="00EE32F9"/>
    <w:rsid w:val="00EE4F2F"/>
    <w:rsid w:val="00EE51D1"/>
    <w:rsid w:val="00EE5CA8"/>
    <w:rsid w:val="00EE5D5C"/>
    <w:rsid w:val="00EE6398"/>
    <w:rsid w:val="00EE7DF8"/>
    <w:rsid w:val="00EF21D7"/>
    <w:rsid w:val="00EF3851"/>
    <w:rsid w:val="00EF55CD"/>
    <w:rsid w:val="00EF6603"/>
    <w:rsid w:val="00EF7913"/>
    <w:rsid w:val="00F01727"/>
    <w:rsid w:val="00F026C8"/>
    <w:rsid w:val="00F04CAC"/>
    <w:rsid w:val="00F1060A"/>
    <w:rsid w:val="00F10A4E"/>
    <w:rsid w:val="00F10A5E"/>
    <w:rsid w:val="00F10C43"/>
    <w:rsid w:val="00F137A0"/>
    <w:rsid w:val="00F13AC9"/>
    <w:rsid w:val="00F16287"/>
    <w:rsid w:val="00F21314"/>
    <w:rsid w:val="00F215A9"/>
    <w:rsid w:val="00F21BD9"/>
    <w:rsid w:val="00F25FDA"/>
    <w:rsid w:val="00F2761B"/>
    <w:rsid w:val="00F276AD"/>
    <w:rsid w:val="00F3065E"/>
    <w:rsid w:val="00F32C0A"/>
    <w:rsid w:val="00F33545"/>
    <w:rsid w:val="00F34785"/>
    <w:rsid w:val="00F36DA5"/>
    <w:rsid w:val="00F375CB"/>
    <w:rsid w:val="00F4062A"/>
    <w:rsid w:val="00F40A8A"/>
    <w:rsid w:val="00F41937"/>
    <w:rsid w:val="00F43F6F"/>
    <w:rsid w:val="00F459B3"/>
    <w:rsid w:val="00F45AFF"/>
    <w:rsid w:val="00F472B0"/>
    <w:rsid w:val="00F47343"/>
    <w:rsid w:val="00F52350"/>
    <w:rsid w:val="00F5256F"/>
    <w:rsid w:val="00F53246"/>
    <w:rsid w:val="00F53767"/>
    <w:rsid w:val="00F57BE0"/>
    <w:rsid w:val="00F57EEA"/>
    <w:rsid w:val="00F613D0"/>
    <w:rsid w:val="00F63153"/>
    <w:rsid w:val="00F656DF"/>
    <w:rsid w:val="00F668E3"/>
    <w:rsid w:val="00F67738"/>
    <w:rsid w:val="00F67832"/>
    <w:rsid w:val="00F67D3E"/>
    <w:rsid w:val="00F707D6"/>
    <w:rsid w:val="00F71842"/>
    <w:rsid w:val="00F71CA2"/>
    <w:rsid w:val="00F72C45"/>
    <w:rsid w:val="00F72CFE"/>
    <w:rsid w:val="00F75882"/>
    <w:rsid w:val="00F75C83"/>
    <w:rsid w:val="00F76829"/>
    <w:rsid w:val="00F76B58"/>
    <w:rsid w:val="00F76B7A"/>
    <w:rsid w:val="00F8166D"/>
    <w:rsid w:val="00F841CC"/>
    <w:rsid w:val="00F8489B"/>
    <w:rsid w:val="00F8510A"/>
    <w:rsid w:val="00F85A91"/>
    <w:rsid w:val="00F86A15"/>
    <w:rsid w:val="00F879D7"/>
    <w:rsid w:val="00F90662"/>
    <w:rsid w:val="00F928E9"/>
    <w:rsid w:val="00F92D2C"/>
    <w:rsid w:val="00F958C0"/>
    <w:rsid w:val="00F95B24"/>
    <w:rsid w:val="00F96FF9"/>
    <w:rsid w:val="00FA2AF6"/>
    <w:rsid w:val="00FA4B02"/>
    <w:rsid w:val="00FA50E4"/>
    <w:rsid w:val="00FB27B8"/>
    <w:rsid w:val="00FB3468"/>
    <w:rsid w:val="00FB3591"/>
    <w:rsid w:val="00FB51B5"/>
    <w:rsid w:val="00FB745F"/>
    <w:rsid w:val="00FB7A08"/>
    <w:rsid w:val="00FC30D8"/>
    <w:rsid w:val="00FC3D69"/>
    <w:rsid w:val="00FC4EC8"/>
    <w:rsid w:val="00FC5E9B"/>
    <w:rsid w:val="00FC626B"/>
    <w:rsid w:val="00FD152B"/>
    <w:rsid w:val="00FD28F8"/>
    <w:rsid w:val="00FD4202"/>
    <w:rsid w:val="00FE1E0A"/>
    <w:rsid w:val="00FE22C1"/>
    <w:rsid w:val="00FE2BC5"/>
    <w:rsid w:val="00FE2D0D"/>
    <w:rsid w:val="00FE353E"/>
    <w:rsid w:val="00FE3B3D"/>
    <w:rsid w:val="00FE3B92"/>
    <w:rsid w:val="00FE63E0"/>
    <w:rsid w:val="00FF1879"/>
    <w:rsid w:val="00FF1DCB"/>
    <w:rsid w:val="00FF1FF3"/>
    <w:rsid w:val="00FF2B53"/>
    <w:rsid w:val="00FF4150"/>
    <w:rsid w:val="00FF4A77"/>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11D71A6"/>
  <w14:defaultImageDpi w14:val="300"/>
  <w15:docId w15:val="{AAD242D5-E011-451E-9ACB-48DBF28F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38"/>
    <w:pPr>
      <w:spacing w:after="120" w:line="276" w:lineRule="auto"/>
      <w:jc w:val="both"/>
    </w:pPr>
    <w:rPr>
      <w:rFonts w:asciiTheme="majorHAnsi" w:hAnsiTheme="majorHAnsi" w:cs="Times New Roman"/>
      <w:sz w:val="22"/>
    </w:rPr>
  </w:style>
  <w:style w:type="paragraph" w:styleId="Heading1">
    <w:name w:val="heading 1"/>
    <w:basedOn w:val="Normal"/>
    <w:next w:val="Default"/>
    <w:link w:val="Heading1Char"/>
    <w:uiPriority w:val="9"/>
    <w:rsid w:val="00596B0F"/>
    <w:pPr>
      <w:keepNext/>
      <w:keepLines/>
      <w:spacing w:before="360"/>
      <w:outlineLvl w:val="0"/>
    </w:pPr>
    <w:rPr>
      <w:rFonts w:eastAsiaTheme="majorEastAsia" w:cstheme="majorBidi"/>
      <w:b/>
      <w:bCs/>
      <w:color w:val="345A8A" w:themeColor="accent1" w:themeShade="B5"/>
      <w:sz w:val="32"/>
      <w:szCs w:val="32"/>
    </w:rPr>
  </w:style>
  <w:style w:type="paragraph" w:styleId="Heading2">
    <w:name w:val="heading 2"/>
    <w:basedOn w:val="Normal"/>
    <w:next w:val="Default"/>
    <w:link w:val="Heading2Char"/>
    <w:uiPriority w:val="9"/>
    <w:unhideWhenUsed/>
    <w:rsid w:val="008438A5"/>
    <w:pPr>
      <w:keepNext/>
      <w:keepLines/>
      <w:spacing w:before="24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rsid w:val="00BE2D5C"/>
    <w:pPr>
      <w:keepNext/>
      <w:keepLines/>
      <w:outlineLvl w:val="2"/>
    </w:pPr>
    <w:rPr>
      <w:rFonts w:eastAsiaTheme="majorEastAsia" w:cstheme="majorBidi"/>
      <w:iCs/>
      <w:color w:val="4F81BD" w:themeColor="accent1"/>
      <w:sz w:val="28"/>
      <w:lang w:val="en-AU"/>
    </w:rPr>
  </w:style>
  <w:style w:type="paragraph" w:styleId="Heading4">
    <w:name w:val="heading 4"/>
    <w:basedOn w:val="Normal"/>
    <w:next w:val="Normal"/>
    <w:link w:val="Heading4Char"/>
    <w:uiPriority w:val="9"/>
    <w:unhideWhenUsed/>
    <w:rsid w:val="008438A5"/>
    <w:pPr>
      <w:keepNext/>
      <w:keepLines/>
      <w:spacing w:before="40"/>
      <w:outlineLvl w:val="3"/>
    </w:pPr>
    <w:rPr>
      <w:rFonts w:eastAsiaTheme="majorEastAsia" w:cstheme="majorBidi"/>
      <w:i/>
      <w:iCs/>
      <w:color w:val="365F91" w:themeColor="accent1" w:themeShade="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B0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438A5"/>
    <w:rPr>
      <w:rFonts w:asciiTheme="majorHAnsi" w:eastAsiaTheme="majorEastAsia" w:hAnsiTheme="majorHAnsi" w:cstheme="majorBidi"/>
      <w:b/>
      <w:bCs/>
      <w:color w:val="4F81BD" w:themeColor="accent1"/>
      <w:sz w:val="28"/>
      <w:szCs w:val="26"/>
    </w:rPr>
  </w:style>
  <w:style w:type="paragraph" w:styleId="Title">
    <w:name w:val="Title"/>
    <w:basedOn w:val="Normal"/>
    <w:next w:val="Normal"/>
    <w:link w:val="TitleChar"/>
    <w:uiPriority w:val="10"/>
    <w:qFormat/>
    <w:rsid w:val="002237A7"/>
    <w:pPr>
      <w:spacing w:after="0"/>
      <w:contextualSpacing/>
      <w:outlineLvl w:val="0"/>
    </w:pPr>
    <w:rPr>
      <w:rFonts w:ascii="Arial" w:eastAsia="HGｺﾞｼｯｸM" w:hAnsi="Arial" w:cs="Arial"/>
      <w:color w:val="DA291C"/>
      <w:spacing w:val="-10"/>
      <w:sz w:val="28"/>
      <w:szCs w:val="56"/>
      <w:lang w:val="en-AU" w:eastAsia="ja-JP"/>
    </w:rPr>
  </w:style>
  <w:style w:type="paragraph" w:customStyle="1" w:styleId="Bulletpoint1">
    <w:name w:val="Bullet point 1"/>
    <w:basedOn w:val="Normal"/>
    <w:rsid w:val="00D11454"/>
    <w:pPr>
      <w:contextualSpacing/>
    </w:pPr>
    <w:rPr>
      <w:lang w:val="en-AU"/>
    </w:rPr>
  </w:style>
  <w:style w:type="character" w:customStyle="1" w:styleId="TitleChar">
    <w:name w:val="Title Char"/>
    <w:basedOn w:val="DefaultParagraphFont"/>
    <w:link w:val="Title"/>
    <w:uiPriority w:val="10"/>
    <w:rsid w:val="002237A7"/>
    <w:rPr>
      <w:rFonts w:ascii="Arial" w:eastAsia="HGｺﾞｼｯｸM" w:hAnsi="Arial" w:cs="Arial"/>
      <w:color w:val="DA291C"/>
      <w:spacing w:val="-10"/>
      <w:sz w:val="28"/>
      <w:szCs w:val="56"/>
      <w:lang w:val="en-AU" w:eastAsia="ja-JP"/>
    </w:rPr>
  </w:style>
  <w:style w:type="character" w:customStyle="1" w:styleId="Heading3Char">
    <w:name w:val="Heading 3 Char"/>
    <w:basedOn w:val="DefaultParagraphFont"/>
    <w:link w:val="Heading3"/>
    <w:uiPriority w:val="99"/>
    <w:rsid w:val="00BE2D5C"/>
    <w:rPr>
      <w:rFonts w:asciiTheme="majorHAnsi" w:eastAsiaTheme="majorEastAsia" w:hAnsiTheme="majorHAnsi" w:cstheme="majorBidi"/>
      <w:iCs/>
      <w:color w:val="4F81BD" w:themeColor="accent1"/>
      <w:sz w:val="28"/>
      <w:lang w:val="en-AU"/>
    </w:rPr>
  </w:style>
  <w:style w:type="paragraph" w:customStyle="1" w:styleId="Bulletpointleft-aligned">
    <w:name w:val="Bullet point left-aligned"/>
    <w:basedOn w:val="Bulletpoint1"/>
    <w:rsid w:val="00973A71"/>
  </w:style>
  <w:style w:type="paragraph" w:customStyle="1" w:styleId="Bulletpoint2leftaligned">
    <w:name w:val="Bullet point 2 left aligned"/>
    <w:basedOn w:val="Bulletpoint1"/>
    <w:rsid w:val="001D5AF2"/>
    <w:pPr>
      <w:numPr>
        <w:ilvl w:val="1"/>
        <w:numId w:val="1"/>
      </w:numPr>
      <w:contextualSpacing w:val="0"/>
    </w:pPr>
  </w:style>
  <w:style w:type="paragraph" w:customStyle="1" w:styleId="Bulletpoint3">
    <w:name w:val="Bullet point 3"/>
    <w:basedOn w:val="Bulletpoint2leftaligned"/>
    <w:rsid w:val="008546B9"/>
    <w:pPr>
      <w:numPr>
        <w:ilvl w:val="2"/>
      </w:numPr>
    </w:pPr>
  </w:style>
  <w:style w:type="paragraph" w:customStyle="1" w:styleId="Default">
    <w:name w:val="Default"/>
    <w:rsid w:val="00D11454"/>
    <w:pPr>
      <w:autoSpaceDE w:val="0"/>
      <w:autoSpaceDN w:val="0"/>
      <w:adjustRightInd w:val="0"/>
      <w:spacing w:after="240"/>
    </w:pPr>
    <w:rPr>
      <w:rFonts w:cs="Calibri"/>
      <w:color w:val="000000"/>
      <w:szCs w:val="22"/>
      <w:lang w:val="en-AU"/>
    </w:rPr>
  </w:style>
  <w:style w:type="paragraph" w:styleId="FootnoteText">
    <w:name w:val="footnote text"/>
    <w:basedOn w:val="Normal"/>
    <w:link w:val="FootnoteTextChar"/>
    <w:uiPriority w:val="99"/>
    <w:unhideWhenUsed/>
    <w:qFormat/>
    <w:rsid w:val="00DF3D5B"/>
    <w:pPr>
      <w:ind w:left="720" w:hanging="720"/>
    </w:pPr>
    <w:rPr>
      <w:sz w:val="20"/>
      <w:lang w:val="en-AU"/>
    </w:rPr>
  </w:style>
  <w:style w:type="character" w:customStyle="1" w:styleId="FootnoteTextChar">
    <w:name w:val="Footnote Text Char"/>
    <w:basedOn w:val="DefaultParagraphFont"/>
    <w:link w:val="FootnoteText"/>
    <w:uiPriority w:val="99"/>
    <w:rsid w:val="00DF3D5B"/>
    <w:rPr>
      <w:sz w:val="20"/>
      <w:lang w:val="en-AU"/>
    </w:rPr>
  </w:style>
  <w:style w:type="paragraph" w:customStyle="1" w:styleId="Bullet1-Brief">
    <w:name w:val="Bullet 1 - Brief"/>
    <w:basedOn w:val="Normal"/>
    <w:rsid w:val="00737F76"/>
    <w:pPr>
      <w:numPr>
        <w:numId w:val="5"/>
      </w:numPr>
      <w:ind w:left="1134" w:hanging="567"/>
      <w:contextualSpacing/>
    </w:pPr>
    <w:rPr>
      <w:rFonts w:eastAsiaTheme="minorHAnsi"/>
      <w:lang w:val="en-AU"/>
    </w:rPr>
  </w:style>
  <w:style w:type="paragraph" w:customStyle="1" w:styleId="Bullet1-Long">
    <w:name w:val="Bullet 1 - Long"/>
    <w:basedOn w:val="ListParagraph"/>
    <w:autoRedefine/>
    <w:qFormat/>
    <w:rsid w:val="00662F77"/>
    <w:pPr>
      <w:numPr>
        <w:numId w:val="24"/>
      </w:numPr>
    </w:pPr>
  </w:style>
  <w:style w:type="paragraph" w:customStyle="1" w:styleId="Tablebullet">
    <w:name w:val="Table bullet"/>
    <w:basedOn w:val="Bullet1-Brief"/>
    <w:rsid w:val="00A02257"/>
    <w:pPr>
      <w:tabs>
        <w:tab w:val="left" w:pos="347"/>
      </w:tabs>
      <w:ind w:left="360" w:hanging="360"/>
    </w:pPr>
  </w:style>
  <w:style w:type="paragraph" w:customStyle="1" w:styleId="Numberedlist">
    <w:name w:val="Numbered list"/>
    <w:basedOn w:val="Bullet1-Long"/>
    <w:rsid w:val="00957487"/>
    <w:pPr>
      <w:numPr>
        <w:numId w:val="15"/>
      </w:numPr>
    </w:pPr>
    <w:rPr>
      <w:lang w:eastAsia="en-AU"/>
    </w:rPr>
  </w:style>
  <w:style w:type="paragraph" w:customStyle="1" w:styleId="Numberedparas-2level">
    <w:name w:val="Numbered paras - 2 level"/>
    <w:basedOn w:val="ListParagraph"/>
    <w:rsid w:val="001A44A3"/>
    <w:pPr>
      <w:numPr>
        <w:ilvl w:val="1"/>
        <w:numId w:val="3"/>
      </w:numPr>
      <w:contextualSpacing w:val="0"/>
    </w:pPr>
  </w:style>
  <w:style w:type="paragraph" w:styleId="ListParagraph">
    <w:name w:val="List Paragraph"/>
    <w:aliases w:val="List Paragraph1,List Paragraph11,L,Recommendation,CV text,Table text,Colorful List - Accent 11,COOP,Primary Bullet List"/>
    <w:basedOn w:val="Normal"/>
    <w:link w:val="ListParagraphChar"/>
    <w:uiPriority w:val="34"/>
    <w:qFormat/>
    <w:rsid w:val="00DC0614"/>
    <w:pPr>
      <w:ind w:left="720"/>
      <w:contextualSpacing/>
    </w:pPr>
    <w:rPr>
      <w:lang w:val="en-AU"/>
    </w:rPr>
  </w:style>
  <w:style w:type="numbering" w:customStyle="1" w:styleId="Numberedlist-Objectives">
    <w:name w:val="Numbered list - Objectives"/>
    <w:uiPriority w:val="99"/>
    <w:rsid w:val="001A44A3"/>
    <w:pPr>
      <w:numPr>
        <w:numId w:val="4"/>
      </w:numPr>
    </w:pPr>
  </w:style>
  <w:style w:type="paragraph" w:styleId="IntenseQuote">
    <w:name w:val="Intense Quote"/>
    <w:basedOn w:val="Normal"/>
    <w:next w:val="Normal"/>
    <w:link w:val="IntenseQuoteChar"/>
    <w:uiPriority w:val="30"/>
    <w:rsid w:val="00737F76"/>
    <w:pPr>
      <w:pBdr>
        <w:top w:val="single" w:sz="4" w:space="10" w:color="4F81BD" w:themeColor="accent1"/>
        <w:bottom w:val="single" w:sz="4" w:space="10" w:color="4F81BD" w:themeColor="accent1"/>
      </w:pBdr>
      <w:spacing w:before="360" w:after="360"/>
      <w:ind w:left="864" w:right="864"/>
      <w:jc w:val="center"/>
    </w:pPr>
    <w:rPr>
      <w:i/>
      <w:iCs/>
      <w:color w:val="4F81BD" w:themeColor="accent1"/>
      <w:lang w:val="en-AU"/>
    </w:rPr>
  </w:style>
  <w:style w:type="character" w:customStyle="1" w:styleId="IntenseQuoteChar">
    <w:name w:val="Intense Quote Char"/>
    <w:basedOn w:val="DefaultParagraphFont"/>
    <w:link w:val="IntenseQuote"/>
    <w:uiPriority w:val="30"/>
    <w:rsid w:val="00737F76"/>
    <w:rPr>
      <w:i/>
      <w:iCs/>
      <w:color w:val="4F81BD" w:themeColor="accent1"/>
      <w:lang w:val="en-AU"/>
    </w:rPr>
  </w:style>
  <w:style w:type="character" w:styleId="IntenseEmphasis">
    <w:name w:val="Intense Emphasis"/>
    <w:basedOn w:val="DefaultParagraphFont"/>
    <w:uiPriority w:val="21"/>
    <w:rsid w:val="00737F76"/>
    <w:rPr>
      <w:i/>
      <w:iCs/>
      <w:color w:val="4F81BD" w:themeColor="accent1"/>
    </w:rPr>
  </w:style>
  <w:style w:type="paragraph" w:styleId="Quote">
    <w:name w:val="Quote"/>
    <w:aliases w:val="Bullet List"/>
    <w:basedOn w:val="Bullet1-Long"/>
    <w:next w:val="Normal"/>
    <w:link w:val="QuoteChar"/>
    <w:uiPriority w:val="29"/>
    <w:qFormat/>
    <w:rsid w:val="00D95DA1"/>
    <w:rPr>
      <w:lang w:val="en-GB"/>
    </w:rPr>
  </w:style>
  <w:style w:type="character" w:customStyle="1" w:styleId="QuoteChar">
    <w:name w:val="Quote Char"/>
    <w:aliases w:val="Bullet List Char"/>
    <w:basedOn w:val="DefaultParagraphFont"/>
    <w:link w:val="Quote"/>
    <w:uiPriority w:val="29"/>
    <w:rsid w:val="00D95DA1"/>
    <w:rPr>
      <w:rFonts w:asciiTheme="majorHAnsi" w:hAnsiTheme="majorHAnsi" w:cs="Times New Roman"/>
      <w:sz w:val="22"/>
      <w:lang w:val="en-GB"/>
    </w:rPr>
  </w:style>
  <w:style w:type="character" w:styleId="IntenseReference">
    <w:name w:val="Intense Reference"/>
    <w:basedOn w:val="DefaultParagraphFont"/>
    <w:uiPriority w:val="32"/>
    <w:rsid w:val="00BD0AE4"/>
    <w:rPr>
      <w:b/>
      <w:bCs/>
      <w:smallCaps/>
      <w:color w:val="4F81BD" w:themeColor="accent1"/>
      <w:spacing w:val="5"/>
    </w:rPr>
  </w:style>
  <w:style w:type="character" w:styleId="Hyperlink">
    <w:name w:val="Hyperlink"/>
    <w:basedOn w:val="DefaultParagraphFont"/>
    <w:uiPriority w:val="99"/>
    <w:unhideWhenUsed/>
    <w:rsid w:val="003635A3"/>
    <w:rPr>
      <w:color w:val="0000FF" w:themeColor="hyperlink"/>
      <w:u w:val="single"/>
    </w:rPr>
  </w:style>
  <w:style w:type="character" w:styleId="FootnoteReference">
    <w:name w:val="footnote reference"/>
    <w:aliases w:val="ftref,fr,16 Point,Superscript 6 Point,(NECG) Footnote Reference,Ref,de nota al pie,FnR-ANZDEC,Fußnotenzeichen DISS,Footnote Ref in FtNote,SUPERS,Footnote text,BVI fnr,Normal + Font:9 Point,Superscript 3 Point Times,Footnote Reference1"/>
    <w:basedOn w:val="DefaultParagraphFont"/>
    <w:uiPriority w:val="99"/>
    <w:unhideWhenUsed/>
    <w:rsid w:val="003635A3"/>
    <w:rPr>
      <w:vertAlign w:val="superscript"/>
    </w:rPr>
  </w:style>
  <w:style w:type="paragraph" w:styleId="Bibliography">
    <w:name w:val="Bibliography"/>
    <w:basedOn w:val="Normal"/>
    <w:next w:val="Normal"/>
    <w:uiPriority w:val="37"/>
    <w:unhideWhenUsed/>
    <w:rsid w:val="00AF35AF"/>
    <w:rPr>
      <w:lang w:val="en-AU"/>
    </w:rPr>
  </w:style>
  <w:style w:type="paragraph" w:styleId="Caption">
    <w:name w:val="caption"/>
    <w:basedOn w:val="Normal"/>
    <w:next w:val="Normal"/>
    <w:link w:val="CaptionChar"/>
    <w:uiPriority w:val="35"/>
    <w:unhideWhenUsed/>
    <w:rsid w:val="00B40A70"/>
    <w:pPr>
      <w:keepNext/>
    </w:pPr>
    <w:rPr>
      <w:b/>
      <w:iCs/>
      <w:szCs w:val="18"/>
      <w:lang w:val="en-AU"/>
    </w:rPr>
  </w:style>
  <w:style w:type="table" w:styleId="TableGrid">
    <w:name w:val="Table Grid"/>
    <w:basedOn w:val="TableNormal"/>
    <w:uiPriority w:val="59"/>
    <w:rsid w:val="003F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7544"/>
    <w:rPr>
      <w:lang w:val="en-AU"/>
    </w:rPr>
  </w:style>
  <w:style w:type="table" w:customStyle="1" w:styleId="GridTable4-Accent11">
    <w:name w:val="Grid Table 4 - Accent 11"/>
    <w:basedOn w:val="TableNormal"/>
    <w:uiPriority w:val="49"/>
    <w:rsid w:val="00FB7A0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ED436F"/>
    <w:rPr>
      <w:color w:val="800080" w:themeColor="followedHyperlink"/>
      <w:u w:val="single"/>
    </w:rPr>
  </w:style>
  <w:style w:type="paragraph" w:styleId="Footer">
    <w:name w:val="footer"/>
    <w:basedOn w:val="Normal"/>
    <w:link w:val="FooterChar"/>
    <w:uiPriority w:val="99"/>
    <w:unhideWhenUsed/>
    <w:rsid w:val="002B7905"/>
    <w:pPr>
      <w:tabs>
        <w:tab w:val="center" w:pos="4513"/>
        <w:tab w:val="right" w:pos="9026"/>
      </w:tabs>
    </w:pPr>
    <w:rPr>
      <w:lang w:val="en-AU"/>
    </w:rPr>
  </w:style>
  <w:style w:type="character" w:customStyle="1" w:styleId="FooterChar">
    <w:name w:val="Footer Char"/>
    <w:basedOn w:val="DefaultParagraphFont"/>
    <w:link w:val="Footer"/>
    <w:uiPriority w:val="99"/>
    <w:rsid w:val="002B7905"/>
    <w:rPr>
      <w:lang w:val="en-AU"/>
    </w:rPr>
  </w:style>
  <w:style w:type="character" w:styleId="PageNumber">
    <w:name w:val="page number"/>
    <w:basedOn w:val="DefaultParagraphFont"/>
    <w:uiPriority w:val="99"/>
    <w:semiHidden/>
    <w:unhideWhenUsed/>
    <w:rsid w:val="002B7905"/>
  </w:style>
  <w:style w:type="character" w:styleId="CommentReference">
    <w:name w:val="annotation reference"/>
    <w:basedOn w:val="DefaultParagraphFont"/>
    <w:uiPriority w:val="99"/>
    <w:unhideWhenUsed/>
    <w:rsid w:val="00511C70"/>
    <w:rPr>
      <w:sz w:val="18"/>
      <w:szCs w:val="18"/>
    </w:rPr>
  </w:style>
  <w:style w:type="paragraph" w:styleId="CommentText">
    <w:name w:val="annotation text"/>
    <w:basedOn w:val="Normal"/>
    <w:link w:val="CommentTextChar"/>
    <w:uiPriority w:val="99"/>
    <w:unhideWhenUsed/>
    <w:rsid w:val="00511C70"/>
    <w:rPr>
      <w:lang w:val="en-AU"/>
    </w:rPr>
  </w:style>
  <w:style w:type="character" w:customStyle="1" w:styleId="CommentTextChar">
    <w:name w:val="Comment Text Char"/>
    <w:basedOn w:val="DefaultParagraphFont"/>
    <w:link w:val="CommentText"/>
    <w:uiPriority w:val="99"/>
    <w:rsid w:val="00511C70"/>
    <w:rPr>
      <w:lang w:val="en-AU"/>
    </w:rPr>
  </w:style>
  <w:style w:type="paragraph" w:styleId="CommentSubject">
    <w:name w:val="annotation subject"/>
    <w:basedOn w:val="CommentText"/>
    <w:next w:val="CommentText"/>
    <w:link w:val="CommentSubjectChar"/>
    <w:uiPriority w:val="99"/>
    <w:semiHidden/>
    <w:unhideWhenUsed/>
    <w:rsid w:val="00511C70"/>
    <w:rPr>
      <w:b/>
      <w:bCs/>
      <w:sz w:val="20"/>
      <w:szCs w:val="20"/>
    </w:rPr>
  </w:style>
  <w:style w:type="character" w:customStyle="1" w:styleId="CommentSubjectChar">
    <w:name w:val="Comment Subject Char"/>
    <w:basedOn w:val="CommentTextChar"/>
    <w:link w:val="CommentSubject"/>
    <w:uiPriority w:val="99"/>
    <w:semiHidden/>
    <w:rsid w:val="00511C70"/>
    <w:rPr>
      <w:b/>
      <w:bCs/>
      <w:sz w:val="20"/>
      <w:szCs w:val="20"/>
      <w:lang w:val="en-AU"/>
    </w:rPr>
  </w:style>
  <w:style w:type="paragraph" w:styleId="BalloonText">
    <w:name w:val="Balloon Text"/>
    <w:basedOn w:val="Normal"/>
    <w:link w:val="BalloonTextChar"/>
    <w:uiPriority w:val="99"/>
    <w:semiHidden/>
    <w:unhideWhenUsed/>
    <w:rsid w:val="00511C70"/>
    <w:rPr>
      <w:sz w:val="18"/>
      <w:szCs w:val="18"/>
      <w:lang w:val="en-AU"/>
    </w:rPr>
  </w:style>
  <w:style w:type="character" w:customStyle="1" w:styleId="BalloonTextChar">
    <w:name w:val="Balloon Text Char"/>
    <w:basedOn w:val="DefaultParagraphFont"/>
    <w:link w:val="BalloonText"/>
    <w:uiPriority w:val="99"/>
    <w:semiHidden/>
    <w:rsid w:val="00511C70"/>
    <w:rPr>
      <w:rFonts w:ascii="Times New Roman" w:hAnsi="Times New Roman" w:cs="Times New Roman"/>
      <w:sz w:val="18"/>
      <w:szCs w:val="18"/>
      <w:lang w:val="en-AU"/>
    </w:rPr>
  </w:style>
  <w:style w:type="paragraph" w:customStyle="1" w:styleId="Footnote">
    <w:name w:val="Footnote"/>
    <w:basedOn w:val="Normal"/>
    <w:uiPriority w:val="23"/>
    <w:qFormat/>
    <w:rsid w:val="00FA2AF6"/>
    <w:pPr>
      <w:tabs>
        <w:tab w:val="left" w:pos="567"/>
      </w:tabs>
      <w:spacing w:after="0"/>
    </w:pPr>
    <w:rPr>
      <w:rFonts w:ascii="Arial" w:eastAsia="Times New Roman" w:hAnsi="Arial"/>
      <w:sz w:val="18"/>
      <w:lang w:val="en-NZ"/>
    </w:rPr>
  </w:style>
  <w:style w:type="character" w:customStyle="1" w:styleId="Heading4Char">
    <w:name w:val="Heading 4 Char"/>
    <w:basedOn w:val="DefaultParagraphFont"/>
    <w:link w:val="Heading4"/>
    <w:uiPriority w:val="9"/>
    <w:rsid w:val="008438A5"/>
    <w:rPr>
      <w:rFonts w:asciiTheme="majorHAnsi" w:eastAsiaTheme="majorEastAsia" w:hAnsiTheme="majorHAnsi" w:cstheme="majorBidi"/>
      <w:i/>
      <w:iCs/>
      <w:color w:val="365F91" w:themeColor="accent1" w:themeShade="BF"/>
      <w:lang w:val="en-AU"/>
    </w:rPr>
  </w:style>
  <w:style w:type="paragraph" w:styleId="BodyText">
    <w:name w:val="Body Text"/>
    <w:basedOn w:val="Normal"/>
    <w:link w:val="BodyTextChar"/>
    <w:uiPriority w:val="99"/>
    <w:rsid w:val="00AA2B6A"/>
    <w:pPr>
      <w:spacing w:after="160" w:line="280" w:lineRule="exact"/>
    </w:pPr>
    <w:rPr>
      <w:rFonts w:ascii="Franklin Gothic Book" w:eastAsiaTheme="minorHAnsi" w:hAnsi="Franklin Gothic Book"/>
      <w:lang w:eastAsia="en-AU"/>
    </w:rPr>
  </w:style>
  <w:style w:type="character" w:customStyle="1" w:styleId="BodyTextChar">
    <w:name w:val="Body Text Char"/>
    <w:basedOn w:val="DefaultParagraphFont"/>
    <w:link w:val="BodyText"/>
    <w:uiPriority w:val="99"/>
    <w:rsid w:val="00AA2B6A"/>
    <w:rPr>
      <w:rFonts w:ascii="Franklin Gothic Book" w:eastAsiaTheme="minorHAnsi" w:hAnsi="Franklin Gothic Book" w:cs="Times New Roman"/>
      <w:lang w:eastAsia="en-AU"/>
    </w:rPr>
  </w:style>
  <w:style w:type="paragraph" w:styleId="Subtitle">
    <w:name w:val="Subtitle"/>
    <w:basedOn w:val="Normal"/>
    <w:next w:val="Normal"/>
    <w:link w:val="SubtitleChar"/>
    <w:rsid w:val="00AA2B6A"/>
    <w:pPr>
      <w:spacing w:before="120" w:after="360"/>
    </w:pPr>
    <w:rPr>
      <w:rFonts w:ascii="Helvetica" w:eastAsia="Times New Roman" w:hAnsi="Helvetica"/>
      <w:color w:val="007FAD"/>
      <w:spacing w:val="-10"/>
      <w:kern w:val="28"/>
      <w:sz w:val="28"/>
      <w:szCs w:val="28"/>
      <w:lang w:val="en-AU" w:eastAsia="en-AU"/>
    </w:rPr>
  </w:style>
  <w:style w:type="character" w:customStyle="1" w:styleId="SubtitleChar">
    <w:name w:val="Subtitle Char"/>
    <w:basedOn w:val="DefaultParagraphFont"/>
    <w:link w:val="Subtitle"/>
    <w:rsid w:val="00AA2B6A"/>
    <w:rPr>
      <w:rFonts w:ascii="Helvetica" w:eastAsia="Times New Roman" w:hAnsi="Helvetica" w:cs="Times New Roman"/>
      <w:color w:val="007FAD"/>
      <w:spacing w:val="-10"/>
      <w:kern w:val="28"/>
      <w:sz w:val="28"/>
      <w:szCs w:val="28"/>
      <w:lang w:val="en-AU" w:eastAsia="en-AU"/>
    </w:rPr>
  </w:style>
  <w:style w:type="paragraph" w:customStyle="1" w:styleId="BoxListBullet">
    <w:name w:val="Box List Bullet"/>
    <w:basedOn w:val="Normal"/>
    <w:rsid w:val="00C4450F"/>
    <w:pPr>
      <w:keepLines/>
      <w:numPr>
        <w:numId w:val="7"/>
      </w:numPr>
      <w:pBdr>
        <w:top w:val="single" w:sz="4" w:space="10" w:color="auto"/>
        <w:left w:val="single" w:sz="4" w:space="10" w:color="auto"/>
        <w:bottom w:val="single" w:sz="4" w:space="10" w:color="auto"/>
        <w:right w:val="single" w:sz="4" w:space="10" w:color="auto"/>
      </w:pBdr>
      <w:shd w:val="clear" w:color="auto" w:fill="C7D5E6"/>
      <w:ind w:left="284" w:hanging="284"/>
      <w:contextualSpacing/>
    </w:pPr>
    <w:rPr>
      <w:rFonts w:ascii="Franklin Gothic Book" w:eastAsia="Times New Roman" w:hAnsi="Franklin Gothic Book"/>
      <w:iCs/>
      <w:sz w:val="20"/>
      <w:szCs w:val="20"/>
      <w:lang w:val="en-AU" w:eastAsia="en-AU"/>
    </w:rPr>
  </w:style>
  <w:style w:type="character" w:customStyle="1" w:styleId="CaptionChar">
    <w:name w:val="Caption Char"/>
    <w:link w:val="Caption"/>
    <w:locked/>
    <w:rsid w:val="00C4450F"/>
    <w:rPr>
      <w:b/>
      <w:iCs/>
      <w:szCs w:val="18"/>
      <w:lang w:val="en-AU"/>
    </w:rPr>
  </w:style>
  <w:style w:type="paragraph" w:styleId="Revision">
    <w:name w:val="Revision"/>
    <w:hidden/>
    <w:uiPriority w:val="99"/>
    <w:semiHidden/>
    <w:rsid w:val="009A2D2A"/>
    <w:rPr>
      <w:lang w:val="en-AU"/>
    </w:rPr>
  </w:style>
  <w:style w:type="numbering" w:customStyle="1" w:styleId="Style1">
    <w:name w:val="Style1"/>
    <w:uiPriority w:val="99"/>
    <w:rsid w:val="006C6725"/>
    <w:pPr>
      <w:numPr>
        <w:numId w:val="8"/>
      </w:numPr>
    </w:pPr>
  </w:style>
  <w:style w:type="paragraph" w:styleId="Header">
    <w:name w:val="header"/>
    <w:basedOn w:val="Normal"/>
    <w:link w:val="HeaderChar"/>
    <w:uiPriority w:val="99"/>
    <w:unhideWhenUsed/>
    <w:rsid w:val="000B68AD"/>
    <w:pPr>
      <w:tabs>
        <w:tab w:val="center" w:pos="4513"/>
        <w:tab w:val="right" w:pos="9026"/>
      </w:tabs>
    </w:pPr>
    <w:rPr>
      <w:lang w:val="en-AU"/>
    </w:rPr>
  </w:style>
  <w:style w:type="character" w:customStyle="1" w:styleId="HeaderChar">
    <w:name w:val="Header Char"/>
    <w:basedOn w:val="DefaultParagraphFont"/>
    <w:link w:val="Header"/>
    <w:uiPriority w:val="99"/>
    <w:rsid w:val="000B68AD"/>
    <w:rPr>
      <w:lang w:val="en-AU"/>
    </w:rPr>
  </w:style>
  <w:style w:type="paragraph" w:styleId="TOCHeading">
    <w:name w:val="TOC Heading"/>
    <w:basedOn w:val="Heading1"/>
    <w:next w:val="Normal"/>
    <w:uiPriority w:val="39"/>
    <w:unhideWhenUsed/>
    <w:qFormat/>
    <w:rsid w:val="00EE51D1"/>
    <w:pPr>
      <w:spacing w:before="480" w:after="0"/>
      <w:outlineLvl w:val="9"/>
    </w:pPr>
    <w:rPr>
      <w:color w:val="365F91" w:themeColor="accent1" w:themeShade="BF"/>
      <w:sz w:val="28"/>
      <w:szCs w:val="28"/>
    </w:rPr>
  </w:style>
  <w:style w:type="paragraph" w:styleId="TOC1">
    <w:name w:val="toc 1"/>
    <w:basedOn w:val="Normal"/>
    <w:next w:val="Normal"/>
    <w:autoRedefine/>
    <w:uiPriority w:val="39"/>
    <w:unhideWhenUsed/>
    <w:rsid w:val="00D27744"/>
    <w:pPr>
      <w:spacing w:before="360" w:after="0"/>
      <w:jc w:val="left"/>
    </w:pPr>
    <w:rPr>
      <w:b/>
      <w:bCs/>
      <w:caps/>
      <w:sz w:val="24"/>
    </w:rPr>
  </w:style>
  <w:style w:type="paragraph" w:styleId="TOC2">
    <w:name w:val="toc 2"/>
    <w:basedOn w:val="Normal"/>
    <w:next w:val="Normal"/>
    <w:autoRedefine/>
    <w:uiPriority w:val="39"/>
    <w:unhideWhenUsed/>
    <w:rsid w:val="00150063"/>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DE3A88"/>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39322E"/>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EE51D1"/>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EE51D1"/>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EE51D1"/>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EE51D1"/>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EE51D1"/>
    <w:pPr>
      <w:spacing w:after="0"/>
      <w:ind w:left="1540"/>
      <w:jc w:val="left"/>
    </w:pPr>
    <w:rPr>
      <w:rFonts w:asciiTheme="minorHAnsi" w:hAnsiTheme="minorHAnsi"/>
      <w:sz w:val="20"/>
      <w:szCs w:val="20"/>
    </w:rPr>
  </w:style>
  <w:style w:type="paragraph" w:styleId="ListBullet">
    <w:name w:val="List Bullet"/>
    <w:basedOn w:val="BodyText"/>
    <w:rsid w:val="007F6ADA"/>
    <w:pPr>
      <w:numPr>
        <w:numId w:val="14"/>
      </w:numPr>
      <w:tabs>
        <w:tab w:val="left" w:pos="284"/>
      </w:tabs>
      <w:spacing w:after="240" w:line="240" w:lineRule="auto"/>
    </w:pPr>
    <w:rPr>
      <w:rFonts w:ascii="Times New Roman" w:eastAsia="Times New Roman" w:hAnsi="Times New Roman"/>
      <w:lang w:val="en-AU"/>
    </w:rPr>
  </w:style>
  <w:style w:type="table" w:customStyle="1" w:styleId="ReportTable">
    <w:name w:val="Report Table"/>
    <w:basedOn w:val="TableGrid"/>
    <w:uiPriority w:val="99"/>
    <w:rsid w:val="0044783D"/>
    <w:rPr>
      <w:sz w:val="20"/>
      <w:szCs w:val="20"/>
      <w:lang w:eastAsia="ja-JP"/>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b/>
        <w:color w:val="FFFFFF"/>
        <w:sz w:val="20"/>
      </w:rPr>
      <w:tblPr/>
      <w:tcPr>
        <w:shd w:val="clear" w:color="auto" w:fill="DA291C"/>
      </w:tcPr>
    </w:tblStylePr>
    <w:tblStylePr w:type="band1Horz">
      <w:tblPr/>
      <w:tcPr>
        <w:tcBorders>
          <w:insideV w:val="nil"/>
        </w:tcBorders>
        <w:shd w:val="clear" w:color="auto" w:fill="FFFFFF"/>
      </w:tcPr>
    </w:tblStylePr>
    <w:tblStylePr w:type="band2Horz">
      <w:rPr>
        <w:rFonts w:ascii="Arial" w:hAnsi="Arial"/>
        <w:sz w:val="20"/>
      </w:rPr>
      <w:tblPr/>
      <w:tcPr>
        <w:tcBorders>
          <w:insideH w:val="nil"/>
          <w:insideV w:val="nil"/>
        </w:tcBorders>
        <w:shd w:val="clear" w:color="auto" w:fill="F2F2F2"/>
      </w:tcPr>
    </w:tblStylePr>
  </w:style>
  <w:style w:type="paragraph" w:customStyle="1" w:styleId="NumberedTitle">
    <w:name w:val="Numbered Title"/>
    <w:basedOn w:val="Heading1"/>
    <w:next w:val="Normal"/>
    <w:link w:val="NumberedTitleChar"/>
    <w:qFormat/>
    <w:rsid w:val="0049395E"/>
    <w:pPr>
      <w:numPr>
        <w:numId w:val="17"/>
      </w:numPr>
      <w:spacing w:before="320" w:after="0"/>
      <w:ind w:left="357" w:hanging="357"/>
    </w:pPr>
    <w:rPr>
      <w:rFonts w:ascii="Arial" w:hAnsi="Arial" w:cs="Arial"/>
      <w:bCs w:val="0"/>
      <w:color w:val="DA291C"/>
      <w:sz w:val="24"/>
      <w:lang w:eastAsia="ja-JP"/>
    </w:rPr>
  </w:style>
  <w:style w:type="character" w:customStyle="1" w:styleId="NumberedTitleChar">
    <w:name w:val="Numbered Title Char"/>
    <w:basedOn w:val="TitleChar"/>
    <w:link w:val="NumberedTitle"/>
    <w:rsid w:val="0049395E"/>
    <w:rPr>
      <w:rFonts w:ascii="Arial" w:eastAsiaTheme="majorEastAsia" w:hAnsi="Arial" w:cs="Arial"/>
      <w:b/>
      <w:color w:val="DA291C"/>
      <w:spacing w:val="-10"/>
      <w:sz w:val="28"/>
      <w:szCs w:val="32"/>
      <w:lang w:val="en-AU" w:eastAsia="ja-JP"/>
    </w:rPr>
  </w:style>
  <w:style w:type="character" w:customStyle="1" w:styleId="ListParagraphChar">
    <w:name w:val="List Paragraph Char"/>
    <w:aliases w:val="List Paragraph1 Char,List Paragraph11 Char,L Char,Recommendation Char,CV text Char,Table text Char,Colorful List - Accent 11 Char,COOP Char,Primary Bullet List Char"/>
    <w:basedOn w:val="DefaultParagraphFont"/>
    <w:link w:val="ListParagraph"/>
    <w:uiPriority w:val="34"/>
    <w:rsid w:val="0049395E"/>
    <w:rPr>
      <w:rFonts w:ascii="Calibri" w:hAnsi="Calibri" w:cs="Times New Roman"/>
      <w:sz w:val="22"/>
      <w:lang w:val="en-AU"/>
    </w:rPr>
  </w:style>
  <w:style w:type="paragraph" w:customStyle="1" w:styleId="SecondLevelNumberedTitle">
    <w:name w:val="Second Level Numbered Title"/>
    <w:basedOn w:val="Heading2"/>
    <w:next w:val="Normal"/>
    <w:link w:val="SecondLevelNumberedTitleChar"/>
    <w:qFormat/>
    <w:rsid w:val="0049395E"/>
    <w:pPr>
      <w:spacing w:before="120"/>
      <w:ind w:left="357"/>
    </w:pPr>
    <w:rPr>
      <w:rFonts w:ascii="Arial" w:hAnsi="Arial" w:cs="Arial"/>
      <w:b w:val="0"/>
      <w:bCs w:val="0"/>
      <w:color w:val="404040" w:themeColor="text1" w:themeTint="BF"/>
      <w:sz w:val="22"/>
      <w:szCs w:val="32"/>
      <w:lang w:val="en-AU" w:eastAsia="ja-JP"/>
    </w:rPr>
  </w:style>
  <w:style w:type="character" w:customStyle="1" w:styleId="SecondLevelNumberedTitleChar">
    <w:name w:val="Second Level Numbered Title Char"/>
    <w:basedOn w:val="Heading1Char"/>
    <w:link w:val="SecondLevelNumberedTitle"/>
    <w:rsid w:val="0049395E"/>
    <w:rPr>
      <w:rFonts w:ascii="Arial" w:eastAsiaTheme="majorEastAsia" w:hAnsi="Arial" w:cs="Arial"/>
      <w:b w:val="0"/>
      <w:bCs w:val="0"/>
      <w:color w:val="404040" w:themeColor="text1" w:themeTint="BF"/>
      <w:sz w:val="22"/>
      <w:szCs w:val="32"/>
      <w:lang w:val="en-AU" w:eastAsia="ja-JP"/>
    </w:rPr>
  </w:style>
  <w:style w:type="paragraph" w:customStyle="1" w:styleId="3rdLevelNumberedTitle">
    <w:name w:val="3rd Level Numbered Title"/>
    <w:basedOn w:val="Normal"/>
    <w:link w:val="3rdLevelNumberedTitleChar"/>
    <w:qFormat/>
    <w:rsid w:val="009311F1"/>
    <w:rPr>
      <w:b/>
      <w:szCs w:val="20"/>
      <w:lang w:val="en-AU" w:eastAsia="ja-JP"/>
    </w:rPr>
  </w:style>
  <w:style w:type="character" w:customStyle="1" w:styleId="3rdLevelNumberedTitleChar">
    <w:name w:val="3rd Level Numbered Title Char"/>
    <w:basedOn w:val="DefaultParagraphFont"/>
    <w:link w:val="3rdLevelNumberedTitle"/>
    <w:rsid w:val="009311F1"/>
    <w:rPr>
      <w:rFonts w:asciiTheme="majorHAnsi" w:hAnsiTheme="majorHAnsi" w:cs="Times New Roman"/>
      <w:b/>
      <w:sz w:val="22"/>
      <w:szCs w:val="20"/>
      <w:lang w:val="en-AU" w:eastAsia="ja-JP"/>
    </w:rPr>
  </w:style>
  <w:style w:type="paragraph" w:customStyle="1" w:styleId="4thLevelHeading">
    <w:name w:val="4th Level Heading"/>
    <w:basedOn w:val="3rdLevelNumberedTitle"/>
    <w:link w:val="4thLevelHeadingChar"/>
    <w:qFormat/>
    <w:rsid w:val="00B83109"/>
    <w:pPr>
      <w:spacing w:before="120"/>
      <w:outlineLvl w:val="3"/>
    </w:pPr>
    <w:rPr>
      <w:b w:val="0"/>
      <w:i/>
    </w:rPr>
  </w:style>
  <w:style w:type="character" w:customStyle="1" w:styleId="4thLevelHeadingChar">
    <w:name w:val="4th Level Heading Char"/>
    <w:basedOn w:val="3rdLevelNumberedTitleChar"/>
    <w:link w:val="4thLevelHeading"/>
    <w:rsid w:val="00B83109"/>
    <w:rPr>
      <w:rFonts w:asciiTheme="majorHAnsi" w:hAnsiTheme="majorHAnsi" w:cs="Times New Roman"/>
      <w:b w:val="0"/>
      <w:i/>
      <w:sz w:val="22"/>
      <w:szCs w:val="20"/>
      <w:lang w:val="en-AU" w:eastAsia="ja-JP"/>
    </w:rPr>
  </w:style>
  <w:style w:type="table" w:customStyle="1" w:styleId="ReportTable1">
    <w:name w:val="Report Table1"/>
    <w:basedOn w:val="TableGrid"/>
    <w:uiPriority w:val="99"/>
    <w:rsid w:val="00963D84"/>
    <w:rPr>
      <w:rFonts w:ascii="Calibri" w:hAnsi="Calibri"/>
      <w:sz w:val="20"/>
      <w:szCs w:val="20"/>
      <w:lang w:eastAsia="ja-JP"/>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rFonts w:ascii="Arial" w:hAnsi="Arial"/>
        <w:b/>
        <w:color w:val="FFFFFF" w:themeColor="background1"/>
        <w:sz w:val="20"/>
      </w:rPr>
      <w:tblPr/>
      <w:tcPr>
        <w:shd w:val="clear" w:color="auto" w:fill="DA291C"/>
      </w:tcPr>
    </w:tblStylePr>
    <w:tblStylePr w:type="band1Horz">
      <w:tblPr/>
      <w:tcPr>
        <w:tcBorders>
          <w:insideV w:val="nil"/>
        </w:tcBorders>
        <w:shd w:val="clear" w:color="auto" w:fill="FFFFFF" w:themeFill="background1"/>
      </w:tcPr>
    </w:tblStylePr>
    <w:tblStylePr w:type="band2Horz">
      <w:rPr>
        <w:rFonts w:ascii="Arial" w:hAnsi="Arial"/>
        <w:sz w:val="20"/>
      </w:rPr>
      <w:tblPr/>
      <w:tcPr>
        <w:tcBorders>
          <w:insideH w:val="nil"/>
          <w:insideV w:val="nil"/>
        </w:tcBorders>
        <w:shd w:val="clear" w:color="auto" w:fill="F2F2F2" w:themeFill="background1" w:themeFillShade="F2"/>
      </w:tcPr>
    </w:tblStylePr>
  </w:style>
  <w:style w:type="paragraph" w:styleId="DocumentMap">
    <w:name w:val="Document Map"/>
    <w:basedOn w:val="Normal"/>
    <w:link w:val="DocumentMapChar"/>
    <w:uiPriority w:val="99"/>
    <w:semiHidden/>
    <w:unhideWhenUsed/>
    <w:rsid w:val="00403CF1"/>
    <w:pPr>
      <w:spacing w:after="0"/>
    </w:pPr>
    <w:rPr>
      <w:rFonts w:ascii="Times New Roman" w:hAnsi="Times New Roman"/>
    </w:rPr>
  </w:style>
  <w:style w:type="character" w:customStyle="1" w:styleId="DocumentMapChar">
    <w:name w:val="Document Map Char"/>
    <w:basedOn w:val="DefaultParagraphFont"/>
    <w:link w:val="DocumentMap"/>
    <w:uiPriority w:val="99"/>
    <w:semiHidden/>
    <w:rsid w:val="00403CF1"/>
    <w:rPr>
      <w:rFonts w:ascii="Times New Roman" w:hAnsi="Times New Roman" w:cs="Times New Roman"/>
    </w:rPr>
  </w:style>
  <w:style w:type="table" w:customStyle="1" w:styleId="ReportTable2">
    <w:name w:val="Report Table2"/>
    <w:basedOn w:val="TableGrid"/>
    <w:uiPriority w:val="99"/>
    <w:rsid w:val="00B47309"/>
    <w:rPr>
      <w:rFonts w:eastAsia="HGMinchoB"/>
      <w:sz w:val="20"/>
      <w:szCs w:val="20"/>
      <w:lang w:eastAsia="ja-JP"/>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b/>
        <w:color w:val="FFFFFF"/>
        <w:sz w:val="20"/>
      </w:rPr>
      <w:tblPr/>
      <w:tcPr>
        <w:shd w:val="clear" w:color="auto" w:fill="DA291C"/>
      </w:tcPr>
    </w:tblStylePr>
    <w:tblStylePr w:type="band1Horz">
      <w:tblPr/>
      <w:tcPr>
        <w:tcBorders>
          <w:insideV w:val="nil"/>
        </w:tcBorders>
        <w:shd w:val="clear" w:color="auto" w:fill="FFFFFF"/>
      </w:tcPr>
    </w:tblStylePr>
    <w:tblStylePr w:type="band2Horz">
      <w:rPr>
        <w:rFonts w:ascii="Arial" w:hAnsi="Arial"/>
        <w:sz w:val="20"/>
      </w:rPr>
      <w:tblPr/>
      <w:tcPr>
        <w:tcBorders>
          <w:insideH w:val="nil"/>
          <w:insideV w:val="nil"/>
        </w:tcBorders>
        <w:shd w:val="clear" w:color="auto" w:fill="F2F2F2"/>
      </w:tcPr>
    </w:tblStylePr>
  </w:style>
  <w:style w:type="paragraph" w:customStyle="1" w:styleId="Appendixtitle">
    <w:name w:val="Appendix title"/>
    <w:basedOn w:val="NumberedTitle"/>
    <w:link w:val="AppendixtitleChar"/>
    <w:qFormat/>
    <w:rsid w:val="00250807"/>
    <w:pPr>
      <w:numPr>
        <w:numId w:val="0"/>
      </w:numPr>
    </w:pPr>
  </w:style>
  <w:style w:type="character" w:customStyle="1" w:styleId="AppendixtitleChar">
    <w:name w:val="Appendix title Char"/>
    <w:basedOn w:val="NumberedTitleChar"/>
    <w:link w:val="Appendixtitle"/>
    <w:rsid w:val="00250807"/>
    <w:rPr>
      <w:rFonts w:ascii="Arial" w:eastAsiaTheme="majorEastAsia" w:hAnsi="Arial" w:cs="Arial"/>
      <w:b/>
      <w:color w:val="DA291C"/>
      <w:spacing w:val="-10"/>
      <w:sz w:val="28"/>
      <w:szCs w:val="32"/>
      <w:lang w:val="en-GB" w:eastAsia="ja-JP"/>
    </w:rPr>
  </w:style>
  <w:style w:type="table" w:customStyle="1" w:styleId="PlainTable11">
    <w:name w:val="Plain Table 11"/>
    <w:basedOn w:val="TableNormal"/>
    <w:uiPriority w:val="41"/>
    <w:rsid w:val="00F6783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EB1D4A"/>
    <w:pPr>
      <w:spacing w:before="100" w:beforeAutospacing="1" w:after="100" w:afterAutospacing="1" w:line="240" w:lineRule="auto"/>
      <w:jc w:val="center"/>
    </w:pPr>
    <w:rPr>
      <w:rFonts w:ascii="Times New Roman" w:eastAsia="Times New Roman" w:hAnsi="Times New Roman"/>
      <w:sz w:val="24"/>
      <w:lang w:val="en-AU" w:eastAsia="en-AU"/>
    </w:rPr>
  </w:style>
  <w:style w:type="paragraph" w:customStyle="1" w:styleId="xl64">
    <w:name w:val="xl64"/>
    <w:basedOn w:val="Normal"/>
    <w:rsid w:val="00EB1D4A"/>
    <w:pPr>
      <w:shd w:val="clear" w:color="000000" w:fill="BFBFBF"/>
      <w:spacing w:before="100" w:beforeAutospacing="1" w:after="100" w:afterAutospacing="1" w:line="240" w:lineRule="auto"/>
      <w:jc w:val="left"/>
    </w:pPr>
    <w:rPr>
      <w:rFonts w:ascii="Times New Roman" w:eastAsia="Times New Roman" w:hAnsi="Times New Roman"/>
      <w:sz w:val="24"/>
      <w:lang w:val="en-AU" w:eastAsia="en-AU"/>
    </w:rPr>
  </w:style>
  <w:style w:type="paragraph" w:customStyle="1" w:styleId="xl65">
    <w:name w:val="xl65"/>
    <w:basedOn w:val="Normal"/>
    <w:rsid w:val="00EB1D4A"/>
    <w:pPr>
      <w:spacing w:before="100" w:beforeAutospacing="1" w:after="100" w:afterAutospacing="1" w:line="240" w:lineRule="auto"/>
      <w:jc w:val="left"/>
      <w:textAlignment w:val="center"/>
    </w:pPr>
    <w:rPr>
      <w:rFonts w:ascii="Times New Roman" w:eastAsia="Times New Roman" w:hAnsi="Times New Roman"/>
      <w:sz w:val="24"/>
      <w:lang w:val="en-AU" w:eastAsia="en-AU"/>
    </w:rPr>
  </w:style>
  <w:style w:type="paragraph" w:customStyle="1" w:styleId="xl66">
    <w:name w:val="xl66"/>
    <w:basedOn w:val="Normal"/>
    <w:rsid w:val="00EB1D4A"/>
    <w:pPr>
      <w:pBdr>
        <w:right w:val="single" w:sz="4" w:space="0" w:color="auto"/>
      </w:pBdr>
      <w:spacing w:before="100" w:beforeAutospacing="1" w:after="100" w:afterAutospacing="1" w:line="240" w:lineRule="auto"/>
      <w:jc w:val="left"/>
    </w:pPr>
    <w:rPr>
      <w:rFonts w:ascii="Times New Roman" w:eastAsia="Times New Roman" w:hAnsi="Times New Roman"/>
      <w:sz w:val="24"/>
      <w:lang w:val="en-AU" w:eastAsia="en-AU"/>
    </w:rPr>
  </w:style>
  <w:style w:type="paragraph" w:customStyle="1" w:styleId="xl67">
    <w:name w:val="xl67"/>
    <w:basedOn w:val="Normal"/>
    <w:rsid w:val="00EB1D4A"/>
    <w:pPr>
      <w:pBdr>
        <w:left w:val="single" w:sz="4" w:space="0" w:color="auto"/>
      </w:pBdr>
      <w:spacing w:before="100" w:beforeAutospacing="1" w:after="100" w:afterAutospacing="1" w:line="240" w:lineRule="auto"/>
      <w:jc w:val="left"/>
    </w:pPr>
    <w:rPr>
      <w:rFonts w:ascii="Times New Roman" w:eastAsia="Times New Roman" w:hAnsi="Times New Roman"/>
      <w:sz w:val="24"/>
      <w:lang w:val="en-AU" w:eastAsia="en-AU"/>
    </w:rPr>
  </w:style>
  <w:style w:type="paragraph" w:customStyle="1" w:styleId="xl68">
    <w:name w:val="xl68"/>
    <w:basedOn w:val="Normal"/>
    <w:rsid w:val="00EB1D4A"/>
    <w:pPr>
      <w:pBdr>
        <w:left w:val="single" w:sz="4" w:space="0" w:color="auto"/>
      </w:pBdr>
      <w:shd w:val="clear" w:color="000000" w:fill="BFBFBF"/>
      <w:spacing w:before="100" w:beforeAutospacing="1" w:after="100" w:afterAutospacing="1" w:line="240" w:lineRule="auto"/>
      <w:jc w:val="left"/>
    </w:pPr>
    <w:rPr>
      <w:rFonts w:ascii="Times New Roman" w:eastAsia="Times New Roman" w:hAnsi="Times New Roman"/>
      <w:sz w:val="24"/>
      <w:lang w:val="en-AU" w:eastAsia="en-AU"/>
    </w:rPr>
  </w:style>
  <w:style w:type="paragraph" w:customStyle="1" w:styleId="xl69">
    <w:name w:val="xl69"/>
    <w:basedOn w:val="Normal"/>
    <w:rsid w:val="00EB1D4A"/>
    <w:pPr>
      <w:pBdr>
        <w:left w:val="single" w:sz="4" w:space="0" w:color="auto"/>
      </w:pBdr>
      <w:spacing w:before="100" w:beforeAutospacing="1" w:after="100" w:afterAutospacing="1" w:line="240" w:lineRule="auto"/>
      <w:jc w:val="left"/>
      <w:textAlignment w:val="center"/>
    </w:pPr>
    <w:rPr>
      <w:rFonts w:ascii="Times New Roman" w:eastAsia="Times New Roman" w:hAnsi="Times New Roman"/>
      <w:sz w:val="24"/>
      <w:lang w:val="en-AU" w:eastAsia="en-AU"/>
    </w:rPr>
  </w:style>
  <w:style w:type="paragraph" w:customStyle="1" w:styleId="xl70">
    <w:name w:val="xl70"/>
    <w:basedOn w:val="Normal"/>
    <w:rsid w:val="00EB1D4A"/>
    <w:pPr>
      <w:pBdr>
        <w:left w:val="single" w:sz="4" w:space="0" w:color="auto"/>
      </w:pBdr>
      <w:spacing w:before="100" w:beforeAutospacing="1" w:after="100" w:afterAutospacing="1" w:line="240" w:lineRule="auto"/>
      <w:jc w:val="center"/>
    </w:pPr>
    <w:rPr>
      <w:rFonts w:ascii="Times New Roman" w:eastAsia="Times New Roman" w:hAnsi="Times New Roman"/>
      <w:sz w:val="24"/>
      <w:lang w:val="en-AU" w:eastAsia="en-AU"/>
    </w:rPr>
  </w:style>
  <w:style w:type="paragraph" w:customStyle="1" w:styleId="xl71">
    <w:name w:val="xl71"/>
    <w:basedOn w:val="Normal"/>
    <w:rsid w:val="00EB1D4A"/>
    <w:pPr>
      <w:pBdr>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lang w:val="en-AU" w:eastAsia="en-AU"/>
    </w:rPr>
  </w:style>
  <w:style w:type="paragraph" w:customStyle="1" w:styleId="xl72">
    <w:name w:val="xl72"/>
    <w:basedOn w:val="Normal"/>
    <w:rsid w:val="00EB1D4A"/>
    <w:pPr>
      <w:pBdr>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sz w:val="24"/>
      <w:lang w:val="en-AU" w:eastAsia="en-AU"/>
    </w:rPr>
  </w:style>
  <w:style w:type="paragraph" w:customStyle="1" w:styleId="xl73">
    <w:name w:val="xl73"/>
    <w:basedOn w:val="Normal"/>
    <w:rsid w:val="00EB1D4A"/>
    <w:pPr>
      <w:pBdr>
        <w:left w:val="single" w:sz="4" w:space="0" w:color="auto"/>
      </w:pBdr>
      <w:spacing w:before="100" w:beforeAutospacing="1" w:after="100" w:afterAutospacing="1" w:line="240" w:lineRule="auto"/>
      <w:jc w:val="left"/>
    </w:pPr>
    <w:rPr>
      <w:rFonts w:ascii="Times New Roman" w:eastAsia="Times New Roman" w:hAnsi="Times New Roman"/>
      <w:b/>
      <w:bCs/>
      <w:sz w:val="24"/>
      <w:lang w:val="en-AU" w:eastAsia="en-AU"/>
    </w:rPr>
  </w:style>
  <w:style w:type="paragraph" w:customStyle="1" w:styleId="xl74">
    <w:name w:val="xl74"/>
    <w:basedOn w:val="Normal"/>
    <w:rsid w:val="00EB1D4A"/>
    <w:pPr>
      <w:pBdr>
        <w:top w:val="single" w:sz="4" w:space="0" w:color="auto"/>
        <w:left w:val="single" w:sz="4" w:space="0" w:color="auto"/>
      </w:pBdr>
      <w:spacing w:before="100" w:beforeAutospacing="1" w:after="100" w:afterAutospacing="1" w:line="240" w:lineRule="auto"/>
      <w:jc w:val="left"/>
    </w:pPr>
    <w:rPr>
      <w:rFonts w:ascii="Times New Roman" w:eastAsia="Times New Roman" w:hAnsi="Times New Roman"/>
      <w:sz w:val="24"/>
      <w:lang w:val="en-AU" w:eastAsia="en-AU"/>
    </w:rPr>
  </w:style>
  <w:style w:type="paragraph" w:customStyle="1" w:styleId="xl75">
    <w:name w:val="xl75"/>
    <w:basedOn w:val="Normal"/>
    <w:rsid w:val="00EB1D4A"/>
    <w:pPr>
      <w:pBdr>
        <w:top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lang w:val="en-AU" w:eastAsia="en-AU"/>
    </w:rPr>
  </w:style>
  <w:style w:type="paragraph" w:customStyle="1" w:styleId="xl76">
    <w:name w:val="xl76"/>
    <w:basedOn w:val="Normal"/>
    <w:rsid w:val="00EB1D4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lang w:val="en-AU" w:eastAsia="en-AU"/>
    </w:rPr>
  </w:style>
  <w:style w:type="paragraph" w:customStyle="1" w:styleId="xl77">
    <w:name w:val="xl77"/>
    <w:basedOn w:val="Normal"/>
    <w:rsid w:val="00EB1D4A"/>
    <w:pPr>
      <w:pBdr>
        <w:top w:val="single" w:sz="4" w:space="0" w:color="auto"/>
      </w:pBdr>
      <w:spacing w:before="100" w:beforeAutospacing="1" w:after="100" w:afterAutospacing="1" w:line="240" w:lineRule="auto"/>
      <w:jc w:val="center"/>
    </w:pPr>
    <w:rPr>
      <w:rFonts w:ascii="Times New Roman" w:eastAsia="Times New Roman" w:hAnsi="Times New Roman"/>
      <w:sz w:val="24"/>
      <w:lang w:val="en-AU" w:eastAsia="en-AU"/>
    </w:rPr>
  </w:style>
  <w:style w:type="paragraph" w:customStyle="1" w:styleId="xl78">
    <w:name w:val="xl78"/>
    <w:basedOn w:val="Normal"/>
    <w:rsid w:val="00EB1D4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lang w:val="en-AU" w:eastAsia="en-AU"/>
    </w:rPr>
  </w:style>
  <w:style w:type="paragraph" w:customStyle="1" w:styleId="xl79">
    <w:name w:val="xl79"/>
    <w:basedOn w:val="Normal"/>
    <w:rsid w:val="00EB1D4A"/>
    <w:pPr>
      <w:pBdr>
        <w:bottom w:val="single" w:sz="4" w:space="0" w:color="auto"/>
      </w:pBdr>
      <w:spacing w:before="100" w:beforeAutospacing="1" w:after="100" w:afterAutospacing="1" w:line="240" w:lineRule="auto"/>
      <w:jc w:val="center"/>
    </w:pPr>
    <w:rPr>
      <w:rFonts w:ascii="Times New Roman" w:eastAsia="Times New Roman" w:hAnsi="Times New Roman"/>
      <w:sz w:val="24"/>
      <w:lang w:val="en-AU" w:eastAsia="en-AU"/>
    </w:rPr>
  </w:style>
  <w:style w:type="paragraph" w:customStyle="1" w:styleId="xl80">
    <w:name w:val="xl80"/>
    <w:basedOn w:val="Normal"/>
    <w:rsid w:val="00EB1D4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lang w:val="en-AU" w:eastAsia="en-AU"/>
    </w:rPr>
  </w:style>
  <w:style w:type="paragraph" w:customStyle="1" w:styleId="xl81">
    <w:name w:val="xl81"/>
    <w:basedOn w:val="Normal"/>
    <w:rsid w:val="00EB1D4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lang w:val="en-AU" w:eastAsia="en-AU"/>
    </w:rPr>
  </w:style>
  <w:style w:type="table" w:customStyle="1" w:styleId="TableGridLight1">
    <w:name w:val="Table Grid Light1"/>
    <w:basedOn w:val="TableNormal"/>
    <w:uiPriority w:val="40"/>
    <w:rsid w:val="00784A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eportTable11">
    <w:name w:val="Report Table11"/>
    <w:basedOn w:val="TableGrid"/>
    <w:uiPriority w:val="99"/>
    <w:rsid w:val="0007129B"/>
    <w:rPr>
      <w:rFonts w:ascii="Calibri" w:hAnsi="Calibri"/>
      <w:sz w:val="20"/>
      <w:szCs w:val="20"/>
      <w:lang w:eastAsia="ja-JP"/>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rFonts w:ascii="Arial" w:hAnsi="Arial"/>
        <w:b/>
        <w:color w:val="FFFFFF" w:themeColor="background1"/>
        <w:sz w:val="20"/>
      </w:rPr>
      <w:tblPr/>
      <w:tcPr>
        <w:shd w:val="clear" w:color="auto" w:fill="DA291C"/>
      </w:tcPr>
    </w:tblStylePr>
    <w:tblStylePr w:type="band1Horz">
      <w:tblPr/>
      <w:tcPr>
        <w:tcBorders>
          <w:insideV w:val="nil"/>
        </w:tcBorders>
        <w:shd w:val="clear" w:color="auto" w:fill="FFFFFF" w:themeFill="background1"/>
      </w:tcPr>
    </w:tblStylePr>
    <w:tblStylePr w:type="band2Horz">
      <w:rPr>
        <w:rFonts w:ascii="Arial" w:hAnsi="Arial"/>
        <w:sz w:val="20"/>
      </w:rPr>
      <w:tblPr/>
      <w:tcPr>
        <w:tcBorders>
          <w:insideH w:val="nil"/>
          <w:insideV w:val="nil"/>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9216">
      <w:bodyDiv w:val="1"/>
      <w:marLeft w:val="0"/>
      <w:marRight w:val="0"/>
      <w:marTop w:val="0"/>
      <w:marBottom w:val="0"/>
      <w:divBdr>
        <w:top w:val="none" w:sz="0" w:space="0" w:color="auto"/>
        <w:left w:val="none" w:sz="0" w:space="0" w:color="auto"/>
        <w:bottom w:val="none" w:sz="0" w:space="0" w:color="auto"/>
        <w:right w:val="none" w:sz="0" w:space="0" w:color="auto"/>
      </w:divBdr>
    </w:div>
    <w:div w:id="22020421">
      <w:bodyDiv w:val="1"/>
      <w:marLeft w:val="0"/>
      <w:marRight w:val="0"/>
      <w:marTop w:val="0"/>
      <w:marBottom w:val="0"/>
      <w:divBdr>
        <w:top w:val="none" w:sz="0" w:space="0" w:color="auto"/>
        <w:left w:val="none" w:sz="0" w:space="0" w:color="auto"/>
        <w:bottom w:val="none" w:sz="0" w:space="0" w:color="auto"/>
        <w:right w:val="none" w:sz="0" w:space="0" w:color="auto"/>
      </w:divBdr>
    </w:div>
    <w:div w:id="33121209">
      <w:bodyDiv w:val="1"/>
      <w:marLeft w:val="0"/>
      <w:marRight w:val="0"/>
      <w:marTop w:val="0"/>
      <w:marBottom w:val="0"/>
      <w:divBdr>
        <w:top w:val="none" w:sz="0" w:space="0" w:color="auto"/>
        <w:left w:val="none" w:sz="0" w:space="0" w:color="auto"/>
        <w:bottom w:val="none" w:sz="0" w:space="0" w:color="auto"/>
        <w:right w:val="none" w:sz="0" w:space="0" w:color="auto"/>
      </w:divBdr>
    </w:div>
    <w:div w:id="35276278">
      <w:bodyDiv w:val="1"/>
      <w:marLeft w:val="0"/>
      <w:marRight w:val="0"/>
      <w:marTop w:val="0"/>
      <w:marBottom w:val="0"/>
      <w:divBdr>
        <w:top w:val="none" w:sz="0" w:space="0" w:color="auto"/>
        <w:left w:val="none" w:sz="0" w:space="0" w:color="auto"/>
        <w:bottom w:val="none" w:sz="0" w:space="0" w:color="auto"/>
        <w:right w:val="none" w:sz="0" w:space="0" w:color="auto"/>
      </w:divBdr>
    </w:div>
    <w:div w:id="36975433">
      <w:bodyDiv w:val="1"/>
      <w:marLeft w:val="0"/>
      <w:marRight w:val="0"/>
      <w:marTop w:val="0"/>
      <w:marBottom w:val="0"/>
      <w:divBdr>
        <w:top w:val="none" w:sz="0" w:space="0" w:color="auto"/>
        <w:left w:val="none" w:sz="0" w:space="0" w:color="auto"/>
        <w:bottom w:val="none" w:sz="0" w:space="0" w:color="auto"/>
        <w:right w:val="none" w:sz="0" w:space="0" w:color="auto"/>
      </w:divBdr>
    </w:div>
    <w:div w:id="39208179">
      <w:bodyDiv w:val="1"/>
      <w:marLeft w:val="0"/>
      <w:marRight w:val="0"/>
      <w:marTop w:val="0"/>
      <w:marBottom w:val="0"/>
      <w:divBdr>
        <w:top w:val="none" w:sz="0" w:space="0" w:color="auto"/>
        <w:left w:val="none" w:sz="0" w:space="0" w:color="auto"/>
        <w:bottom w:val="none" w:sz="0" w:space="0" w:color="auto"/>
        <w:right w:val="none" w:sz="0" w:space="0" w:color="auto"/>
      </w:divBdr>
    </w:div>
    <w:div w:id="40638038">
      <w:bodyDiv w:val="1"/>
      <w:marLeft w:val="0"/>
      <w:marRight w:val="0"/>
      <w:marTop w:val="0"/>
      <w:marBottom w:val="0"/>
      <w:divBdr>
        <w:top w:val="none" w:sz="0" w:space="0" w:color="auto"/>
        <w:left w:val="none" w:sz="0" w:space="0" w:color="auto"/>
        <w:bottom w:val="none" w:sz="0" w:space="0" w:color="auto"/>
        <w:right w:val="none" w:sz="0" w:space="0" w:color="auto"/>
      </w:divBdr>
    </w:div>
    <w:div w:id="44061576">
      <w:bodyDiv w:val="1"/>
      <w:marLeft w:val="0"/>
      <w:marRight w:val="0"/>
      <w:marTop w:val="0"/>
      <w:marBottom w:val="0"/>
      <w:divBdr>
        <w:top w:val="none" w:sz="0" w:space="0" w:color="auto"/>
        <w:left w:val="none" w:sz="0" w:space="0" w:color="auto"/>
        <w:bottom w:val="none" w:sz="0" w:space="0" w:color="auto"/>
        <w:right w:val="none" w:sz="0" w:space="0" w:color="auto"/>
      </w:divBdr>
    </w:div>
    <w:div w:id="44263207">
      <w:bodyDiv w:val="1"/>
      <w:marLeft w:val="0"/>
      <w:marRight w:val="0"/>
      <w:marTop w:val="0"/>
      <w:marBottom w:val="0"/>
      <w:divBdr>
        <w:top w:val="none" w:sz="0" w:space="0" w:color="auto"/>
        <w:left w:val="none" w:sz="0" w:space="0" w:color="auto"/>
        <w:bottom w:val="none" w:sz="0" w:space="0" w:color="auto"/>
        <w:right w:val="none" w:sz="0" w:space="0" w:color="auto"/>
      </w:divBdr>
    </w:div>
    <w:div w:id="45373890">
      <w:bodyDiv w:val="1"/>
      <w:marLeft w:val="0"/>
      <w:marRight w:val="0"/>
      <w:marTop w:val="0"/>
      <w:marBottom w:val="0"/>
      <w:divBdr>
        <w:top w:val="none" w:sz="0" w:space="0" w:color="auto"/>
        <w:left w:val="none" w:sz="0" w:space="0" w:color="auto"/>
        <w:bottom w:val="none" w:sz="0" w:space="0" w:color="auto"/>
        <w:right w:val="none" w:sz="0" w:space="0" w:color="auto"/>
      </w:divBdr>
    </w:div>
    <w:div w:id="46538897">
      <w:bodyDiv w:val="1"/>
      <w:marLeft w:val="0"/>
      <w:marRight w:val="0"/>
      <w:marTop w:val="0"/>
      <w:marBottom w:val="0"/>
      <w:divBdr>
        <w:top w:val="none" w:sz="0" w:space="0" w:color="auto"/>
        <w:left w:val="none" w:sz="0" w:space="0" w:color="auto"/>
        <w:bottom w:val="none" w:sz="0" w:space="0" w:color="auto"/>
        <w:right w:val="none" w:sz="0" w:space="0" w:color="auto"/>
      </w:divBdr>
    </w:div>
    <w:div w:id="48038394">
      <w:bodyDiv w:val="1"/>
      <w:marLeft w:val="0"/>
      <w:marRight w:val="0"/>
      <w:marTop w:val="0"/>
      <w:marBottom w:val="0"/>
      <w:divBdr>
        <w:top w:val="none" w:sz="0" w:space="0" w:color="auto"/>
        <w:left w:val="none" w:sz="0" w:space="0" w:color="auto"/>
        <w:bottom w:val="none" w:sz="0" w:space="0" w:color="auto"/>
        <w:right w:val="none" w:sz="0" w:space="0" w:color="auto"/>
      </w:divBdr>
    </w:div>
    <w:div w:id="52508497">
      <w:bodyDiv w:val="1"/>
      <w:marLeft w:val="0"/>
      <w:marRight w:val="0"/>
      <w:marTop w:val="0"/>
      <w:marBottom w:val="0"/>
      <w:divBdr>
        <w:top w:val="none" w:sz="0" w:space="0" w:color="auto"/>
        <w:left w:val="none" w:sz="0" w:space="0" w:color="auto"/>
        <w:bottom w:val="none" w:sz="0" w:space="0" w:color="auto"/>
        <w:right w:val="none" w:sz="0" w:space="0" w:color="auto"/>
      </w:divBdr>
    </w:div>
    <w:div w:id="63379378">
      <w:bodyDiv w:val="1"/>
      <w:marLeft w:val="0"/>
      <w:marRight w:val="0"/>
      <w:marTop w:val="0"/>
      <w:marBottom w:val="0"/>
      <w:divBdr>
        <w:top w:val="none" w:sz="0" w:space="0" w:color="auto"/>
        <w:left w:val="none" w:sz="0" w:space="0" w:color="auto"/>
        <w:bottom w:val="none" w:sz="0" w:space="0" w:color="auto"/>
        <w:right w:val="none" w:sz="0" w:space="0" w:color="auto"/>
      </w:divBdr>
    </w:div>
    <w:div w:id="66540781">
      <w:bodyDiv w:val="1"/>
      <w:marLeft w:val="0"/>
      <w:marRight w:val="0"/>
      <w:marTop w:val="0"/>
      <w:marBottom w:val="0"/>
      <w:divBdr>
        <w:top w:val="none" w:sz="0" w:space="0" w:color="auto"/>
        <w:left w:val="none" w:sz="0" w:space="0" w:color="auto"/>
        <w:bottom w:val="none" w:sz="0" w:space="0" w:color="auto"/>
        <w:right w:val="none" w:sz="0" w:space="0" w:color="auto"/>
      </w:divBdr>
    </w:div>
    <w:div w:id="69079596">
      <w:bodyDiv w:val="1"/>
      <w:marLeft w:val="0"/>
      <w:marRight w:val="0"/>
      <w:marTop w:val="0"/>
      <w:marBottom w:val="0"/>
      <w:divBdr>
        <w:top w:val="none" w:sz="0" w:space="0" w:color="auto"/>
        <w:left w:val="none" w:sz="0" w:space="0" w:color="auto"/>
        <w:bottom w:val="none" w:sz="0" w:space="0" w:color="auto"/>
        <w:right w:val="none" w:sz="0" w:space="0" w:color="auto"/>
      </w:divBdr>
    </w:div>
    <w:div w:id="73943399">
      <w:bodyDiv w:val="1"/>
      <w:marLeft w:val="0"/>
      <w:marRight w:val="0"/>
      <w:marTop w:val="0"/>
      <w:marBottom w:val="0"/>
      <w:divBdr>
        <w:top w:val="none" w:sz="0" w:space="0" w:color="auto"/>
        <w:left w:val="none" w:sz="0" w:space="0" w:color="auto"/>
        <w:bottom w:val="none" w:sz="0" w:space="0" w:color="auto"/>
        <w:right w:val="none" w:sz="0" w:space="0" w:color="auto"/>
      </w:divBdr>
    </w:div>
    <w:div w:id="74472831">
      <w:bodyDiv w:val="1"/>
      <w:marLeft w:val="0"/>
      <w:marRight w:val="0"/>
      <w:marTop w:val="0"/>
      <w:marBottom w:val="0"/>
      <w:divBdr>
        <w:top w:val="none" w:sz="0" w:space="0" w:color="auto"/>
        <w:left w:val="none" w:sz="0" w:space="0" w:color="auto"/>
        <w:bottom w:val="none" w:sz="0" w:space="0" w:color="auto"/>
        <w:right w:val="none" w:sz="0" w:space="0" w:color="auto"/>
      </w:divBdr>
    </w:div>
    <w:div w:id="75176745">
      <w:bodyDiv w:val="1"/>
      <w:marLeft w:val="0"/>
      <w:marRight w:val="0"/>
      <w:marTop w:val="0"/>
      <w:marBottom w:val="0"/>
      <w:divBdr>
        <w:top w:val="none" w:sz="0" w:space="0" w:color="auto"/>
        <w:left w:val="none" w:sz="0" w:space="0" w:color="auto"/>
        <w:bottom w:val="none" w:sz="0" w:space="0" w:color="auto"/>
        <w:right w:val="none" w:sz="0" w:space="0" w:color="auto"/>
      </w:divBdr>
    </w:div>
    <w:div w:id="76901675">
      <w:bodyDiv w:val="1"/>
      <w:marLeft w:val="0"/>
      <w:marRight w:val="0"/>
      <w:marTop w:val="0"/>
      <w:marBottom w:val="0"/>
      <w:divBdr>
        <w:top w:val="none" w:sz="0" w:space="0" w:color="auto"/>
        <w:left w:val="none" w:sz="0" w:space="0" w:color="auto"/>
        <w:bottom w:val="none" w:sz="0" w:space="0" w:color="auto"/>
        <w:right w:val="none" w:sz="0" w:space="0" w:color="auto"/>
      </w:divBdr>
    </w:div>
    <w:div w:id="76949996">
      <w:bodyDiv w:val="1"/>
      <w:marLeft w:val="0"/>
      <w:marRight w:val="0"/>
      <w:marTop w:val="0"/>
      <w:marBottom w:val="0"/>
      <w:divBdr>
        <w:top w:val="none" w:sz="0" w:space="0" w:color="auto"/>
        <w:left w:val="none" w:sz="0" w:space="0" w:color="auto"/>
        <w:bottom w:val="none" w:sz="0" w:space="0" w:color="auto"/>
        <w:right w:val="none" w:sz="0" w:space="0" w:color="auto"/>
      </w:divBdr>
    </w:div>
    <w:div w:id="81143047">
      <w:bodyDiv w:val="1"/>
      <w:marLeft w:val="0"/>
      <w:marRight w:val="0"/>
      <w:marTop w:val="0"/>
      <w:marBottom w:val="0"/>
      <w:divBdr>
        <w:top w:val="none" w:sz="0" w:space="0" w:color="auto"/>
        <w:left w:val="none" w:sz="0" w:space="0" w:color="auto"/>
        <w:bottom w:val="none" w:sz="0" w:space="0" w:color="auto"/>
        <w:right w:val="none" w:sz="0" w:space="0" w:color="auto"/>
      </w:divBdr>
    </w:div>
    <w:div w:id="90011629">
      <w:bodyDiv w:val="1"/>
      <w:marLeft w:val="0"/>
      <w:marRight w:val="0"/>
      <w:marTop w:val="0"/>
      <w:marBottom w:val="0"/>
      <w:divBdr>
        <w:top w:val="none" w:sz="0" w:space="0" w:color="auto"/>
        <w:left w:val="none" w:sz="0" w:space="0" w:color="auto"/>
        <w:bottom w:val="none" w:sz="0" w:space="0" w:color="auto"/>
        <w:right w:val="none" w:sz="0" w:space="0" w:color="auto"/>
      </w:divBdr>
    </w:div>
    <w:div w:id="96562379">
      <w:bodyDiv w:val="1"/>
      <w:marLeft w:val="0"/>
      <w:marRight w:val="0"/>
      <w:marTop w:val="0"/>
      <w:marBottom w:val="0"/>
      <w:divBdr>
        <w:top w:val="none" w:sz="0" w:space="0" w:color="auto"/>
        <w:left w:val="none" w:sz="0" w:space="0" w:color="auto"/>
        <w:bottom w:val="none" w:sz="0" w:space="0" w:color="auto"/>
        <w:right w:val="none" w:sz="0" w:space="0" w:color="auto"/>
      </w:divBdr>
    </w:div>
    <w:div w:id="107746281">
      <w:bodyDiv w:val="1"/>
      <w:marLeft w:val="0"/>
      <w:marRight w:val="0"/>
      <w:marTop w:val="0"/>
      <w:marBottom w:val="0"/>
      <w:divBdr>
        <w:top w:val="none" w:sz="0" w:space="0" w:color="auto"/>
        <w:left w:val="none" w:sz="0" w:space="0" w:color="auto"/>
        <w:bottom w:val="none" w:sz="0" w:space="0" w:color="auto"/>
        <w:right w:val="none" w:sz="0" w:space="0" w:color="auto"/>
      </w:divBdr>
    </w:div>
    <w:div w:id="108546410">
      <w:bodyDiv w:val="1"/>
      <w:marLeft w:val="0"/>
      <w:marRight w:val="0"/>
      <w:marTop w:val="0"/>
      <w:marBottom w:val="0"/>
      <w:divBdr>
        <w:top w:val="none" w:sz="0" w:space="0" w:color="auto"/>
        <w:left w:val="none" w:sz="0" w:space="0" w:color="auto"/>
        <w:bottom w:val="none" w:sz="0" w:space="0" w:color="auto"/>
        <w:right w:val="none" w:sz="0" w:space="0" w:color="auto"/>
      </w:divBdr>
    </w:div>
    <w:div w:id="116529618">
      <w:bodyDiv w:val="1"/>
      <w:marLeft w:val="0"/>
      <w:marRight w:val="0"/>
      <w:marTop w:val="0"/>
      <w:marBottom w:val="0"/>
      <w:divBdr>
        <w:top w:val="none" w:sz="0" w:space="0" w:color="auto"/>
        <w:left w:val="none" w:sz="0" w:space="0" w:color="auto"/>
        <w:bottom w:val="none" w:sz="0" w:space="0" w:color="auto"/>
        <w:right w:val="none" w:sz="0" w:space="0" w:color="auto"/>
      </w:divBdr>
    </w:div>
    <w:div w:id="125857782">
      <w:bodyDiv w:val="1"/>
      <w:marLeft w:val="0"/>
      <w:marRight w:val="0"/>
      <w:marTop w:val="0"/>
      <w:marBottom w:val="0"/>
      <w:divBdr>
        <w:top w:val="none" w:sz="0" w:space="0" w:color="auto"/>
        <w:left w:val="none" w:sz="0" w:space="0" w:color="auto"/>
        <w:bottom w:val="none" w:sz="0" w:space="0" w:color="auto"/>
        <w:right w:val="none" w:sz="0" w:space="0" w:color="auto"/>
      </w:divBdr>
    </w:div>
    <w:div w:id="125975168">
      <w:bodyDiv w:val="1"/>
      <w:marLeft w:val="0"/>
      <w:marRight w:val="0"/>
      <w:marTop w:val="0"/>
      <w:marBottom w:val="0"/>
      <w:divBdr>
        <w:top w:val="none" w:sz="0" w:space="0" w:color="auto"/>
        <w:left w:val="none" w:sz="0" w:space="0" w:color="auto"/>
        <w:bottom w:val="none" w:sz="0" w:space="0" w:color="auto"/>
        <w:right w:val="none" w:sz="0" w:space="0" w:color="auto"/>
      </w:divBdr>
    </w:div>
    <w:div w:id="134223339">
      <w:bodyDiv w:val="1"/>
      <w:marLeft w:val="0"/>
      <w:marRight w:val="0"/>
      <w:marTop w:val="0"/>
      <w:marBottom w:val="0"/>
      <w:divBdr>
        <w:top w:val="none" w:sz="0" w:space="0" w:color="auto"/>
        <w:left w:val="none" w:sz="0" w:space="0" w:color="auto"/>
        <w:bottom w:val="none" w:sz="0" w:space="0" w:color="auto"/>
        <w:right w:val="none" w:sz="0" w:space="0" w:color="auto"/>
      </w:divBdr>
    </w:div>
    <w:div w:id="136341650">
      <w:bodyDiv w:val="1"/>
      <w:marLeft w:val="0"/>
      <w:marRight w:val="0"/>
      <w:marTop w:val="0"/>
      <w:marBottom w:val="0"/>
      <w:divBdr>
        <w:top w:val="none" w:sz="0" w:space="0" w:color="auto"/>
        <w:left w:val="none" w:sz="0" w:space="0" w:color="auto"/>
        <w:bottom w:val="none" w:sz="0" w:space="0" w:color="auto"/>
        <w:right w:val="none" w:sz="0" w:space="0" w:color="auto"/>
      </w:divBdr>
    </w:div>
    <w:div w:id="142892490">
      <w:bodyDiv w:val="1"/>
      <w:marLeft w:val="0"/>
      <w:marRight w:val="0"/>
      <w:marTop w:val="0"/>
      <w:marBottom w:val="0"/>
      <w:divBdr>
        <w:top w:val="none" w:sz="0" w:space="0" w:color="auto"/>
        <w:left w:val="none" w:sz="0" w:space="0" w:color="auto"/>
        <w:bottom w:val="none" w:sz="0" w:space="0" w:color="auto"/>
        <w:right w:val="none" w:sz="0" w:space="0" w:color="auto"/>
      </w:divBdr>
    </w:div>
    <w:div w:id="151066871">
      <w:bodyDiv w:val="1"/>
      <w:marLeft w:val="0"/>
      <w:marRight w:val="0"/>
      <w:marTop w:val="0"/>
      <w:marBottom w:val="0"/>
      <w:divBdr>
        <w:top w:val="none" w:sz="0" w:space="0" w:color="auto"/>
        <w:left w:val="none" w:sz="0" w:space="0" w:color="auto"/>
        <w:bottom w:val="none" w:sz="0" w:space="0" w:color="auto"/>
        <w:right w:val="none" w:sz="0" w:space="0" w:color="auto"/>
      </w:divBdr>
    </w:div>
    <w:div w:id="157159197">
      <w:bodyDiv w:val="1"/>
      <w:marLeft w:val="0"/>
      <w:marRight w:val="0"/>
      <w:marTop w:val="0"/>
      <w:marBottom w:val="0"/>
      <w:divBdr>
        <w:top w:val="none" w:sz="0" w:space="0" w:color="auto"/>
        <w:left w:val="none" w:sz="0" w:space="0" w:color="auto"/>
        <w:bottom w:val="none" w:sz="0" w:space="0" w:color="auto"/>
        <w:right w:val="none" w:sz="0" w:space="0" w:color="auto"/>
      </w:divBdr>
    </w:div>
    <w:div w:id="165874871">
      <w:bodyDiv w:val="1"/>
      <w:marLeft w:val="0"/>
      <w:marRight w:val="0"/>
      <w:marTop w:val="0"/>
      <w:marBottom w:val="0"/>
      <w:divBdr>
        <w:top w:val="none" w:sz="0" w:space="0" w:color="auto"/>
        <w:left w:val="none" w:sz="0" w:space="0" w:color="auto"/>
        <w:bottom w:val="none" w:sz="0" w:space="0" w:color="auto"/>
        <w:right w:val="none" w:sz="0" w:space="0" w:color="auto"/>
      </w:divBdr>
    </w:div>
    <w:div w:id="168838386">
      <w:bodyDiv w:val="1"/>
      <w:marLeft w:val="0"/>
      <w:marRight w:val="0"/>
      <w:marTop w:val="0"/>
      <w:marBottom w:val="0"/>
      <w:divBdr>
        <w:top w:val="none" w:sz="0" w:space="0" w:color="auto"/>
        <w:left w:val="none" w:sz="0" w:space="0" w:color="auto"/>
        <w:bottom w:val="none" w:sz="0" w:space="0" w:color="auto"/>
        <w:right w:val="none" w:sz="0" w:space="0" w:color="auto"/>
      </w:divBdr>
    </w:div>
    <w:div w:id="176509162">
      <w:bodyDiv w:val="1"/>
      <w:marLeft w:val="0"/>
      <w:marRight w:val="0"/>
      <w:marTop w:val="0"/>
      <w:marBottom w:val="0"/>
      <w:divBdr>
        <w:top w:val="none" w:sz="0" w:space="0" w:color="auto"/>
        <w:left w:val="none" w:sz="0" w:space="0" w:color="auto"/>
        <w:bottom w:val="none" w:sz="0" w:space="0" w:color="auto"/>
        <w:right w:val="none" w:sz="0" w:space="0" w:color="auto"/>
      </w:divBdr>
    </w:div>
    <w:div w:id="196158960">
      <w:bodyDiv w:val="1"/>
      <w:marLeft w:val="0"/>
      <w:marRight w:val="0"/>
      <w:marTop w:val="0"/>
      <w:marBottom w:val="0"/>
      <w:divBdr>
        <w:top w:val="none" w:sz="0" w:space="0" w:color="auto"/>
        <w:left w:val="none" w:sz="0" w:space="0" w:color="auto"/>
        <w:bottom w:val="none" w:sz="0" w:space="0" w:color="auto"/>
        <w:right w:val="none" w:sz="0" w:space="0" w:color="auto"/>
      </w:divBdr>
    </w:div>
    <w:div w:id="200290110">
      <w:bodyDiv w:val="1"/>
      <w:marLeft w:val="0"/>
      <w:marRight w:val="0"/>
      <w:marTop w:val="0"/>
      <w:marBottom w:val="0"/>
      <w:divBdr>
        <w:top w:val="none" w:sz="0" w:space="0" w:color="auto"/>
        <w:left w:val="none" w:sz="0" w:space="0" w:color="auto"/>
        <w:bottom w:val="none" w:sz="0" w:space="0" w:color="auto"/>
        <w:right w:val="none" w:sz="0" w:space="0" w:color="auto"/>
      </w:divBdr>
    </w:div>
    <w:div w:id="209613860">
      <w:bodyDiv w:val="1"/>
      <w:marLeft w:val="0"/>
      <w:marRight w:val="0"/>
      <w:marTop w:val="0"/>
      <w:marBottom w:val="0"/>
      <w:divBdr>
        <w:top w:val="none" w:sz="0" w:space="0" w:color="auto"/>
        <w:left w:val="none" w:sz="0" w:space="0" w:color="auto"/>
        <w:bottom w:val="none" w:sz="0" w:space="0" w:color="auto"/>
        <w:right w:val="none" w:sz="0" w:space="0" w:color="auto"/>
      </w:divBdr>
    </w:div>
    <w:div w:id="212237317">
      <w:bodyDiv w:val="1"/>
      <w:marLeft w:val="0"/>
      <w:marRight w:val="0"/>
      <w:marTop w:val="0"/>
      <w:marBottom w:val="0"/>
      <w:divBdr>
        <w:top w:val="none" w:sz="0" w:space="0" w:color="auto"/>
        <w:left w:val="none" w:sz="0" w:space="0" w:color="auto"/>
        <w:bottom w:val="none" w:sz="0" w:space="0" w:color="auto"/>
        <w:right w:val="none" w:sz="0" w:space="0" w:color="auto"/>
      </w:divBdr>
    </w:div>
    <w:div w:id="212468375">
      <w:bodyDiv w:val="1"/>
      <w:marLeft w:val="0"/>
      <w:marRight w:val="0"/>
      <w:marTop w:val="0"/>
      <w:marBottom w:val="0"/>
      <w:divBdr>
        <w:top w:val="none" w:sz="0" w:space="0" w:color="auto"/>
        <w:left w:val="none" w:sz="0" w:space="0" w:color="auto"/>
        <w:bottom w:val="none" w:sz="0" w:space="0" w:color="auto"/>
        <w:right w:val="none" w:sz="0" w:space="0" w:color="auto"/>
      </w:divBdr>
    </w:div>
    <w:div w:id="216816681">
      <w:bodyDiv w:val="1"/>
      <w:marLeft w:val="0"/>
      <w:marRight w:val="0"/>
      <w:marTop w:val="0"/>
      <w:marBottom w:val="0"/>
      <w:divBdr>
        <w:top w:val="none" w:sz="0" w:space="0" w:color="auto"/>
        <w:left w:val="none" w:sz="0" w:space="0" w:color="auto"/>
        <w:bottom w:val="none" w:sz="0" w:space="0" w:color="auto"/>
        <w:right w:val="none" w:sz="0" w:space="0" w:color="auto"/>
      </w:divBdr>
    </w:div>
    <w:div w:id="221715205">
      <w:bodyDiv w:val="1"/>
      <w:marLeft w:val="0"/>
      <w:marRight w:val="0"/>
      <w:marTop w:val="0"/>
      <w:marBottom w:val="0"/>
      <w:divBdr>
        <w:top w:val="none" w:sz="0" w:space="0" w:color="auto"/>
        <w:left w:val="none" w:sz="0" w:space="0" w:color="auto"/>
        <w:bottom w:val="none" w:sz="0" w:space="0" w:color="auto"/>
        <w:right w:val="none" w:sz="0" w:space="0" w:color="auto"/>
      </w:divBdr>
    </w:div>
    <w:div w:id="238255915">
      <w:bodyDiv w:val="1"/>
      <w:marLeft w:val="0"/>
      <w:marRight w:val="0"/>
      <w:marTop w:val="0"/>
      <w:marBottom w:val="0"/>
      <w:divBdr>
        <w:top w:val="none" w:sz="0" w:space="0" w:color="auto"/>
        <w:left w:val="none" w:sz="0" w:space="0" w:color="auto"/>
        <w:bottom w:val="none" w:sz="0" w:space="0" w:color="auto"/>
        <w:right w:val="none" w:sz="0" w:space="0" w:color="auto"/>
      </w:divBdr>
    </w:div>
    <w:div w:id="259487188">
      <w:bodyDiv w:val="1"/>
      <w:marLeft w:val="0"/>
      <w:marRight w:val="0"/>
      <w:marTop w:val="0"/>
      <w:marBottom w:val="0"/>
      <w:divBdr>
        <w:top w:val="none" w:sz="0" w:space="0" w:color="auto"/>
        <w:left w:val="none" w:sz="0" w:space="0" w:color="auto"/>
        <w:bottom w:val="none" w:sz="0" w:space="0" w:color="auto"/>
        <w:right w:val="none" w:sz="0" w:space="0" w:color="auto"/>
      </w:divBdr>
    </w:div>
    <w:div w:id="275796393">
      <w:bodyDiv w:val="1"/>
      <w:marLeft w:val="0"/>
      <w:marRight w:val="0"/>
      <w:marTop w:val="0"/>
      <w:marBottom w:val="0"/>
      <w:divBdr>
        <w:top w:val="none" w:sz="0" w:space="0" w:color="auto"/>
        <w:left w:val="none" w:sz="0" w:space="0" w:color="auto"/>
        <w:bottom w:val="none" w:sz="0" w:space="0" w:color="auto"/>
        <w:right w:val="none" w:sz="0" w:space="0" w:color="auto"/>
      </w:divBdr>
    </w:div>
    <w:div w:id="281234486">
      <w:bodyDiv w:val="1"/>
      <w:marLeft w:val="0"/>
      <w:marRight w:val="0"/>
      <w:marTop w:val="0"/>
      <w:marBottom w:val="0"/>
      <w:divBdr>
        <w:top w:val="none" w:sz="0" w:space="0" w:color="auto"/>
        <w:left w:val="none" w:sz="0" w:space="0" w:color="auto"/>
        <w:bottom w:val="none" w:sz="0" w:space="0" w:color="auto"/>
        <w:right w:val="none" w:sz="0" w:space="0" w:color="auto"/>
      </w:divBdr>
    </w:div>
    <w:div w:id="288825488">
      <w:bodyDiv w:val="1"/>
      <w:marLeft w:val="0"/>
      <w:marRight w:val="0"/>
      <w:marTop w:val="0"/>
      <w:marBottom w:val="0"/>
      <w:divBdr>
        <w:top w:val="none" w:sz="0" w:space="0" w:color="auto"/>
        <w:left w:val="none" w:sz="0" w:space="0" w:color="auto"/>
        <w:bottom w:val="none" w:sz="0" w:space="0" w:color="auto"/>
        <w:right w:val="none" w:sz="0" w:space="0" w:color="auto"/>
      </w:divBdr>
    </w:div>
    <w:div w:id="292517737">
      <w:bodyDiv w:val="1"/>
      <w:marLeft w:val="0"/>
      <w:marRight w:val="0"/>
      <w:marTop w:val="0"/>
      <w:marBottom w:val="0"/>
      <w:divBdr>
        <w:top w:val="none" w:sz="0" w:space="0" w:color="auto"/>
        <w:left w:val="none" w:sz="0" w:space="0" w:color="auto"/>
        <w:bottom w:val="none" w:sz="0" w:space="0" w:color="auto"/>
        <w:right w:val="none" w:sz="0" w:space="0" w:color="auto"/>
      </w:divBdr>
    </w:div>
    <w:div w:id="311909404">
      <w:bodyDiv w:val="1"/>
      <w:marLeft w:val="0"/>
      <w:marRight w:val="0"/>
      <w:marTop w:val="0"/>
      <w:marBottom w:val="0"/>
      <w:divBdr>
        <w:top w:val="none" w:sz="0" w:space="0" w:color="auto"/>
        <w:left w:val="none" w:sz="0" w:space="0" w:color="auto"/>
        <w:bottom w:val="none" w:sz="0" w:space="0" w:color="auto"/>
        <w:right w:val="none" w:sz="0" w:space="0" w:color="auto"/>
      </w:divBdr>
    </w:div>
    <w:div w:id="320932044">
      <w:bodyDiv w:val="1"/>
      <w:marLeft w:val="0"/>
      <w:marRight w:val="0"/>
      <w:marTop w:val="0"/>
      <w:marBottom w:val="0"/>
      <w:divBdr>
        <w:top w:val="none" w:sz="0" w:space="0" w:color="auto"/>
        <w:left w:val="none" w:sz="0" w:space="0" w:color="auto"/>
        <w:bottom w:val="none" w:sz="0" w:space="0" w:color="auto"/>
        <w:right w:val="none" w:sz="0" w:space="0" w:color="auto"/>
      </w:divBdr>
    </w:div>
    <w:div w:id="324823207">
      <w:bodyDiv w:val="1"/>
      <w:marLeft w:val="0"/>
      <w:marRight w:val="0"/>
      <w:marTop w:val="0"/>
      <w:marBottom w:val="0"/>
      <w:divBdr>
        <w:top w:val="none" w:sz="0" w:space="0" w:color="auto"/>
        <w:left w:val="none" w:sz="0" w:space="0" w:color="auto"/>
        <w:bottom w:val="none" w:sz="0" w:space="0" w:color="auto"/>
        <w:right w:val="none" w:sz="0" w:space="0" w:color="auto"/>
      </w:divBdr>
    </w:div>
    <w:div w:id="327365833">
      <w:bodyDiv w:val="1"/>
      <w:marLeft w:val="0"/>
      <w:marRight w:val="0"/>
      <w:marTop w:val="0"/>
      <w:marBottom w:val="0"/>
      <w:divBdr>
        <w:top w:val="none" w:sz="0" w:space="0" w:color="auto"/>
        <w:left w:val="none" w:sz="0" w:space="0" w:color="auto"/>
        <w:bottom w:val="none" w:sz="0" w:space="0" w:color="auto"/>
        <w:right w:val="none" w:sz="0" w:space="0" w:color="auto"/>
      </w:divBdr>
    </w:div>
    <w:div w:id="332416771">
      <w:bodyDiv w:val="1"/>
      <w:marLeft w:val="0"/>
      <w:marRight w:val="0"/>
      <w:marTop w:val="0"/>
      <w:marBottom w:val="0"/>
      <w:divBdr>
        <w:top w:val="none" w:sz="0" w:space="0" w:color="auto"/>
        <w:left w:val="none" w:sz="0" w:space="0" w:color="auto"/>
        <w:bottom w:val="none" w:sz="0" w:space="0" w:color="auto"/>
        <w:right w:val="none" w:sz="0" w:space="0" w:color="auto"/>
      </w:divBdr>
    </w:div>
    <w:div w:id="336881130">
      <w:bodyDiv w:val="1"/>
      <w:marLeft w:val="0"/>
      <w:marRight w:val="0"/>
      <w:marTop w:val="0"/>
      <w:marBottom w:val="0"/>
      <w:divBdr>
        <w:top w:val="none" w:sz="0" w:space="0" w:color="auto"/>
        <w:left w:val="none" w:sz="0" w:space="0" w:color="auto"/>
        <w:bottom w:val="none" w:sz="0" w:space="0" w:color="auto"/>
        <w:right w:val="none" w:sz="0" w:space="0" w:color="auto"/>
      </w:divBdr>
    </w:div>
    <w:div w:id="347030344">
      <w:bodyDiv w:val="1"/>
      <w:marLeft w:val="0"/>
      <w:marRight w:val="0"/>
      <w:marTop w:val="0"/>
      <w:marBottom w:val="0"/>
      <w:divBdr>
        <w:top w:val="none" w:sz="0" w:space="0" w:color="auto"/>
        <w:left w:val="none" w:sz="0" w:space="0" w:color="auto"/>
        <w:bottom w:val="none" w:sz="0" w:space="0" w:color="auto"/>
        <w:right w:val="none" w:sz="0" w:space="0" w:color="auto"/>
      </w:divBdr>
    </w:div>
    <w:div w:id="348139308">
      <w:bodyDiv w:val="1"/>
      <w:marLeft w:val="0"/>
      <w:marRight w:val="0"/>
      <w:marTop w:val="0"/>
      <w:marBottom w:val="0"/>
      <w:divBdr>
        <w:top w:val="none" w:sz="0" w:space="0" w:color="auto"/>
        <w:left w:val="none" w:sz="0" w:space="0" w:color="auto"/>
        <w:bottom w:val="none" w:sz="0" w:space="0" w:color="auto"/>
        <w:right w:val="none" w:sz="0" w:space="0" w:color="auto"/>
      </w:divBdr>
    </w:div>
    <w:div w:id="361131379">
      <w:bodyDiv w:val="1"/>
      <w:marLeft w:val="0"/>
      <w:marRight w:val="0"/>
      <w:marTop w:val="0"/>
      <w:marBottom w:val="0"/>
      <w:divBdr>
        <w:top w:val="none" w:sz="0" w:space="0" w:color="auto"/>
        <w:left w:val="none" w:sz="0" w:space="0" w:color="auto"/>
        <w:bottom w:val="none" w:sz="0" w:space="0" w:color="auto"/>
        <w:right w:val="none" w:sz="0" w:space="0" w:color="auto"/>
      </w:divBdr>
    </w:div>
    <w:div w:id="363364174">
      <w:bodyDiv w:val="1"/>
      <w:marLeft w:val="0"/>
      <w:marRight w:val="0"/>
      <w:marTop w:val="0"/>
      <w:marBottom w:val="0"/>
      <w:divBdr>
        <w:top w:val="none" w:sz="0" w:space="0" w:color="auto"/>
        <w:left w:val="none" w:sz="0" w:space="0" w:color="auto"/>
        <w:bottom w:val="none" w:sz="0" w:space="0" w:color="auto"/>
        <w:right w:val="none" w:sz="0" w:space="0" w:color="auto"/>
      </w:divBdr>
    </w:div>
    <w:div w:id="364983506">
      <w:bodyDiv w:val="1"/>
      <w:marLeft w:val="0"/>
      <w:marRight w:val="0"/>
      <w:marTop w:val="0"/>
      <w:marBottom w:val="0"/>
      <w:divBdr>
        <w:top w:val="none" w:sz="0" w:space="0" w:color="auto"/>
        <w:left w:val="none" w:sz="0" w:space="0" w:color="auto"/>
        <w:bottom w:val="none" w:sz="0" w:space="0" w:color="auto"/>
        <w:right w:val="none" w:sz="0" w:space="0" w:color="auto"/>
      </w:divBdr>
    </w:div>
    <w:div w:id="367606963">
      <w:bodyDiv w:val="1"/>
      <w:marLeft w:val="0"/>
      <w:marRight w:val="0"/>
      <w:marTop w:val="0"/>
      <w:marBottom w:val="0"/>
      <w:divBdr>
        <w:top w:val="none" w:sz="0" w:space="0" w:color="auto"/>
        <w:left w:val="none" w:sz="0" w:space="0" w:color="auto"/>
        <w:bottom w:val="none" w:sz="0" w:space="0" w:color="auto"/>
        <w:right w:val="none" w:sz="0" w:space="0" w:color="auto"/>
      </w:divBdr>
    </w:div>
    <w:div w:id="373508139">
      <w:bodyDiv w:val="1"/>
      <w:marLeft w:val="0"/>
      <w:marRight w:val="0"/>
      <w:marTop w:val="0"/>
      <w:marBottom w:val="0"/>
      <w:divBdr>
        <w:top w:val="none" w:sz="0" w:space="0" w:color="auto"/>
        <w:left w:val="none" w:sz="0" w:space="0" w:color="auto"/>
        <w:bottom w:val="none" w:sz="0" w:space="0" w:color="auto"/>
        <w:right w:val="none" w:sz="0" w:space="0" w:color="auto"/>
      </w:divBdr>
    </w:div>
    <w:div w:id="376665346">
      <w:bodyDiv w:val="1"/>
      <w:marLeft w:val="0"/>
      <w:marRight w:val="0"/>
      <w:marTop w:val="0"/>
      <w:marBottom w:val="0"/>
      <w:divBdr>
        <w:top w:val="none" w:sz="0" w:space="0" w:color="auto"/>
        <w:left w:val="none" w:sz="0" w:space="0" w:color="auto"/>
        <w:bottom w:val="none" w:sz="0" w:space="0" w:color="auto"/>
        <w:right w:val="none" w:sz="0" w:space="0" w:color="auto"/>
      </w:divBdr>
    </w:div>
    <w:div w:id="382410024">
      <w:bodyDiv w:val="1"/>
      <w:marLeft w:val="0"/>
      <w:marRight w:val="0"/>
      <w:marTop w:val="0"/>
      <w:marBottom w:val="0"/>
      <w:divBdr>
        <w:top w:val="none" w:sz="0" w:space="0" w:color="auto"/>
        <w:left w:val="none" w:sz="0" w:space="0" w:color="auto"/>
        <w:bottom w:val="none" w:sz="0" w:space="0" w:color="auto"/>
        <w:right w:val="none" w:sz="0" w:space="0" w:color="auto"/>
      </w:divBdr>
    </w:div>
    <w:div w:id="392775929">
      <w:bodyDiv w:val="1"/>
      <w:marLeft w:val="0"/>
      <w:marRight w:val="0"/>
      <w:marTop w:val="0"/>
      <w:marBottom w:val="0"/>
      <w:divBdr>
        <w:top w:val="none" w:sz="0" w:space="0" w:color="auto"/>
        <w:left w:val="none" w:sz="0" w:space="0" w:color="auto"/>
        <w:bottom w:val="none" w:sz="0" w:space="0" w:color="auto"/>
        <w:right w:val="none" w:sz="0" w:space="0" w:color="auto"/>
      </w:divBdr>
    </w:div>
    <w:div w:id="393356005">
      <w:bodyDiv w:val="1"/>
      <w:marLeft w:val="0"/>
      <w:marRight w:val="0"/>
      <w:marTop w:val="0"/>
      <w:marBottom w:val="0"/>
      <w:divBdr>
        <w:top w:val="none" w:sz="0" w:space="0" w:color="auto"/>
        <w:left w:val="none" w:sz="0" w:space="0" w:color="auto"/>
        <w:bottom w:val="none" w:sz="0" w:space="0" w:color="auto"/>
        <w:right w:val="none" w:sz="0" w:space="0" w:color="auto"/>
      </w:divBdr>
    </w:div>
    <w:div w:id="397286664">
      <w:bodyDiv w:val="1"/>
      <w:marLeft w:val="0"/>
      <w:marRight w:val="0"/>
      <w:marTop w:val="0"/>
      <w:marBottom w:val="0"/>
      <w:divBdr>
        <w:top w:val="none" w:sz="0" w:space="0" w:color="auto"/>
        <w:left w:val="none" w:sz="0" w:space="0" w:color="auto"/>
        <w:bottom w:val="none" w:sz="0" w:space="0" w:color="auto"/>
        <w:right w:val="none" w:sz="0" w:space="0" w:color="auto"/>
      </w:divBdr>
    </w:div>
    <w:div w:id="399450640">
      <w:bodyDiv w:val="1"/>
      <w:marLeft w:val="0"/>
      <w:marRight w:val="0"/>
      <w:marTop w:val="0"/>
      <w:marBottom w:val="0"/>
      <w:divBdr>
        <w:top w:val="none" w:sz="0" w:space="0" w:color="auto"/>
        <w:left w:val="none" w:sz="0" w:space="0" w:color="auto"/>
        <w:bottom w:val="none" w:sz="0" w:space="0" w:color="auto"/>
        <w:right w:val="none" w:sz="0" w:space="0" w:color="auto"/>
      </w:divBdr>
    </w:div>
    <w:div w:id="403912501">
      <w:bodyDiv w:val="1"/>
      <w:marLeft w:val="0"/>
      <w:marRight w:val="0"/>
      <w:marTop w:val="0"/>
      <w:marBottom w:val="0"/>
      <w:divBdr>
        <w:top w:val="none" w:sz="0" w:space="0" w:color="auto"/>
        <w:left w:val="none" w:sz="0" w:space="0" w:color="auto"/>
        <w:bottom w:val="none" w:sz="0" w:space="0" w:color="auto"/>
        <w:right w:val="none" w:sz="0" w:space="0" w:color="auto"/>
      </w:divBdr>
    </w:div>
    <w:div w:id="409279253">
      <w:bodyDiv w:val="1"/>
      <w:marLeft w:val="0"/>
      <w:marRight w:val="0"/>
      <w:marTop w:val="0"/>
      <w:marBottom w:val="0"/>
      <w:divBdr>
        <w:top w:val="none" w:sz="0" w:space="0" w:color="auto"/>
        <w:left w:val="none" w:sz="0" w:space="0" w:color="auto"/>
        <w:bottom w:val="none" w:sz="0" w:space="0" w:color="auto"/>
        <w:right w:val="none" w:sz="0" w:space="0" w:color="auto"/>
      </w:divBdr>
    </w:div>
    <w:div w:id="413552489">
      <w:bodyDiv w:val="1"/>
      <w:marLeft w:val="0"/>
      <w:marRight w:val="0"/>
      <w:marTop w:val="0"/>
      <w:marBottom w:val="0"/>
      <w:divBdr>
        <w:top w:val="none" w:sz="0" w:space="0" w:color="auto"/>
        <w:left w:val="none" w:sz="0" w:space="0" w:color="auto"/>
        <w:bottom w:val="none" w:sz="0" w:space="0" w:color="auto"/>
        <w:right w:val="none" w:sz="0" w:space="0" w:color="auto"/>
      </w:divBdr>
    </w:div>
    <w:div w:id="418140577">
      <w:bodyDiv w:val="1"/>
      <w:marLeft w:val="0"/>
      <w:marRight w:val="0"/>
      <w:marTop w:val="0"/>
      <w:marBottom w:val="0"/>
      <w:divBdr>
        <w:top w:val="none" w:sz="0" w:space="0" w:color="auto"/>
        <w:left w:val="none" w:sz="0" w:space="0" w:color="auto"/>
        <w:bottom w:val="none" w:sz="0" w:space="0" w:color="auto"/>
        <w:right w:val="none" w:sz="0" w:space="0" w:color="auto"/>
      </w:divBdr>
    </w:div>
    <w:div w:id="420178287">
      <w:bodyDiv w:val="1"/>
      <w:marLeft w:val="0"/>
      <w:marRight w:val="0"/>
      <w:marTop w:val="0"/>
      <w:marBottom w:val="0"/>
      <w:divBdr>
        <w:top w:val="none" w:sz="0" w:space="0" w:color="auto"/>
        <w:left w:val="none" w:sz="0" w:space="0" w:color="auto"/>
        <w:bottom w:val="none" w:sz="0" w:space="0" w:color="auto"/>
        <w:right w:val="none" w:sz="0" w:space="0" w:color="auto"/>
      </w:divBdr>
    </w:div>
    <w:div w:id="422773202">
      <w:bodyDiv w:val="1"/>
      <w:marLeft w:val="0"/>
      <w:marRight w:val="0"/>
      <w:marTop w:val="0"/>
      <w:marBottom w:val="0"/>
      <w:divBdr>
        <w:top w:val="none" w:sz="0" w:space="0" w:color="auto"/>
        <w:left w:val="none" w:sz="0" w:space="0" w:color="auto"/>
        <w:bottom w:val="none" w:sz="0" w:space="0" w:color="auto"/>
        <w:right w:val="none" w:sz="0" w:space="0" w:color="auto"/>
      </w:divBdr>
    </w:div>
    <w:div w:id="430322382">
      <w:bodyDiv w:val="1"/>
      <w:marLeft w:val="0"/>
      <w:marRight w:val="0"/>
      <w:marTop w:val="0"/>
      <w:marBottom w:val="0"/>
      <w:divBdr>
        <w:top w:val="none" w:sz="0" w:space="0" w:color="auto"/>
        <w:left w:val="none" w:sz="0" w:space="0" w:color="auto"/>
        <w:bottom w:val="none" w:sz="0" w:space="0" w:color="auto"/>
        <w:right w:val="none" w:sz="0" w:space="0" w:color="auto"/>
      </w:divBdr>
    </w:div>
    <w:div w:id="437607815">
      <w:bodyDiv w:val="1"/>
      <w:marLeft w:val="0"/>
      <w:marRight w:val="0"/>
      <w:marTop w:val="0"/>
      <w:marBottom w:val="0"/>
      <w:divBdr>
        <w:top w:val="none" w:sz="0" w:space="0" w:color="auto"/>
        <w:left w:val="none" w:sz="0" w:space="0" w:color="auto"/>
        <w:bottom w:val="none" w:sz="0" w:space="0" w:color="auto"/>
        <w:right w:val="none" w:sz="0" w:space="0" w:color="auto"/>
      </w:divBdr>
    </w:div>
    <w:div w:id="443112086">
      <w:bodyDiv w:val="1"/>
      <w:marLeft w:val="0"/>
      <w:marRight w:val="0"/>
      <w:marTop w:val="0"/>
      <w:marBottom w:val="0"/>
      <w:divBdr>
        <w:top w:val="none" w:sz="0" w:space="0" w:color="auto"/>
        <w:left w:val="none" w:sz="0" w:space="0" w:color="auto"/>
        <w:bottom w:val="none" w:sz="0" w:space="0" w:color="auto"/>
        <w:right w:val="none" w:sz="0" w:space="0" w:color="auto"/>
      </w:divBdr>
    </w:div>
    <w:div w:id="451749989">
      <w:bodyDiv w:val="1"/>
      <w:marLeft w:val="0"/>
      <w:marRight w:val="0"/>
      <w:marTop w:val="0"/>
      <w:marBottom w:val="0"/>
      <w:divBdr>
        <w:top w:val="none" w:sz="0" w:space="0" w:color="auto"/>
        <w:left w:val="none" w:sz="0" w:space="0" w:color="auto"/>
        <w:bottom w:val="none" w:sz="0" w:space="0" w:color="auto"/>
        <w:right w:val="none" w:sz="0" w:space="0" w:color="auto"/>
      </w:divBdr>
    </w:div>
    <w:div w:id="460613832">
      <w:bodyDiv w:val="1"/>
      <w:marLeft w:val="0"/>
      <w:marRight w:val="0"/>
      <w:marTop w:val="0"/>
      <w:marBottom w:val="0"/>
      <w:divBdr>
        <w:top w:val="none" w:sz="0" w:space="0" w:color="auto"/>
        <w:left w:val="none" w:sz="0" w:space="0" w:color="auto"/>
        <w:bottom w:val="none" w:sz="0" w:space="0" w:color="auto"/>
        <w:right w:val="none" w:sz="0" w:space="0" w:color="auto"/>
      </w:divBdr>
    </w:div>
    <w:div w:id="461971105">
      <w:bodyDiv w:val="1"/>
      <w:marLeft w:val="0"/>
      <w:marRight w:val="0"/>
      <w:marTop w:val="0"/>
      <w:marBottom w:val="0"/>
      <w:divBdr>
        <w:top w:val="none" w:sz="0" w:space="0" w:color="auto"/>
        <w:left w:val="none" w:sz="0" w:space="0" w:color="auto"/>
        <w:bottom w:val="none" w:sz="0" w:space="0" w:color="auto"/>
        <w:right w:val="none" w:sz="0" w:space="0" w:color="auto"/>
      </w:divBdr>
    </w:div>
    <w:div w:id="473764685">
      <w:bodyDiv w:val="1"/>
      <w:marLeft w:val="0"/>
      <w:marRight w:val="0"/>
      <w:marTop w:val="0"/>
      <w:marBottom w:val="0"/>
      <w:divBdr>
        <w:top w:val="none" w:sz="0" w:space="0" w:color="auto"/>
        <w:left w:val="none" w:sz="0" w:space="0" w:color="auto"/>
        <w:bottom w:val="none" w:sz="0" w:space="0" w:color="auto"/>
        <w:right w:val="none" w:sz="0" w:space="0" w:color="auto"/>
      </w:divBdr>
    </w:div>
    <w:div w:id="474756819">
      <w:bodyDiv w:val="1"/>
      <w:marLeft w:val="0"/>
      <w:marRight w:val="0"/>
      <w:marTop w:val="0"/>
      <w:marBottom w:val="0"/>
      <w:divBdr>
        <w:top w:val="none" w:sz="0" w:space="0" w:color="auto"/>
        <w:left w:val="none" w:sz="0" w:space="0" w:color="auto"/>
        <w:bottom w:val="none" w:sz="0" w:space="0" w:color="auto"/>
        <w:right w:val="none" w:sz="0" w:space="0" w:color="auto"/>
      </w:divBdr>
    </w:div>
    <w:div w:id="483162344">
      <w:bodyDiv w:val="1"/>
      <w:marLeft w:val="0"/>
      <w:marRight w:val="0"/>
      <w:marTop w:val="0"/>
      <w:marBottom w:val="0"/>
      <w:divBdr>
        <w:top w:val="none" w:sz="0" w:space="0" w:color="auto"/>
        <w:left w:val="none" w:sz="0" w:space="0" w:color="auto"/>
        <w:bottom w:val="none" w:sz="0" w:space="0" w:color="auto"/>
        <w:right w:val="none" w:sz="0" w:space="0" w:color="auto"/>
      </w:divBdr>
    </w:div>
    <w:div w:id="483937255">
      <w:bodyDiv w:val="1"/>
      <w:marLeft w:val="0"/>
      <w:marRight w:val="0"/>
      <w:marTop w:val="0"/>
      <w:marBottom w:val="0"/>
      <w:divBdr>
        <w:top w:val="none" w:sz="0" w:space="0" w:color="auto"/>
        <w:left w:val="none" w:sz="0" w:space="0" w:color="auto"/>
        <w:bottom w:val="none" w:sz="0" w:space="0" w:color="auto"/>
        <w:right w:val="none" w:sz="0" w:space="0" w:color="auto"/>
      </w:divBdr>
    </w:div>
    <w:div w:id="485704439">
      <w:bodyDiv w:val="1"/>
      <w:marLeft w:val="0"/>
      <w:marRight w:val="0"/>
      <w:marTop w:val="0"/>
      <w:marBottom w:val="0"/>
      <w:divBdr>
        <w:top w:val="none" w:sz="0" w:space="0" w:color="auto"/>
        <w:left w:val="none" w:sz="0" w:space="0" w:color="auto"/>
        <w:bottom w:val="none" w:sz="0" w:space="0" w:color="auto"/>
        <w:right w:val="none" w:sz="0" w:space="0" w:color="auto"/>
      </w:divBdr>
    </w:div>
    <w:div w:id="491868621">
      <w:bodyDiv w:val="1"/>
      <w:marLeft w:val="0"/>
      <w:marRight w:val="0"/>
      <w:marTop w:val="0"/>
      <w:marBottom w:val="0"/>
      <w:divBdr>
        <w:top w:val="none" w:sz="0" w:space="0" w:color="auto"/>
        <w:left w:val="none" w:sz="0" w:space="0" w:color="auto"/>
        <w:bottom w:val="none" w:sz="0" w:space="0" w:color="auto"/>
        <w:right w:val="none" w:sz="0" w:space="0" w:color="auto"/>
      </w:divBdr>
    </w:div>
    <w:div w:id="492338050">
      <w:bodyDiv w:val="1"/>
      <w:marLeft w:val="0"/>
      <w:marRight w:val="0"/>
      <w:marTop w:val="0"/>
      <w:marBottom w:val="0"/>
      <w:divBdr>
        <w:top w:val="none" w:sz="0" w:space="0" w:color="auto"/>
        <w:left w:val="none" w:sz="0" w:space="0" w:color="auto"/>
        <w:bottom w:val="none" w:sz="0" w:space="0" w:color="auto"/>
        <w:right w:val="none" w:sz="0" w:space="0" w:color="auto"/>
      </w:divBdr>
    </w:div>
    <w:div w:id="493449608">
      <w:bodyDiv w:val="1"/>
      <w:marLeft w:val="0"/>
      <w:marRight w:val="0"/>
      <w:marTop w:val="0"/>
      <w:marBottom w:val="0"/>
      <w:divBdr>
        <w:top w:val="none" w:sz="0" w:space="0" w:color="auto"/>
        <w:left w:val="none" w:sz="0" w:space="0" w:color="auto"/>
        <w:bottom w:val="none" w:sz="0" w:space="0" w:color="auto"/>
        <w:right w:val="none" w:sz="0" w:space="0" w:color="auto"/>
      </w:divBdr>
    </w:div>
    <w:div w:id="493685360">
      <w:bodyDiv w:val="1"/>
      <w:marLeft w:val="0"/>
      <w:marRight w:val="0"/>
      <w:marTop w:val="0"/>
      <w:marBottom w:val="0"/>
      <w:divBdr>
        <w:top w:val="none" w:sz="0" w:space="0" w:color="auto"/>
        <w:left w:val="none" w:sz="0" w:space="0" w:color="auto"/>
        <w:bottom w:val="none" w:sz="0" w:space="0" w:color="auto"/>
        <w:right w:val="none" w:sz="0" w:space="0" w:color="auto"/>
      </w:divBdr>
    </w:div>
    <w:div w:id="500967097">
      <w:bodyDiv w:val="1"/>
      <w:marLeft w:val="0"/>
      <w:marRight w:val="0"/>
      <w:marTop w:val="0"/>
      <w:marBottom w:val="0"/>
      <w:divBdr>
        <w:top w:val="none" w:sz="0" w:space="0" w:color="auto"/>
        <w:left w:val="none" w:sz="0" w:space="0" w:color="auto"/>
        <w:bottom w:val="none" w:sz="0" w:space="0" w:color="auto"/>
        <w:right w:val="none" w:sz="0" w:space="0" w:color="auto"/>
      </w:divBdr>
    </w:div>
    <w:div w:id="501970531">
      <w:bodyDiv w:val="1"/>
      <w:marLeft w:val="0"/>
      <w:marRight w:val="0"/>
      <w:marTop w:val="0"/>
      <w:marBottom w:val="0"/>
      <w:divBdr>
        <w:top w:val="none" w:sz="0" w:space="0" w:color="auto"/>
        <w:left w:val="none" w:sz="0" w:space="0" w:color="auto"/>
        <w:bottom w:val="none" w:sz="0" w:space="0" w:color="auto"/>
        <w:right w:val="none" w:sz="0" w:space="0" w:color="auto"/>
      </w:divBdr>
    </w:div>
    <w:div w:id="505362264">
      <w:bodyDiv w:val="1"/>
      <w:marLeft w:val="0"/>
      <w:marRight w:val="0"/>
      <w:marTop w:val="0"/>
      <w:marBottom w:val="0"/>
      <w:divBdr>
        <w:top w:val="none" w:sz="0" w:space="0" w:color="auto"/>
        <w:left w:val="none" w:sz="0" w:space="0" w:color="auto"/>
        <w:bottom w:val="none" w:sz="0" w:space="0" w:color="auto"/>
        <w:right w:val="none" w:sz="0" w:space="0" w:color="auto"/>
      </w:divBdr>
    </w:div>
    <w:div w:id="518665433">
      <w:bodyDiv w:val="1"/>
      <w:marLeft w:val="0"/>
      <w:marRight w:val="0"/>
      <w:marTop w:val="0"/>
      <w:marBottom w:val="0"/>
      <w:divBdr>
        <w:top w:val="none" w:sz="0" w:space="0" w:color="auto"/>
        <w:left w:val="none" w:sz="0" w:space="0" w:color="auto"/>
        <w:bottom w:val="none" w:sz="0" w:space="0" w:color="auto"/>
        <w:right w:val="none" w:sz="0" w:space="0" w:color="auto"/>
      </w:divBdr>
    </w:div>
    <w:div w:id="520439660">
      <w:bodyDiv w:val="1"/>
      <w:marLeft w:val="0"/>
      <w:marRight w:val="0"/>
      <w:marTop w:val="0"/>
      <w:marBottom w:val="0"/>
      <w:divBdr>
        <w:top w:val="none" w:sz="0" w:space="0" w:color="auto"/>
        <w:left w:val="none" w:sz="0" w:space="0" w:color="auto"/>
        <w:bottom w:val="none" w:sz="0" w:space="0" w:color="auto"/>
        <w:right w:val="none" w:sz="0" w:space="0" w:color="auto"/>
      </w:divBdr>
    </w:div>
    <w:div w:id="524515386">
      <w:bodyDiv w:val="1"/>
      <w:marLeft w:val="0"/>
      <w:marRight w:val="0"/>
      <w:marTop w:val="0"/>
      <w:marBottom w:val="0"/>
      <w:divBdr>
        <w:top w:val="none" w:sz="0" w:space="0" w:color="auto"/>
        <w:left w:val="none" w:sz="0" w:space="0" w:color="auto"/>
        <w:bottom w:val="none" w:sz="0" w:space="0" w:color="auto"/>
        <w:right w:val="none" w:sz="0" w:space="0" w:color="auto"/>
      </w:divBdr>
    </w:div>
    <w:div w:id="527376606">
      <w:bodyDiv w:val="1"/>
      <w:marLeft w:val="0"/>
      <w:marRight w:val="0"/>
      <w:marTop w:val="0"/>
      <w:marBottom w:val="0"/>
      <w:divBdr>
        <w:top w:val="none" w:sz="0" w:space="0" w:color="auto"/>
        <w:left w:val="none" w:sz="0" w:space="0" w:color="auto"/>
        <w:bottom w:val="none" w:sz="0" w:space="0" w:color="auto"/>
        <w:right w:val="none" w:sz="0" w:space="0" w:color="auto"/>
      </w:divBdr>
    </w:div>
    <w:div w:id="528685742">
      <w:bodyDiv w:val="1"/>
      <w:marLeft w:val="0"/>
      <w:marRight w:val="0"/>
      <w:marTop w:val="0"/>
      <w:marBottom w:val="0"/>
      <w:divBdr>
        <w:top w:val="none" w:sz="0" w:space="0" w:color="auto"/>
        <w:left w:val="none" w:sz="0" w:space="0" w:color="auto"/>
        <w:bottom w:val="none" w:sz="0" w:space="0" w:color="auto"/>
        <w:right w:val="none" w:sz="0" w:space="0" w:color="auto"/>
      </w:divBdr>
    </w:div>
    <w:div w:id="534120791">
      <w:bodyDiv w:val="1"/>
      <w:marLeft w:val="0"/>
      <w:marRight w:val="0"/>
      <w:marTop w:val="0"/>
      <w:marBottom w:val="0"/>
      <w:divBdr>
        <w:top w:val="none" w:sz="0" w:space="0" w:color="auto"/>
        <w:left w:val="none" w:sz="0" w:space="0" w:color="auto"/>
        <w:bottom w:val="none" w:sz="0" w:space="0" w:color="auto"/>
        <w:right w:val="none" w:sz="0" w:space="0" w:color="auto"/>
      </w:divBdr>
    </w:div>
    <w:div w:id="538979211">
      <w:bodyDiv w:val="1"/>
      <w:marLeft w:val="0"/>
      <w:marRight w:val="0"/>
      <w:marTop w:val="0"/>
      <w:marBottom w:val="0"/>
      <w:divBdr>
        <w:top w:val="none" w:sz="0" w:space="0" w:color="auto"/>
        <w:left w:val="none" w:sz="0" w:space="0" w:color="auto"/>
        <w:bottom w:val="none" w:sz="0" w:space="0" w:color="auto"/>
        <w:right w:val="none" w:sz="0" w:space="0" w:color="auto"/>
      </w:divBdr>
    </w:div>
    <w:div w:id="546183435">
      <w:bodyDiv w:val="1"/>
      <w:marLeft w:val="0"/>
      <w:marRight w:val="0"/>
      <w:marTop w:val="0"/>
      <w:marBottom w:val="0"/>
      <w:divBdr>
        <w:top w:val="none" w:sz="0" w:space="0" w:color="auto"/>
        <w:left w:val="none" w:sz="0" w:space="0" w:color="auto"/>
        <w:bottom w:val="none" w:sz="0" w:space="0" w:color="auto"/>
        <w:right w:val="none" w:sz="0" w:space="0" w:color="auto"/>
      </w:divBdr>
    </w:div>
    <w:div w:id="557784083">
      <w:bodyDiv w:val="1"/>
      <w:marLeft w:val="0"/>
      <w:marRight w:val="0"/>
      <w:marTop w:val="0"/>
      <w:marBottom w:val="0"/>
      <w:divBdr>
        <w:top w:val="none" w:sz="0" w:space="0" w:color="auto"/>
        <w:left w:val="none" w:sz="0" w:space="0" w:color="auto"/>
        <w:bottom w:val="none" w:sz="0" w:space="0" w:color="auto"/>
        <w:right w:val="none" w:sz="0" w:space="0" w:color="auto"/>
      </w:divBdr>
    </w:div>
    <w:div w:id="561336493">
      <w:bodyDiv w:val="1"/>
      <w:marLeft w:val="0"/>
      <w:marRight w:val="0"/>
      <w:marTop w:val="0"/>
      <w:marBottom w:val="0"/>
      <w:divBdr>
        <w:top w:val="none" w:sz="0" w:space="0" w:color="auto"/>
        <w:left w:val="none" w:sz="0" w:space="0" w:color="auto"/>
        <w:bottom w:val="none" w:sz="0" w:space="0" w:color="auto"/>
        <w:right w:val="none" w:sz="0" w:space="0" w:color="auto"/>
      </w:divBdr>
    </w:div>
    <w:div w:id="563102554">
      <w:bodyDiv w:val="1"/>
      <w:marLeft w:val="0"/>
      <w:marRight w:val="0"/>
      <w:marTop w:val="0"/>
      <w:marBottom w:val="0"/>
      <w:divBdr>
        <w:top w:val="none" w:sz="0" w:space="0" w:color="auto"/>
        <w:left w:val="none" w:sz="0" w:space="0" w:color="auto"/>
        <w:bottom w:val="none" w:sz="0" w:space="0" w:color="auto"/>
        <w:right w:val="none" w:sz="0" w:space="0" w:color="auto"/>
      </w:divBdr>
    </w:div>
    <w:div w:id="574827666">
      <w:bodyDiv w:val="1"/>
      <w:marLeft w:val="0"/>
      <w:marRight w:val="0"/>
      <w:marTop w:val="0"/>
      <w:marBottom w:val="0"/>
      <w:divBdr>
        <w:top w:val="none" w:sz="0" w:space="0" w:color="auto"/>
        <w:left w:val="none" w:sz="0" w:space="0" w:color="auto"/>
        <w:bottom w:val="none" w:sz="0" w:space="0" w:color="auto"/>
        <w:right w:val="none" w:sz="0" w:space="0" w:color="auto"/>
      </w:divBdr>
    </w:div>
    <w:div w:id="575093354">
      <w:bodyDiv w:val="1"/>
      <w:marLeft w:val="0"/>
      <w:marRight w:val="0"/>
      <w:marTop w:val="0"/>
      <w:marBottom w:val="0"/>
      <w:divBdr>
        <w:top w:val="none" w:sz="0" w:space="0" w:color="auto"/>
        <w:left w:val="none" w:sz="0" w:space="0" w:color="auto"/>
        <w:bottom w:val="none" w:sz="0" w:space="0" w:color="auto"/>
        <w:right w:val="none" w:sz="0" w:space="0" w:color="auto"/>
      </w:divBdr>
    </w:div>
    <w:div w:id="597641835">
      <w:bodyDiv w:val="1"/>
      <w:marLeft w:val="0"/>
      <w:marRight w:val="0"/>
      <w:marTop w:val="0"/>
      <w:marBottom w:val="0"/>
      <w:divBdr>
        <w:top w:val="none" w:sz="0" w:space="0" w:color="auto"/>
        <w:left w:val="none" w:sz="0" w:space="0" w:color="auto"/>
        <w:bottom w:val="none" w:sz="0" w:space="0" w:color="auto"/>
        <w:right w:val="none" w:sz="0" w:space="0" w:color="auto"/>
      </w:divBdr>
    </w:div>
    <w:div w:id="598873931">
      <w:bodyDiv w:val="1"/>
      <w:marLeft w:val="0"/>
      <w:marRight w:val="0"/>
      <w:marTop w:val="0"/>
      <w:marBottom w:val="0"/>
      <w:divBdr>
        <w:top w:val="none" w:sz="0" w:space="0" w:color="auto"/>
        <w:left w:val="none" w:sz="0" w:space="0" w:color="auto"/>
        <w:bottom w:val="none" w:sz="0" w:space="0" w:color="auto"/>
        <w:right w:val="none" w:sz="0" w:space="0" w:color="auto"/>
      </w:divBdr>
    </w:div>
    <w:div w:id="603343916">
      <w:bodyDiv w:val="1"/>
      <w:marLeft w:val="0"/>
      <w:marRight w:val="0"/>
      <w:marTop w:val="0"/>
      <w:marBottom w:val="0"/>
      <w:divBdr>
        <w:top w:val="none" w:sz="0" w:space="0" w:color="auto"/>
        <w:left w:val="none" w:sz="0" w:space="0" w:color="auto"/>
        <w:bottom w:val="none" w:sz="0" w:space="0" w:color="auto"/>
        <w:right w:val="none" w:sz="0" w:space="0" w:color="auto"/>
      </w:divBdr>
    </w:div>
    <w:div w:id="608975100">
      <w:bodyDiv w:val="1"/>
      <w:marLeft w:val="0"/>
      <w:marRight w:val="0"/>
      <w:marTop w:val="0"/>
      <w:marBottom w:val="0"/>
      <w:divBdr>
        <w:top w:val="none" w:sz="0" w:space="0" w:color="auto"/>
        <w:left w:val="none" w:sz="0" w:space="0" w:color="auto"/>
        <w:bottom w:val="none" w:sz="0" w:space="0" w:color="auto"/>
        <w:right w:val="none" w:sz="0" w:space="0" w:color="auto"/>
      </w:divBdr>
    </w:div>
    <w:div w:id="617033731">
      <w:bodyDiv w:val="1"/>
      <w:marLeft w:val="0"/>
      <w:marRight w:val="0"/>
      <w:marTop w:val="0"/>
      <w:marBottom w:val="0"/>
      <w:divBdr>
        <w:top w:val="none" w:sz="0" w:space="0" w:color="auto"/>
        <w:left w:val="none" w:sz="0" w:space="0" w:color="auto"/>
        <w:bottom w:val="none" w:sz="0" w:space="0" w:color="auto"/>
        <w:right w:val="none" w:sz="0" w:space="0" w:color="auto"/>
      </w:divBdr>
    </w:div>
    <w:div w:id="623653023">
      <w:bodyDiv w:val="1"/>
      <w:marLeft w:val="0"/>
      <w:marRight w:val="0"/>
      <w:marTop w:val="0"/>
      <w:marBottom w:val="0"/>
      <w:divBdr>
        <w:top w:val="none" w:sz="0" w:space="0" w:color="auto"/>
        <w:left w:val="none" w:sz="0" w:space="0" w:color="auto"/>
        <w:bottom w:val="none" w:sz="0" w:space="0" w:color="auto"/>
        <w:right w:val="none" w:sz="0" w:space="0" w:color="auto"/>
      </w:divBdr>
    </w:div>
    <w:div w:id="625043175">
      <w:bodyDiv w:val="1"/>
      <w:marLeft w:val="0"/>
      <w:marRight w:val="0"/>
      <w:marTop w:val="0"/>
      <w:marBottom w:val="0"/>
      <w:divBdr>
        <w:top w:val="none" w:sz="0" w:space="0" w:color="auto"/>
        <w:left w:val="none" w:sz="0" w:space="0" w:color="auto"/>
        <w:bottom w:val="none" w:sz="0" w:space="0" w:color="auto"/>
        <w:right w:val="none" w:sz="0" w:space="0" w:color="auto"/>
      </w:divBdr>
    </w:div>
    <w:div w:id="627901757">
      <w:bodyDiv w:val="1"/>
      <w:marLeft w:val="0"/>
      <w:marRight w:val="0"/>
      <w:marTop w:val="0"/>
      <w:marBottom w:val="0"/>
      <w:divBdr>
        <w:top w:val="none" w:sz="0" w:space="0" w:color="auto"/>
        <w:left w:val="none" w:sz="0" w:space="0" w:color="auto"/>
        <w:bottom w:val="none" w:sz="0" w:space="0" w:color="auto"/>
        <w:right w:val="none" w:sz="0" w:space="0" w:color="auto"/>
      </w:divBdr>
    </w:div>
    <w:div w:id="629289914">
      <w:bodyDiv w:val="1"/>
      <w:marLeft w:val="0"/>
      <w:marRight w:val="0"/>
      <w:marTop w:val="0"/>
      <w:marBottom w:val="0"/>
      <w:divBdr>
        <w:top w:val="none" w:sz="0" w:space="0" w:color="auto"/>
        <w:left w:val="none" w:sz="0" w:space="0" w:color="auto"/>
        <w:bottom w:val="none" w:sz="0" w:space="0" w:color="auto"/>
        <w:right w:val="none" w:sz="0" w:space="0" w:color="auto"/>
      </w:divBdr>
    </w:div>
    <w:div w:id="633608516">
      <w:bodyDiv w:val="1"/>
      <w:marLeft w:val="0"/>
      <w:marRight w:val="0"/>
      <w:marTop w:val="0"/>
      <w:marBottom w:val="0"/>
      <w:divBdr>
        <w:top w:val="none" w:sz="0" w:space="0" w:color="auto"/>
        <w:left w:val="none" w:sz="0" w:space="0" w:color="auto"/>
        <w:bottom w:val="none" w:sz="0" w:space="0" w:color="auto"/>
        <w:right w:val="none" w:sz="0" w:space="0" w:color="auto"/>
      </w:divBdr>
    </w:div>
    <w:div w:id="636760977">
      <w:bodyDiv w:val="1"/>
      <w:marLeft w:val="0"/>
      <w:marRight w:val="0"/>
      <w:marTop w:val="0"/>
      <w:marBottom w:val="0"/>
      <w:divBdr>
        <w:top w:val="none" w:sz="0" w:space="0" w:color="auto"/>
        <w:left w:val="none" w:sz="0" w:space="0" w:color="auto"/>
        <w:bottom w:val="none" w:sz="0" w:space="0" w:color="auto"/>
        <w:right w:val="none" w:sz="0" w:space="0" w:color="auto"/>
      </w:divBdr>
    </w:div>
    <w:div w:id="637301140">
      <w:bodyDiv w:val="1"/>
      <w:marLeft w:val="0"/>
      <w:marRight w:val="0"/>
      <w:marTop w:val="0"/>
      <w:marBottom w:val="0"/>
      <w:divBdr>
        <w:top w:val="none" w:sz="0" w:space="0" w:color="auto"/>
        <w:left w:val="none" w:sz="0" w:space="0" w:color="auto"/>
        <w:bottom w:val="none" w:sz="0" w:space="0" w:color="auto"/>
        <w:right w:val="none" w:sz="0" w:space="0" w:color="auto"/>
      </w:divBdr>
    </w:div>
    <w:div w:id="638460295">
      <w:bodyDiv w:val="1"/>
      <w:marLeft w:val="0"/>
      <w:marRight w:val="0"/>
      <w:marTop w:val="0"/>
      <w:marBottom w:val="0"/>
      <w:divBdr>
        <w:top w:val="none" w:sz="0" w:space="0" w:color="auto"/>
        <w:left w:val="none" w:sz="0" w:space="0" w:color="auto"/>
        <w:bottom w:val="none" w:sz="0" w:space="0" w:color="auto"/>
        <w:right w:val="none" w:sz="0" w:space="0" w:color="auto"/>
      </w:divBdr>
    </w:div>
    <w:div w:id="641228610">
      <w:bodyDiv w:val="1"/>
      <w:marLeft w:val="0"/>
      <w:marRight w:val="0"/>
      <w:marTop w:val="0"/>
      <w:marBottom w:val="0"/>
      <w:divBdr>
        <w:top w:val="none" w:sz="0" w:space="0" w:color="auto"/>
        <w:left w:val="none" w:sz="0" w:space="0" w:color="auto"/>
        <w:bottom w:val="none" w:sz="0" w:space="0" w:color="auto"/>
        <w:right w:val="none" w:sz="0" w:space="0" w:color="auto"/>
      </w:divBdr>
    </w:div>
    <w:div w:id="649017054">
      <w:bodyDiv w:val="1"/>
      <w:marLeft w:val="0"/>
      <w:marRight w:val="0"/>
      <w:marTop w:val="0"/>
      <w:marBottom w:val="0"/>
      <w:divBdr>
        <w:top w:val="none" w:sz="0" w:space="0" w:color="auto"/>
        <w:left w:val="none" w:sz="0" w:space="0" w:color="auto"/>
        <w:bottom w:val="none" w:sz="0" w:space="0" w:color="auto"/>
        <w:right w:val="none" w:sz="0" w:space="0" w:color="auto"/>
      </w:divBdr>
    </w:div>
    <w:div w:id="649790411">
      <w:bodyDiv w:val="1"/>
      <w:marLeft w:val="0"/>
      <w:marRight w:val="0"/>
      <w:marTop w:val="0"/>
      <w:marBottom w:val="0"/>
      <w:divBdr>
        <w:top w:val="none" w:sz="0" w:space="0" w:color="auto"/>
        <w:left w:val="none" w:sz="0" w:space="0" w:color="auto"/>
        <w:bottom w:val="none" w:sz="0" w:space="0" w:color="auto"/>
        <w:right w:val="none" w:sz="0" w:space="0" w:color="auto"/>
      </w:divBdr>
    </w:div>
    <w:div w:id="650212069">
      <w:bodyDiv w:val="1"/>
      <w:marLeft w:val="0"/>
      <w:marRight w:val="0"/>
      <w:marTop w:val="0"/>
      <w:marBottom w:val="0"/>
      <w:divBdr>
        <w:top w:val="none" w:sz="0" w:space="0" w:color="auto"/>
        <w:left w:val="none" w:sz="0" w:space="0" w:color="auto"/>
        <w:bottom w:val="none" w:sz="0" w:space="0" w:color="auto"/>
        <w:right w:val="none" w:sz="0" w:space="0" w:color="auto"/>
      </w:divBdr>
    </w:div>
    <w:div w:id="650719272">
      <w:bodyDiv w:val="1"/>
      <w:marLeft w:val="0"/>
      <w:marRight w:val="0"/>
      <w:marTop w:val="0"/>
      <w:marBottom w:val="0"/>
      <w:divBdr>
        <w:top w:val="none" w:sz="0" w:space="0" w:color="auto"/>
        <w:left w:val="none" w:sz="0" w:space="0" w:color="auto"/>
        <w:bottom w:val="none" w:sz="0" w:space="0" w:color="auto"/>
        <w:right w:val="none" w:sz="0" w:space="0" w:color="auto"/>
      </w:divBdr>
    </w:div>
    <w:div w:id="651719716">
      <w:bodyDiv w:val="1"/>
      <w:marLeft w:val="0"/>
      <w:marRight w:val="0"/>
      <w:marTop w:val="0"/>
      <w:marBottom w:val="0"/>
      <w:divBdr>
        <w:top w:val="none" w:sz="0" w:space="0" w:color="auto"/>
        <w:left w:val="none" w:sz="0" w:space="0" w:color="auto"/>
        <w:bottom w:val="none" w:sz="0" w:space="0" w:color="auto"/>
        <w:right w:val="none" w:sz="0" w:space="0" w:color="auto"/>
      </w:divBdr>
    </w:div>
    <w:div w:id="654064894">
      <w:bodyDiv w:val="1"/>
      <w:marLeft w:val="0"/>
      <w:marRight w:val="0"/>
      <w:marTop w:val="0"/>
      <w:marBottom w:val="0"/>
      <w:divBdr>
        <w:top w:val="none" w:sz="0" w:space="0" w:color="auto"/>
        <w:left w:val="none" w:sz="0" w:space="0" w:color="auto"/>
        <w:bottom w:val="none" w:sz="0" w:space="0" w:color="auto"/>
        <w:right w:val="none" w:sz="0" w:space="0" w:color="auto"/>
      </w:divBdr>
    </w:div>
    <w:div w:id="663322572">
      <w:bodyDiv w:val="1"/>
      <w:marLeft w:val="0"/>
      <w:marRight w:val="0"/>
      <w:marTop w:val="0"/>
      <w:marBottom w:val="0"/>
      <w:divBdr>
        <w:top w:val="none" w:sz="0" w:space="0" w:color="auto"/>
        <w:left w:val="none" w:sz="0" w:space="0" w:color="auto"/>
        <w:bottom w:val="none" w:sz="0" w:space="0" w:color="auto"/>
        <w:right w:val="none" w:sz="0" w:space="0" w:color="auto"/>
      </w:divBdr>
    </w:div>
    <w:div w:id="665330026">
      <w:bodyDiv w:val="1"/>
      <w:marLeft w:val="0"/>
      <w:marRight w:val="0"/>
      <w:marTop w:val="0"/>
      <w:marBottom w:val="0"/>
      <w:divBdr>
        <w:top w:val="none" w:sz="0" w:space="0" w:color="auto"/>
        <w:left w:val="none" w:sz="0" w:space="0" w:color="auto"/>
        <w:bottom w:val="none" w:sz="0" w:space="0" w:color="auto"/>
        <w:right w:val="none" w:sz="0" w:space="0" w:color="auto"/>
      </w:divBdr>
    </w:div>
    <w:div w:id="667638769">
      <w:bodyDiv w:val="1"/>
      <w:marLeft w:val="0"/>
      <w:marRight w:val="0"/>
      <w:marTop w:val="0"/>
      <w:marBottom w:val="0"/>
      <w:divBdr>
        <w:top w:val="none" w:sz="0" w:space="0" w:color="auto"/>
        <w:left w:val="none" w:sz="0" w:space="0" w:color="auto"/>
        <w:bottom w:val="none" w:sz="0" w:space="0" w:color="auto"/>
        <w:right w:val="none" w:sz="0" w:space="0" w:color="auto"/>
      </w:divBdr>
    </w:div>
    <w:div w:id="679429722">
      <w:bodyDiv w:val="1"/>
      <w:marLeft w:val="0"/>
      <w:marRight w:val="0"/>
      <w:marTop w:val="0"/>
      <w:marBottom w:val="0"/>
      <w:divBdr>
        <w:top w:val="none" w:sz="0" w:space="0" w:color="auto"/>
        <w:left w:val="none" w:sz="0" w:space="0" w:color="auto"/>
        <w:bottom w:val="none" w:sz="0" w:space="0" w:color="auto"/>
        <w:right w:val="none" w:sz="0" w:space="0" w:color="auto"/>
      </w:divBdr>
    </w:div>
    <w:div w:id="686490491">
      <w:bodyDiv w:val="1"/>
      <w:marLeft w:val="0"/>
      <w:marRight w:val="0"/>
      <w:marTop w:val="0"/>
      <w:marBottom w:val="0"/>
      <w:divBdr>
        <w:top w:val="none" w:sz="0" w:space="0" w:color="auto"/>
        <w:left w:val="none" w:sz="0" w:space="0" w:color="auto"/>
        <w:bottom w:val="none" w:sz="0" w:space="0" w:color="auto"/>
        <w:right w:val="none" w:sz="0" w:space="0" w:color="auto"/>
      </w:divBdr>
    </w:div>
    <w:div w:id="690254334">
      <w:bodyDiv w:val="1"/>
      <w:marLeft w:val="0"/>
      <w:marRight w:val="0"/>
      <w:marTop w:val="0"/>
      <w:marBottom w:val="0"/>
      <w:divBdr>
        <w:top w:val="none" w:sz="0" w:space="0" w:color="auto"/>
        <w:left w:val="none" w:sz="0" w:space="0" w:color="auto"/>
        <w:bottom w:val="none" w:sz="0" w:space="0" w:color="auto"/>
        <w:right w:val="none" w:sz="0" w:space="0" w:color="auto"/>
      </w:divBdr>
    </w:div>
    <w:div w:id="695233119">
      <w:bodyDiv w:val="1"/>
      <w:marLeft w:val="0"/>
      <w:marRight w:val="0"/>
      <w:marTop w:val="0"/>
      <w:marBottom w:val="0"/>
      <w:divBdr>
        <w:top w:val="none" w:sz="0" w:space="0" w:color="auto"/>
        <w:left w:val="none" w:sz="0" w:space="0" w:color="auto"/>
        <w:bottom w:val="none" w:sz="0" w:space="0" w:color="auto"/>
        <w:right w:val="none" w:sz="0" w:space="0" w:color="auto"/>
      </w:divBdr>
    </w:div>
    <w:div w:id="699403145">
      <w:bodyDiv w:val="1"/>
      <w:marLeft w:val="0"/>
      <w:marRight w:val="0"/>
      <w:marTop w:val="0"/>
      <w:marBottom w:val="0"/>
      <w:divBdr>
        <w:top w:val="none" w:sz="0" w:space="0" w:color="auto"/>
        <w:left w:val="none" w:sz="0" w:space="0" w:color="auto"/>
        <w:bottom w:val="none" w:sz="0" w:space="0" w:color="auto"/>
        <w:right w:val="none" w:sz="0" w:space="0" w:color="auto"/>
      </w:divBdr>
    </w:div>
    <w:div w:id="704402761">
      <w:bodyDiv w:val="1"/>
      <w:marLeft w:val="0"/>
      <w:marRight w:val="0"/>
      <w:marTop w:val="0"/>
      <w:marBottom w:val="0"/>
      <w:divBdr>
        <w:top w:val="none" w:sz="0" w:space="0" w:color="auto"/>
        <w:left w:val="none" w:sz="0" w:space="0" w:color="auto"/>
        <w:bottom w:val="none" w:sz="0" w:space="0" w:color="auto"/>
        <w:right w:val="none" w:sz="0" w:space="0" w:color="auto"/>
      </w:divBdr>
    </w:div>
    <w:div w:id="706949647">
      <w:bodyDiv w:val="1"/>
      <w:marLeft w:val="0"/>
      <w:marRight w:val="0"/>
      <w:marTop w:val="0"/>
      <w:marBottom w:val="0"/>
      <w:divBdr>
        <w:top w:val="none" w:sz="0" w:space="0" w:color="auto"/>
        <w:left w:val="none" w:sz="0" w:space="0" w:color="auto"/>
        <w:bottom w:val="none" w:sz="0" w:space="0" w:color="auto"/>
        <w:right w:val="none" w:sz="0" w:space="0" w:color="auto"/>
      </w:divBdr>
    </w:div>
    <w:div w:id="706951094">
      <w:bodyDiv w:val="1"/>
      <w:marLeft w:val="0"/>
      <w:marRight w:val="0"/>
      <w:marTop w:val="0"/>
      <w:marBottom w:val="0"/>
      <w:divBdr>
        <w:top w:val="none" w:sz="0" w:space="0" w:color="auto"/>
        <w:left w:val="none" w:sz="0" w:space="0" w:color="auto"/>
        <w:bottom w:val="none" w:sz="0" w:space="0" w:color="auto"/>
        <w:right w:val="none" w:sz="0" w:space="0" w:color="auto"/>
      </w:divBdr>
    </w:div>
    <w:div w:id="710307166">
      <w:bodyDiv w:val="1"/>
      <w:marLeft w:val="0"/>
      <w:marRight w:val="0"/>
      <w:marTop w:val="0"/>
      <w:marBottom w:val="0"/>
      <w:divBdr>
        <w:top w:val="none" w:sz="0" w:space="0" w:color="auto"/>
        <w:left w:val="none" w:sz="0" w:space="0" w:color="auto"/>
        <w:bottom w:val="none" w:sz="0" w:space="0" w:color="auto"/>
        <w:right w:val="none" w:sz="0" w:space="0" w:color="auto"/>
      </w:divBdr>
    </w:div>
    <w:div w:id="717123382">
      <w:bodyDiv w:val="1"/>
      <w:marLeft w:val="0"/>
      <w:marRight w:val="0"/>
      <w:marTop w:val="0"/>
      <w:marBottom w:val="0"/>
      <w:divBdr>
        <w:top w:val="none" w:sz="0" w:space="0" w:color="auto"/>
        <w:left w:val="none" w:sz="0" w:space="0" w:color="auto"/>
        <w:bottom w:val="none" w:sz="0" w:space="0" w:color="auto"/>
        <w:right w:val="none" w:sz="0" w:space="0" w:color="auto"/>
      </w:divBdr>
    </w:div>
    <w:div w:id="728264030">
      <w:bodyDiv w:val="1"/>
      <w:marLeft w:val="0"/>
      <w:marRight w:val="0"/>
      <w:marTop w:val="0"/>
      <w:marBottom w:val="0"/>
      <w:divBdr>
        <w:top w:val="none" w:sz="0" w:space="0" w:color="auto"/>
        <w:left w:val="none" w:sz="0" w:space="0" w:color="auto"/>
        <w:bottom w:val="none" w:sz="0" w:space="0" w:color="auto"/>
        <w:right w:val="none" w:sz="0" w:space="0" w:color="auto"/>
      </w:divBdr>
    </w:div>
    <w:div w:id="728962179">
      <w:bodyDiv w:val="1"/>
      <w:marLeft w:val="0"/>
      <w:marRight w:val="0"/>
      <w:marTop w:val="0"/>
      <w:marBottom w:val="0"/>
      <w:divBdr>
        <w:top w:val="none" w:sz="0" w:space="0" w:color="auto"/>
        <w:left w:val="none" w:sz="0" w:space="0" w:color="auto"/>
        <w:bottom w:val="none" w:sz="0" w:space="0" w:color="auto"/>
        <w:right w:val="none" w:sz="0" w:space="0" w:color="auto"/>
      </w:divBdr>
    </w:div>
    <w:div w:id="735514574">
      <w:bodyDiv w:val="1"/>
      <w:marLeft w:val="0"/>
      <w:marRight w:val="0"/>
      <w:marTop w:val="0"/>
      <w:marBottom w:val="0"/>
      <w:divBdr>
        <w:top w:val="none" w:sz="0" w:space="0" w:color="auto"/>
        <w:left w:val="none" w:sz="0" w:space="0" w:color="auto"/>
        <w:bottom w:val="none" w:sz="0" w:space="0" w:color="auto"/>
        <w:right w:val="none" w:sz="0" w:space="0" w:color="auto"/>
      </w:divBdr>
    </w:div>
    <w:div w:id="739524743">
      <w:bodyDiv w:val="1"/>
      <w:marLeft w:val="0"/>
      <w:marRight w:val="0"/>
      <w:marTop w:val="0"/>
      <w:marBottom w:val="0"/>
      <w:divBdr>
        <w:top w:val="none" w:sz="0" w:space="0" w:color="auto"/>
        <w:left w:val="none" w:sz="0" w:space="0" w:color="auto"/>
        <w:bottom w:val="none" w:sz="0" w:space="0" w:color="auto"/>
        <w:right w:val="none" w:sz="0" w:space="0" w:color="auto"/>
      </w:divBdr>
    </w:div>
    <w:div w:id="741219605">
      <w:bodyDiv w:val="1"/>
      <w:marLeft w:val="0"/>
      <w:marRight w:val="0"/>
      <w:marTop w:val="0"/>
      <w:marBottom w:val="0"/>
      <w:divBdr>
        <w:top w:val="none" w:sz="0" w:space="0" w:color="auto"/>
        <w:left w:val="none" w:sz="0" w:space="0" w:color="auto"/>
        <w:bottom w:val="none" w:sz="0" w:space="0" w:color="auto"/>
        <w:right w:val="none" w:sz="0" w:space="0" w:color="auto"/>
      </w:divBdr>
    </w:div>
    <w:div w:id="742262005">
      <w:bodyDiv w:val="1"/>
      <w:marLeft w:val="0"/>
      <w:marRight w:val="0"/>
      <w:marTop w:val="0"/>
      <w:marBottom w:val="0"/>
      <w:divBdr>
        <w:top w:val="none" w:sz="0" w:space="0" w:color="auto"/>
        <w:left w:val="none" w:sz="0" w:space="0" w:color="auto"/>
        <w:bottom w:val="none" w:sz="0" w:space="0" w:color="auto"/>
        <w:right w:val="none" w:sz="0" w:space="0" w:color="auto"/>
      </w:divBdr>
    </w:div>
    <w:div w:id="751044568">
      <w:bodyDiv w:val="1"/>
      <w:marLeft w:val="0"/>
      <w:marRight w:val="0"/>
      <w:marTop w:val="0"/>
      <w:marBottom w:val="0"/>
      <w:divBdr>
        <w:top w:val="none" w:sz="0" w:space="0" w:color="auto"/>
        <w:left w:val="none" w:sz="0" w:space="0" w:color="auto"/>
        <w:bottom w:val="none" w:sz="0" w:space="0" w:color="auto"/>
        <w:right w:val="none" w:sz="0" w:space="0" w:color="auto"/>
      </w:divBdr>
    </w:div>
    <w:div w:id="759375020">
      <w:bodyDiv w:val="1"/>
      <w:marLeft w:val="0"/>
      <w:marRight w:val="0"/>
      <w:marTop w:val="0"/>
      <w:marBottom w:val="0"/>
      <w:divBdr>
        <w:top w:val="none" w:sz="0" w:space="0" w:color="auto"/>
        <w:left w:val="none" w:sz="0" w:space="0" w:color="auto"/>
        <w:bottom w:val="none" w:sz="0" w:space="0" w:color="auto"/>
        <w:right w:val="none" w:sz="0" w:space="0" w:color="auto"/>
      </w:divBdr>
    </w:div>
    <w:div w:id="765879373">
      <w:bodyDiv w:val="1"/>
      <w:marLeft w:val="0"/>
      <w:marRight w:val="0"/>
      <w:marTop w:val="0"/>
      <w:marBottom w:val="0"/>
      <w:divBdr>
        <w:top w:val="none" w:sz="0" w:space="0" w:color="auto"/>
        <w:left w:val="none" w:sz="0" w:space="0" w:color="auto"/>
        <w:bottom w:val="none" w:sz="0" w:space="0" w:color="auto"/>
        <w:right w:val="none" w:sz="0" w:space="0" w:color="auto"/>
      </w:divBdr>
    </w:div>
    <w:div w:id="783422558">
      <w:bodyDiv w:val="1"/>
      <w:marLeft w:val="0"/>
      <w:marRight w:val="0"/>
      <w:marTop w:val="0"/>
      <w:marBottom w:val="0"/>
      <w:divBdr>
        <w:top w:val="none" w:sz="0" w:space="0" w:color="auto"/>
        <w:left w:val="none" w:sz="0" w:space="0" w:color="auto"/>
        <w:bottom w:val="none" w:sz="0" w:space="0" w:color="auto"/>
        <w:right w:val="none" w:sz="0" w:space="0" w:color="auto"/>
      </w:divBdr>
    </w:div>
    <w:div w:id="795873270">
      <w:bodyDiv w:val="1"/>
      <w:marLeft w:val="0"/>
      <w:marRight w:val="0"/>
      <w:marTop w:val="0"/>
      <w:marBottom w:val="0"/>
      <w:divBdr>
        <w:top w:val="none" w:sz="0" w:space="0" w:color="auto"/>
        <w:left w:val="none" w:sz="0" w:space="0" w:color="auto"/>
        <w:bottom w:val="none" w:sz="0" w:space="0" w:color="auto"/>
        <w:right w:val="none" w:sz="0" w:space="0" w:color="auto"/>
      </w:divBdr>
    </w:div>
    <w:div w:id="801459474">
      <w:bodyDiv w:val="1"/>
      <w:marLeft w:val="0"/>
      <w:marRight w:val="0"/>
      <w:marTop w:val="0"/>
      <w:marBottom w:val="0"/>
      <w:divBdr>
        <w:top w:val="none" w:sz="0" w:space="0" w:color="auto"/>
        <w:left w:val="none" w:sz="0" w:space="0" w:color="auto"/>
        <w:bottom w:val="none" w:sz="0" w:space="0" w:color="auto"/>
        <w:right w:val="none" w:sz="0" w:space="0" w:color="auto"/>
      </w:divBdr>
    </w:div>
    <w:div w:id="805396619">
      <w:bodyDiv w:val="1"/>
      <w:marLeft w:val="0"/>
      <w:marRight w:val="0"/>
      <w:marTop w:val="0"/>
      <w:marBottom w:val="0"/>
      <w:divBdr>
        <w:top w:val="none" w:sz="0" w:space="0" w:color="auto"/>
        <w:left w:val="none" w:sz="0" w:space="0" w:color="auto"/>
        <w:bottom w:val="none" w:sz="0" w:space="0" w:color="auto"/>
        <w:right w:val="none" w:sz="0" w:space="0" w:color="auto"/>
      </w:divBdr>
    </w:div>
    <w:div w:id="806244108">
      <w:bodyDiv w:val="1"/>
      <w:marLeft w:val="0"/>
      <w:marRight w:val="0"/>
      <w:marTop w:val="0"/>
      <w:marBottom w:val="0"/>
      <w:divBdr>
        <w:top w:val="none" w:sz="0" w:space="0" w:color="auto"/>
        <w:left w:val="none" w:sz="0" w:space="0" w:color="auto"/>
        <w:bottom w:val="none" w:sz="0" w:space="0" w:color="auto"/>
        <w:right w:val="none" w:sz="0" w:space="0" w:color="auto"/>
      </w:divBdr>
    </w:div>
    <w:div w:id="806971157">
      <w:bodyDiv w:val="1"/>
      <w:marLeft w:val="0"/>
      <w:marRight w:val="0"/>
      <w:marTop w:val="0"/>
      <w:marBottom w:val="0"/>
      <w:divBdr>
        <w:top w:val="none" w:sz="0" w:space="0" w:color="auto"/>
        <w:left w:val="none" w:sz="0" w:space="0" w:color="auto"/>
        <w:bottom w:val="none" w:sz="0" w:space="0" w:color="auto"/>
        <w:right w:val="none" w:sz="0" w:space="0" w:color="auto"/>
      </w:divBdr>
    </w:div>
    <w:div w:id="828716858">
      <w:bodyDiv w:val="1"/>
      <w:marLeft w:val="0"/>
      <w:marRight w:val="0"/>
      <w:marTop w:val="0"/>
      <w:marBottom w:val="0"/>
      <w:divBdr>
        <w:top w:val="none" w:sz="0" w:space="0" w:color="auto"/>
        <w:left w:val="none" w:sz="0" w:space="0" w:color="auto"/>
        <w:bottom w:val="none" w:sz="0" w:space="0" w:color="auto"/>
        <w:right w:val="none" w:sz="0" w:space="0" w:color="auto"/>
      </w:divBdr>
    </w:div>
    <w:div w:id="832333270">
      <w:bodyDiv w:val="1"/>
      <w:marLeft w:val="0"/>
      <w:marRight w:val="0"/>
      <w:marTop w:val="0"/>
      <w:marBottom w:val="0"/>
      <w:divBdr>
        <w:top w:val="none" w:sz="0" w:space="0" w:color="auto"/>
        <w:left w:val="none" w:sz="0" w:space="0" w:color="auto"/>
        <w:bottom w:val="none" w:sz="0" w:space="0" w:color="auto"/>
        <w:right w:val="none" w:sz="0" w:space="0" w:color="auto"/>
      </w:divBdr>
    </w:div>
    <w:div w:id="835271583">
      <w:bodyDiv w:val="1"/>
      <w:marLeft w:val="0"/>
      <w:marRight w:val="0"/>
      <w:marTop w:val="0"/>
      <w:marBottom w:val="0"/>
      <w:divBdr>
        <w:top w:val="none" w:sz="0" w:space="0" w:color="auto"/>
        <w:left w:val="none" w:sz="0" w:space="0" w:color="auto"/>
        <w:bottom w:val="none" w:sz="0" w:space="0" w:color="auto"/>
        <w:right w:val="none" w:sz="0" w:space="0" w:color="auto"/>
      </w:divBdr>
    </w:div>
    <w:div w:id="838038407">
      <w:bodyDiv w:val="1"/>
      <w:marLeft w:val="0"/>
      <w:marRight w:val="0"/>
      <w:marTop w:val="0"/>
      <w:marBottom w:val="0"/>
      <w:divBdr>
        <w:top w:val="none" w:sz="0" w:space="0" w:color="auto"/>
        <w:left w:val="none" w:sz="0" w:space="0" w:color="auto"/>
        <w:bottom w:val="none" w:sz="0" w:space="0" w:color="auto"/>
        <w:right w:val="none" w:sz="0" w:space="0" w:color="auto"/>
      </w:divBdr>
    </w:div>
    <w:div w:id="838080964">
      <w:bodyDiv w:val="1"/>
      <w:marLeft w:val="0"/>
      <w:marRight w:val="0"/>
      <w:marTop w:val="0"/>
      <w:marBottom w:val="0"/>
      <w:divBdr>
        <w:top w:val="none" w:sz="0" w:space="0" w:color="auto"/>
        <w:left w:val="none" w:sz="0" w:space="0" w:color="auto"/>
        <w:bottom w:val="none" w:sz="0" w:space="0" w:color="auto"/>
        <w:right w:val="none" w:sz="0" w:space="0" w:color="auto"/>
      </w:divBdr>
    </w:div>
    <w:div w:id="841965815">
      <w:bodyDiv w:val="1"/>
      <w:marLeft w:val="0"/>
      <w:marRight w:val="0"/>
      <w:marTop w:val="0"/>
      <w:marBottom w:val="0"/>
      <w:divBdr>
        <w:top w:val="none" w:sz="0" w:space="0" w:color="auto"/>
        <w:left w:val="none" w:sz="0" w:space="0" w:color="auto"/>
        <w:bottom w:val="none" w:sz="0" w:space="0" w:color="auto"/>
        <w:right w:val="none" w:sz="0" w:space="0" w:color="auto"/>
      </w:divBdr>
    </w:div>
    <w:div w:id="842817476">
      <w:bodyDiv w:val="1"/>
      <w:marLeft w:val="0"/>
      <w:marRight w:val="0"/>
      <w:marTop w:val="0"/>
      <w:marBottom w:val="0"/>
      <w:divBdr>
        <w:top w:val="none" w:sz="0" w:space="0" w:color="auto"/>
        <w:left w:val="none" w:sz="0" w:space="0" w:color="auto"/>
        <w:bottom w:val="none" w:sz="0" w:space="0" w:color="auto"/>
        <w:right w:val="none" w:sz="0" w:space="0" w:color="auto"/>
      </w:divBdr>
    </w:div>
    <w:div w:id="850340664">
      <w:bodyDiv w:val="1"/>
      <w:marLeft w:val="0"/>
      <w:marRight w:val="0"/>
      <w:marTop w:val="0"/>
      <w:marBottom w:val="0"/>
      <w:divBdr>
        <w:top w:val="none" w:sz="0" w:space="0" w:color="auto"/>
        <w:left w:val="none" w:sz="0" w:space="0" w:color="auto"/>
        <w:bottom w:val="none" w:sz="0" w:space="0" w:color="auto"/>
        <w:right w:val="none" w:sz="0" w:space="0" w:color="auto"/>
      </w:divBdr>
    </w:div>
    <w:div w:id="851534015">
      <w:bodyDiv w:val="1"/>
      <w:marLeft w:val="0"/>
      <w:marRight w:val="0"/>
      <w:marTop w:val="0"/>
      <w:marBottom w:val="0"/>
      <w:divBdr>
        <w:top w:val="none" w:sz="0" w:space="0" w:color="auto"/>
        <w:left w:val="none" w:sz="0" w:space="0" w:color="auto"/>
        <w:bottom w:val="none" w:sz="0" w:space="0" w:color="auto"/>
        <w:right w:val="none" w:sz="0" w:space="0" w:color="auto"/>
      </w:divBdr>
    </w:div>
    <w:div w:id="857429000">
      <w:bodyDiv w:val="1"/>
      <w:marLeft w:val="0"/>
      <w:marRight w:val="0"/>
      <w:marTop w:val="0"/>
      <w:marBottom w:val="0"/>
      <w:divBdr>
        <w:top w:val="none" w:sz="0" w:space="0" w:color="auto"/>
        <w:left w:val="none" w:sz="0" w:space="0" w:color="auto"/>
        <w:bottom w:val="none" w:sz="0" w:space="0" w:color="auto"/>
        <w:right w:val="none" w:sz="0" w:space="0" w:color="auto"/>
      </w:divBdr>
    </w:div>
    <w:div w:id="870848144">
      <w:bodyDiv w:val="1"/>
      <w:marLeft w:val="0"/>
      <w:marRight w:val="0"/>
      <w:marTop w:val="0"/>
      <w:marBottom w:val="0"/>
      <w:divBdr>
        <w:top w:val="none" w:sz="0" w:space="0" w:color="auto"/>
        <w:left w:val="none" w:sz="0" w:space="0" w:color="auto"/>
        <w:bottom w:val="none" w:sz="0" w:space="0" w:color="auto"/>
        <w:right w:val="none" w:sz="0" w:space="0" w:color="auto"/>
      </w:divBdr>
    </w:div>
    <w:div w:id="872107828">
      <w:bodyDiv w:val="1"/>
      <w:marLeft w:val="0"/>
      <w:marRight w:val="0"/>
      <w:marTop w:val="0"/>
      <w:marBottom w:val="0"/>
      <w:divBdr>
        <w:top w:val="none" w:sz="0" w:space="0" w:color="auto"/>
        <w:left w:val="none" w:sz="0" w:space="0" w:color="auto"/>
        <w:bottom w:val="none" w:sz="0" w:space="0" w:color="auto"/>
        <w:right w:val="none" w:sz="0" w:space="0" w:color="auto"/>
      </w:divBdr>
    </w:div>
    <w:div w:id="875580094">
      <w:bodyDiv w:val="1"/>
      <w:marLeft w:val="0"/>
      <w:marRight w:val="0"/>
      <w:marTop w:val="0"/>
      <w:marBottom w:val="0"/>
      <w:divBdr>
        <w:top w:val="none" w:sz="0" w:space="0" w:color="auto"/>
        <w:left w:val="none" w:sz="0" w:space="0" w:color="auto"/>
        <w:bottom w:val="none" w:sz="0" w:space="0" w:color="auto"/>
        <w:right w:val="none" w:sz="0" w:space="0" w:color="auto"/>
      </w:divBdr>
    </w:div>
    <w:div w:id="884758300">
      <w:bodyDiv w:val="1"/>
      <w:marLeft w:val="0"/>
      <w:marRight w:val="0"/>
      <w:marTop w:val="0"/>
      <w:marBottom w:val="0"/>
      <w:divBdr>
        <w:top w:val="none" w:sz="0" w:space="0" w:color="auto"/>
        <w:left w:val="none" w:sz="0" w:space="0" w:color="auto"/>
        <w:bottom w:val="none" w:sz="0" w:space="0" w:color="auto"/>
        <w:right w:val="none" w:sz="0" w:space="0" w:color="auto"/>
      </w:divBdr>
    </w:div>
    <w:div w:id="885336871">
      <w:bodyDiv w:val="1"/>
      <w:marLeft w:val="0"/>
      <w:marRight w:val="0"/>
      <w:marTop w:val="0"/>
      <w:marBottom w:val="0"/>
      <w:divBdr>
        <w:top w:val="none" w:sz="0" w:space="0" w:color="auto"/>
        <w:left w:val="none" w:sz="0" w:space="0" w:color="auto"/>
        <w:bottom w:val="none" w:sz="0" w:space="0" w:color="auto"/>
        <w:right w:val="none" w:sz="0" w:space="0" w:color="auto"/>
      </w:divBdr>
    </w:div>
    <w:div w:id="886723228">
      <w:bodyDiv w:val="1"/>
      <w:marLeft w:val="0"/>
      <w:marRight w:val="0"/>
      <w:marTop w:val="0"/>
      <w:marBottom w:val="0"/>
      <w:divBdr>
        <w:top w:val="none" w:sz="0" w:space="0" w:color="auto"/>
        <w:left w:val="none" w:sz="0" w:space="0" w:color="auto"/>
        <w:bottom w:val="none" w:sz="0" w:space="0" w:color="auto"/>
        <w:right w:val="none" w:sz="0" w:space="0" w:color="auto"/>
      </w:divBdr>
    </w:div>
    <w:div w:id="892809911">
      <w:bodyDiv w:val="1"/>
      <w:marLeft w:val="0"/>
      <w:marRight w:val="0"/>
      <w:marTop w:val="0"/>
      <w:marBottom w:val="0"/>
      <w:divBdr>
        <w:top w:val="none" w:sz="0" w:space="0" w:color="auto"/>
        <w:left w:val="none" w:sz="0" w:space="0" w:color="auto"/>
        <w:bottom w:val="none" w:sz="0" w:space="0" w:color="auto"/>
        <w:right w:val="none" w:sz="0" w:space="0" w:color="auto"/>
      </w:divBdr>
    </w:div>
    <w:div w:id="903838479">
      <w:bodyDiv w:val="1"/>
      <w:marLeft w:val="0"/>
      <w:marRight w:val="0"/>
      <w:marTop w:val="0"/>
      <w:marBottom w:val="0"/>
      <w:divBdr>
        <w:top w:val="none" w:sz="0" w:space="0" w:color="auto"/>
        <w:left w:val="none" w:sz="0" w:space="0" w:color="auto"/>
        <w:bottom w:val="none" w:sz="0" w:space="0" w:color="auto"/>
        <w:right w:val="none" w:sz="0" w:space="0" w:color="auto"/>
      </w:divBdr>
    </w:div>
    <w:div w:id="906912367">
      <w:bodyDiv w:val="1"/>
      <w:marLeft w:val="0"/>
      <w:marRight w:val="0"/>
      <w:marTop w:val="0"/>
      <w:marBottom w:val="0"/>
      <w:divBdr>
        <w:top w:val="none" w:sz="0" w:space="0" w:color="auto"/>
        <w:left w:val="none" w:sz="0" w:space="0" w:color="auto"/>
        <w:bottom w:val="none" w:sz="0" w:space="0" w:color="auto"/>
        <w:right w:val="none" w:sz="0" w:space="0" w:color="auto"/>
      </w:divBdr>
      <w:divsChild>
        <w:div w:id="842741176">
          <w:marLeft w:val="0"/>
          <w:marRight w:val="0"/>
          <w:marTop w:val="0"/>
          <w:marBottom w:val="0"/>
          <w:divBdr>
            <w:top w:val="none" w:sz="0" w:space="0" w:color="auto"/>
            <w:left w:val="none" w:sz="0" w:space="0" w:color="auto"/>
            <w:bottom w:val="none" w:sz="0" w:space="0" w:color="auto"/>
            <w:right w:val="none" w:sz="0" w:space="0" w:color="auto"/>
          </w:divBdr>
        </w:div>
        <w:div w:id="1688361017">
          <w:marLeft w:val="0"/>
          <w:marRight w:val="0"/>
          <w:marTop w:val="0"/>
          <w:marBottom w:val="0"/>
          <w:divBdr>
            <w:top w:val="none" w:sz="0" w:space="0" w:color="auto"/>
            <w:left w:val="none" w:sz="0" w:space="0" w:color="auto"/>
            <w:bottom w:val="none" w:sz="0" w:space="0" w:color="auto"/>
            <w:right w:val="none" w:sz="0" w:space="0" w:color="auto"/>
          </w:divBdr>
        </w:div>
      </w:divsChild>
    </w:div>
    <w:div w:id="913662922">
      <w:bodyDiv w:val="1"/>
      <w:marLeft w:val="0"/>
      <w:marRight w:val="0"/>
      <w:marTop w:val="0"/>
      <w:marBottom w:val="0"/>
      <w:divBdr>
        <w:top w:val="none" w:sz="0" w:space="0" w:color="auto"/>
        <w:left w:val="none" w:sz="0" w:space="0" w:color="auto"/>
        <w:bottom w:val="none" w:sz="0" w:space="0" w:color="auto"/>
        <w:right w:val="none" w:sz="0" w:space="0" w:color="auto"/>
      </w:divBdr>
    </w:div>
    <w:div w:id="920212067">
      <w:bodyDiv w:val="1"/>
      <w:marLeft w:val="0"/>
      <w:marRight w:val="0"/>
      <w:marTop w:val="0"/>
      <w:marBottom w:val="0"/>
      <w:divBdr>
        <w:top w:val="none" w:sz="0" w:space="0" w:color="auto"/>
        <w:left w:val="none" w:sz="0" w:space="0" w:color="auto"/>
        <w:bottom w:val="none" w:sz="0" w:space="0" w:color="auto"/>
        <w:right w:val="none" w:sz="0" w:space="0" w:color="auto"/>
      </w:divBdr>
    </w:div>
    <w:div w:id="920218034">
      <w:bodyDiv w:val="1"/>
      <w:marLeft w:val="0"/>
      <w:marRight w:val="0"/>
      <w:marTop w:val="0"/>
      <w:marBottom w:val="0"/>
      <w:divBdr>
        <w:top w:val="none" w:sz="0" w:space="0" w:color="auto"/>
        <w:left w:val="none" w:sz="0" w:space="0" w:color="auto"/>
        <w:bottom w:val="none" w:sz="0" w:space="0" w:color="auto"/>
        <w:right w:val="none" w:sz="0" w:space="0" w:color="auto"/>
      </w:divBdr>
    </w:div>
    <w:div w:id="923339550">
      <w:bodyDiv w:val="1"/>
      <w:marLeft w:val="0"/>
      <w:marRight w:val="0"/>
      <w:marTop w:val="0"/>
      <w:marBottom w:val="0"/>
      <w:divBdr>
        <w:top w:val="none" w:sz="0" w:space="0" w:color="auto"/>
        <w:left w:val="none" w:sz="0" w:space="0" w:color="auto"/>
        <w:bottom w:val="none" w:sz="0" w:space="0" w:color="auto"/>
        <w:right w:val="none" w:sz="0" w:space="0" w:color="auto"/>
      </w:divBdr>
    </w:div>
    <w:div w:id="930578244">
      <w:bodyDiv w:val="1"/>
      <w:marLeft w:val="0"/>
      <w:marRight w:val="0"/>
      <w:marTop w:val="0"/>
      <w:marBottom w:val="0"/>
      <w:divBdr>
        <w:top w:val="none" w:sz="0" w:space="0" w:color="auto"/>
        <w:left w:val="none" w:sz="0" w:space="0" w:color="auto"/>
        <w:bottom w:val="none" w:sz="0" w:space="0" w:color="auto"/>
        <w:right w:val="none" w:sz="0" w:space="0" w:color="auto"/>
      </w:divBdr>
    </w:div>
    <w:div w:id="934282962">
      <w:bodyDiv w:val="1"/>
      <w:marLeft w:val="0"/>
      <w:marRight w:val="0"/>
      <w:marTop w:val="0"/>
      <w:marBottom w:val="0"/>
      <w:divBdr>
        <w:top w:val="none" w:sz="0" w:space="0" w:color="auto"/>
        <w:left w:val="none" w:sz="0" w:space="0" w:color="auto"/>
        <w:bottom w:val="none" w:sz="0" w:space="0" w:color="auto"/>
        <w:right w:val="none" w:sz="0" w:space="0" w:color="auto"/>
      </w:divBdr>
    </w:div>
    <w:div w:id="947157454">
      <w:bodyDiv w:val="1"/>
      <w:marLeft w:val="0"/>
      <w:marRight w:val="0"/>
      <w:marTop w:val="0"/>
      <w:marBottom w:val="0"/>
      <w:divBdr>
        <w:top w:val="none" w:sz="0" w:space="0" w:color="auto"/>
        <w:left w:val="none" w:sz="0" w:space="0" w:color="auto"/>
        <w:bottom w:val="none" w:sz="0" w:space="0" w:color="auto"/>
        <w:right w:val="none" w:sz="0" w:space="0" w:color="auto"/>
      </w:divBdr>
    </w:div>
    <w:div w:id="957682048">
      <w:bodyDiv w:val="1"/>
      <w:marLeft w:val="0"/>
      <w:marRight w:val="0"/>
      <w:marTop w:val="0"/>
      <w:marBottom w:val="0"/>
      <w:divBdr>
        <w:top w:val="none" w:sz="0" w:space="0" w:color="auto"/>
        <w:left w:val="none" w:sz="0" w:space="0" w:color="auto"/>
        <w:bottom w:val="none" w:sz="0" w:space="0" w:color="auto"/>
        <w:right w:val="none" w:sz="0" w:space="0" w:color="auto"/>
      </w:divBdr>
    </w:div>
    <w:div w:id="963003449">
      <w:bodyDiv w:val="1"/>
      <w:marLeft w:val="0"/>
      <w:marRight w:val="0"/>
      <w:marTop w:val="0"/>
      <w:marBottom w:val="0"/>
      <w:divBdr>
        <w:top w:val="none" w:sz="0" w:space="0" w:color="auto"/>
        <w:left w:val="none" w:sz="0" w:space="0" w:color="auto"/>
        <w:bottom w:val="none" w:sz="0" w:space="0" w:color="auto"/>
        <w:right w:val="none" w:sz="0" w:space="0" w:color="auto"/>
      </w:divBdr>
    </w:div>
    <w:div w:id="973563363">
      <w:bodyDiv w:val="1"/>
      <w:marLeft w:val="0"/>
      <w:marRight w:val="0"/>
      <w:marTop w:val="0"/>
      <w:marBottom w:val="0"/>
      <w:divBdr>
        <w:top w:val="none" w:sz="0" w:space="0" w:color="auto"/>
        <w:left w:val="none" w:sz="0" w:space="0" w:color="auto"/>
        <w:bottom w:val="none" w:sz="0" w:space="0" w:color="auto"/>
        <w:right w:val="none" w:sz="0" w:space="0" w:color="auto"/>
      </w:divBdr>
    </w:div>
    <w:div w:id="979383091">
      <w:bodyDiv w:val="1"/>
      <w:marLeft w:val="0"/>
      <w:marRight w:val="0"/>
      <w:marTop w:val="0"/>
      <w:marBottom w:val="0"/>
      <w:divBdr>
        <w:top w:val="none" w:sz="0" w:space="0" w:color="auto"/>
        <w:left w:val="none" w:sz="0" w:space="0" w:color="auto"/>
        <w:bottom w:val="none" w:sz="0" w:space="0" w:color="auto"/>
        <w:right w:val="none" w:sz="0" w:space="0" w:color="auto"/>
      </w:divBdr>
    </w:div>
    <w:div w:id="982081638">
      <w:bodyDiv w:val="1"/>
      <w:marLeft w:val="0"/>
      <w:marRight w:val="0"/>
      <w:marTop w:val="0"/>
      <w:marBottom w:val="0"/>
      <w:divBdr>
        <w:top w:val="none" w:sz="0" w:space="0" w:color="auto"/>
        <w:left w:val="none" w:sz="0" w:space="0" w:color="auto"/>
        <w:bottom w:val="none" w:sz="0" w:space="0" w:color="auto"/>
        <w:right w:val="none" w:sz="0" w:space="0" w:color="auto"/>
      </w:divBdr>
    </w:div>
    <w:div w:id="983659823">
      <w:bodyDiv w:val="1"/>
      <w:marLeft w:val="0"/>
      <w:marRight w:val="0"/>
      <w:marTop w:val="0"/>
      <w:marBottom w:val="0"/>
      <w:divBdr>
        <w:top w:val="none" w:sz="0" w:space="0" w:color="auto"/>
        <w:left w:val="none" w:sz="0" w:space="0" w:color="auto"/>
        <w:bottom w:val="none" w:sz="0" w:space="0" w:color="auto"/>
        <w:right w:val="none" w:sz="0" w:space="0" w:color="auto"/>
      </w:divBdr>
    </w:div>
    <w:div w:id="985551347">
      <w:bodyDiv w:val="1"/>
      <w:marLeft w:val="0"/>
      <w:marRight w:val="0"/>
      <w:marTop w:val="0"/>
      <w:marBottom w:val="0"/>
      <w:divBdr>
        <w:top w:val="none" w:sz="0" w:space="0" w:color="auto"/>
        <w:left w:val="none" w:sz="0" w:space="0" w:color="auto"/>
        <w:bottom w:val="none" w:sz="0" w:space="0" w:color="auto"/>
        <w:right w:val="none" w:sz="0" w:space="0" w:color="auto"/>
      </w:divBdr>
    </w:div>
    <w:div w:id="986977970">
      <w:bodyDiv w:val="1"/>
      <w:marLeft w:val="0"/>
      <w:marRight w:val="0"/>
      <w:marTop w:val="0"/>
      <w:marBottom w:val="0"/>
      <w:divBdr>
        <w:top w:val="none" w:sz="0" w:space="0" w:color="auto"/>
        <w:left w:val="none" w:sz="0" w:space="0" w:color="auto"/>
        <w:bottom w:val="none" w:sz="0" w:space="0" w:color="auto"/>
        <w:right w:val="none" w:sz="0" w:space="0" w:color="auto"/>
      </w:divBdr>
    </w:div>
    <w:div w:id="988634971">
      <w:bodyDiv w:val="1"/>
      <w:marLeft w:val="0"/>
      <w:marRight w:val="0"/>
      <w:marTop w:val="0"/>
      <w:marBottom w:val="0"/>
      <w:divBdr>
        <w:top w:val="none" w:sz="0" w:space="0" w:color="auto"/>
        <w:left w:val="none" w:sz="0" w:space="0" w:color="auto"/>
        <w:bottom w:val="none" w:sz="0" w:space="0" w:color="auto"/>
        <w:right w:val="none" w:sz="0" w:space="0" w:color="auto"/>
      </w:divBdr>
    </w:div>
    <w:div w:id="999578088">
      <w:bodyDiv w:val="1"/>
      <w:marLeft w:val="0"/>
      <w:marRight w:val="0"/>
      <w:marTop w:val="0"/>
      <w:marBottom w:val="0"/>
      <w:divBdr>
        <w:top w:val="none" w:sz="0" w:space="0" w:color="auto"/>
        <w:left w:val="none" w:sz="0" w:space="0" w:color="auto"/>
        <w:bottom w:val="none" w:sz="0" w:space="0" w:color="auto"/>
        <w:right w:val="none" w:sz="0" w:space="0" w:color="auto"/>
      </w:divBdr>
    </w:div>
    <w:div w:id="1001932985">
      <w:bodyDiv w:val="1"/>
      <w:marLeft w:val="0"/>
      <w:marRight w:val="0"/>
      <w:marTop w:val="0"/>
      <w:marBottom w:val="0"/>
      <w:divBdr>
        <w:top w:val="none" w:sz="0" w:space="0" w:color="auto"/>
        <w:left w:val="none" w:sz="0" w:space="0" w:color="auto"/>
        <w:bottom w:val="none" w:sz="0" w:space="0" w:color="auto"/>
        <w:right w:val="none" w:sz="0" w:space="0" w:color="auto"/>
      </w:divBdr>
    </w:div>
    <w:div w:id="1002313112">
      <w:bodyDiv w:val="1"/>
      <w:marLeft w:val="0"/>
      <w:marRight w:val="0"/>
      <w:marTop w:val="0"/>
      <w:marBottom w:val="0"/>
      <w:divBdr>
        <w:top w:val="none" w:sz="0" w:space="0" w:color="auto"/>
        <w:left w:val="none" w:sz="0" w:space="0" w:color="auto"/>
        <w:bottom w:val="none" w:sz="0" w:space="0" w:color="auto"/>
        <w:right w:val="none" w:sz="0" w:space="0" w:color="auto"/>
      </w:divBdr>
    </w:div>
    <w:div w:id="1019966243">
      <w:bodyDiv w:val="1"/>
      <w:marLeft w:val="0"/>
      <w:marRight w:val="0"/>
      <w:marTop w:val="0"/>
      <w:marBottom w:val="0"/>
      <w:divBdr>
        <w:top w:val="none" w:sz="0" w:space="0" w:color="auto"/>
        <w:left w:val="none" w:sz="0" w:space="0" w:color="auto"/>
        <w:bottom w:val="none" w:sz="0" w:space="0" w:color="auto"/>
        <w:right w:val="none" w:sz="0" w:space="0" w:color="auto"/>
      </w:divBdr>
    </w:div>
    <w:div w:id="1021249215">
      <w:bodyDiv w:val="1"/>
      <w:marLeft w:val="0"/>
      <w:marRight w:val="0"/>
      <w:marTop w:val="0"/>
      <w:marBottom w:val="0"/>
      <w:divBdr>
        <w:top w:val="none" w:sz="0" w:space="0" w:color="auto"/>
        <w:left w:val="none" w:sz="0" w:space="0" w:color="auto"/>
        <w:bottom w:val="none" w:sz="0" w:space="0" w:color="auto"/>
        <w:right w:val="none" w:sz="0" w:space="0" w:color="auto"/>
      </w:divBdr>
    </w:div>
    <w:div w:id="1044644159">
      <w:bodyDiv w:val="1"/>
      <w:marLeft w:val="0"/>
      <w:marRight w:val="0"/>
      <w:marTop w:val="0"/>
      <w:marBottom w:val="0"/>
      <w:divBdr>
        <w:top w:val="none" w:sz="0" w:space="0" w:color="auto"/>
        <w:left w:val="none" w:sz="0" w:space="0" w:color="auto"/>
        <w:bottom w:val="none" w:sz="0" w:space="0" w:color="auto"/>
        <w:right w:val="none" w:sz="0" w:space="0" w:color="auto"/>
      </w:divBdr>
    </w:div>
    <w:div w:id="1054697196">
      <w:bodyDiv w:val="1"/>
      <w:marLeft w:val="0"/>
      <w:marRight w:val="0"/>
      <w:marTop w:val="0"/>
      <w:marBottom w:val="0"/>
      <w:divBdr>
        <w:top w:val="none" w:sz="0" w:space="0" w:color="auto"/>
        <w:left w:val="none" w:sz="0" w:space="0" w:color="auto"/>
        <w:bottom w:val="none" w:sz="0" w:space="0" w:color="auto"/>
        <w:right w:val="none" w:sz="0" w:space="0" w:color="auto"/>
      </w:divBdr>
    </w:div>
    <w:div w:id="1056053909">
      <w:bodyDiv w:val="1"/>
      <w:marLeft w:val="0"/>
      <w:marRight w:val="0"/>
      <w:marTop w:val="0"/>
      <w:marBottom w:val="0"/>
      <w:divBdr>
        <w:top w:val="none" w:sz="0" w:space="0" w:color="auto"/>
        <w:left w:val="none" w:sz="0" w:space="0" w:color="auto"/>
        <w:bottom w:val="none" w:sz="0" w:space="0" w:color="auto"/>
        <w:right w:val="none" w:sz="0" w:space="0" w:color="auto"/>
      </w:divBdr>
    </w:div>
    <w:div w:id="1057782773">
      <w:bodyDiv w:val="1"/>
      <w:marLeft w:val="0"/>
      <w:marRight w:val="0"/>
      <w:marTop w:val="0"/>
      <w:marBottom w:val="0"/>
      <w:divBdr>
        <w:top w:val="none" w:sz="0" w:space="0" w:color="auto"/>
        <w:left w:val="none" w:sz="0" w:space="0" w:color="auto"/>
        <w:bottom w:val="none" w:sz="0" w:space="0" w:color="auto"/>
        <w:right w:val="none" w:sz="0" w:space="0" w:color="auto"/>
      </w:divBdr>
    </w:div>
    <w:div w:id="1069037028">
      <w:bodyDiv w:val="1"/>
      <w:marLeft w:val="0"/>
      <w:marRight w:val="0"/>
      <w:marTop w:val="0"/>
      <w:marBottom w:val="0"/>
      <w:divBdr>
        <w:top w:val="none" w:sz="0" w:space="0" w:color="auto"/>
        <w:left w:val="none" w:sz="0" w:space="0" w:color="auto"/>
        <w:bottom w:val="none" w:sz="0" w:space="0" w:color="auto"/>
        <w:right w:val="none" w:sz="0" w:space="0" w:color="auto"/>
      </w:divBdr>
    </w:div>
    <w:div w:id="1073116220">
      <w:bodyDiv w:val="1"/>
      <w:marLeft w:val="0"/>
      <w:marRight w:val="0"/>
      <w:marTop w:val="0"/>
      <w:marBottom w:val="0"/>
      <w:divBdr>
        <w:top w:val="none" w:sz="0" w:space="0" w:color="auto"/>
        <w:left w:val="none" w:sz="0" w:space="0" w:color="auto"/>
        <w:bottom w:val="none" w:sz="0" w:space="0" w:color="auto"/>
        <w:right w:val="none" w:sz="0" w:space="0" w:color="auto"/>
      </w:divBdr>
    </w:div>
    <w:div w:id="1073165408">
      <w:bodyDiv w:val="1"/>
      <w:marLeft w:val="0"/>
      <w:marRight w:val="0"/>
      <w:marTop w:val="0"/>
      <w:marBottom w:val="0"/>
      <w:divBdr>
        <w:top w:val="none" w:sz="0" w:space="0" w:color="auto"/>
        <w:left w:val="none" w:sz="0" w:space="0" w:color="auto"/>
        <w:bottom w:val="none" w:sz="0" w:space="0" w:color="auto"/>
        <w:right w:val="none" w:sz="0" w:space="0" w:color="auto"/>
      </w:divBdr>
    </w:div>
    <w:div w:id="1079131563">
      <w:bodyDiv w:val="1"/>
      <w:marLeft w:val="0"/>
      <w:marRight w:val="0"/>
      <w:marTop w:val="0"/>
      <w:marBottom w:val="0"/>
      <w:divBdr>
        <w:top w:val="none" w:sz="0" w:space="0" w:color="auto"/>
        <w:left w:val="none" w:sz="0" w:space="0" w:color="auto"/>
        <w:bottom w:val="none" w:sz="0" w:space="0" w:color="auto"/>
        <w:right w:val="none" w:sz="0" w:space="0" w:color="auto"/>
      </w:divBdr>
    </w:div>
    <w:div w:id="1080250579">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534">
      <w:bodyDiv w:val="1"/>
      <w:marLeft w:val="0"/>
      <w:marRight w:val="0"/>
      <w:marTop w:val="0"/>
      <w:marBottom w:val="0"/>
      <w:divBdr>
        <w:top w:val="none" w:sz="0" w:space="0" w:color="auto"/>
        <w:left w:val="none" w:sz="0" w:space="0" w:color="auto"/>
        <w:bottom w:val="none" w:sz="0" w:space="0" w:color="auto"/>
        <w:right w:val="none" w:sz="0" w:space="0" w:color="auto"/>
      </w:divBdr>
    </w:div>
    <w:div w:id="1087774245">
      <w:bodyDiv w:val="1"/>
      <w:marLeft w:val="0"/>
      <w:marRight w:val="0"/>
      <w:marTop w:val="0"/>
      <w:marBottom w:val="0"/>
      <w:divBdr>
        <w:top w:val="none" w:sz="0" w:space="0" w:color="auto"/>
        <w:left w:val="none" w:sz="0" w:space="0" w:color="auto"/>
        <w:bottom w:val="none" w:sz="0" w:space="0" w:color="auto"/>
        <w:right w:val="none" w:sz="0" w:space="0" w:color="auto"/>
      </w:divBdr>
    </w:div>
    <w:div w:id="1090589900">
      <w:bodyDiv w:val="1"/>
      <w:marLeft w:val="0"/>
      <w:marRight w:val="0"/>
      <w:marTop w:val="0"/>
      <w:marBottom w:val="0"/>
      <w:divBdr>
        <w:top w:val="none" w:sz="0" w:space="0" w:color="auto"/>
        <w:left w:val="none" w:sz="0" w:space="0" w:color="auto"/>
        <w:bottom w:val="none" w:sz="0" w:space="0" w:color="auto"/>
        <w:right w:val="none" w:sz="0" w:space="0" w:color="auto"/>
      </w:divBdr>
    </w:div>
    <w:div w:id="1092821969">
      <w:bodyDiv w:val="1"/>
      <w:marLeft w:val="0"/>
      <w:marRight w:val="0"/>
      <w:marTop w:val="0"/>
      <w:marBottom w:val="0"/>
      <w:divBdr>
        <w:top w:val="none" w:sz="0" w:space="0" w:color="auto"/>
        <w:left w:val="none" w:sz="0" w:space="0" w:color="auto"/>
        <w:bottom w:val="none" w:sz="0" w:space="0" w:color="auto"/>
        <w:right w:val="none" w:sz="0" w:space="0" w:color="auto"/>
      </w:divBdr>
    </w:div>
    <w:div w:id="1095201292">
      <w:bodyDiv w:val="1"/>
      <w:marLeft w:val="0"/>
      <w:marRight w:val="0"/>
      <w:marTop w:val="0"/>
      <w:marBottom w:val="0"/>
      <w:divBdr>
        <w:top w:val="none" w:sz="0" w:space="0" w:color="auto"/>
        <w:left w:val="none" w:sz="0" w:space="0" w:color="auto"/>
        <w:bottom w:val="none" w:sz="0" w:space="0" w:color="auto"/>
        <w:right w:val="none" w:sz="0" w:space="0" w:color="auto"/>
      </w:divBdr>
    </w:div>
    <w:div w:id="1096511672">
      <w:bodyDiv w:val="1"/>
      <w:marLeft w:val="0"/>
      <w:marRight w:val="0"/>
      <w:marTop w:val="0"/>
      <w:marBottom w:val="0"/>
      <w:divBdr>
        <w:top w:val="none" w:sz="0" w:space="0" w:color="auto"/>
        <w:left w:val="none" w:sz="0" w:space="0" w:color="auto"/>
        <w:bottom w:val="none" w:sz="0" w:space="0" w:color="auto"/>
        <w:right w:val="none" w:sz="0" w:space="0" w:color="auto"/>
      </w:divBdr>
    </w:div>
    <w:div w:id="1098018811">
      <w:bodyDiv w:val="1"/>
      <w:marLeft w:val="0"/>
      <w:marRight w:val="0"/>
      <w:marTop w:val="0"/>
      <w:marBottom w:val="0"/>
      <w:divBdr>
        <w:top w:val="none" w:sz="0" w:space="0" w:color="auto"/>
        <w:left w:val="none" w:sz="0" w:space="0" w:color="auto"/>
        <w:bottom w:val="none" w:sz="0" w:space="0" w:color="auto"/>
        <w:right w:val="none" w:sz="0" w:space="0" w:color="auto"/>
      </w:divBdr>
    </w:div>
    <w:div w:id="1100873905">
      <w:bodyDiv w:val="1"/>
      <w:marLeft w:val="0"/>
      <w:marRight w:val="0"/>
      <w:marTop w:val="0"/>
      <w:marBottom w:val="0"/>
      <w:divBdr>
        <w:top w:val="none" w:sz="0" w:space="0" w:color="auto"/>
        <w:left w:val="none" w:sz="0" w:space="0" w:color="auto"/>
        <w:bottom w:val="none" w:sz="0" w:space="0" w:color="auto"/>
        <w:right w:val="none" w:sz="0" w:space="0" w:color="auto"/>
      </w:divBdr>
    </w:div>
    <w:div w:id="1101687615">
      <w:bodyDiv w:val="1"/>
      <w:marLeft w:val="0"/>
      <w:marRight w:val="0"/>
      <w:marTop w:val="0"/>
      <w:marBottom w:val="0"/>
      <w:divBdr>
        <w:top w:val="none" w:sz="0" w:space="0" w:color="auto"/>
        <w:left w:val="none" w:sz="0" w:space="0" w:color="auto"/>
        <w:bottom w:val="none" w:sz="0" w:space="0" w:color="auto"/>
        <w:right w:val="none" w:sz="0" w:space="0" w:color="auto"/>
      </w:divBdr>
    </w:div>
    <w:div w:id="1103762818">
      <w:bodyDiv w:val="1"/>
      <w:marLeft w:val="0"/>
      <w:marRight w:val="0"/>
      <w:marTop w:val="0"/>
      <w:marBottom w:val="0"/>
      <w:divBdr>
        <w:top w:val="none" w:sz="0" w:space="0" w:color="auto"/>
        <w:left w:val="none" w:sz="0" w:space="0" w:color="auto"/>
        <w:bottom w:val="none" w:sz="0" w:space="0" w:color="auto"/>
        <w:right w:val="none" w:sz="0" w:space="0" w:color="auto"/>
      </w:divBdr>
    </w:div>
    <w:div w:id="1106314064">
      <w:bodyDiv w:val="1"/>
      <w:marLeft w:val="0"/>
      <w:marRight w:val="0"/>
      <w:marTop w:val="0"/>
      <w:marBottom w:val="0"/>
      <w:divBdr>
        <w:top w:val="none" w:sz="0" w:space="0" w:color="auto"/>
        <w:left w:val="none" w:sz="0" w:space="0" w:color="auto"/>
        <w:bottom w:val="none" w:sz="0" w:space="0" w:color="auto"/>
        <w:right w:val="none" w:sz="0" w:space="0" w:color="auto"/>
      </w:divBdr>
    </w:div>
    <w:div w:id="1115638007">
      <w:bodyDiv w:val="1"/>
      <w:marLeft w:val="0"/>
      <w:marRight w:val="0"/>
      <w:marTop w:val="0"/>
      <w:marBottom w:val="0"/>
      <w:divBdr>
        <w:top w:val="none" w:sz="0" w:space="0" w:color="auto"/>
        <w:left w:val="none" w:sz="0" w:space="0" w:color="auto"/>
        <w:bottom w:val="none" w:sz="0" w:space="0" w:color="auto"/>
        <w:right w:val="none" w:sz="0" w:space="0" w:color="auto"/>
      </w:divBdr>
    </w:div>
    <w:div w:id="1117064421">
      <w:bodyDiv w:val="1"/>
      <w:marLeft w:val="0"/>
      <w:marRight w:val="0"/>
      <w:marTop w:val="0"/>
      <w:marBottom w:val="0"/>
      <w:divBdr>
        <w:top w:val="none" w:sz="0" w:space="0" w:color="auto"/>
        <w:left w:val="none" w:sz="0" w:space="0" w:color="auto"/>
        <w:bottom w:val="none" w:sz="0" w:space="0" w:color="auto"/>
        <w:right w:val="none" w:sz="0" w:space="0" w:color="auto"/>
      </w:divBdr>
    </w:div>
    <w:div w:id="1128351975">
      <w:bodyDiv w:val="1"/>
      <w:marLeft w:val="0"/>
      <w:marRight w:val="0"/>
      <w:marTop w:val="0"/>
      <w:marBottom w:val="0"/>
      <w:divBdr>
        <w:top w:val="none" w:sz="0" w:space="0" w:color="auto"/>
        <w:left w:val="none" w:sz="0" w:space="0" w:color="auto"/>
        <w:bottom w:val="none" w:sz="0" w:space="0" w:color="auto"/>
        <w:right w:val="none" w:sz="0" w:space="0" w:color="auto"/>
      </w:divBdr>
    </w:div>
    <w:div w:id="1129861800">
      <w:bodyDiv w:val="1"/>
      <w:marLeft w:val="0"/>
      <w:marRight w:val="0"/>
      <w:marTop w:val="0"/>
      <w:marBottom w:val="0"/>
      <w:divBdr>
        <w:top w:val="none" w:sz="0" w:space="0" w:color="auto"/>
        <w:left w:val="none" w:sz="0" w:space="0" w:color="auto"/>
        <w:bottom w:val="none" w:sz="0" w:space="0" w:color="auto"/>
        <w:right w:val="none" w:sz="0" w:space="0" w:color="auto"/>
      </w:divBdr>
    </w:div>
    <w:div w:id="1130593294">
      <w:bodyDiv w:val="1"/>
      <w:marLeft w:val="0"/>
      <w:marRight w:val="0"/>
      <w:marTop w:val="0"/>
      <w:marBottom w:val="0"/>
      <w:divBdr>
        <w:top w:val="none" w:sz="0" w:space="0" w:color="auto"/>
        <w:left w:val="none" w:sz="0" w:space="0" w:color="auto"/>
        <w:bottom w:val="none" w:sz="0" w:space="0" w:color="auto"/>
        <w:right w:val="none" w:sz="0" w:space="0" w:color="auto"/>
      </w:divBdr>
    </w:div>
    <w:div w:id="1131895946">
      <w:bodyDiv w:val="1"/>
      <w:marLeft w:val="0"/>
      <w:marRight w:val="0"/>
      <w:marTop w:val="0"/>
      <w:marBottom w:val="0"/>
      <w:divBdr>
        <w:top w:val="none" w:sz="0" w:space="0" w:color="auto"/>
        <w:left w:val="none" w:sz="0" w:space="0" w:color="auto"/>
        <w:bottom w:val="none" w:sz="0" w:space="0" w:color="auto"/>
        <w:right w:val="none" w:sz="0" w:space="0" w:color="auto"/>
      </w:divBdr>
    </w:div>
    <w:div w:id="1132939514">
      <w:bodyDiv w:val="1"/>
      <w:marLeft w:val="0"/>
      <w:marRight w:val="0"/>
      <w:marTop w:val="0"/>
      <w:marBottom w:val="0"/>
      <w:divBdr>
        <w:top w:val="none" w:sz="0" w:space="0" w:color="auto"/>
        <w:left w:val="none" w:sz="0" w:space="0" w:color="auto"/>
        <w:bottom w:val="none" w:sz="0" w:space="0" w:color="auto"/>
        <w:right w:val="none" w:sz="0" w:space="0" w:color="auto"/>
      </w:divBdr>
    </w:div>
    <w:div w:id="1153138325">
      <w:bodyDiv w:val="1"/>
      <w:marLeft w:val="0"/>
      <w:marRight w:val="0"/>
      <w:marTop w:val="0"/>
      <w:marBottom w:val="0"/>
      <w:divBdr>
        <w:top w:val="none" w:sz="0" w:space="0" w:color="auto"/>
        <w:left w:val="none" w:sz="0" w:space="0" w:color="auto"/>
        <w:bottom w:val="none" w:sz="0" w:space="0" w:color="auto"/>
        <w:right w:val="none" w:sz="0" w:space="0" w:color="auto"/>
      </w:divBdr>
    </w:div>
    <w:div w:id="1163084553">
      <w:bodyDiv w:val="1"/>
      <w:marLeft w:val="0"/>
      <w:marRight w:val="0"/>
      <w:marTop w:val="0"/>
      <w:marBottom w:val="0"/>
      <w:divBdr>
        <w:top w:val="none" w:sz="0" w:space="0" w:color="auto"/>
        <w:left w:val="none" w:sz="0" w:space="0" w:color="auto"/>
        <w:bottom w:val="none" w:sz="0" w:space="0" w:color="auto"/>
        <w:right w:val="none" w:sz="0" w:space="0" w:color="auto"/>
      </w:divBdr>
    </w:div>
    <w:div w:id="1173451870">
      <w:bodyDiv w:val="1"/>
      <w:marLeft w:val="0"/>
      <w:marRight w:val="0"/>
      <w:marTop w:val="0"/>
      <w:marBottom w:val="0"/>
      <w:divBdr>
        <w:top w:val="none" w:sz="0" w:space="0" w:color="auto"/>
        <w:left w:val="none" w:sz="0" w:space="0" w:color="auto"/>
        <w:bottom w:val="none" w:sz="0" w:space="0" w:color="auto"/>
        <w:right w:val="none" w:sz="0" w:space="0" w:color="auto"/>
      </w:divBdr>
    </w:div>
    <w:div w:id="1180780444">
      <w:bodyDiv w:val="1"/>
      <w:marLeft w:val="0"/>
      <w:marRight w:val="0"/>
      <w:marTop w:val="0"/>
      <w:marBottom w:val="0"/>
      <w:divBdr>
        <w:top w:val="none" w:sz="0" w:space="0" w:color="auto"/>
        <w:left w:val="none" w:sz="0" w:space="0" w:color="auto"/>
        <w:bottom w:val="none" w:sz="0" w:space="0" w:color="auto"/>
        <w:right w:val="none" w:sz="0" w:space="0" w:color="auto"/>
      </w:divBdr>
    </w:div>
    <w:div w:id="1188716197">
      <w:bodyDiv w:val="1"/>
      <w:marLeft w:val="0"/>
      <w:marRight w:val="0"/>
      <w:marTop w:val="0"/>
      <w:marBottom w:val="0"/>
      <w:divBdr>
        <w:top w:val="none" w:sz="0" w:space="0" w:color="auto"/>
        <w:left w:val="none" w:sz="0" w:space="0" w:color="auto"/>
        <w:bottom w:val="none" w:sz="0" w:space="0" w:color="auto"/>
        <w:right w:val="none" w:sz="0" w:space="0" w:color="auto"/>
      </w:divBdr>
    </w:div>
    <w:div w:id="1194415345">
      <w:bodyDiv w:val="1"/>
      <w:marLeft w:val="0"/>
      <w:marRight w:val="0"/>
      <w:marTop w:val="0"/>
      <w:marBottom w:val="0"/>
      <w:divBdr>
        <w:top w:val="none" w:sz="0" w:space="0" w:color="auto"/>
        <w:left w:val="none" w:sz="0" w:space="0" w:color="auto"/>
        <w:bottom w:val="none" w:sz="0" w:space="0" w:color="auto"/>
        <w:right w:val="none" w:sz="0" w:space="0" w:color="auto"/>
      </w:divBdr>
    </w:div>
    <w:div w:id="1199898979">
      <w:bodyDiv w:val="1"/>
      <w:marLeft w:val="0"/>
      <w:marRight w:val="0"/>
      <w:marTop w:val="0"/>
      <w:marBottom w:val="0"/>
      <w:divBdr>
        <w:top w:val="none" w:sz="0" w:space="0" w:color="auto"/>
        <w:left w:val="none" w:sz="0" w:space="0" w:color="auto"/>
        <w:bottom w:val="none" w:sz="0" w:space="0" w:color="auto"/>
        <w:right w:val="none" w:sz="0" w:space="0" w:color="auto"/>
      </w:divBdr>
    </w:div>
    <w:div w:id="1201819497">
      <w:bodyDiv w:val="1"/>
      <w:marLeft w:val="0"/>
      <w:marRight w:val="0"/>
      <w:marTop w:val="0"/>
      <w:marBottom w:val="0"/>
      <w:divBdr>
        <w:top w:val="none" w:sz="0" w:space="0" w:color="auto"/>
        <w:left w:val="none" w:sz="0" w:space="0" w:color="auto"/>
        <w:bottom w:val="none" w:sz="0" w:space="0" w:color="auto"/>
        <w:right w:val="none" w:sz="0" w:space="0" w:color="auto"/>
      </w:divBdr>
    </w:div>
    <w:div w:id="1207915858">
      <w:bodyDiv w:val="1"/>
      <w:marLeft w:val="0"/>
      <w:marRight w:val="0"/>
      <w:marTop w:val="0"/>
      <w:marBottom w:val="0"/>
      <w:divBdr>
        <w:top w:val="none" w:sz="0" w:space="0" w:color="auto"/>
        <w:left w:val="none" w:sz="0" w:space="0" w:color="auto"/>
        <w:bottom w:val="none" w:sz="0" w:space="0" w:color="auto"/>
        <w:right w:val="none" w:sz="0" w:space="0" w:color="auto"/>
      </w:divBdr>
    </w:div>
    <w:div w:id="1210144715">
      <w:bodyDiv w:val="1"/>
      <w:marLeft w:val="0"/>
      <w:marRight w:val="0"/>
      <w:marTop w:val="0"/>
      <w:marBottom w:val="0"/>
      <w:divBdr>
        <w:top w:val="none" w:sz="0" w:space="0" w:color="auto"/>
        <w:left w:val="none" w:sz="0" w:space="0" w:color="auto"/>
        <w:bottom w:val="none" w:sz="0" w:space="0" w:color="auto"/>
        <w:right w:val="none" w:sz="0" w:space="0" w:color="auto"/>
      </w:divBdr>
    </w:div>
    <w:div w:id="1212838409">
      <w:bodyDiv w:val="1"/>
      <w:marLeft w:val="0"/>
      <w:marRight w:val="0"/>
      <w:marTop w:val="0"/>
      <w:marBottom w:val="0"/>
      <w:divBdr>
        <w:top w:val="none" w:sz="0" w:space="0" w:color="auto"/>
        <w:left w:val="none" w:sz="0" w:space="0" w:color="auto"/>
        <w:bottom w:val="none" w:sz="0" w:space="0" w:color="auto"/>
        <w:right w:val="none" w:sz="0" w:space="0" w:color="auto"/>
      </w:divBdr>
    </w:div>
    <w:div w:id="1216620936">
      <w:bodyDiv w:val="1"/>
      <w:marLeft w:val="0"/>
      <w:marRight w:val="0"/>
      <w:marTop w:val="0"/>
      <w:marBottom w:val="0"/>
      <w:divBdr>
        <w:top w:val="none" w:sz="0" w:space="0" w:color="auto"/>
        <w:left w:val="none" w:sz="0" w:space="0" w:color="auto"/>
        <w:bottom w:val="none" w:sz="0" w:space="0" w:color="auto"/>
        <w:right w:val="none" w:sz="0" w:space="0" w:color="auto"/>
      </w:divBdr>
    </w:div>
    <w:div w:id="1217476436">
      <w:bodyDiv w:val="1"/>
      <w:marLeft w:val="0"/>
      <w:marRight w:val="0"/>
      <w:marTop w:val="0"/>
      <w:marBottom w:val="0"/>
      <w:divBdr>
        <w:top w:val="none" w:sz="0" w:space="0" w:color="auto"/>
        <w:left w:val="none" w:sz="0" w:space="0" w:color="auto"/>
        <w:bottom w:val="none" w:sz="0" w:space="0" w:color="auto"/>
        <w:right w:val="none" w:sz="0" w:space="0" w:color="auto"/>
      </w:divBdr>
    </w:div>
    <w:div w:id="1217662171">
      <w:bodyDiv w:val="1"/>
      <w:marLeft w:val="0"/>
      <w:marRight w:val="0"/>
      <w:marTop w:val="0"/>
      <w:marBottom w:val="0"/>
      <w:divBdr>
        <w:top w:val="none" w:sz="0" w:space="0" w:color="auto"/>
        <w:left w:val="none" w:sz="0" w:space="0" w:color="auto"/>
        <w:bottom w:val="none" w:sz="0" w:space="0" w:color="auto"/>
        <w:right w:val="none" w:sz="0" w:space="0" w:color="auto"/>
      </w:divBdr>
    </w:div>
    <w:div w:id="1227106556">
      <w:bodyDiv w:val="1"/>
      <w:marLeft w:val="0"/>
      <w:marRight w:val="0"/>
      <w:marTop w:val="0"/>
      <w:marBottom w:val="0"/>
      <w:divBdr>
        <w:top w:val="none" w:sz="0" w:space="0" w:color="auto"/>
        <w:left w:val="none" w:sz="0" w:space="0" w:color="auto"/>
        <w:bottom w:val="none" w:sz="0" w:space="0" w:color="auto"/>
        <w:right w:val="none" w:sz="0" w:space="0" w:color="auto"/>
      </w:divBdr>
    </w:div>
    <w:div w:id="1230120292">
      <w:bodyDiv w:val="1"/>
      <w:marLeft w:val="0"/>
      <w:marRight w:val="0"/>
      <w:marTop w:val="0"/>
      <w:marBottom w:val="0"/>
      <w:divBdr>
        <w:top w:val="none" w:sz="0" w:space="0" w:color="auto"/>
        <w:left w:val="none" w:sz="0" w:space="0" w:color="auto"/>
        <w:bottom w:val="none" w:sz="0" w:space="0" w:color="auto"/>
        <w:right w:val="none" w:sz="0" w:space="0" w:color="auto"/>
      </w:divBdr>
    </w:div>
    <w:div w:id="1231572545">
      <w:bodyDiv w:val="1"/>
      <w:marLeft w:val="0"/>
      <w:marRight w:val="0"/>
      <w:marTop w:val="0"/>
      <w:marBottom w:val="0"/>
      <w:divBdr>
        <w:top w:val="none" w:sz="0" w:space="0" w:color="auto"/>
        <w:left w:val="none" w:sz="0" w:space="0" w:color="auto"/>
        <w:bottom w:val="none" w:sz="0" w:space="0" w:color="auto"/>
        <w:right w:val="none" w:sz="0" w:space="0" w:color="auto"/>
      </w:divBdr>
    </w:div>
    <w:div w:id="1232156841">
      <w:bodyDiv w:val="1"/>
      <w:marLeft w:val="0"/>
      <w:marRight w:val="0"/>
      <w:marTop w:val="0"/>
      <w:marBottom w:val="0"/>
      <w:divBdr>
        <w:top w:val="none" w:sz="0" w:space="0" w:color="auto"/>
        <w:left w:val="none" w:sz="0" w:space="0" w:color="auto"/>
        <w:bottom w:val="none" w:sz="0" w:space="0" w:color="auto"/>
        <w:right w:val="none" w:sz="0" w:space="0" w:color="auto"/>
      </w:divBdr>
    </w:div>
    <w:div w:id="1238006763">
      <w:bodyDiv w:val="1"/>
      <w:marLeft w:val="0"/>
      <w:marRight w:val="0"/>
      <w:marTop w:val="0"/>
      <w:marBottom w:val="0"/>
      <w:divBdr>
        <w:top w:val="none" w:sz="0" w:space="0" w:color="auto"/>
        <w:left w:val="none" w:sz="0" w:space="0" w:color="auto"/>
        <w:bottom w:val="none" w:sz="0" w:space="0" w:color="auto"/>
        <w:right w:val="none" w:sz="0" w:space="0" w:color="auto"/>
      </w:divBdr>
    </w:div>
    <w:div w:id="1239361314">
      <w:bodyDiv w:val="1"/>
      <w:marLeft w:val="0"/>
      <w:marRight w:val="0"/>
      <w:marTop w:val="0"/>
      <w:marBottom w:val="0"/>
      <w:divBdr>
        <w:top w:val="none" w:sz="0" w:space="0" w:color="auto"/>
        <w:left w:val="none" w:sz="0" w:space="0" w:color="auto"/>
        <w:bottom w:val="none" w:sz="0" w:space="0" w:color="auto"/>
        <w:right w:val="none" w:sz="0" w:space="0" w:color="auto"/>
      </w:divBdr>
    </w:div>
    <w:div w:id="1246498825">
      <w:bodyDiv w:val="1"/>
      <w:marLeft w:val="0"/>
      <w:marRight w:val="0"/>
      <w:marTop w:val="0"/>
      <w:marBottom w:val="0"/>
      <w:divBdr>
        <w:top w:val="none" w:sz="0" w:space="0" w:color="auto"/>
        <w:left w:val="none" w:sz="0" w:space="0" w:color="auto"/>
        <w:bottom w:val="none" w:sz="0" w:space="0" w:color="auto"/>
        <w:right w:val="none" w:sz="0" w:space="0" w:color="auto"/>
      </w:divBdr>
    </w:div>
    <w:div w:id="1252743423">
      <w:bodyDiv w:val="1"/>
      <w:marLeft w:val="0"/>
      <w:marRight w:val="0"/>
      <w:marTop w:val="0"/>
      <w:marBottom w:val="0"/>
      <w:divBdr>
        <w:top w:val="none" w:sz="0" w:space="0" w:color="auto"/>
        <w:left w:val="none" w:sz="0" w:space="0" w:color="auto"/>
        <w:bottom w:val="none" w:sz="0" w:space="0" w:color="auto"/>
        <w:right w:val="none" w:sz="0" w:space="0" w:color="auto"/>
      </w:divBdr>
    </w:div>
    <w:div w:id="1254239059">
      <w:bodyDiv w:val="1"/>
      <w:marLeft w:val="0"/>
      <w:marRight w:val="0"/>
      <w:marTop w:val="0"/>
      <w:marBottom w:val="0"/>
      <w:divBdr>
        <w:top w:val="none" w:sz="0" w:space="0" w:color="auto"/>
        <w:left w:val="none" w:sz="0" w:space="0" w:color="auto"/>
        <w:bottom w:val="none" w:sz="0" w:space="0" w:color="auto"/>
        <w:right w:val="none" w:sz="0" w:space="0" w:color="auto"/>
      </w:divBdr>
    </w:div>
    <w:div w:id="1257324761">
      <w:bodyDiv w:val="1"/>
      <w:marLeft w:val="0"/>
      <w:marRight w:val="0"/>
      <w:marTop w:val="0"/>
      <w:marBottom w:val="0"/>
      <w:divBdr>
        <w:top w:val="none" w:sz="0" w:space="0" w:color="auto"/>
        <w:left w:val="none" w:sz="0" w:space="0" w:color="auto"/>
        <w:bottom w:val="none" w:sz="0" w:space="0" w:color="auto"/>
        <w:right w:val="none" w:sz="0" w:space="0" w:color="auto"/>
      </w:divBdr>
    </w:div>
    <w:div w:id="1257860704">
      <w:bodyDiv w:val="1"/>
      <w:marLeft w:val="0"/>
      <w:marRight w:val="0"/>
      <w:marTop w:val="0"/>
      <w:marBottom w:val="0"/>
      <w:divBdr>
        <w:top w:val="none" w:sz="0" w:space="0" w:color="auto"/>
        <w:left w:val="none" w:sz="0" w:space="0" w:color="auto"/>
        <w:bottom w:val="none" w:sz="0" w:space="0" w:color="auto"/>
        <w:right w:val="none" w:sz="0" w:space="0" w:color="auto"/>
      </w:divBdr>
    </w:div>
    <w:div w:id="1263952507">
      <w:bodyDiv w:val="1"/>
      <w:marLeft w:val="0"/>
      <w:marRight w:val="0"/>
      <w:marTop w:val="0"/>
      <w:marBottom w:val="0"/>
      <w:divBdr>
        <w:top w:val="none" w:sz="0" w:space="0" w:color="auto"/>
        <w:left w:val="none" w:sz="0" w:space="0" w:color="auto"/>
        <w:bottom w:val="none" w:sz="0" w:space="0" w:color="auto"/>
        <w:right w:val="none" w:sz="0" w:space="0" w:color="auto"/>
      </w:divBdr>
    </w:div>
    <w:div w:id="1268539289">
      <w:bodyDiv w:val="1"/>
      <w:marLeft w:val="0"/>
      <w:marRight w:val="0"/>
      <w:marTop w:val="0"/>
      <w:marBottom w:val="0"/>
      <w:divBdr>
        <w:top w:val="none" w:sz="0" w:space="0" w:color="auto"/>
        <w:left w:val="none" w:sz="0" w:space="0" w:color="auto"/>
        <w:bottom w:val="none" w:sz="0" w:space="0" w:color="auto"/>
        <w:right w:val="none" w:sz="0" w:space="0" w:color="auto"/>
      </w:divBdr>
    </w:div>
    <w:div w:id="1278608535">
      <w:bodyDiv w:val="1"/>
      <w:marLeft w:val="0"/>
      <w:marRight w:val="0"/>
      <w:marTop w:val="0"/>
      <w:marBottom w:val="0"/>
      <w:divBdr>
        <w:top w:val="none" w:sz="0" w:space="0" w:color="auto"/>
        <w:left w:val="none" w:sz="0" w:space="0" w:color="auto"/>
        <w:bottom w:val="none" w:sz="0" w:space="0" w:color="auto"/>
        <w:right w:val="none" w:sz="0" w:space="0" w:color="auto"/>
      </w:divBdr>
    </w:div>
    <w:div w:id="1281035528">
      <w:bodyDiv w:val="1"/>
      <w:marLeft w:val="0"/>
      <w:marRight w:val="0"/>
      <w:marTop w:val="0"/>
      <w:marBottom w:val="0"/>
      <w:divBdr>
        <w:top w:val="none" w:sz="0" w:space="0" w:color="auto"/>
        <w:left w:val="none" w:sz="0" w:space="0" w:color="auto"/>
        <w:bottom w:val="none" w:sz="0" w:space="0" w:color="auto"/>
        <w:right w:val="none" w:sz="0" w:space="0" w:color="auto"/>
      </w:divBdr>
    </w:div>
    <w:div w:id="1285308107">
      <w:bodyDiv w:val="1"/>
      <w:marLeft w:val="0"/>
      <w:marRight w:val="0"/>
      <w:marTop w:val="0"/>
      <w:marBottom w:val="0"/>
      <w:divBdr>
        <w:top w:val="none" w:sz="0" w:space="0" w:color="auto"/>
        <w:left w:val="none" w:sz="0" w:space="0" w:color="auto"/>
        <w:bottom w:val="none" w:sz="0" w:space="0" w:color="auto"/>
        <w:right w:val="none" w:sz="0" w:space="0" w:color="auto"/>
      </w:divBdr>
    </w:div>
    <w:div w:id="1286159304">
      <w:bodyDiv w:val="1"/>
      <w:marLeft w:val="0"/>
      <w:marRight w:val="0"/>
      <w:marTop w:val="0"/>
      <w:marBottom w:val="0"/>
      <w:divBdr>
        <w:top w:val="none" w:sz="0" w:space="0" w:color="auto"/>
        <w:left w:val="none" w:sz="0" w:space="0" w:color="auto"/>
        <w:bottom w:val="none" w:sz="0" w:space="0" w:color="auto"/>
        <w:right w:val="none" w:sz="0" w:space="0" w:color="auto"/>
      </w:divBdr>
      <w:divsChild>
        <w:div w:id="7372485">
          <w:marLeft w:val="0"/>
          <w:marRight w:val="0"/>
          <w:marTop w:val="0"/>
          <w:marBottom w:val="0"/>
          <w:divBdr>
            <w:top w:val="none" w:sz="0" w:space="0" w:color="auto"/>
            <w:left w:val="none" w:sz="0" w:space="0" w:color="auto"/>
            <w:bottom w:val="none" w:sz="0" w:space="0" w:color="auto"/>
            <w:right w:val="none" w:sz="0" w:space="0" w:color="auto"/>
          </w:divBdr>
        </w:div>
        <w:div w:id="1788084574">
          <w:marLeft w:val="0"/>
          <w:marRight w:val="0"/>
          <w:marTop w:val="0"/>
          <w:marBottom w:val="0"/>
          <w:divBdr>
            <w:top w:val="none" w:sz="0" w:space="0" w:color="auto"/>
            <w:left w:val="none" w:sz="0" w:space="0" w:color="auto"/>
            <w:bottom w:val="none" w:sz="0" w:space="0" w:color="auto"/>
            <w:right w:val="none" w:sz="0" w:space="0" w:color="auto"/>
          </w:divBdr>
        </w:div>
        <w:div w:id="1770925438">
          <w:marLeft w:val="0"/>
          <w:marRight w:val="0"/>
          <w:marTop w:val="0"/>
          <w:marBottom w:val="0"/>
          <w:divBdr>
            <w:top w:val="none" w:sz="0" w:space="0" w:color="auto"/>
            <w:left w:val="none" w:sz="0" w:space="0" w:color="auto"/>
            <w:bottom w:val="none" w:sz="0" w:space="0" w:color="auto"/>
            <w:right w:val="none" w:sz="0" w:space="0" w:color="auto"/>
          </w:divBdr>
        </w:div>
        <w:div w:id="1663004288">
          <w:marLeft w:val="0"/>
          <w:marRight w:val="0"/>
          <w:marTop w:val="0"/>
          <w:marBottom w:val="0"/>
          <w:divBdr>
            <w:top w:val="none" w:sz="0" w:space="0" w:color="auto"/>
            <w:left w:val="none" w:sz="0" w:space="0" w:color="auto"/>
            <w:bottom w:val="none" w:sz="0" w:space="0" w:color="auto"/>
            <w:right w:val="none" w:sz="0" w:space="0" w:color="auto"/>
          </w:divBdr>
        </w:div>
      </w:divsChild>
    </w:div>
    <w:div w:id="1290866085">
      <w:bodyDiv w:val="1"/>
      <w:marLeft w:val="0"/>
      <w:marRight w:val="0"/>
      <w:marTop w:val="0"/>
      <w:marBottom w:val="0"/>
      <w:divBdr>
        <w:top w:val="none" w:sz="0" w:space="0" w:color="auto"/>
        <w:left w:val="none" w:sz="0" w:space="0" w:color="auto"/>
        <w:bottom w:val="none" w:sz="0" w:space="0" w:color="auto"/>
        <w:right w:val="none" w:sz="0" w:space="0" w:color="auto"/>
      </w:divBdr>
    </w:div>
    <w:div w:id="1298728416">
      <w:bodyDiv w:val="1"/>
      <w:marLeft w:val="0"/>
      <w:marRight w:val="0"/>
      <w:marTop w:val="0"/>
      <w:marBottom w:val="0"/>
      <w:divBdr>
        <w:top w:val="none" w:sz="0" w:space="0" w:color="auto"/>
        <w:left w:val="none" w:sz="0" w:space="0" w:color="auto"/>
        <w:bottom w:val="none" w:sz="0" w:space="0" w:color="auto"/>
        <w:right w:val="none" w:sz="0" w:space="0" w:color="auto"/>
      </w:divBdr>
    </w:div>
    <w:div w:id="1302690179">
      <w:bodyDiv w:val="1"/>
      <w:marLeft w:val="0"/>
      <w:marRight w:val="0"/>
      <w:marTop w:val="0"/>
      <w:marBottom w:val="0"/>
      <w:divBdr>
        <w:top w:val="none" w:sz="0" w:space="0" w:color="auto"/>
        <w:left w:val="none" w:sz="0" w:space="0" w:color="auto"/>
        <w:bottom w:val="none" w:sz="0" w:space="0" w:color="auto"/>
        <w:right w:val="none" w:sz="0" w:space="0" w:color="auto"/>
      </w:divBdr>
    </w:div>
    <w:div w:id="1331256286">
      <w:bodyDiv w:val="1"/>
      <w:marLeft w:val="0"/>
      <w:marRight w:val="0"/>
      <w:marTop w:val="0"/>
      <w:marBottom w:val="0"/>
      <w:divBdr>
        <w:top w:val="none" w:sz="0" w:space="0" w:color="auto"/>
        <w:left w:val="none" w:sz="0" w:space="0" w:color="auto"/>
        <w:bottom w:val="none" w:sz="0" w:space="0" w:color="auto"/>
        <w:right w:val="none" w:sz="0" w:space="0" w:color="auto"/>
      </w:divBdr>
    </w:div>
    <w:div w:id="1331592948">
      <w:bodyDiv w:val="1"/>
      <w:marLeft w:val="0"/>
      <w:marRight w:val="0"/>
      <w:marTop w:val="0"/>
      <w:marBottom w:val="0"/>
      <w:divBdr>
        <w:top w:val="none" w:sz="0" w:space="0" w:color="auto"/>
        <w:left w:val="none" w:sz="0" w:space="0" w:color="auto"/>
        <w:bottom w:val="none" w:sz="0" w:space="0" w:color="auto"/>
        <w:right w:val="none" w:sz="0" w:space="0" w:color="auto"/>
      </w:divBdr>
    </w:div>
    <w:div w:id="1332681880">
      <w:bodyDiv w:val="1"/>
      <w:marLeft w:val="0"/>
      <w:marRight w:val="0"/>
      <w:marTop w:val="0"/>
      <w:marBottom w:val="0"/>
      <w:divBdr>
        <w:top w:val="none" w:sz="0" w:space="0" w:color="auto"/>
        <w:left w:val="none" w:sz="0" w:space="0" w:color="auto"/>
        <w:bottom w:val="none" w:sz="0" w:space="0" w:color="auto"/>
        <w:right w:val="none" w:sz="0" w:space="0" w:color="auto"/>
      </w:divBdr>
    </w:div>
    <w:div w:id="1332830289">
      <w:bodyDiv w:val="1"/>
      <w:marLeft w:val="0"/>
      <w:marRight w:val="0"/>
      <w:marTop w:val="0"/>
      <w:marBottom w:val="0"/>
      <w:divBdr>
        <w:top w:val="none" w:sz="0" w:space="0" w:color="auto"/>
        <w:left w:val="none" w:sz="0" w:space="0" w:color="auto"/>
        <w:bottom w:val="none" w:sz="0" w:space="0" w:color="auto"/>
        <w:right w:val="none" w:sz="0" w:space="0" w:color="auto"/>
      </w:divBdr>
    </w:div>
    <w:div w:id="1348365609">
      <w:bodyDiv w:val="1"/>
      <w:marLeft w:val="0"/>
      <w:marRight w:val="0"/>
      <w:marTop w:val="0"/>
      <w:marBottom w:val="0"/>
      <w:divBdr>
        <w:top w:val="none" w:sz="0" w:space="0" w:color="auto"/>
        <w:left w:val="none" w:sz="0" w:space="0" w:color="auto"/>
        <w:bottom w:val="none" w:sz="0" w:space="0" w:color="auto"/>
        <w:right w:val="none" w:sz="0" w:space="0" w:color="auto"/>
      </w:divBdr>
    </w:div>
    <w:div w:id="1367020579">
      <w:bodyDiv w:val="1"/>
      <w:marLeft w:val="0"/>
      <w:marRight w:val="0"/>
      <w:marTop w:val="0"/>
      <w:marBottom w:val="0"/>
      <w:divBdr>
        <w:top w:val="none" w:sz="0" w:space="0" w:color="auto"/>
        <w:left w:val="none" w:sz="0" w:space="0" w:color="auto"/>
        <w:bottom w:val="none" w:sz="0" w:space="0" w:color="auto"/>
        <w:right w:val="none" w:sz="0" w:space="0" w:color="auto"/>
      </w:divBdr>
    </w:div>
    <w:div w:id="1380976495">
      <w:bodyDiv w:val="1"/>
      <w:marLeft w:val="0"/>
      <w:marRight w:val="0"/>
      <w:marTop w:val="0"/>
      <w:marBottom w:val="0"/>
      <w:divBdr>
        <w:top w:val="none" w:sz="0" w:space="0" w:color="auto"/>
        <w:left w:val="none" w:sz="0" w:space="0" w:color="auto"/>
        <w:bottom w:val="none" w:sz="0" w:space="0" w:color="auto"/>
        <w:right w:val="none" w:sz="0" w:space="0" w:color="auto"/>
      </w:divBdr>
    </w:div>
    <w:div w:id="1388727679">
      <w:bodyDiv w:val="1"/>
      <w:marLeft w:val="0"/>
      <w:marRight w:val="0"/>
      <w:marTop w:val="0"/>
      <w:marBottom w:val="0"/>
      <w:divBdr>
        <w:top w:val="none" w:sz="0" w:space="0" w:color="auto"/>
        <w:left w:val="none" w:sz="0" w:space="0" w:color="auto"/>
        <w:bottom w:val="none" w:sz="0" w:space="0" w:color="auto"/>
        <w:right w:val="none" w:sz="0" w:space="0" w:color="auto"/>
      </w:divBdr>
    </w:div>
    <w:div w:id="1412893279">
      <w:bodyDiv w:val="1"/>
      <w:marLeft w:val="0"/>
      <w:marRight w:val="0"/>
      <w:marTop w:val="0"/>
      <w:marBottom w:val="0"/>
      <w:divBdr>
        <w:top w:val="none" w:sz="0" w:space="0" w:color="auto"/>
        <w:left w:val="none" w:sz="0" w:space="0" w:color="auto"/>
        <w:bottom w:val="none" w:sz="0" w:space="0" w:color="auto"/>
        <w:right w:val="none" w:sz="0" w:space="0" w:color="auto"/>
      </w:divBdr>
    </w:div>
    <w:div w:id="1415010594">
      <w:bodyDiv w:val="1"/>
      <w:marLeft w:val="0"/>
      <w:marRight w:val="0"/>
      <w:marTop w:val="0"/>
      <w:marBottom w:val="0"/>
      <w:divBdr>
        <w:top w:val="none" w:sz="0" w:space="0" w:color="auto"/>
        <w:left w:val="none" w:sz="0" w:space="0" w:color="auto"/>
        <w:bottom w:val="none" w:sz="0" w:space="0" w:color="auto"/>
        <w:right w:val="none" w:sz="0" w:space="0" w:color="auto"/>
      </w:divBdr>
    </w:div>
    <w:div w:id="1418940174">
      <w:bodyDiv w:val="1"/>
      <w:marLeft w:val="0"/>
      <w:marRight w:val="0"/>
      <w:marTop w:val="0"/>
      <w:marBottom w:val="0"/>
      <w:divBdr>
        <w:top w:val="none" w:sz="0" w:space="0" w:color="auto"/>
        <w:left w:val="none" w:sz="0" w:space="0" w:color="auto"/>
        <w:bottom w:val="none" w:sz="0" w:space="0" w:color="auto"/>
        <w:right w:val="none" w:sz="0" w:space="0" w:color="auto"/>
      </w:divBdr>
    </w:div>
    <w:div w:id="1423061904">
      <w:bodyDiv w:val="1"/>
      <w:marLeft w:val="0"/>
      <w:marRight w:val="0"/>
      <w:marTop w:val="0"/>
      <w:marBottom w:val="0"/>
      <w:divBdr>
        <w:top w:val="none" w:sz="0" w:space="0" w:color="auto"/>
        <w:left w:val="none" w:sz="0" w:space="0" w:color="auto"/>
        <w:bottom w:val="none" w:sz="0" w:space="0" w:color="auto"/>
        <w:right w:val="none" w:sz="0" w:space="0" w:color="auto"/>
      </w:divBdr>
    </w:div>
    <w:div w:id="1424952626">
      <w:bodyDiv w:val="1"/>
      <w:marLeft w:val="0"/>
      <w:marRight w:val="0"/>
      <w:marTop w:val="0"/>
      <w:marBottom w:val="0"/>
      <w:divBdr>
        <w:top w:val="none" w:sz="0" w:space="0" w:color="auto"/>
        <w:left w:val="none" w:sz="0" w:space="0" w:color="auto"/>
        <w:bottom w:val="none" w:sz="0" w:space="0" w:color="auto"/>
        <w:right w:val="none" w:sz="0" w:space="0" w:color="auto"/>
      </w:divBdr>
    </w:div>
    <w:div w:id="1426221399">
      <w:bodyDiv w:val="1"/>
      <w:marLeft w:val="0"/>
      <w:marRight w:val="0"/>
      <w:marTop w:val="0"/>
      <w:marBottom w:val="0"/>
      <w:divBdr>
        <w:top w:val="none" w:sz="0" w:space="0" w:color="auto"/>
        <w:left w:val="none" w:sz="0" w:space="0" w:color="auto"/>
        <w:bottom w:val="none" w:sz="0" w:space="0" w:color="auto"/>
        <w:right w:val="none" w:sz="0" w:space="0" w:color="auto"/>
      </w:divBdr>
    </w:div>
    <w:div w:id="1428042619">
      <w:bodyDiv w:val="1"/>
      <w:marLeft w:val="0"/>
      <w:marRight w:val="0"/>
      <w:marTop w:val="0"/>
      <w:marBottom w:val="0"/>
      <w:divBdr>
        <w:top w:val="none" w:sz="0" w:space="0" w:color="auto"/>
        <w:left w:val="none" w:sz="0" w:space="0" w:color="auto"/>
        <w:bottom w:val="none" w:sz="0" w:space="0" w:color="auto"/>
        <w:right w:val="none" w:sz="0" w:space="0" w:color="auto"/>
      </w:divBdr>
    </w:div>
    <w:div w:id="1431242778">
      <w:bodyDiv w:val="1"/>
      <w:marLeft w:val="0"/>
      <w:marRight w:val="0"/>
      <w:marTop w:val="0"/>
      <w:marBottom w:val="0"/>
      <w:divBdr>
        <w:top w:val="none" w:sz="0" w:space="0" w:color="auto"/>
        <w:left w:val="none" w:sz="0" w:space="0" w:color="auto"/>
        <w:bottom w:val="none" w:sz="0" w:space="0" w:color="auto"/>
        <w:right w:val="none" w:sz="0" w:space="0" w:color="auto"/>
      </w:divBdr>
    </w:div>
    <w:div w:id="1438871525">
      <w:bodyDiv w:val="1"/>
      <w:marLeft w:val="0"/>
      <w:marRight w:val="0"/>
      <w:marTop w:val="0"/>
      <w:marBottom w:val="0"/>
      <w:divBdr>
        <w:top w:val="none" w:sz="0" w:space="0" w:color="auto"/>
        <w:left w:val="none" w:sz="0" w:space="0" w:color="auto"/>
        <w:bottom w:val="none" w:sz="0" w:space="0" w:color="auto"/>
        <w:right w:val="none" w:sz="0" w:space="0" w:color="auto"/>
      </w:divBdr>
    </w:div>
    <w:div w:id="1441880383">
      <w:bodyDiv w:val="1"/>
      <w:marLeft w:val="0"/>
      <w:marRight w:val="0"/>
      <w:marTop w:val="0"/>
      <w:marBottom w:val="0"/>
      <w:divBdr>
        <w:top w:val="none" w:sz="0" w:space="0" w:color="auto"/>
        <w:left w:val="none" w:sz="0" w:space="0" w:color="auto"/>
        <w:bottom w:val="none" w:sz="0" w:space="0" w:color="auto"/>
        <w:right w:val="none" w:sz="0" w:space="0" w:color="auto"/>
      </w:divBdr>
    </w:div>
    <w:div w:id="1444574070">
      <w:bodyDiv w:val="1"/>
      <w:marLeft w:val="0"/>
      <w:marRight w:val="0"/>
      <w:marTop w:val="0"/>
      <w:marBottom w:val="0"/>
      <w:divBdr>
        <w:top w:val="none" w:sz="0" w:space="0" w:color="auto"/>
        <w:left w:val="none" w:sz="0" w:space="0" w:color="auto"/>
        <w:bottom w:val="none" w:sz="0" w:space="0" w:color="auto"/>
        <w:right w:val="none" w:sz="0" w:space="0" w:color="auto"/>
      </w:divBdr>
    </w:div>
    <w:div w:id="1449623031">
      <w:bodyDiv w:val="1"/>
      <w:marLeft w:val="0"/>
      <w:marRight w:val="0"/>
      <w:marTop w:val="0"/>
      <w:marBottom w:val="0"/>
      <w:divBdr>
        <w:top w:val="none" w:sz="0" w:space="0" w:color="auto"/>
        <w:left w:val="none" w:sz="0" w:space="0" w:color="auto"/>
        <w:bottom w:val="none" w:sz="0" w:space="0" w:color="auto"/>
        <w:right w:val="none" w:sz="0" w:space="0" w:color="auto"/>
      </w:divBdr>
    </w:div>
    <w:div w:id="1455321517">
      <w:bodyDiv w:val="1"/>
      <w:marLeft w:val="0"/>
      <w:marRight w:val="0"/>
      <w:marTop w:val="0"/>
      <w:marBottom w:val="0"/>
      <w:divBdr>
        <w:top w:val="none" w:sz="0" w:space="0" w:color="auto"/>
        <w:left w:val="none" w:sz="0" w:space="0" w:color="auto"/>
        <w:bottom w:val="none" w:sz="0" w:space="0" w:color="auto"/>
        <w:right w:val="none" w:sz="0" w:space="0" w:color="auto"/>
      </w:divBdr>
    </w:div>
    <w:div w:id="1455904933">
      <w:bodyDiv w:val="1"/>
      <w:marLeft w:val="0"/>
      <w:marRight w:val="0"/>
      <w:marTop w:val="0"/>
      <w:marBottom w:val="0"/>
      <w:divBdr>
        <w:top w:val="none" w:sz="0" w:space="0" w:color="auto"/>
        <w:left w:val="none" w:sz="0" w:space="0" w:color="auto"/>
        <w:bottom w:val="none" w:sz="0" w:space="0" w:color="auto"/>
        <w:right w:val="none" w:sz="0" w:space="0" w:color="auto"/>
      </w:divBdr>
    </w:div>
    <w:div w:id="1457329966">
      <w:bodyDiv w:val="1"/>
      <w:marLeft w:val="0"/>
      <w:marRight w:val="0"/>
      <w:marTop w:val="0"/>
      <w:marBottom w:val="0"/>
      <w:divBdr>
        <w:top w:val="none" w:sz="0" w:space="0" w:color="auto"/>
        <w:left w:val="none" w:sz="0" w:space="0" w:color="auto"/>
        <w:bottom w:val="none" w:sz="0" w:space="0" w:color="auto"/>
        <w:right w:val="none" w:sz="0" w:space="0" w:color="auto"/>
      </w:divBdr>
    </w:div>
    <w:div w:id="1464537979">
      <w:bodyDiv w:val="1"/>
      <w:marLeft w:val="0"/>
      <w:marRight w:val="0"/>
      <w:marTop w:val="0"/>
      <w:marBottom w:val="0"/>
      <w:divBdr>
        <w:top w:val="none" w:sz="0" w:space="0" w:color="auto"/>
        <w:left w:val="none" w:sz="0" w:space="0" w:color="auto"/>
        <w:bottom w:val="none" w:sz="0" w:space="0" w:color="auto"/>
        <w:right w:val="none" w:sz="0" w:space="0" w:color="auto"/>
      </w:divBdr>
    </w:div>
    <w:div w:id="1471942011">
      <w:bodyDiv w:val="1"/>
      <w:marLeft w:val="0"/>
      <w:marRight w:val="0"/>
      <w:marTop w:val="0"/>
      <w:marBottom w:val="0"/>
      <w:divBdr>
        <w:top w:val="none" w:sz="0" w:space="0" w:color="auto"/>
        <w:left w:val="none" w:sz="0" w:space="0" w:color="auto"/>
        <w:bottom w:val="none" w:sz="0" w:space="0" w:color="auto"/>
        <w:right w:val="none" w:sz="0" w:space="0" w:color="auto"/>
      </w:divBdr>
    </w:div>
    <w:div w:id="1479493343">
      <w:bodyDiv w:val="1"/>
      <w:marLeft w:val="0"/>
      <w:marRight w:val="0"/>
      <w:marTop w:val="0"/>
      <w:marBottom w:val="0"/>
      <w:divBdr>
        <w:top w:val="none" w:sz="0" w:space="0" w:color="auto"/>
        <w:left w:val="none" w:sz="0" w:space="0" w:color="auto"/>
        <w:bottom w:val="none" w:sz="0" w:space="0" w:color="auto"/>
        <w:right w:val="none" w:sz="0" w:space="0" w:color="auto"/>
      </w:divBdr>
    </w:div>
    <w:div w:id="1484001996">
      <w:bodyDiv w:val="1"/>
      <w:marLeft w:val="0"/>
      <w:marRight w:val="0"/>
      <w:marTop w:val="0"/>
      <w:marBottom w:val="0"/>
      <w:divBdr>
        <w:top w:val="none" w:sz="0" w:space="0" w:color="auto"/>
        <w:left w:val="none" w:sz="0" w:space="0" w:color="auto"/>
        <w:bottom w:val="none" w:sz="0" w:space="0" w:color="auto"/>
        <w:right w:val="none" w:sz="0" w:space="0" w:color="auto"/>
      </w:divBdr>
    </w:div>
    <w:div w:id="1485732620">
      <w:bodyDiv w:val="1"/>
      <w:marLeft w:val="0"/>
      <w:marRight w:val="0"/>
      <w:marTop w:val="0"/>
      <w:marBottom w:val="0"/>
      <w:divBdr>
        <w:top w:val="none" w:sz="0" w:space="0" w:color="auto"/>
        <w:left w:val="none" w:sz="0" w:space="0" w:color="auto"/>
        <w:bottom w:val="none" w:sz="0" w:space="0" w:color="auto"/>
        <w:right w:val="none" w:sz="0" w:space="0" w:color="auto"/>
      </w:divBdr>
    </w:div>
    <w:div w:id="1493108921">
      <w:bodyDiv w:val="1"/>
      <w:marLeft w:val="0"/>
      <w:marRight w:val="0"/>
      <w:marTop w:val="0"/>
      <w:marBottom w:val="0"/>
      <w:divBdr>
        <w:top w:val="none" w:sz="0" w:space="0" w:color="auto"/>
        <w:left w:val="none" w:sz="0" w:space="0" w:color="auto"/>
        <w:bottom w:val="none" w:sz="0" w:space="0" w:color="auto"/>
        <w:right w:val="none" w:sz="0" w:space="0" w:color="auto"/>
      </w:divBdr>
    </w:div>
    <w:div w:id="1493909241">
      <w:bodyDiv w:val="1"/>
      <w:marLeft w:val="0"/>
      <w:marRight w:val="0"/>
      <w:marTop w:val="0"/>
      <w:marBottom w:val="0"/>
      <w:divBdr>
        <w:top w:val="none" w:sz="0" w:space="0" w:color="auto"/>
        <w:left w:val="none" w:sz="0" w:space="0" w:color="auto"/>
        <w:bottom w:val="none" w:sz="0" w:space="0" w:color="auto"/>
        <w:right w:val="none" w:sz="0" w:space="0" w:color="auto"/>
      </w:divBdr>
    </w:div>
    <w:div w:id="1501846906">
      <w:bodyDiv w:val="1"/>
      <w:marLeft w:val="0"/>
      <w:marRight w:val="0"/>
      <w:marTop w:val="0"/>
      <w:marBottom w:val="0"/>
      <w:divBdr>
        <w:top w:val="none" w:sz="0" w:space="0" w:color="auto"/>
        <w:left w:val="none" w:sz="0" w:space="0" w:color="auto"/>
        <w:bottom w:val="none" w:sz="0" w:space="0" w:color="auto"/>
        <w:right w:val="none" w:sz="0" w:space="0" w:color="auto"/>
      </w:divBdr>
    </w:div>
    <w:div w:id="1503357407">
      <w:bodyDiv w:val="1"/>
      <w:marLeft w:val="0"/>
      <w:marRight w:val="0"/>
      <w:marTop w:val="0"/>
      <w:marBottom w:val="0"/>
      <w:divBdr>
        <w:top w:val="none" w:sz="0" w:space="0" w:color="auto"/>
        <w:left w:val="none" w:sz="0" w:space="0" w:color="auto"/>
        <w:bottom w:val="none" w:sz="0" w:space="0" w:color="auto"/>
        <w:right w:val="none" w:sz="0" w:space="0" w:color="auto"/>
      </w:divBdr>
    </w:div>
    <w:div w:id="1503475778">
      <w:bodyDiv w:val="1"/>
      <w:marLeft w:val="0"/>
      <w:marRight w:val="0"/>
      <w:marTop w:val="0"/>
      <w:marBottom w:val="0"/>
      <w:divBdr>
        <w:top w:val="none" w:sz="0" w:space="0" w:color="auto"/>
        <w:left w:val="none" w:sz="0" w:space="0" w:color="auto"/>
        <w:bottom w:val="none" w:sz="0" w:space="0" w:color="auto"/>
        <w:right w:val="none" w:sz="0" w:space="0" w:color="auto"/>
      </w:divBdr>
    </w:div>
    <w:div w:id="1508057597">
      <w:bodyDiv w:val="1"/>
      <w:marLeft w:val="0"/>
      <w:marRight w:val="0"/>
      <w:marTop w:val="0"/>
      <w:marBottom w:val="0"/>
      <w:divBdr>
        <w:top w:val="none" w:sz="0" w:space="0" w:color="auto"/>
        <w:left w:val="none" w:sz="0" w:space="0" w:color="auto"/>
        <w:bottom w:val="none" w:sz="0" w:space="0" w:color="auto"/>
        <w:right w:val="none" w:sz="0" w:space="0" w:color="auto"/>
      </w:divBdr>
    </w:div>
    <w:div w:id="1513763592">
      <w:bodyDiv w:val="1"/>
      <w:marLeft w:val="0"/>
      <w:marRight w:val="0"/>
      <w:marTop w:val="0"/>
      <w:marBottom w:val="0"/>
      <w:divBdr>
        <w:top w:val="none" w:sz="0" w:space="0" w:color="auto"/>
        <w:left w:val="none" w:sz="0" w:space="0" w:color="auto"/>
        <w:bottom w:val="none" w:sz="0" w:space="0" w:color="auto"/>
        <w:right w:val="none" w:sz="0" w:space="0" w:color="auto"/>
      </w:divBdr>
    </w:div>
    <w:div w:id="1514805189">
      <w:bodyDiv w:val="1"/>
      <w:marLeft w:val="0"/>
      <w:marRight w:val="0"/>
      <w:marTop w:val="0"/>
      <w:marBottom w:val="0"/>
      <w:divBdr>
        <w:top w:val="none" w:sz="0" w:space="0" w:color="auto"/>
        <w:left w:val="none" w:sz="0" w:space="0" w:color="auto"/>
        <w:bottom w:val="none" w:sz="0" w:space="0" w:color="auto"/>
        <w:right w:val="none" w:sz="0" w:space="0" w:color="auto"/>
      </w:divBdr>
    </w:div>
    <w:div w:id="1523982268">
      <w:bodyDiv w:val="1"/>
      <w:marLeft w:val="0"/>
      <w:marRight w:val="0"/>
      <w:marTop w:val="0"/>
      <w:marBottom w:val="0"/>
      <w:divBdr>
        <w:top w:val="none" w:sz="0" w:space="0" w:color="auto"/>
        <w:left w:val="none" w:sz="0" w:space="0" w:color="auto"/>
        <w:bottom w:val="none" w:sz="0" w:space="0" w:color="auto"/>
        <w:right w:val="none" w:sz="0" w:space="0" w:color="auto"/>
      </w:divBdr>
    </w:div>
    <w:div w:id="1532188872">
      <w:bodyDiv w:val="1"/>
      <w:marLeft w:val="0"/>
      <w:marRight w:val="0"/>
      <w:marTop w:val="0"/>
      <w:marBottom w:val="0"/>
      <w:divBdr>
        <w:top w:val="none" w:sz="0" w:space="0" w:color="auto"/>
        <w:left w:val="none" w:sz="0" w:space="0" w:color="auto"/>
        <w:bottom w:val="none" w:sz="0" w:space="0" w:color="auto"/>
        <w:right w:val="none" w:sz="0" w:space="0" w:color="auto"/>
      </w:divBdr>
    </w:div>
    <w:div w:id="1534883721">
      <w:bodyDiv w:val="1"/>
      <w:marLeft w:val="0"/>
      <w:marRight w:val="0"/>
      <w:marTop w:val="0"/>
      <w:marBottom w:val="0"/>
      <w:divBdr>
        <w:top w:val="none" w:sz="0" w:space="0" w:color="auto"/>
        <w:left w:val="none" w:sz="0" w:space="0" w:color="auto"/>
        <w:bottom w:val="none" w:sz="0" w:space="0" w:color="auto"/>
        <w:right w:val="none" w:sz="0" w:space="0" w:color="auto"/>
      </w:divBdr>
    </w:div>
    <w:div w:id="1536239056">
      <w:bodyDiv w:val="1"/>
      <w:marLeft w:val="0"/>
      <w:marRight w:val="0"/>
      <w:marTop w:val="0"/>
      <w:marBottom w:val="0"/>
      <w:divBdr>
        <w:top w:val="none" w:sz="0" w:space="0" w:color="auto"/>
        <w:left w:val="none" w:sz="0" w:space="0" w:color="auto"/>
        <w:bottom w:val="none" w:sz="0" w:space="0" w:color="auto"/>
        <w:right w:val="none" w:sz="0" w:space="0" w:color="auto"/>
      </w:divBdr>
    </w:div>
    <w:div w:id="1536427483">
      <w:bodyDiv w:val="1"/>
      <w:marLeft w:val="0"/>
      <w:marRight w:val="0"/>
      <w:marTop w:val="0"/>
      <w:marBottom w:val="0"/>
      <w:divBdr>
        <w:top w:val="none" w:sz="0" w:space="0" w:color="auto"/>
        <w:left w:val="none" w:sz="0" w:space="0" w:color="auto"/>
        <w:bottom w:val="none" w:sz="0" w:space="0" w:color="auto"/>
        <w:right w:val="none" w:sz="0" w:space="0" w:color="auto"/>
      </w:divBdr>
    </w:div>
    <w:div w:id="1537428682">
      <w:bodyDiv w:val="1"/>
      <w:marLeft w:val="0"/>
      <w:marRight w:val="0"/>
      <w:marTop w:val="0"/>
      <w:marBottom w:val="0"/>
      <w:divBdr>
        <w:top w:val="none" w:sz="0" w:space="0" w:color="auto"/>
        <w:left w:val="none" w:sz="0" w:space="0" w:color="auto"/>
        <w:bottom w:val="none" w:sz="0" w:space="0" w:color="auto"/>
        <w:right w:val="none" w:sz="0" w:space="0" w:color="auto"/>
      </w:divBdr>
    </w:div>
    <w:div w:id="1539390933">
      <w:bodyDiv w:val="1"/>
      <w:marLeft w:val="0"/>
      <w:marRight w:val="0"/>
      <w:marTop w:val="0"/>
      <w:marBottom w:val="0"/>
      <w:divBdr>
        <w:top w:val="none" w:sz="0" w:space="0" w:color="auto"/>
        <w:left w:val="none" w:sz="0" w:space="0" w:color="auto"/>
        <w:bottom w:val="none" w:sz="0" w:space="0" w:color="auto"/>
        <w:right w:val="none" w:sz="0" w:space="0" w:color="auto"/>
      </w:divBdr>
    </w:div>
    <w:div w:id="1541698352">
      <w:bodyDiv w:val="1"/>
      <w:marLeft w:val="0"/>
      <w:marRight w:val="0"/>
      <w:marTop w:val="0"/>
      <w:marBottom w:val="0"/>
      <w:divBdr>
        <w:top w:val="none" w:sz="0" w:space="0" w:color="auto"/>
        <w:left w:val="none" w:sz="0" w:space="0" w:color="auto"/>
        <w:bottom w:val="none" w:sz="0" w:space="0" w:color="auto"/>
        <w:right w:val="none" w:sz="0" w:space="0" w:color="auto"/>
      </w:divBdr>
    </w:div>
    <w:div w:id="1543715013">
      <w:bodyDiv w:val="1"/>
      <w:marLeft w:val="0"/>
      <w:marRight w:val="0"/>
      <w:marTop w:val="0"/>
      <w:marBottom w:val="0"/>
      <w:divBdr>
        <w:top w:val="none" w:sz="0" w:space="0" w:color="auto"/>
        <w:left w:val="none" w:sz="0" w:space="0" w:color="auto"/>
        <w:bottom w:val="none" w:sz="0" w:space="0" w:color="auto"/>
        <w:right w:val="none" w:sz="0" w:space="0" w:color="auto"/>
      </w:divBdr>
    </w:div>
    <w:div w:id="1556314710">
      <w:bodyDiv w:val="1"/>
      <w:marLeft w:val="0"/>
      <w:marRight w:val="0"/>
      <w:marTop w:val="0"/>
      <w:marBottom w:val="0"/>
      <w:divBdr>
        <w:top w:val="none" w:sz="0" w:space="0" w:color="auto"/>
        <w:left w:val="none" w:sz="0" w:space="0" w:color="auto"/>
        <w:bottom w:val="none" w:sz="0" w:space="0" w:color="auto"/>
        <w:right w:val="none" w:sz="0" w:space="0" w:color="auto"/>
      </w:divBdr>
    </w:div>
    <w:div w:id="1557281711">
      <w:bodyDiv w:val="1"/>
      <w:marLeft w:val="0"/>
      <w:marRight w:val="0"/>
      <w:marTop w:val="0"/>
      <w:marBottom w:val="0"/>
      <w:divBdr>
        <w:top w:val="none" w:sz="0" w:space="0" w:color="auto"/>
        <w:left w:val="none" w:sz="0" w:space="0" w:color="auto"/>
        <w:bottom w:val="none" w:sz="0" w:space="0" w:color="auto"/>
        <w:right w:val="none" w:sz="0" w:space="0" w:color="auto"/>
      </w:divBdr>
    </w:div>
    <w:div w:id="1560939163">
      <w:bodyDiv w:val="1"/>
      <w:marLeft w:val="0"/>
      <w:marRight w:val="0"/>
      <w:marTop w:val="0"/>
      <w:marBottom w:val="0"/>
      <w:divBdr>
        <w:top w:val="none" w:sz="0" w:space="0" w:color="auto"/>
        <w:left w:val="none" w:sz="0" w:space="0" w:color="auto"/>
        <w:bottom w:val="none" w:sz="0" w:space="0" w:color="auto"/>
        <w:right w:val="none" w:sz="0" w:space="0" w:color="auto"/>
      </w:divBdr>
    </w:div>
    <w:div w:id="1563908740">
      <w:bodyDiv w:val="1"/>
      <w:marLeft w:val="0"/>
      <w:marRight w:val="0"/>
      <w:marTop w:val="0"/>
      <w:marBottom w:val="0"/>
      <w:divBdr>
        <w:top w:val="none" w:sz="0" w:space="0" w:color="auto"/>
        <w:left w:val="none" w:sz="0" w:space="0" w:color="auto"/>
        <w:bottom w:val="none" w:sz="0" w:space="0" w:color="auto"/>
        <w:right w:val="none" w:sz="0" w:space="0" w:color="auto"/>
      </w:divBdr>
    </w:div>
    <w:div w:id="1567954755">
      <w:bodyDiv w:val="1"/>
      <w:marLeft w:val="0"/>
      <w:marRight w:val="0"/>
      <w:marTop w:val="0"/>
      <w:marBottom w:val="0"/>
      <w:divBdr>
        <w:top w:val="none" w:sz="0" w:space="0" w:color="auto"/>
        <w:left w:val="none" w:sz="0" w:space="0" w:color="auto"/>
        <w:bottom w:val="none" w:sz="0" w:space="0" w:color="auto"/>
        <w:right w:val="none" w:sz="0" w:space="0" w:color="auto"/>
      </w:divBdr>
    </w:div>
    <w:div w:id="1573660298">
      <w:bodyDiv w:val="1"/>
      <w:marLeft w:val="0"/>
      <w:marRight w:val="0"/>
      <w:marTop w:val="0"/>
      <w:marBottom w:val="0"/>
      <w:divBdr>
        <w:top w:val="none" w:sz="0" w:space="0" w:color="auto"/>
        <w:left w:val="none" w:sz="0" w:space="0" w:color="auto"/>
        <w:bottom w:val="none" w:sz="0" w:space="0" w:color="auto"/>
        <w:right w:val="none" w:sz="0" w:space="0" w:color="auto"/>
      </w:divBdr>
    </w:div>
    <w:div w:id="1577664668">
      <w:bodyDiv w:val="1"/>
      <w:marLeft w:val="0"/>
      <w:marRight w:val="0"/>
      <w:marTop w:val="0"/>
      <w:marBottom w:val="0"/>
      <w:divBdr>
        <w:top w:val="none" w:sz="0" w:space="0" w:color="auto"/>
        <w:left w:val="none" w:sz="0" w:space="0" w:color="auto"/>
        <w:bottom w:val="none" w:sz="0" w:space="0" w:color="auto"/>
        <w:right w:val="none" w:sz="0" w:space="0" w:color="auto"/>
      </w:divBdr>
    </w:div>
    <w:div w:id="1581210400">
      <w:bodyDiv w:val="1"/>
      <w:marLeft w:val="0"/>
      <w:marRight w:val="0"/>
      <w:marTop w:val="0"/>
      <w:marBottom w:val="0"/>
      <w:divBdr>
        <w:top w:val="none" w:sz="0" w:space="0" w:color="auto"/>
        <w:left w:val="none" w:sz="0" w:space="0" w:color="auto"/>
        <w:bottom w:val="none" w:sz="0" w:space="0" w:color="auto"/>
        <w:right w:val="none" w:sz="0" w:space="0" w:color="auto"/>
      </w:divBdr>
    </w:div>
    <w:div w:id="1581401680">
      <w:bodyDiv w:val="1"/>
      <w:marLeft w:val="0"/>
      <w:marRight w:val="0"/>
      <w:marTop w:val="0"/>
      <w:marBottom w:val="0"/>
      <w:divBdr>
        <w:top w:val="none" w:sz="0" w:space="0" w:color="auto"/>
        <w:left w:val="none" w:sz="0" w:space="0" w:color="auto"/>
        <w:bottom w:val="none" w:sz="0" w:space="0" w:color="auto"/>
        <w:right w:val="none" w:sz="0" w:space="0" w:color="auto"/>
      </w:divBdr>
    </w:div>
    <w:div w:id="1586527376">
      <w:bodyDiv w:val="1"/>
      <w:marLeft w:val="0"/>
      <w:marRight w:val="0"/>
      <w:marTop w:val="0"/>
      <w:marBottom w:val="0"/>
      <w:divBdr>
        <w:top w:val="none" w:sz="0" w:space="0" w:color="auto"/>
        <w:left w:val="none" w:sz="0" w:space="0" w:color="auto"/>
        <w:bottom w:val="none" w:sz="0" w:space="0" w:color="auto"/>
        <w:right w:val="none" w:sz="0" w:space="0" w:color="auto"/>
      </w:divBdr>
    </w:div>
    <w:div w:id="1592931371">
      <w:bodyDiv w:val="1"/>
      <w:marLeft w:val="0"/>
      <w:marRight w:val="0"/>
      <w:marTop w:val="0"/>
      <w:marBottom w:val="0"/>
      <w:divBdr>
        <w:top w:val="none" w:sz="0" w:space="0" w:color="auto"/>
        <w:left w:val="none" w:sz="0" w:space="0" w:color="auto"/>
        <w:bottom w:val="none" w:sz="0" w:space="0" w:color="auto"/>
        <w:right w:val="none" w:sz="0" w:space="0" w:color="auto"/>
      </w:divBdr>
    </w:div>
    <w:div w:id="1615861065">
      <w:bodyDiv w:val="1"/>
      <w:marLeft w:val="0"/>
      <w:marRight w:val="0"/>
      <w:marTop w:val="0"/>
      <w:marBottom w:val="0"/>
      <w:divBdr>
        <w:top w:val="none" w:sz="0" w:space="0" w:color="auto"/>
        <w:left w:val="none" w:sz="0" w:space="0" w:color="auto"/>
        <w:bottom w:val="none" w:sz="0" w:space="0" w:color="auto"/>
        <w:right w:val="none" w:sz="0" w:space="0" w:color="auto"/>
      </w:divBdr>
    </w:div>
    <w:div w:id="1621496222">
      <w:bodyDiv w:val="1"/>
      <w:marLeft w:val="0"/>
      <w:marRight w:val="0"/>
      <w:marTop w:val="0"/>
      <w:marBottom w:val="0"/>
      <w:divBdr>
        <w:top w:val="none" w:sz="0" w:space="0" w:color="auto"/>
        <w:left w:val="none" w:sz="0" w:space="0" w:color="auto"/>
        <w:bottom w:val="none" w:sz="0" w:space="0" w:color="auto"/>
        <w:right w:val="none" w:sz="0" w:space="0" w:color="auto"/>
      </w:divBdr>
    </w:div>
    <w:div w:id="1622346355">
      <w:bodyDiv w:val="1"/>
      <w:marLeft w:val="0"/>
      <w:marRight w:val="0"/>
      <w:marTop w:val="0"/>
      <w:marBottom w:val="0"/>
      <w:divBdr>
        <w:top w:val="none" w:sz="0" w:space="0" w:color="auto"/>
        <w:left w:val="none" w:sz="0" w:space="0" w:color="auto"/>
        <w:bottom w:val="none" w:sz="0" w:space="0" w:color="auto"/>
        <w:right w:val="none" w:sz="0" w:space="0" w:color="auto"/>
      </w:divBdr>
    </w:div>
    <w:div w:id="1622371802">
      <w:bodyDiv w:val="1"/>
      <w:marLeft w:val="0"/>
      <w:marRight w:val="0"/>
      <w:marTop w:val="0"/>
      <w:marBottom w:val="0"/>
      <w:divBdr>
        <w:top w:val="none" w:sz="0" w:space="0" w:color="auto"/>
        <w:left w:val="none" w:sz="0" w:space="0" w:color="auto"/>
        <w:bottom w:val="none" w:sz="0" w:space="0" w:color="auto"/>
        <w:right w:val="none" w:sz="0" w:space="0" w:color="auto"/>
      </w:divBdr>
    </w:div>
    <w:div w:id="1630085543">
      <w:bodyDiv w:val="1"/>
      <w:marLeft w:val="0"/>
      <w:marRight w:val="0"/>
      <w:marTop w:val="0"/>
      <w:marBottom w:val="0"/>
      <w:divBdr>
        <w:top w:val="none" w:sz="0" w:space="0" w:color="auto"/>
        <w:left w:val="none" w:sz="0" w:space="0" w:color="auto"/>
        <w:bottom w:val="none" w:sz="0" w:space="0" w:color="auto"/>
        <w:right w:val="none" w:sz="0" w:space="0" w:color="auto"/>
      </w:divBdr>
    </w:div>
    <w:div w:id="1642340784">
      <w:bodyDiv w:val="1"/>
      <w:marLeft w:val="0"/>
      <w:marRight w:val="0"/>
      <w:marTop w:val="0"/>
      <w:marBottom w:val="0"/>
      <w:divBdr>
        <w:top w:val="none" w:sz="0" w:space="0" w:color="auto"/>
        <w:left w:val="none" w:sz="0" w:space="0" w:color="auto"/>
        <w:bottom w:val="none" w:sz="0" w:space="0" w:color="auto"/>
        <w:right w:val="none" w:sz="0" w:space="0" w:color="auto"/>
      </w:divBdr>
    </w:div>
    <w:div w:id="1645114849">
      <w:bodyDiv w:val="1"/>
      <w:marLeft w:val="0"/>
      <w:marRight w:val="0"/>
      <w:marTop w:val="0"/>
      <w:marBottom w:val="0"/>
      <w:divBdr>
        <w:top w:val="none" w:sz="0" w:space="0" w:color="auto"/>
        <w:left w:val="none" w:sz="0" w:space="0" w:color="auto"/>
        <w:bottom w:val="none" w:sz="0" w:space="0" w:color="auto"/>
        <w:right w:val="none" w:sz="0" w:space="0" w:color="auto"/>
      </w:divBdr>
    </w:div>
    <w:div w:id="1652366746">
      <w:bodyDiv w:val="1"/>
      <w:marLeft w:val="0"/>
      <w:marRight w:val="0"/>
      <w:marTop w:val="0"/>
      <w:marBottom w:val="0"/>
      <w:divBdr>
        <w:top w:val="none" w:sz="0" w:space="0" w:color="auto"/>
        <w:left w:val="none" w:sz="0" w:space="0" w:color="auto"/>
        <w:bottom w:val="none" w:sz="0" w:space="0" w:color="auto"/>
        <w:right w:val="none" w:sz="0" w:space="0" w:color="auto"/>
      </w:divBdr>
    </w:div>
    <w:div w:id="1661080080">
      <w:bodyDiv w:val="1"/>
      <w:marLeft w:val="0"/>
      <w:marRight w:val="0"/>
      <w:marTop w:val="0"/>
      <w:marBottom w:val="0"/>
      <w:divBdr>
        <w:top w:val="none" w:sz="0" w:space="0" w:color="auto"/>
        <w:left w:val="none" w:sz="0" w:space="0" w:color="auto"/>
        <w:bottom w:val="none" w:sz="0" w:space="0" w:color="auto"/>
        <w:right w:val="none" w:sz="0" w:space="0" w:color="auto"/>
      </w:divBdr>
    </w:div>
    <w:div w:id="1681083635">
      <w:bodyDiv w:val="1"/>
      <w:marLeft w:val="0"/>
      <w:marRight w:val="0"/>
      <w:marTop w:val="0"/>
      <w:marBottom w:val="0"/>
      <w:divBdr>
        <w:top w:val="none" w:sz="0" w:space="0" w:color="auto"/>
        <w:left w:val="none" w:sz="0" w:space="0" w:color="auto"/>
        <w:bottom w:val="none" w:sz="0" w:space="0" w:color="auto"/>
        <w:right w:val="none" w:sz="0" w:space="0" w:color="auto"/>
      </w:divBdr>
    </w:div>
    <w:div w:id="1686207120">
      <w:bodyDiv w:val="1"/>
      <w:marLeft w:val="0"/>
      <w:marRight w:val="0"/>
      <w:marTop w:val="0"/>
      <w:marBottom w:val="0"/>
      <w:divBdr>
        <w:top w:val="none" w:sz="0" w:space="0" w:color="auto"/>
        <w:left w:val="none" w:sz="0" w:space="0" w:color="auto"/>
        <w:bottom w:val="none" w:sz="0" w:space="0" w:color="auto"/>
        <w:right w:val="none" w:sz="0" w:space="0" w:color="auto"/>
      </w:divBdr>
    </w:div>
    <w:div w:id="1688746895">
      <w:bodyDiv w:val="1"/>
      <w:marLeft w:val="0"/>
      <w:marRight w:val="0"/>
      <w:marTop w:val="0"/>
      <w:marBottom w:val="0"/>
      <w:divBdr>
        <w:top w:val="none" w:sz="0" w:space="0" w:color="auto"/>
        <w:left w:val="none" w:sz="0" w:space="0" w:color="auto"/>
        <w:bottom w:val="none" w:sz="0" w:space="0" w:color="auto"/>
        <w:right w:val="none" w:sz="0" w:space="0" w:color="auto"/>
      </w:divBdr>
    </w:div>
    <w:div w:id="1703549717">
      <w:bodyDiv w:val="1"/>
      <w:marLeft w:val="0"/>
      <w:marRight w:val="0"/>
      <w:marTop w:val="0"/>
      <w:marBottom w:val="0"/>
      <w:divBdr>
        <w:top w:val="none" w:sz="0" w:space="0" w:color="auto"/>
        <w:left w:val="none" w:sz="0" w:space="0" w:color="auto"/>
        <w:bottom w:val="none" w:sz="0" w:space="0" w:color="auto"/>
        <w:right w:val="none" w:sz="0" w:space="0" w:color="auto"/>
      </w:divBdr>
    </w:div>
    <w:div w:id="1707215087">
      <w:bodyDiv w:val="1"/>
      <w:marLeft w:val="0"/>
      <w:marRight w:val="0"/>
      <w:marTop w:val="0"/>
      <w:marBottom w:val="0"/>
      <w:divBdr>
        <w:top w:val="none" w:sz="0" w:space="0" w:color="auto"/>
        <w:left w:val="none" w:sz="0" w:space="0" w:color="auto"/>
        <w:bottom w:val="none" w:sz="0" w:space="0" w:color="auto"/>
        <w:right w:val="none" w:sz="0" w:space="0" w:color="auto"/>
      </w:divBdr>
    </w:div>
    <w:div w:id="1711681824">
      <w:bodyDiv w:val="1"/>
      <w:marLeft w:val="0"/>
      <w:marRight w:val="0"/>
      <w:marTop w:val="0"/>
      <w:marBottom w:val="0"/>
      <w:divBdr>
        <w:top w:val="none" w:sz="0" w:space="0" w:color="auto"/>
        <w:left w:val="none" w:sz="0" w:space="0" w:color="auto"/>
        <w:bottom w:val="none" w:sz="0" w:space="0" w:color="auto"/>
        <w:right w:val="none" w:sz="0" w:space="0" w:color="auto"/>
      </w:divBdr>
    </w:div>
    <w:div w:id="1717850527">
      <w:bodyDiv w:val="1"/>
      <w:marLeft w:val="0"/>
      <w:marRight w:val="0"/>
      <w:marTop w:val="0"/>
      <w:marBottom w:val="0"/>
      <w:divBdr>
        <w:top w:val="none" w:sz="0" w:space="0" w:color="auto"/>
        <w:left w:val="none" w:sz="0" w:space="0" w:color="auto"/>
        <w:bottom w:val="none" w:sz="0" w:space="0" w:color="auto"/>
        <w:right w:val="none" w:sz="0" w:space="0" w:color="auto"/>
      </w:divBdr>
    </w:div>
    <w:div w:id="1720401882">
      <w:bodyDiv w:val="1"/>
      <w:marLeft w:val="0"/>
      <w:marRight w:val="0"/>
      <w:marTop w:val="0"/>
      <w:marBottom w:val="0"/>
      <w:divBdr>
        <w:top w:val="none" w:sz="0" w:space="0" w:color="auto"/>
        <w:left w:val="none" w:sz="0" w:space="0" w:color="auto"/>
        <w:bottom w:val="none" w:sz="0" w:space="0" w:color="auto"/>
        <w:right w:val="none" w:sz="0" w:space="0" w:color="auto"/>
      </w:divBdr>
    </w:div>
    <w:div w:id="1727489028">
      <w:bodyDiv w:val="1"/>
      <w:marLeft w:val="0"/>
      <w:marRight w:val="0"/>
      <w:marTop w:val="0"/>
      <w:marBottom w:val="0"/>
      <w:divBdr>
        <w:top w:val="none" w:sz="0" w:space="0" w:color="auto"/>
        <w:left w:val="none" w:sz="0" w:space="0" w:color="auto"/>
        <w:bottom w:val="none" w:sz="0" w:space="0" w:color="auto"/>
        <w:right w:val="none" w:sz="0" w:space="0" w:color="auto"/>
      </w:divBdr>
    </w:div>
    <w:div w:id="1728601219">
      <w:bodyDiv w:val="1"/>
      <w:marLeft w:val="0"/>
      <w:marRight w:val="0"/>
      <w:marTop w:val="0"/>
      <w:marBottom w:val="0"/>
      <w:divBdr>
        <w:top w:val="none" w:sz="0" w:space="0" w:color="auto"/>
        <w:left w:val="none" w:sz="0" w:space="0" w:color="auto"/>
        <w:bottom w:val="none" w:sz="0" w:space="0" w:color="auto"/>
        <w:right w:val="none" w:sz="0" w:space="0" w:color="auto"/>
      </w:divBdr>
    </w:div>
    <w:div w:id="1730347579">
      <w:bodyDiv w:val="1"/>
      <w:marLeft w:val="0"/>
      <w:marRight w:val="0"/>
      <w:marTop w:val="0"/>
      <w:marBottom w:val="0"/>
      <w:divBdr>
        <w:top w:val="none" w:sz="0" w:space="0" w:color="auto"/>
        <w:left w:val="none" w:sz="0" w:space="0" w:color="auto"/>
        <w:bottom w:val="none" w:sz="0" w:space="0" w:color="auto"/>
        <w:right w:val="none" w:sz="0" w:space="0" w:color="auto"/>
      </w:divBdr>
    </w:div>
    <w:div w:id="1732465075">
      <w:bodyDiv w:val="1"/>
      <w:marLeft w:val="0"/>
      <w:marRight w:val="0"/>
      <w:marTop w:val="0"/>
      <w:marBottom w:val="0"/>
      <w:divBdr>
        <w:top w:val="none" w:sz="0" w:space="0" w:color="auto"/>
        <w:left w:val="none" w:sz="0" w:space="0" w:color="auto"/>
        <w:bottom w:val="none" w:sz="0" w:space="0" w:color="auto"/>
        <w:right w:val="none" w:sz="0" w:space="0" w:color="auto"/>
      </w:divBdr>
    </w:div>
    <w:div w:id="1736901286">
      <w:bodyDiv w:val="1"/>
      <w:marLeft w:val="0"/>
      <w:marRight w:val="0"/>
      <w:marTop w:val="0"/>
      <w:marBottom w:val="0"/>
      <w:divBdr>
        <w:top w:val="none" w:sz="0" w:space="0" w:color="auto"/>
        <w:left w:val="none" w:sz="0" w:space="0" w:color="auto"/>
        <w:bottom w:val="none" w:sz="0" w:space="0" w:color="auto"/>
        <w:right w:val="none" w:sz="0" w:space="0" w:color="auto"/>
      </w:divBdr>
    </w:div>
    <w:div w:id="1740328178">
      <w:bodyDiv w:val="1"/>
      <w:marLeft w:val="0"/>
      <w:marRight w:val="0"/>
      <w:marTop w:val="0"/>
      <w:marBottom w:val="0"/>
      <w:divBdr>
        <w:top w:val="none" w:sz="0" w:space="0" w:color="auto"/>
        <w:left w:val="none" w:sz="0" w:space="0" w:color="auto"/>
        <w:bottom w:val="none" w:sz="0" w:space="0" w:color="auto"/>
        <w:right w:val="none" w:sz="0" w:space="0" w:color="auto"/>
      </w:divBdr>
    </w:div>
    <w:div w:id="1740404397">
      <w:bodyDiv w:val="1"/>
      <w:marLeft w:val="0"/>
      <w:marRight w:val="0"/>
      <w:marTop w:val="0"/>
      <w:marBottom w:val="0"/>
      <w:divBdr>
        <w:top w:val="none" w:sz="0" w:space="0" w:color="auto"/>
        <w:left w:val="none" w:sz="0" w:space="0" w:color="auto"/>
        <w:bottom w:val="none" w:sz="0" w:space="0" w:color="auto"/>
        <w:right w:val="none" w:sz="0" w:space="0" w:color="auto"/>
      </w:divBdr>
    </w:div>
    <w:div w:id="1740707229">
      <w:bodyDiv w:val="1"/>
      <w:marLeft w:val="0"/>
      <w:marRight w:val="0"/>
      <w:marTop w:val="0"/>
      <w:marBottom w:val="0"/>
      <w:divBdr>
        <w:top w:val="none" w:sz="0" w:space="0" w:color="auto"/>
        <w:left w:val="none" w:sz="0" w:space="0" w:color="auto"/>
        <w:bottom w:val="none" w:sz="0" w:space="0" w:color="auto"/>
        <w:right w:val="none" w:sz="0" w:space="0" w:color="auto"/>
      </w:divBdr>
    </w:div>
    <w:div w:id="1744331887">
      <w:bodyDiv w:val="1"/>
      <w:marLeft w:val="0"/>
      <w:marRight w:val="0"/>
      <w:marTop w:val="0"/>
      <w:marBottom w:val="0"/>
      <w:divBdr>
        <w:top w:val="none" w:sz="0" w:space="0" w:color="auto"/>
        <w:left w:val="none" w:sz="0" w:space="0" w:color="auto"/>
        <w:bottom w:val="none" w:sz="0" w:space="0" w:color="auto"/>
        <w:right w:val="none" w:sz="0" w:space="0" w:color="auto"/>
      </w:divBdr>
    </w:div>
    <w:div w:id="1751654988">
      <w:bodyDiv w:val="1"/>
      <w:marLeft w:val="0"/>
      <w:marRight w:val="0"/>
      <w:marTop w:val="0"/>
      <w:marBottom w:val="0"/>
      <w:divBdr>
        <w:top w:val="none" w:sz="0" w:space="0" w:color="auto"/>
        <w:left w:val="none" w:sz="0" w:space="0" w:color="auto"/>
        <w:bottom w:val="none" w:sz="0" w:space="0" w:color="auto"/>
        <w:right w:val="none" w:sz="0" w:space="0" w:color="auto"/>
      </w:divBdr>
    </w:div>
    <w:div w:id="1758094641">
      <w:bodyDiv w:val="1"/>
      <w:marLeft w:val="0"/>
      <w:marRight w:val="0"/>
      <w:marTop w:val="0"/>
      <w:marBottom w:val="0"/>
      <w:divBdr>
        <w:top w:val="none" w:sz="0" w:space="0" w:color="auto"/>
        <w:left w:val="none" w:sz="0" w:space="0" w:color="auto"/>
        <w:bottom w:val="none" w:sz="0" w:space="0" w:color="auto"/>
        <w:right w:val="none" w:sz="0" w:space="0" w:color="auto"/>
      </w:divBdr>
    </w:div>
    <w:div w:id="1765151932">
      <w:bodyDiv w:val="1"/>
      <w:marLeft w:val="0"/>
      <w:marRight w:val="0"/>
      <w:marTop w:val="0"/>
      <w:marBottom w:val="0"/>
      <w:divBdr>
        <w:top w:val="none" w:sz="0" w:space="0" w:color="auto"/>
        <w:left w:val="none" w:sz="0" w:space="0" w:color="auto"/>
        <w:bottom w:val="none" w:sz="0" w:space="0" w:color="auto"/>
        <w:right w:val="none" w:sz="0" w:space="0" w:color="auto"/>
      </w:divBdr>
    </w:div>
    <w:div w:id="1772510524">
      <w:bodyDiv w:val="1"/>
      <w:marLeft w:val="0"/>
      <w:marRight w:val="0"/>
      <w:marTop w:val="0"/>
      <w:marBottom w:val="0"/>
      <w:divBdr>
        <w:top w:val="none" w:sz="0" w:space="0" w:color="auto"/>
        <w:left w:val="none" w:sz="0" w:space="0" w:color="auto"/>
        <w:bottom w:val="none" w:sz="0" w:space="0" w:color="auto"/>
        <w:right w:val="none" w:sz="0" w:space="0" w:color="auto"/>
      </w:divBdr>
    </w:div>
    <w:div w:id="1780485825">
      <w:bodyDiv w:val="1"/>
      <w:marLeft w:val="0"/>
      <w:marRight w:val="0"/>
      <w:marTop w:val="0"/>
      <w:marBottom w:val="0"/>
      <w:divBdr>
        <w:top w:val="none" w:sz="0" w:space="0" w:color="auto"/>
        <w:left w:val="none" w:sz="0" w:space="0" w:color="auto"/>
        <w:bottom w:val="none" w:sz="0" w:space="0" w:color="auto"/>
        <w:right w:val="none" w:sz="0" w:space="0" w:color="auto"/>
      </w:divBdr>
    </w:div>
    <w:div w:id="1780878339">
      <w:bodyDiv w:val="1"/>
      <w:marLeft w:val="0"/>
      <w:marRight w:val="0"/>
      <w:marTop w:val="0"/>
      <w:marBottom w:val="0"/>
      <w:divBdr>
        <w:top w:val="none" w:sz="0" w:space="0" w:color="auto"/>
        <w:left w:val="none" w:sz="0" w:space="0" w:color="auto"/>
        <w:bottom w:val="none" w:sz="0" w:space="0" w:color="auto"/>
        <w:right w:val="none" w:sz="0" w:space="0" w:color="auto"/>
      </w:divBdr>
    </w:div>
    <w:div w:id="1784298679">
      <w:bodyDiv w:val="1"/>
      <w:marLeft w:val="0"/>
      <w:marRight w:val="0"/>
      <w:marTop w:val="0"/>
      <w:marBottom w:val="0"/>
      <w:divBdr>
        <w:top w:val="none" w:sz="0" w:space="0" w:color="auto"/>
        <w:left w:val="none" w:sz="0" w:space="0" w:color="auto"/>
        <w:bottom w:val="none" w:sz="0" w:space="0" w:color="auto"/>
        <w:right w:val="none" w:sz="0" w:space="0" w:color="auto"/>
      </w:divBdr>
    </w:div>
    <w:div w:id="1791894176">
      <w:bodyDiv w:val="1"/>
      <w:marLeft w:val="0"/>
      <w:marRight w:val="0"/>
      <w:marTop w:val="0"/>
      <w:marBottom w:val="0"/>
      <w:divBdr>
        <w:top w:val="none" w:sz="0" w:space="0" w:color="auto"/>
        <w:left w:val="none" w:sz="0" w:space="0" w:color="auto"/>
        <w:bottom w:val="none" w:sz="0" w:space="0" w:color="auto"/>
        <w:right w:val="none" w:sz="0" w:space="0" w:color="auto"/>
      </w:divBdr>
    </w:div>
    <w:div w:id="1792282374">
      <w:bodyDiv w:val="1"/>
      <w:marLeft w:val="0"/>
      <w:marRight w:val="0"/>
      <w:marTop w:val="0"/>
      <w:marBottom w:val="0"/>
      <w:divBdr>
        <w:top w:val="none" w:sz="0" w:space="0" w:color="auto"/>
        <w:left w:val="none" w:sz="0" w:space="0" w:color="auto"/>
        <w:bottom w:val="none" w:sz="0" w:space="0" w:color="auto"/>
        <w:right w:val="none" w:sz="0" w:space="0" w:color="auto"/>
      </w:divBdr>
    </w:div>
    <w:div w:id="1792438347">
      <w:bodyDiv w:val="1"/>
      <w:marLeft w:val="0"/>
      <w:marRight w:val="0"/>
      <w:marTop w:val="0"/>
      <w:marBottom w:val="0"/>
      <w:divBdr>
        <w:top w:val="none" w:sz="0" w:space="0" w:color="auto"/>
        <w:left w:val="none" w:sz="0" w:space="0" w:color="auto"/>
        <w:bottom w:val="none" w:sz="0" w:space="0" w:color="auto"/>
        <w:right w:val="none" w:sz="0" w:space="0" w:color="auto"/>
      </w:divBdr>
    </w:div>
    <w:div w:id="1792703890">
      <w:bodyDiv w:val="1"/>
      <w:marLeft w:val="0"/>
      <w:marRight w:val="0"/>
      <w:marTop w:val="0"/>
      <w:marBottom w:val="0"/>
      <w:divBdr>
        <w:top w:val="none" w:sz="0" w:space="0" w:color="auto"/>
        <w:left w:val="none" w:sz="0" w:space="0" w:color="auto"/>
        <w:bottom w:val="none" w:sz="0" w:space="0" w:color="auto"/>
        <w:right w:val="none" w:sz="0" w:space="0" w:color="auto"/>
      </w:divBdr>
    </w:div>
    <w:div w:id="1793593344">
      <w:bodyDiv w:val="1"/>
      <w:marLeft w:val="0"/>
      <w:marRight w:val="0"/>
      <w:marTop w:val="0"/>
      <w:marBottom w:val="0"/>
      <w:divBdr>
        <w:top w:val="none" w:sz="0" w:space="0" w:color="auto"/>
        <w:left w:val="none" w:sz="0" w:space="0" w:color="auto"/>
        <w:bottom w:val="none" w:sz="0" w:space="0" w:color="auto"/>
        <w:right w:val="none" w:sz="0" w:space="0" w:color="auto"/>
      </w:divBdr>
    </w:div>
    <w:div w:id="1794250583">
      <w:bodyDiv w:val="1"/>
      <w:marLeft w:val="0"/>
      <w:marRight w:val="0"/>
      <w:marTop w:val="0"/>
      <w:marBottom w:val="0"/>
      <w:divBdr>
        <w:top w:val="none" w:sz="0" w:space="0" w:color="auto"/>
        <w:left w:val="none" w:sz="0" w:space="0" w:color="auto"/>
        <w:bottom w:val="none" w:sz="0" w:space="0" w:color="auto"/>
        <w:right w:val="none" w:sz="0" w:space="0" w:color="auto"/>
      </w:divBdr>
    </w:div>
    <w:div w:id="1808860499">
      <w:bodyDiv w:val="1"/>
      <w:marLeft w:val="0"/>
      <w:marRight w:val="0"/>
      <w:marTop w:val="0"/>
      <w:marBottom w:val="0"/>
      <w:divBdr>
        <w:top w:val="none" w:sz="0" w:space="0" w:color="auto"/>
        <w:left w:val="none" w:sz="0" w:space="0" w:color="auto"/>
        <w:bottom w:val="none" w:sz="0" w:space="0" w:color="auto"/>
        <w:right w:val="none" w:sz="0" w:space="0" w:color="auto"/>
      </w:divBdr>
    </w:div>
    <w:div w:id="1810201642">
      <w:bodyDiv w:val="1"/>
      <w:marLeft w:val="0"/>
      <w:marRight w:val="0"/>
      <w:marTop w:val="0"/>
      <w:marBottom w:val="0"/>
      <w:divBdr>
        <w:top w:val="none" w:sz="0" w:space="0" w:color="auto"/>
        <w:left w:val="none" w:sz="0" w:space="0" w:color="auto"/>
        <w:bottom w:val="none" w:sz="0" w:space="0" w:color="auto"/>
        <w:right w:val="none" w:sz="0" w:space="0" w:color="auto"/>
      </w:divBdr>
    </w:div>
    <w:div w:id="1811705549">
      <w:bodyDiv w:val="1"/>
      <w:marLeft w:val="0"/>
      <w:marRight w:val="0"/>
      <w:marTop w:val="0"/>
      <w:marBottom w:val="0"/>
      <w:divBdr>
        <w:top w:val="none" w:sz="0" w:space="0" w:color="auto"/>
        <w:left w:val="none" w:sz="0" w:space="0" w:color="auto"/>
        <w:bottom w:val="none" w:sz="0" w:space="0" w:color="auto"/>
        <w:right w:val="none" w:sz="0" w:space="0" w:color="auto"/>
      </w:divBdr>
    </w:div>
    <w:div w:id="1815558089">
      <w:bodyDiv w:val="1"/>
      <w:marLeft w:val="0"/>
      <w:marRight w:val="0"/>
      <w:marTop w:val="0"/>
      <w:marBottom w:val="0"/>
      <w:divBdr>
        <w:top w:val="none" w:sz="0" w:space="0" w:color="auto"/>
        <w:left w:val="none" w:sz="0" w:space="0" w:color="auto"/>
        <w:bottom w:val="none" w:sz="0" w:space="0" w:color="auto"/>
        <w:right w:val="none" w:sz="0" w:space="0" w:color="auto"/>
      </w:divBdr>
    </w:div>
    <w:div w:id="1819613780">
      <w:bodyDiv w:val="1"/>
      <w:marLeft w:val="0"/>
      <w:marRight w:val="0"/>
      <w:marTop w:val="0"/>
      <w:marBottom w:val="0"/>
      <w:divBdr>
        <w:top w:val="none" w:sz="0" w:space="0" w:color="auto"/>
        <w:left w:val="none" w:sz="0" w:space="0" w:color="auto"/>
        <w:bottom w:val="none" w:sz="0" w:space="0" w:color="auto"/>
        <w:right w:val="none" w:sz="0" w:space="0" w:color="auto"/>
      </w:divBdr>
    </w:div>
    <w:div w:id="1823964750">
      <w:bodyDiv w:val="1"/>
      <w:marLeft w:val="0"/>
      <w:marRight w:val="0"/>
      <w:marTop w:val="0"/>
      <w:marBottom w:val="0"/>
      <w:divBdr>
        <w:top w:val="none" w:sz="0" w:space="0" w:color="auto"/>
        <w:left w:val="none" w:sz="0" w:space="0" w:color="auto"/>
        <w:bottom w:val="none" w:sz="0" w:space="0" w:color="auto"/>
        <w:right w:val="none" w:sz="0" w:space="0" w:color="auto"/>
      </w:divBdr>
    </w:div>
    <w:div w:id="1824858785">
      <w:bodyDiv w:val="1"/>
      <w:marLeft w:val="0"/>
      <w:marRight w:val="0"/>
      <w:marTop w:val="0"/>
      <w:marBottom w:val="0"/>
      <w:divBdr>
        <w:top w:val="none" w:sz="0" w:space="0" w:color="auto"/>
        <w:left w:val="none" w:sz="0" w:space="0" w:color="auto"/>
        <w:bottom w:val="none" w:sz="0" w:space="0" w:color="auto"/>
        <w:right w:val="none" w:sz="0" w:space="0" w:color="auto"/>
      </w:divBdr>
    </w:div>
    <w:div w:id="1827433102">
      <w:bodyDiv w:val="1"/>
      <w:marLeft w:val="0"/>
      <w:marRight w:val="0"/>
      <w:marTop w:val="0"/>
      <w:marBottom w:val="0"/>
      <w:divBdr>
        <w:top w:val="none" w:sz="0" w:space="0" w:color="auto"/>
        <w:left w:val="none" w:sz="0" w:space="0" w:color="auto"/>
        <w:bottom w:val="none" w:sz="0" w:space="0" w:color="auto"/>
        <w:right w:val="none" w:sz="0" w:space="0" w:color="auto"/>
      </w:divBdr>
    </w:div>
    <w:div w:id="1833527182">
      <w:bodyDiv w:val="1"/>
      <w:marLeft w:val="0"/>
      <w:marRight w:val="0"/>
      <w:marTop w:val="0"/>
      <w:marBottom w:val="0"/>
      <w:divBdr>
        <w:top w:val="none" w:sz="0" w:space="0" w:color="auto"/>
        <w:left w:val="none" w:sz="0" w:space="0" w:color="auto"/>
        <w:bottom w:val="none" w:sz="0" w:space="0" w:color="auto"/>
        <w:right w:val="none" w:sz="0" w:space="0" w:color="auto"/>
      </w:divBdr>
    </w:div>
    <w:div w:id="1836530436">
      <w:bodyDiv w:val="1"/>
      <w:marLeft w:val="0"/>
      <w:marRight w:val="0"/>
      <w:marTop w:val="0"/>
      <w:marBottom w:val="0"/>
      <w:divBdr>
        <w:top w:val="none" w:sz="0" w:space="0" w:color="auto"/>
        <w:left w:val="none" w:sz="0" w:space="0" w:color="auto"/>
        <w:bottom w:val="none" w:sz="0" w:space="0" w:color="auto"/>
        <w:right w:val="none" w:sz="0" w:space="0" w:color="auto"/>
      </w:divBdr>
    </w:div>
    <w:div w:id="1841312268">
      <w:bodyDiv w:val="1"/>
      <w:marLeft w:val="0"/>
      <w:marRight w:val="0"/>
      <w:marTop w:val="0"/>
      <w:marBottom w:val="0"/>
      <w:divBdr>
        <w:top w:val="none" w:sz="0" w:space="0" w:color="auto"/>
        <w:left w:val="none" w:sz="0" w:space="0" w:color="auto"/>
        <w:bottom w:val="none" w:sz="0" w:space="0" w:color="auto"/>
        <w:right w:val="none" w:sz="0" w:space="0" w:color="auto"/>
      </w:divBdr>
    </w:div>
    <w:div w:id="1861511116">
      <w:bodyDiv w:val="1"/>
      <w:marLeft w:val="0"/>
      <w:marRight w:val="0"/>
      <w:marTop w:val="0"/>
      <w:marBottom w:val="0"/>
      <w:divBdr>
        <w:top w:val="none" w:sz="0" w:space="0" w:color="auto"/>
        <w:left w:val="none" w:sz="0" w:space="0" w:color="auto"/>
        <w:bottom w:val="none" w:sz="0" w:space="0" w:color="auto"/>
        <w:right w:val="none" w:sz="0" w:space="0" w:color="auto"/>
      </w:divBdr>
    </w:div>
    <w:div w:id="1868254712">
      <w:bodyDiv w:val="1"/>
      <w:marLeft w:val="0"/>
      <w:marRight w:val="0"/>
      <w:marTop w:val="0"/>
      <w:marBottom w:val="0"/>
      <w:divBdr>
        <w:top w:val="none" w:sz="0" w:space="0" w:color="auto"/>
        <w:left w:val="none" w:sz="0" w:space="0" w:color="auto"/>
        <w:bottom w:val="none" w:sz="0" w:space="0" w:color="auto"/>
        <w:right w:val="none" w:sz="0" w:space="0" w:color="auto"/>
      </w:divBdr>
    </w:div>
    <w:div w:id="1868790450">
      <w:bodyDiv w:val="1"/>
      <w:marLeft w:val="0"/>
      <w:marRight w:val="0"/>
      <w:marTop w:val="0"/>
      <w:marBottom w:val="0"/>
      <w:divBdr>
        <w:top w:val="none" w:sz="0" w:space="0" w:color="auto"/>
        <w:left w:val="none" w:sz="0" w:space="0" w:color="auto"/>
        <w:bottom w:val="none" w:sz="0" w:space="0" w:color="auto"/>
        <w:right w:val="none" w:sz="0" w:space="0" w:color="auto"/>
      </w:divBdr>
    </w:div>
    <w:div w:id="1874492568">
      <w:bodyDiv w:val="1"/>
      <w:marLeft w:val="0"/>
      <w:marRight w:val="0"/>
      <w:marTop w:val="0"/>
      <w:marBottom w:val="0"/>
      <w:divBdr>
        <w:top w:val="none" w:sz="0" w:space="0" w:color="auto"/>
        <w:left w:val="none" w:sz="0" w:space="0" w:color="auto"/>
        <w:bottom w:val="none" w:sz="0" w:space="0" w:color="auto"/>
        <w:right w:val="none" w:sz="0" w:space="0" w:color="auto"/>
      </w:divBdr>
    </w:div>
    <w:div w:id="1875344984">
      <w:bodyDiv w:val="1"/>
      <w:marLeft w:val="0"/>
      <w:marRight w:val="0"/>
      <w:marTop w:val="0"/>
      <w:marBottom w:val="0"/>
      <w:divBdr>
        <w:top w:val="none" w:sz="0" w:space="0" w:color="auto"/>
        <w:left w:val="none" w:sz="0" w:space="0" w:color="auto"/>
        <w:bottom w:val="none" w:sz="0" w:space="0" w:color="auto"/>
        <w:right w:val="none" w:sz="0" w:space="0" w:color="auto"/>
      </w:divBdr>
    </w:div>
    <w:div w:id="1888369996">
      <w:bodyDiv w:val="1"/>
      <w:marLeft w:val="0"/>
      <w:marRight w:val="0"/>
      <w:marTop w:val="0"/>
      <w:marBottom w:val="0"/>
      <w:divBdr>
        <w:top w:val="none" w:sz="0" w:space="0" w:color="auto"/>
        <w:left w:val="none" w:sz="0" w:space="0" w:color="auto"/>
        <w:bottom w:val="none" w:sz="0" w:space="0" w:color="auto"/>
        <w:right w:val="none" w:sz="0" w:space="0" w:color="auto"/>
      </w:divBdr>
    </w:div>
    <w:div w:id="1890915424">
      <w:bodyDiv w:val="1"/>
      <w:marLeft w:val="0"/>
      <w:marRight w:val="0"/>
      <w:marTop w:val="0"/>
      <w:marBottom w:val="0"/>
      <w:divBdr>
        <w:top w:val="none" w:sz="0" w:space="0" w:color="auto"/>
        <w:left w:val="none" w:sz="0" w:space="0" w:color="auto"/>
        <w:bottom w:val="none" w:sz="0" w:space="0" w:color="auto"/>
        <w:right w:val="none" w:sz="0" w:space="0" w:color="auto"/>
      </w:divBdr>
    </w:div>
    <w:div w:id="1894927202">
      <w:bodyDiv w:val="1"/>
      <w:marLeft w:val="0"/>
      <w:marRight w:val="0"/>
      <w:marTop w:val="0"/>
      <w:marBottom w:val="0"/>
      <w:divBdr>
        <w:top w:val="none" w:sz="0" w:space="0" w:color="auto"/>
        <w:left w:val="none" w:sz="0" w:space="0" w:color="auto"/>
        <w:bottom w:val="none" w:sz="0" w:space="0" w:color="auto"/>
        <w:right w:val="none" w:sz="0" w:space="0" w:color="auto"/>
      </w:divBdr>
    </w:div>
    <w:div w:id="1900165924">
      <w:bodyDiv w:val="1"/>
      <w:marLeft w:val="0"/>
      <w:marRight w:val="0"/>
      <w:marTop w:val="0"/>
      <w:marBottom w:val="0"/>
      <w:divBdr>
        <w:top w:val="none" w:sz="0" w:space="0" w:color="auto"/>
        <w:left w:val="none" w:sz="0" w:space="0" w:color="auto"/>
        <w:bottom w:val="none" w:sz="0" w:space="0" w:color="auto"/>
        <w:right w:val="none" w:sz="0" w:space="0" w:color="auto"/>
      </w:divBdr>
    </w:div>
    <w:div w:id="1906378283">
      <w:bodyDiv w:val="1"/>
      <w:marLeft w:val="0"/>
      <w:marRight w:val="0"/>
      <w:marTop w:val="0"/>
      <w:marBottom w:val="0"/>
      <w:divBdr>
        <w:top w:val="none" w:sz="0" w:space="0" w:color="auto"/>
        <w:left w:val="none" w:sz="0" w:space="0" w:color="auto"/>
        <w:bottom w:val="none" w:sz="0" w:space="0" w:color="auto"/>
        <w:right w:val="none" w:sz="0" w:space="0" w:color="auto"/>
      </w:divBdr>
    </w:div>
    <w:div w:id="1914779193">
      <w:bodyDiv w:val="1"/>
      <w:marLeft w:val="0"/>
      <w:marRight w:val="0"/>
      <w:marTop w:val="0"/>
      <w:marBottom w:val="0"/>
      <w:divBdr>
        <w:top w:val="none" w:sz="0" w:space="0" w:color="auto"/>
        <w:left w:val="none" w:sz="0" w:space="0" w:color="auto"/>
        <w:bottom w:val="none" w:sz="0" w:space="0" w:color="auto"/>
        <w:right w:val="none" w:sz="0" w:space="0" w:color="auto"/>
      </w:divBdr>
    </w:div>
    <w:div w:id="1921983556">
      <w:bodyDiv w:val="1"/>
      <w:marLeft w:val="0"/>
      <w:marRight w:val="0"/>
      <w:marTop w:val="0"/>
      <w:marBottom w:val="0"/>
      <w:divBdr>
        <w:top w:val="none" w:sz="0" w:space="0" w:color="auto"/>
        <w:left w:val="none" w:sz="0" w:space="0" w:color="auto"/>
        <w:bottom w:val="none" w:sz="0" w:space="0" w:color="auto"/>
        <w:right w:val="none" w:sz="0" w:space="0" w:color="auto"/>
      </w:divBdr>
    </w:div>
    <w:div w:id="1940940354">
      <w:bodyDiv w:val="1"/>
      <w:marLeft w:val="0"/>
      <w:marRight w:val="0"/>
      <w:marTop w:val="0"/>
      <w:marBottom w:val="0"/>
      <w:divBdr>
        <w:top w:val="none" w:sz="0" w:space="0" w:color="auto"/>
        <w:left w:val="none" w:sz="0" w:space="0" w:color="auto"/>
        <w:bottom w:val="none" w:sz="0" w:space="0" w:color="auto"/>
        <w:right w:val="none" w:sz="0" w:space="0" w:color="auto"/>
      </w:divBdr>
    </w:div>
    <w:div w:id="1942257581">
      <w:bodyDiv w:val="1"/>
      <w:marLeft w:val="0"/>
      <w:marRight w:val="0"/>
      <w:marTop w:val="0"/>
      <w:marBottom w:val="0"/>
      <w:divBdr>
        <w:top w:val="none" w:sz="0" w:space="0" w:color="auto"/>
        <w:left w:val="none" w:sz="0" w:space="0" w:color="auto"/>
        <w:bottom w:val="none" w:sz="0" w:space="0" w:color="auto"/>
        <w:right w:val="none" w:sz="0" w:space="0" w:color="auto"/>
      </w:divBdr>
    </w:div>
    <w:div w:id="1951353603">
      <w:bodyDiv w:val="1"/>
      <w:marLeft w:val="0"/>
      <w:marRight w:val="0"/>
      <w:marTop w:val="0"/>
      <w:marBottom w:val="0"/>
      <w:divBdr>
        <w:top w:val="none" w:sz="0" w:space="0" w:color="auto"/>
        <w:left w:val="none" w:sz="0" w:space="0" w:color="auto"/>
        <w:bottom w:val="none" w:sz="0" w:space="0" w:color="auto"/>
        <w:right w:val="none" w:sz="0" w:space="0" w:color="auto"/>
      </w:divBdr>
    </w:div>
    <w:div w:id="1953855575">
      <w:bodyDiv w:val="1"/>
      <w:marLeft w:val="0"/>
      <w:marRight w:val="0"/>
      <w:marTop w:val="0"/>
      <w:marBottom w:val="0"/>
      <w:divBdr>
        <w:top w:val="none" w:sz="0" w:space="0" w:color="auto"/>
        <w:left w:val="none" w:sz="0" w:space="0" w:color="auto"/>
        <w:bottom w:val="none" w:sz="0" w:space="0" w:color="auto"/>
        <w:right w:val="none" w:sz="0" w:space="0" w:color="auto"/>
      </w:divBdr>
    </w:div>
    <w:div w:id="1956019916">
      <w:bodyDiv w:val="1"/>
      <w:marLeft w:val="0"/>
      <w:marRight w:val="0"/>
      <w:marTop w:val="0"/>
      <w:marBottom w:val="0"/>
      <w:divBdr>
        <w:top w:val="none" w:sz="0" w:space="0" w:color="auto"/>
        <w:left w:val="none" w:sz="0" w:space="0" w:color="auto"/>
        <w:bottom w:val="none" w:sz="0" w:space="0" w:color="auto"/>
        <w:right w:val="none" w:sz="0" w:space="0" w:color="auto"/>
      </w:divBdr>
    </w:div>
    <w:div w:id="1961254593">
      <w:bodyDiv w:val="1"/>
      <w:marLeft w:val="0"/>
      <w:marRight w:val="0"/>
      <w:marTop w:val="0"/>
      <w:marBottom w:val="0"/>
      <w:divBdr>
        <w:top w:val="none" w:sz="0" w:space="0" w:color="auto"/>
        <w:left w:val="none" w:sz="0" w:space="0" w:color="auto"/>
        <w:bottom w:val="none" w:sz="0" w:space="0" w:color="auto"/>
        <w:right w:val="none" w:sz="0" w:space="0" w:color="auto"/>
      </w:divBdr>
    </w:div>
    <w:div w:id="1967420715">
      <w:bodyDiv w:val="1"/>
      <w:marLeft w:val="0"/>
      <w:marRight w:val="0"/>
      <w:marTop w:val="0"/>
      <w:marBottom w:val="0"/>
      <w:divBdr>
        <w:top w:val="none" w:sz="0" w:space="0" w:color="auto"/>
        <w:left w:val="none" w:sz="0" w:space="0" w:color="auto"/>
        <w:bottom w:val="none" w:sz="0" w:space="0" w:color="auto"/>
        <w:right w:val="none" w:sz="0" w:space="0" w:color="auto"/>
      </w:divBdr>
    </w:div>
    <w:div w:id="1975865210">
      <w:bodyDiv w:val="1"/>
      <w:marLeft w:val="0"/>
      <w:marRight w:val="0"/>
      <w:marTop w:val="0"/>
      <w:marBottom w:val="0"/>
      <w:divBdr>
        <w:top w:val="none" w:sz="0" w:space="0" w:color="auto"/>
        <w:left w:val="none" w:sz="0" w:space="0" w:color="auto"/>
        <w:bottom w:val="none" w:sz="0" w:space="0" w:color="auto"/>
        <w:right w:val="none" w:sz="0" w:space="0" w:color="auto"/>
      </w:divBdr>
    </w:div>
    <w:div w:id="1980065756">
      <w:bodyDiv w:val="1"/>
      <w:marLeft w:val="0"/>
      <w:marRight w:val="0"/>
      <w:marTop w:val="0"/>
      <w:marBottom w:val="0"/>
      <w:divBdr>
        <w:top w:val="none" w:sz="0" w:space="0" w:color="auto"/>
        <w:left w:val="none" w:sz="0" w:space="0" w:color="auto"/>
        <w:bottom w:val="none" w:sz="0" w:space="0" w:color="auto"/>
        <w:right w:val="none" w:sz="0" w:space="0" w:color="auto"/>
      </w:divBdr>
    </w:div>
    <w:div w:id="1992051037">
      <w:bodyDiv w:val="1"/>
      <w:marLeft w:val="0"/>
      <w:marRight w:val="0"/>
      <w:marTop w:val="0"/>
      <w:marBottom w:val="0"/>
      <w:divBdr>
        <w:top w:val="none" w:sz="0" w:space="0" w:color="auto"/>
        <w:left w:val="none" w:sz="0" w:space="0" w:color="auto"/>
        <w:bottom w:val="none" w:sz="0" w:space="0" w:color="auto"/>
        <w:right w:val="none" w:sz="0" w:space="0" w:color="auto"/>
      </w:divBdr>
    </w:div>
    <w:div w:id="1994019805">
      <w:bodyDiv w:val="1"/>
      <w:marLeft w:val="0"/>
      <w:marRight w:val="0"/>
      <w:marTop w:val="0"/>
      <w:marBottom w:val="0"/>
      <w:divBdr>
        <w:top w:val="none" w:sz="0" w:space="0" w:color="auto"/>
        <w:left w:val="none" w:sz="0" w:space="0" w:color="auto"/>
        <w:bottom w:val="none" w:sz="0" w:space="0" w:color="auto"/>
        <w:right w:val="none" w:sz="0" w:space="0" w:color="auto"/>
      </w:divBdr>
    </w:div>
    <w:div w:id="1994601929">
      <w:bodyDiv w:val="1"/>
      <w:marLeft w:val="0"/>
      <w:marRight w:val="0"/>
      <w:marTop w:val="0"/>
      <w:marBottom w:val="0"/>
      <w:divBdr>
        <w:top w:val="none" w:sz="0" w:space="0" w:color="auto"/>
        <w:left w:val="none" w:sz="0" w:space="0" w:color="auto"/>
        <w:bottom w:val="none" w:sz="0" w:space="0" w:color="auto"/>
        <w:right w:val="none" w:sz="0" w:space="0" w:color="auto"/>
      </w:divBdr>
    </w:div>
    <w:div w:id="2002267525">
      <w:bodyDiv w:val="1"/>
      <w:marLeft w:val="0"/>
      <w:marRight w:val="0"/>
      <w:marTop w:val="0"/>
      <w:marBottom w:val="0"/>
      <w:divBdr>
        <w:top w:val="none" w:sz="0" w:space="0" w:color="auto"/>
        <w:left w:val="none" w:sz="0" w:space="0" w:color="auto"/>
        <w:bottom w:val="none" w:sz="0" w:space="0" w:color="auto"/>
        <w:right w:val="none" w:sz="0" w:space="0" w:color="auto"/>
      </w:divBdr>
    </w:div>
    <w:div w:id="2005889119">
      <w:bodyDiv w:val="1"/>
      <w:marLeft w:val="0"/>
      <w:marRight w:val="0"/>
      <w:marTop w:val="0"/>
      <w:marBottom w:val="0"/>
      <w:divBdr>
        <w:top w:val="none" w:sz="0" w:space="0" w:color="auto"/>
        <w:left w:val="none" w:sz="0" w:space="0" w:color="auto"/>
        <w:bottom w:val="none" w:sz="0" w:space="0" w:color="auto"/>
        <w:right w:val="none" w:sz="0" w:space="0" w:color="auto"/>
      </w:divBdr>
    </w:div>
    <w:div w:id="2015377805">
      <w:bodyDiv w:val="1"/>
      <w:marLeft w:val="0"/>
      <w:marRight w:val="0"/>
      <w:marTop w:val="0"/>
      <w:marBottom w:val="0"/>
      <w:divBdr>
        <w:top w:val="none" w:sz="0" w:space="0" w:color="auto"/>
        <w:left w:val="none" w:sz="0" w:space="0" w:color="auto"/>
        <w:bottom w:val="none" w:sz="0" w:space="0" w:color="auto"/>
        <w:right w:val="none" w:sz="0" w:space="0" w:color="auto"/>
      </w:divBdr>
    </w:div>
    <w:div w:id="2020234968">
      <w:bodyDiv w:val="1"/>
      <w:marLeft w:val="0"/>
      <w:marRight w:val="0"/>
      <w:marTop w:val="0"/>
      <w:marBottom w:val="0"/>
      <w:divBdr>
        <w:top w:val="none" w:sz="0" w:space="0" w:color="auto"/>
        <w:left w:val="none" w:sz="0" w:space="0" w:color="auto"/>
        <w:bottom w:val="none" w:sz="0" w:space="0" w:color="auto"/>
        <w:right w:val="none" w:sz="0" w:space="0" w:color="auto"/>
      </w:divBdr>
    </w:div>
    <w:div w:id="2021349207">
      <w:bodyDiv w:val="1"/>
      <w:marLeft w:val="0"/>
      <w:marRight w:val="0"/>
      <w:marTop w:val="0"/>
      <w:marBottom w:val="0"/>
      <w:divBdr>
        <w:top w:val="none" w:sz="0" w:space="0" w:color="auto"/>
        <w:left w:val="none" w:sz="0" w:space="0" w:color="auto"/>
        <w:bottom w:val="none" w:sz="0" w:space="0" w:color="auto"/>
        <w:right w:val="none" w:sz="0" w:space="0" w:color="auto"/>
      </w:divBdr>
    </w:div>
    <w:div w:id="2026008803">
      <w:bodyDiv w:val="1"/>
      <w:marLeft w:val="0"/>
      <w:marRight w:val="0"/>
      <w:marTop w:val="0"/>
      <w:marBottom w:val="0"/>
      <w:divBdr>
        <w:top w:val="none" w:sz="0" w:space="0" w:color="auto"/>
        <w:left w:val="none" w:sz="0" w:space="0" w:color="auto"/>
        <w:bottom w:val="none" w:sz="0" w:space="0" w:color="auto"/>
        <w:right w:val="none" w:sz="0" w:space="0" w:color="auto"/>
      </w:divBdr>
    </w:div>
    <w:div w:id="2033876948">
      <w:bodyDiv w:val="1"/>
      <w:marLeft w:val="0"/>
      <w:marRight w:val="0"/>
      <w:marTop w:val="0"/>
      <w:marBottom w:val="0"/>
      <w:divBdr>
        <w:top w:val="none" w:sz="0" w:space="0" w:color="auto"/>
        <w:left w:val="none" w:sz="0" w:space="0" w:color="auto"/>
        <w:bottom w:val="none" w:sz="0" w:space="0" w:color="auto"/>
        <w:right w:val="none" w:sz="0" w:space="0" w:color="auto"/>
      </w:divBdr>
    </w:div>
    <w:div w:id="2034377495">
      <w:bodyDiv w:val="1"/>
      <w:marLeft w:val="0"/>
      <w:marRight w:val="0"/>
      <w:marTop w:val="0"/>
      <w:marBottom w:val="0"/>
      <w:divBdr>
        <w:top w:val="none" w:sz="0" w:space="0" w:color="auto"/>
        <w:left w:val="none" w:sz="0" w:space="0" w:color="auto"/>
        <w:bottom w:val="none" w:sz="0" w:space="0" w:color="auto"/>
        <w:right w:val="none" w:sz="0" w:space="0" w:color="auto"/>
      </w:divBdr>
    </w:div>
    <w:div w:id="2044134175">
      <w:bodyDiv w:val="1"/>
      <w:marLeft w:val="0"/>
      <w:marRight w:val="0"/>
      <w:marTop w:val="0"/>
      <w:marBottom w:val="0"/>
      <w:divBdr>
        <w:top w:val="none" w:sz="0" w:space="0" w:color="auto"/>
        <w:left w:val="none" w:sz="0" w:space="0" w:color="auto"/>
        <w:bottom w:val="none" w:sz="0" w:space="0" w:color="auto"/>
        <w:right w:val="none" w:sz="0" w:space="0" w:color="auto"/>
      </w:divBdr>
    </w:div>
    <w:div w:id="2052145114">
      <w:bodyDiv w:val="1"/>
      <w:marLeft w:val="0"/>
      <w:marRight w:val="0"/>
      <w:marTop w:val="0"/>
      <w:marBottom w:val="0"/>
      <w:divBdr>
        <w:top w:val="none" w:sz="0" w:space="0" w:color="auto"/>
        <w:left w:val="none" w:sz="0" w:space="0" w:color="auto"/>
        <w:bottom w:val="none" w:sz="0" w:space="0" w:color="auto"/>
        <w:right w:val="none" w:sz="0" w:space="0" w:color="auto"/>
      </w:divBdr>
    </w:div>
    <w:div w:id="2052268147">
      <w:bodyDiv w:val="1"/>
      <w:marLeft w:val="0"/>
      <w:marRight w:val="0"/>
      <w:marTop w:val="0"/>
      <w:marBottom w:val="0"/>
      <w:divBdr>
        <w:top w:val="none" w:sz="0" w:space="0" w:color="auto"/>
        <w:left w:val="none" w:sz="0" w:space="0" w:color="auto"/>
        <w:bottom w:val="none" w:sz="0" w:space="0" w:color="auto"/>
        <w:right w:val="none" w:sz="0" w:space="0" w:color="auto"/>
      </w:divBdr>
    </w:div>
    <w:div w:id="2052805064">
      <w:bodyDiv w:val="1"/>
      <w:marLeft w:val="0"/>
      <w:marRight w:val="0"/>
      <w:marTop w:val="0"/>
      <w:marBottom w:val="0"/>
      <w:divBdr>
        <w:top w:val="none" w:sz="0" w:space="0" w:color="auto"/>
        <w:left w:val="none" w:sz="0" w:space="0" w:color="auto"/>
        <w:bottom w:val="none" w:sz="0" w:space="0" w:color="auto"/>
        <w:right w:val="none" w:sz="0" w:space="0" w:color="auto"/>
      </w:divBdr>
    </w:div>
    <w:div w:id="2057703871">
      <w:bodyDiv w:val="1"/>
      <w:marLeft w:val="0"/>
      <w:marRight w:val="0"/>
      <w:marTop w:val="0"/>
      <w:marBottom w:val="0"/>
      <w:divBdr>
        <w:top w:val="none" w:sz="0" w:space="0" w:color="auto"/>
        <w:left w:val="none" w:sz="0" w:space="0" w:color="auto"/>
        <w:bottom w:val="none" w:sz="0" w:space="0" w:color="auto"/>
        <w:right w:val="none" w:sz="0" w:space="0" w:color="auto"/>
      </w:divBdr>
    </w:div>
    <w:div w:id="2065908419">
      <w:bodyDiv w:val="1"/>
      <w:marLeft w:val="0"/>
      <w:marRight w:val="0"/>
      <w:marTop w:val="0"/>
      <w:marBottom w:val="0"/>
      <w:divBdr>
        <w:top w:val="none" w:sz="0" w:space="0" w:color="auto"/>
        <w:left w:val="none" w:sz="0" w:space="0" w:color="auto"/>
        <w:bottom w:val="none" w:sz="0" w:space="0" w:color="auto"/>
        <w:right w:val="none" w:sz="0" w:space="0" w:color="auto"/>
      </w:divBdr>
    </w:div>
    <w:div w:id="2067872277">
      <w:bodyDiv w:val="1"/>
      <w:marLeft w:val="0"/>
      <w:marRight w:val="0"/>
      <w:marTop w:val="0"/>
      <w:marBottom w:val="0"/>
      <w:divBdr>
        <w:top w:val="none" w:sz="0" w:space="0" w:color="auto"/>
        <w:left w:val="none" w:sz="0" w:space="0" w:color="auto"/>
        <w:bottom w:val="none" w:sz="0" w:space="0" w:color="auto"/>
        <w:right w:val="none" w:sz="0" w:space="0" w:color="auto"/>
      </w:divBdr>
    </w:div>
    <w:div w:id="2076273930">
      <w:bodyDiv w:val="1"/>
      <w:marLeft w:val="0"/>
      <w:marRight w:val="0"/>
      <w:marTop w:val="0"/>
      <w:marBottom w:val="0"/>
      <w:divBdr>
        <w:top w:val="none" w:sz="0" w:space="0" w:color="auto"/>
        <w:left w:val="none" w:sz="0" w:space="0" w:color="auto"/>
        <w:bottom w:val="none" w:sz="0" w:space="0" w:color="auto"/>
        <w:right w:val="none" w:sz="0" w:space="0" w:color="auto"/>
      </w:divBdr>
    </w:div>
    <w:div w:id="2084063456">
      <w:bodyDiv w:val="1"/>
      <w:marLeft w:val="0"/>
      <w:marRight w:val="0"/>
      <w:marTop w:val="0"/>
      <w:marBottom w:val="0"/>
      <w:divBdr>
        <w:top w:val="none" w:sz="0" w:space="0" w:color="auto"/>
        <w:left w:val="none" w:sz="0" w:space="0" w:color="auto"/>
        <w:bottom w:val="none" w:sz="0" w:space="0" w:color="auto"/>
        <w:right w:val="none" w:sz="0" w:space="0" w:color="auto"/>
      </w:divBdr>
    </w:div>
    <w:div w:id="2095858671">
      <w:bodyDiv w:val="1"/>
      <w:marLeft w:val="0"/>
      <w:marRight w:val="0"/>
      <w:marTop w:val="0"/>
      <w:marBottom w:val="0"/>
      <w:divBdr>
        <w:top w:val="none" w:sz="0" w:space="0" w:color="auto"/>
        <w:left w:val="none" w:sz="0" w:space="0" w:color="auto"/>
        <w:bottom w:val="none" w:sz="0" w:space="0" w:color="auto"/>
        <w:right w:val="none" w:sz="0" w:space="0" w:color="auto"/>
      </w:divBdr>
    </w:div>
    <w:div w:id="2099473061">
      <w:bodyDiv w:val="1"/>
      <w:marLeft w:val="0"/>
      <w:marRight w:val="0"/>
      <w:marTop w:val="0"/>
      <w:marBottom w:val="0"/>
      <w:divBdr>
        <w:top w:val="none" w:sz="0" w:space="0" w:color="auto"/>
        <w:left w:val="none" w:sz="0" w:space="0" w:color="auto"/>
        <w:bottom w:val="none" w:sz="0" w:space="0" w:color="auto"/>
        <w:right w:val="none" w:sz="0" w:space="0" w:color="auto"/>
      </w:divBdr>
    </w:div>
    <w:div w:id="2107993517">
      <w:bodyDiv w:val="1"/>
      <w:marLeft w:val="0"/>
      <w:marRight w:val="0"/>
      <w:marTop w:val="0"/>
      <w:marBottom w:val="0"/>
      <w:divBdr>
        <w:top w:val="none" w:sz="0" w:space="0" w:color="auto"/>
        <w:left w:val="none" w:sz="0" w:space="0" w:color="auto"/>
        <w:bottom w:val="none" w:sz="0" w:space="0" w:color="auto"/>
        <w:right w:val="none" w:sz="0" w:space="0" w:color="auto"/>
      </w:divBdr>
    </w:div>
    <w:div w:id="2108259728">
      <w:bodyDiv w:val="1"/>
      <w:marLeft w:val="0"/>
      <w:marRight w:val="0"/>
      <w:marTop w:val="0"/>
      <w:marBottom w:val="0"/>
      <w:divBdr>
        <w:top w:val="none" w:sz="0" w:space="0" w:color="auto"/>
        <w:left w:val="none" w:sz="0" w:space="0" w:color="auto"/>
        <w:bottom w:val="none" w:sz="0" w:space="0" w:color="auto"/>
        <w:right w:val="none" w:sz="0" w:space="0" w:color="auto"/>
      </w:divBdr>
    </w:div>
    <w:div w:id="2111655769">
      <w:bodyDiv w:val="1"/>
      <w:marLeft w:val="0"/>
      <w:marRight w:val="0"/>
      <w:marTop w:val="0"/>
      <w:marBottom w:val="0"/>
      <w:divBdr>
        <w:top w:val="none" w:sz="0" w:space="0" w:color="auto"/>
        <w:left w:val="none" w:sz="0" w:space="0" w:color="auto"/>
        <w:bottom w:val="none" w:sz="0" w:space="0" w:color="auto"/>
        <w:right w:val="none" w:sz="0" w:space="0" w:color="auto"/>
      </w:divBdr>
    </w:div>
    <w:div w:id="2125416367">
      <w:bodyDiv w:val="1"/>
      <w:marLeft w:val="0"/>
      <w:marRight w:val="0"/>
      <w:marTop w:val="0"/>
      <w:marBottom w:val="0"/>
      <w:divBdr>
        <w:top w:val="none" w:sz="0" w:space="0" w:color="auto"/>
        <w:left w:val="none" w:sz="0" w:space="0" w:color="auto"/>
        <w:bottom w:val="none" w:sz="0" w:space="0" w:color="auto"/>
        <w:right w:val="none" w:sz="0" w:space="0" w:color="auto"/>
      </w:divBdr>
    </w:div>
    <w:div w:id="2131971909">
      <w:bodyDiv w:val="1"/>
      <w:marLeft w:val="0"/>
      <w:marRight w:val="0"/>
      <w:marTop w:val="0"/>
      <w:marBottom w:val="0"/>
      <w:divBdr>
        <w:top w:val="none" w:sz="0" w:space="0" w:color="auto"/>
        <w:left w:val="none" w:sz="0" w:space="0" w:color="auto"/>
        <w:bottom w:val="none" w:sz="0" w:space="0" w:color="auto"/>
        <w:right w:val="none" w:sz="0" w:space="0" w:color="auto"/>
      </w:divBdr>
    </w:div>
    <w:div w:id="2133666245">
      <w:bodyDiv w:val="1"/>
      <w:marLeft w:val="0"/>
      <w:marRight w:val="0"/>
      <w:marTop w:val="0"/>
      <w:marBottom w:val="0"/>
      <w:divBdr>
        <w:top w:val="none" w:sz="0" w:space="0" w:color="auto"/>
        <w:left w:val="none" w:sz="0" w:space="0" w:color="auto"/>
        <w:bottom w:val="none" w:sz="0" w:space="0" w:color="auto"/>
        <w:right w:val="none" w:sz="0" w:space="0" w:color="auto"/>
      </w:divBdr>
    </w:div>
    <w:div w:id="2137482155">
      <w:bodyDiv w:val="1"/>
      <w:marLeft w:val="0"/>
      <w:marRight w:val="0"/>
      <w:marTop w:val="0"/>
      <w:marBottom w:val="0"/>
      <w:divBdr>
        <w:top w:val="none" w:sz="0" w:space="0" w:color="auto"/>
        <w:left w:val="none" w:sz="0" w:space="0" w:color="auto"/>
        <w:bottom w:val="none" w:sz="0" w:space="0" w:color="auto"/>
        <w:right w:val="none" w:sz="0" w:space="0" w:color="auto"/>
      </w:divBdr>
    </w:div>
    <w:div w:id="2138178363">
      <w:bodyDiv w:val="1"/>
      <w:marLeft w:val="0"/>
      <w:marRight w:val="0"/>
      <w:marTop w:val="0"/>
      <w:marBottom w:val="0"/>
      <w:divBdr>
        <w:top w:val="none" w:sz="0" w:space="0" w:color="auto"/>
        <w:left w:val="none" w:sz="0" w:space="0" w:color="auto"/>
        <w:bottom w:val="none" w:sz="0" w:space="0" w:color="auto"/>
        <w:right w:val="none" w:sz="0" w:space="0" w:color="auto"/>
      </w:divBdr>
    </w:div>
    <w:div w:id="2141876317">
      <w:bodyDiv w:val="1"/>
      <w:marLeft w:val="0"/>
      <w:marRight w:val="0"/>
      <w:marTop w:val="0"/>
      <w:marBottom w:val="0"/>
      <w:divBdr>
        <w:top w:val="none" w:sz="0" w:space="0" w:color="auto"/>
        <w:left w:val="none" w:sz="0" w:space="0" w:color="auto"/>
        <w:bottom w:val="none" w:sz="0" w:space="0" w:color="auto"/>
        <w:right w:val="none" w:sz="0" w:space="0" w:color="auto"/>
      </w:divBdr>
    </w:div>
    <w:div w:id="2145736621">
      <w:bodyDiv w:val="1"/>
      <w:marLeft w:val="0"/>
      <w:marRight w:val="0"/>
      <w:marTop w:val="0"/>
      <w:marBottom w:val="0"/>
      <w:divBdr>
        <w:top w:val="none" w:sz="0" w:space="0" w:color="auto"/>
        <w:left w:val="none" w:sz="0" w:space="0" w:color="auto"/>
        <w:bottom w:val="none" w:sz="0" w:space="0" w:color="auto"/>
        <w:right w:val="none" w:sz="0" w:space="0" w:color="auto"/>
      </w:divBdr>
      <w:divsChild>
        <w:div w:id="389497633">
          <w:marLeft w:val="0"/>
          <w:marRight w:val="0"/>
          <w:marTop w:val="0"/>
          <w:marBottom w:val="0"/>
          <w:divBdr>
            <w:top w:val="none" w:sz="0" w:space="0" w:color="auto"/>
            <w:left w:val="none" w:sz="0" w:space="0" w:color="auto"/>
            <w:bottom w:val="none" w:sz="0" w:space="0" w:color="auto"/>
            <w:right w:val="none" w:sz="0" w:space="0" w:color="auto"/>
          </w:divBdr>
        </w:div>
        <w:div w:id="2001809184">
          <w:marLeft w:val="0"/>
          <w:marRight w:val="0"/>
          <w:marTop w:val="0"/>
          <w:marBottom w:val="0"/>
          <w:divBdr>
            <w:top w:val="none" w:sz="0" w:space="0" w:color="auto"/>
            <w:left w:val="none" w:sz="0" w:space="0" w:color="auto"/>
            <w:bottom w:val="none" w:sz="0" w:space="0" w:color="auto"/>
            <w:right w:val="none" w:sz="0" w:space="0" w:color="auto"/>
          </w:divBdr>
        </w:div>
      </w:divsChild>
    </w:div>
    <w:div w:id="2146921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Philip\Dropbox\Ausaid\Samoa%20design\Workforce%20data\Nurses%20per%2010,000%20pop'n.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Philip\Dropbox\Ausaid\Samoa%20design\Workforce%20data\Nurses%20per%2010,000%20pop'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Philip\Dropbox\Ausaid\Samoa%20design\Financial%20data\Health%20spend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Users\Philip\Dropbox\Ausaid\Samoa%20design\Financial%20data\Health%20spend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Data!$F$3</c:f>
              <c:strCache>
                <c:ptCount val="1"/>
                <c:pt idx="0">
                  <c:v>Physicians (per 1,000 people)</c:v>
                </c:pt>
              </c:strCache>
            </c:strRef>
          </c:tx>
          <c:spPr>
            <a:solidFill>
              <a:srgbClr val="C00000"/>
            </a:solidFill>
          </c:spPr>
          <c:invertIfNegative val="0"/>
          <c:cat>
            <c:strRef>
              <c:f>Data!$A$5:$A$11</c:f>
              <c:strCache>
                <c:ptCount val="7"/>
                <c:pt idx="0">
                  <c:v>Fiji</c:v>
                </c:pt>
                <c:pt idx="1">
                  <c:v>Kiribati</c:v>
                </c:pt>
                <c:pt idx="2">
                  <c:v>Lower middle income*</c:v>
                </c:pt>
                <c:pt idx="3">
                  <c:v>Samoa</c:v>
                </c:pt>
                <c:pt idx="4">
                  <c:v>Solomon Islands</c:v>
                </c:pt>
                <c:pt idx="5">
                  <c:v>Tonga</c:v>
                </c:pt>
                <c:pt idx="6">
                  <c:v>Vanuatu</c:v>
                </c:pt>
              </c:strCache>
            </c:strRef>
          </c:cat>
          <c:val>
            <c:numRef>
              <c:f>Data!$F$5:$F$11</c:f>
              <c:numCache>
                <c:formatCode>General</c:formatCode>
                <c:ptCount val="7"/>
                <c:pt idx="0">
                  <c:v>0.42599999999999999</c:v>
                </c:pt>
                <c:pt idx="1">
                  <c:v>0.376</c:v>
                </c:pt>
                <c:pt idx="2">
                  <c:v>0.75527633518187498</c:v>
                </c:pt>
                <c:pt idx="3">
                  <c:v>0.47899999999999998</c:v>
                </c:pt>
                <c:pt idx="4">
                  <c:v>0.224</c:v>
                </c:pt>
                <c:pt idx="5">
                  <c:v>0.56299999999999994</c:v>
                </c:pt>
                <c:pt idx="6">
                  <c:v>0.11600000000000001</c:v>
                </c:pt>
              </c:numCache>
            </c:numRef>
          </c:val>
          <c:extLst>
            <c:ext xmlns:c16="http://schemas.microsoft.com/office/drawing/2014/chart" uri="{C3380CC4-5D6E-409C-BE32-E72D297353CC}">
              <c16:uniqueId val="{00000000-0C3B-4DE6-823E-E561022CD709}"/>
            </c:ext>
          </c:extLst>
        </c:ser>
        <c:dLbls>
          <c:showLegendKey val="0"/>
          <c:showVal val="0"/>
          <c:showCatName val="0"/>
          <c:showSerName val="0"/>
          <c:showPercent val="0"/>
          <c:showBubbleSize val="0"/>
        </c:dLbls>
        <c:gapWidth val="100"/>
        <c:axId val="104821504"/>
        <c:axId val="104823040"/>
      </c:barChart>
      <c:catAx>
        <c:axId val="10482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04823040"/>
        <c:crosses val="autoZero"/>
        <c:auto val="1"/>
        <c:lblAlgn val="ctr"/>
        <c:lblOffset val="100"/>
        <c:noMultiLvlLbl val="0"/>
      </c:catAx>
      <c:valAx>
        <c:axId val="10482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ln w="6350">
            <a:noFill/>
          </a:ln>
        </c:spPr>
        <c:txPr>
          <a:bodyPr rot="-60000000" vert="horz"/>
          <a:lstStyle/>
          <a:p>
            <a:pPr>
              <a:defRPr/>
            </a:pPr>
            <a:endParaRPr lang="en-US"/>
          </a:p>
        </c:txPr>
        <c:crossAx val="10482150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Data!$B$4</c:f>
              <c:strCache>
                <c:ptCount val="1"/>
                <c:pt idx="0">
                  <c:v>2010</c:v>
                </c:pt>
              </c:strCache>
            </c:strRef>
          </c:tx>
          <c:spPr>
            <a:solidFill>
              <a:srgbClr val="C00000"/>
            </a:solidFill>
            <a:ln>
              <a:noFill/>
            </a:ln>
            <a:effectLst/>
          </c:spPr>
          <c:invertIfNegative val="0"/>
          <c:cat>
            <c:strRef>
              <c:f>Data!$A$5:$A$11</c:f>
              <c:strCache>
                <c:ptCount val="7"/>
                <c:pt idx="0">
                  <c:v>Fiji</c:v>
                </c:pt>
                <c:pt idx="1">
                  <c:v>Kiribati</c:v>
                </c:pt>
                <c:pt idx="2">
                  <c:v>Lower middle income*</c:v>
                </c:pt>
                <c:pt idx="3">
                  <c:v>Samoa</c:v>
                </c:pt>
                <c:pt idx="4">
                  <c:v>Solomon Islands</c:v>
                </c:pt>
                <c:pt idx="5">
                  <c:v>Tonga</c:v>
                </c:pt>
                <c:pt idx="6">
                  <c:v>Vanuatu</c:v>
                </c:pt>
              </c:strCache>
            </c:strRef>
          </c:cat>
          <c:val>
            <c:numRef>
              <c:f>Data!$B$5:$B$11</c:f>
              <c:numCache>
                <c:formatCode>General</c:formatCode>
                <c:ptCount val="7"/>
                <c:pt idx="0">
                  <c:v>2.242</c:v>
                </c:pt>
                <c:pt idx="1">
                  <c:v>3.706</c:v>
                </c:pt>
                <c:pt idx="2">
                  <c:v>1.684744134562403</c:v>
                </c:pt>
                <c:pt idx="3">
                  <c:v>1.851</c:v>
                </c:pt>
                <c:pt idx="4">
                  <c:v>2.052999999999999</c:v>
                </c:pt>
                <c:pt idx="5">
                  <c:v>3.883</c:v>
                </c:pt>
                <c:pt idx="6">
                  <c:v>1.696</c:v>
                </c:pt>
              </c:numCache>
            </c:numRef>
          </c:val>
          <c:extLst>
            <c:ext xmlns:c16="http://schemas.microsoft.com/office/drawing/2014/chart" uri="{C3380CC4-5D6E-409C-BE32-E72D297353CC}">
              <c16:uniqueId val="{00000000-D11C-487E-8E9B-B693F81F3681}"/>
            </c:ext>
          </c:extLst>
        </c:ser>
        <c:dLbls>
          <c:showLegendKey val="0"/>
          <c:showVal val="0"/>
          <c:showCatName val="0"/>
          <c:showSerName val="0"/>
          <c:showPercent val="0"/>
          <c:showBubbleSize val="0"/>
        </c:dLbls>
        <c:gapWidth val="100"/>
        <c:axId val="186411264"/>
        <c:axId val="186430592"/>
      </c:barChart>
      <c:catAx>
        <c:axId val="1864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86430592"/>
        <c:crosses val="autoZero"/>
        <c:auto val="1"/>
        <c:lblAlgn val="ctr"/>
        <c:lblOffset val="100"/>
        <c:noMultiLvlLbl val="0"/>
      </c:catAx>
      <c:valAx>
        <c:axId val="18643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vert="horz"/>
          <a:lstStyle/>
          <a:p>
            <a:pPr>
              <a:defRPr/>
            </a:pPr>
            <a:endParaRPr lang="en-US"/>
          </a:p>
        </c:txPr>
        <c:crossAx val="18641126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1"/>
          <c:order val="0"/>
          <c:tx>
            <c:strRef>
              <c:f>Sheet1!$C$1</c:f>
              <c:strCache>
                <c:ptCount val="1"/>
                <c:pt idx="0">
                  <c:v>Health expenditure, public (% of GDP)</c:v>
                </c:pt>
              </c:strCache>
            </c:strRef>
          </c:tx>
          <c:spPr>
            <a:solidFill>
              <a:srgbClr val="C00000"/>
            </a:solidFill>
            <a:ln>
              <a:noFill/>
            </a:ln>
            <a:effectLst/>
          </c:spPr>
          <c:invertIfNegative val="0"/>
          <c:cat>
            <c:strRef>
              <c:f>Sheet1!$A$2:$A$6</c:f>
              <c:strCache>
                <c:ptCount val="5"/>
                <c:pt idx="0">
                  <c:v>Fiji</c:v>
                </c:pt>
                <c:pt idx="1">
                  <c:v>Samoa</c:v>
                </c:pt>
                <c:pt idx="2">
                  <c:v>Solomon Islands</c:v>
                </c:pt>
                <c:pt idx="3">
                  <c:v>Tonga</c:v>
                </c:pt>
                <c:pt idx="4">
                  <c:v>Vanuatu</c:v>
                </c:pt>
              </c:strCache>
            </c:strRef>
          </c:cat>
          <c:val>
            <c:numRef>
              <c:f>Sheet1!$C$2:$C$6</c:f>
              <c:numCache>
                <c:formatCode>General</c:formatCode>
                <c:ptCount val="5"/>
                <c:pt idx="0">
                  <c:v>2.9532081098044099E-2</c:v>
                </c:pt>
                <c:pt idx="1">
                  <c:v>6.5368689855693704E-2</c:v>
                </c:pt>
                <c:pt idx="2">
                  <c:v>4.6404823194130203E-2</c:v>
                </c:pt>
                <c:pt idx="3">
                  <c:v>4.2656989466631601E-2</c:v>
                </c:pt>
                <c:pt idx="4">
                  <c:v>4.51074954565946E-2</c:v>
                </c:pt>
              </c:numCache>
            </c:numRef>
          </c:val>
          <c:extLst>
            <c:ext xmlns:c16="http://schemas.microsoft.com/office/drawing/2014/chart" uri="{C3380CC4-5D6E-409C-BE32-E72D297353CC}">
              <c16:uniqueId val="{00000000-C163-4217-A304-9518148114BB}"/>
            </c:ext>
          </c:extLst>
        </c:ser>
        <c:ser>
          <c:idx val="2"/>
          <c:order val="1"/>
          <c:tx>
            <c:strRef>
              <c:f>Sheet1!$D$1</c:f>
              <c:strCache>
                <c:ptCount val="1"/>
                <c:pt idx="0">
                  <c:v>Health expenditure, private (% of GDP)</c:v>
                </c:pt>
              </c:strCache>
            </c:strRef>
          </c:tx>
          <c:spPr>
            <a:solidFill>
              <a:srgbClr val="5F5F5F"/>
            </a:solidFill>
            <a:ln>
              <a:noFill/>
            </a:ln>
            <a:effectLst/>
          </c:spPr>
          <c:invertIfNegative val="0"/>
          <c:cat>
            <c:strRef>
              <c:f>Sheet1!$A$2:$A$6</c:f>
              <c:strCache>
                <c:ptCount val="5"/>
                <c:pt idx="0">
                  <c:v>Fiji</c:v>
                </c:pt>
                <c:pt idx="1">
                  <c:v>Samoa</c:v>
                </c:pt>
                <c:pt idx="2">
                  <c:v>Solomon Islands</c:v>
                </c:pt>
                <c:pt idx="3">
                  <c:v>Tonga</c:v>
                </c:pt>
                <c:pt idx="4">
                  <c:v>Vanuatu</c:v>
                </c:pt>
              </c:strCache>
            </c:strRef>
          </c:cat>
          <c:val>
            <c:numRef>
              <c:f>Sheet1!$D$2:$D$6</c:f>
              <c:numCache>
                <c:formatCode>General</c:formatCode>
                <c:ptCount val="5"/>
                <c:pt idx="0">
                  <c:v>1.5342906301955899E-2</c:v>
                </c:pt>
                <c:pt idx="1">
                  <c:v>6.7824007443063198E-3</c:v>
                </c:pt>
                <c:pt idx="2">
                  <c:v>4.1058022058697999E-3</c:v>
                </c:pt>
                <c:pt idx="3">
                  <c:v>9.1107169333683492E-3</c:v>
                </c:pt>
                <c:pt idx="4">
                  <c:v>5.1282538434054203E-3</c:v>
                </c:pt>
              </c:numCache>
            </c:numRef>
          </c:val>
          <c:extLst>
            <c:ext xmlns:c16="http://schemas.microsoft.com/office/drawing/2014/chart" uri="{C3380CC4-5D6E-409C-BE32-E72D297353CC}">
              <c16:uniqueId val="{00000001-C163-4217-A304-9518148114BB}"/>
            </c:ext>
          </c:extLst>
        </c:ser>
        <c:dLbls>
          <c:showLegendKey val="0"/>
          <c:showVal val="0"/>
          <c:showCatName val="0"/>
          <c:showSerName val="0"/>
          <c:showPercent val="0"/>
          <c:showBubbleSize val="0"/>
        </c:dLbls>
        <c:gapWidth val="100"/>
        <c:overlap val="100"/>
        <c:axId val="25977600"/>
        <c:axId val="25979136"/>
      </c:barChart>
      <c:catAx>
        <c:axId val="2597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5979136"/>
        <c:crosses val="autoZero"/>
        <c:auto val="1"/>
        <c:lblAlgn val="ctr"/>
        <c:lblOffset val="100"/>
        <c:noMultiLvlLbl val="0"/>
      </c:catAx>
      <c:valAx>
        <c:axId val="25979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en-US"/>
          </a:p>
        </c:txPr>
        <c:crossAx val="25977600"/>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1"/>
          <c:tx>
            <c:strRef>
              <c:f>Sheet1!$F$1</c:f>
              <c:strCache>
                <c:ptCount val="1"/>
                <c:pt idx="0">
                  <c:v>Health expenditure, public (% of government expenditure)</c:v>
                </c:pt>
              </c:strCache>
            </c:strRef>
          </c:tx>
          <c:spPr>
            <a:solidFill>
              <a:srgbClr val="5F5F5F"/>
            </a:solidFill>
            <a:ln>
              <a:noFill/>
            </a:ln>
            <a:effectLst/>
          </c:spPr>
          <c:invertIfNegative val="0"/>
          <c:cat>
            <c:strRef>
              <c:f>Sheet1!$A$2:$A$6</c:f>
              <c:strCache>
                <c:ptCount val="5"/>
                <c:pt idx="0">
                  <c:v>Fiji</c:v>
                </c:pt>
                <c:pt idx="1">
                  <c:v>Samoa</c:v>
                </c:pt>
                <c:pt idx="2">
                  <c:v>Solomon Islands</c:v>
                </c:pt>
                <c:pt idx="3">
                  <c:v>Tonga</c:v>
                </c:pt>
                <c:pt idx="4">
                  <c:v>Vanuatu</c:v>
                </c:pt>
              </c:strCache>
            </c:strRef>
          </c:cat>
          <c:val>
            <c:numRef>
              <c:f>Sheet1!$F$2:$F$6</c:f>
              <c:numCache>
                <c:formatCode>General</c:formatCode>
                <c:ptCount val="5"/>
                <c:pt idx="0">
                  <c:v>9.2474684599999996E-2</c:v>
                </c:pt>
                <c:pt idx="1">
                  <c:v>0.1508415243</c:v>
                </c:pt>
                <c:pt idx="2">
                  <c:v>0.1253526026</c:v>
                </c:pt>
                <c:pt idx="3">
                  <c:v>0.1349921103</c:v>
                </c:pt>
                <c:pt idx="4">
                  <c:v>0.17935966380000001</c:v>
                </c:pt>
              </c:numCache>
            </c:numRef>
          </c:val>
          <c:extLst>
            <c:ext xmlns:c16="http://schemas.microsoft.com/office/drawing/2014/chart" uri="{C3380CC4-5D6E-409C-BE32-E72D297353CC}">
              <c16:uniqueId val="{00000000-2BA5-4964-A46E-AE197E736E05}"/>
            </c:ext>
          </c:extLst>
        </c:ser>
        <c:dLbls>
          <c:showLegendKey val="0"/>
          <c:showVal val="0"/>
          <c:showCatName val="0"/>
          <c:showSerName val="0"/>
          <c:showPercent val="0"/>
          <c:showBubbleSize val="0"/>
        </c:dLbls>
        <c:gapWidth val="100"/>
        <c:axId val="26011136"/>
        <c:axId val="26012672"/>
      </c:barChart>
      <c:lineChart>
        <c:grouping val="standard"/>
        <c:varyColors val="0"/>
        <c:ser>
          <c:idx val="0"/>
          <c:order val="0"/>
          <c:tx>
            <c:strRef>
              <c:f>Sheet1!$B$1</c:f>
              <c:strCache>
                <c:ptCount val="1"/>
                <c:pt idx="0">
                  <c:v>Health expenditure per capita, PPP</c:v>
                </c:pt>
              </c:strCache>
            </c:strRef>
          </c:tx>
          <c:spPr>
            <a:ln w="38100" cap="rnd">
              <a:solidFill>
                <a:srgbClr val="FF0000"/>
              </a:solidFill>
              <a:round/>
            </a:ln>
            <a:effectLst/>
          </c:spPr>
          <c:marker>
            <c:symbol val="square"/>
            <c:size val="8"/>
            <c:spPr>
              <a:solidFill>
                <a:srgbClr val="FF0000"/>
              </a:solidFill>
              <a:ln w="9525">
                <a:noFill/>
              </a:ln>
              <a:effectLst/>
            </c:spPr>
          </c:marker>
          <c:dPt>
            <c:idx val="2"/>
            <c:marker>
              <c:spPr>
                <a:solidFill>
                  <a:srgbClr val="C00000"/>
                </a:solidFill>
                <a:ln w="9525">
                  <a:noFill/>
                </a:ln>
                <a:effectLst/>
              </c:spPr>
            </c:marker>
            <c:bubble3D val="0"/>
            <c:spPr>
              <a:ln w="38100" cap="rnd">
                <a:solidFill>
                  <a:srgbClr val="C00000"/>
                </a:solidFill>
                <a:round/>
              </a:ln>
              <a:effectLst/>
            </c:spPr>
            <c:extLst>
              <c:ext xmlns:c16="http://schemas.microsoft.com/office/drawing/2014/chart" uri="{C3380CC4-5D6E-409C-BE32-E72D297353CC}">
                <c16:uniqueId val="{00000001-7E16-451D-AB61-A79FBC80FAB1}"/>
              </c:ext>
            </c:extLst>
          </c:dPt>
          <c:cat>
            <c:strRef>
              <c:f>Sheet1!$A$2:$A$6</c:f>
              <c:strCache>
                <c:ptCount val="5"/>
                <c:pt idx="0">
                  <c:v>Fiji</c:v>
                </c:pt>
                <c:pt idx="1">
                  <c:v>Samoa</c:v>
                </c:pt>
                <c:pt idx="2">
                  <c:v>Solomon Islands</c:v>
                </c:pt>
                <c:pt idx="3">
                  <c:v>Tonga</c:v>
                </c:pt>
                <c:pt idx="4">
                  <c:v>Vanuatu</c:v>
                </c:pt>
              </c:strCache>
            </c:strRef>
          </c:cat>
          <c:val>
            <c:numRef>
              <c:f>Sheet1!$B$2:$B$6</c:f>
              <c:numCache>
                <c:formatCode>General</c:formatCode>
                <c:ptCount val="5"/>
                <c:pt idx="0">
                  <c:v>364.05091815999992</c:v>
                </c:pt>
                <c:pt idx="1">
                  <c:v>417.81388559999999</c:v>
                </c:pt>
                <c:pt idx="2">
                  <c:v>107.60977318</c:v>
                </c:pt>
                <c:pt idx="3">
                  <c:v>269.76719935999961</c:v>
                </c:pt>
                <c:pt idx="4">
                  <c:v>150.36164396999999</c:v>
                </c:pt>
              </c:numCache>
            </c:numRef>
          </c:val>
          <c:smooth val="0"/>
          <c:extLst>
            <c:ext xmlns:c16="http://schemas.microsoft.com/office/drawing/2014/chart" uri="{C3380CC4-5D6E-409C-BE32-E72D297353CC}">
              <c16:uniqueId val="{00000001-2BA5-4964-A46E-AE197E736E05}"/>
            </c:ext>
          </c:extLst>
        </c:ser>
        <c:dLbls>
          <c:showLegendKey val="0"/>
          <c:showVal val="0"/>
          <c:showCatName val="0"/>
          <c:showSerName val="0"/>
          <c:showPercent val="0"/>
          <c:showBubbleSize val="0"/>
        </c:dLbls>
        <c:marker val="1"/>
        <c:smooth val="0"/>
        <c:axId val="27924736"/>
        <c:axId val="27923200"/>
      </c:lineChart>
      <c:catAx>
        <c:axId val="2601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6012672"/>
        <c:crosses val="autoZero"/>
        <c:auto val="1"/>
        <c:lblAlgn val="ctr"/>
        <c:lblOffset val="100"/>
        <c:noMultiLvlLbl val="0"/>
      </c:catAx>
      <c:valAx>
        <c:axId val="26012672"/>
        <c:scaling>
          <c:orientation val="minMax"/>
          <c:max val="0.18"/>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en-US"/>
          </a:p>
        </c:txPr>
        <c:crossAx val="26011136"/>
        <c:crosses val="autoZero"/>
        <c:crossBetween val="between"/>
      </c:valAx>
      <c:valAx>
        <c:axId val="27923200"/>
        <c:scaling>
          <c:orientation val="minMax"/>
        </c:scaling>
        <c:delete val="0"/>
        <c:axPos val="r"/>
        <c:numFmt formatCode="&quot;$&quot;#,##0" sourceLinked="0"/>
        <c:majorTickMark val="out"/>
        <c:minorTickMark val="none"/>
        <c:tickLblPos val="nextTo"/>
        <c:spPr>
          <a:noFill/>
          <a:ln>
            <a:noFill/>
          </a:ln>
          <a:effectLst/>
        </c:spPr>
        <c:txPr>
          <a:bodyPr rot="-60000000" vert="horz"/>
          <a:lstStyle/>
          <a:p>
            <a:pPr>
              <a:defRPr/>
            </a:pPr>
            <a:endParaRPr lang="en-US"/>
          </a:p>
        </c:txPr>
        <c:crossAx val="27924736"/>
        <c:crosses val="max"/>
        <c:crossBetween val="between"/>
      </c:valAx>
      <c:catAx>
        <c:axId val="27924736"/>
        <c:scaling>
          <c:orientation val="minMax"/>
        </c:scaling>
        <c:delete val="1"/>
        <c:axPos val="b"/>
        <c:numFmt formatCode="General" sourceLinked="1"/>
        <c:majorTickMark val="out"/>
        <c:minorTickMark val="none"/>
        <c:tickLblPos val="nextTo"/>
        <c:crossAx val="27923200"/>
        <c:crosses val="autoZero"/>
        <c:auto val="1"/>
        <c:lblAlgn val="ctr"/>
        <c:lblOffset val="100"/>
        <c:noMultiLvlLbl val="0"/>
      </c:cat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Ele15</b:Tag>
    <b:SourceType>Report</b:SourceType>
    <b:Guid>{62B2CD34-0BAA-3D4F-873E-F596661AC31B}</b:Guid>
    <b:Author>
      <b:Author>
        <b:Corporate>Eleventh Pacific Health Ministers Meeting</b:Corporate>
      </b:Author>
    </b:Author>
    <b:Title>2015 Yanuca Island Declaration on health in Pacific island countries and territories</b:Title>
    <b:Publisher>WHO, Fiji MHMS &amp; SPC</b:Publisher>
    <b:Year>2015</b:Year>
    <b:RefOrder>35</b:RefOrder>
  </b:Source>
  <b:Source>
    <b:Tag>Min08</b:Tag>
    <b:SourceType>Report</b:SourceType>
    <b:Guid>{AEAA1337-C15F-D440-AF55-D9AD280B0A50}</b:Guid>
    <b:Author>
      <b:Author>
        <b:Corporate>Ministry of Health</b:Corporate>
      </b:Author>
    </b:Author>
    <b:Title>Health sector plan 2008 -2018</b:Title>
    <b:Institution>Ministry of Health, Samoa</b:Institution>
    <b:City>Apia</b:City>
    <b:Year>2008</b:Year>
    <b:RefOrder>8</b:RefOrder>
  </b:Source>
  <b:Source>
    <b:Tag>Ins16</b:Tag>
    <b:SourceType>DocumentFromInternetSite</b:SourceType>
    <b:Guid>{86CFE312-8440-0044-8A8B-A0871A6D6E46}</b:Guid>
    <b:Title>Samoa country profile</b:Title>
    <b:Author>
      <b:Author>
        <b:Corporate>Institute for Health Metrics and Evaluation</b:Corporate>
      </b:Author>
    </b:Author>
    <b:URL>http://www.healthdata.org/samoa</b:URL>
    <b:YearAccessed>2016</b:YearAccessed>
    <b:MonthAccessed>May</b:MonthAccessed>
    <b:DayAccessed>31</b:DayAccessed>
    <b:InternetSiteTitle>Samoa country profile</b:InternetSiteTitle>
    <b:RefOrder>2</b:RefOrder>
  </b:Source>
  <b:Source>
    <b:Tag>Sam15</b:Tag>
    <b:SourceType>Report</b:SourceType>
    <b:Guid>{DF865FFA-DB02-7340-82DD-75241E36A143}</b:Guid>
    <b:Title>Samoa demographic and health survey 2014</b:Title>
    <b:Year>2015</b:Year>
    <b:Author>
      <b:Author>
        <b:Corporate>Samoa Bureau of Statistics</b:Corporate>
      </b:Author>
    </b:Author>
    <b:Institution>Samoa Bureau of Statistics &amp; Samoa Ministry of Health</b:Institution>
    <b:City>Apia</b:City>
    <b:RefOrder>4</b:RefOrder>
  </b:Source>
  <b:Source>
    <b:Tag>Wor07</b:Tag>
    <b:SourceType>Report</b:SourceType>
    <b:Guid>{8074D761-E927-2443-B99A-81CA50F723D0}</b:Guid>
    <b:Author>
      <b:Author>
        <b:Corporate>World Health Organization</b:Corporate>
      </b:Author>
    </b:Author>
    <b:Title>Everybody business : strengthening health systems to improve health outcomes : WHO’s framework for action</b:Title>
    <b:Institution>World Health Organization</b:Institution>
    <b:City>Geneva</b:City>
    <b:Year>2007</b:Year>
    <b:RefOrder>7</b:RefOrder>
  </b:Source>
  <b:Source>
    <b:Tag>Min</b:Tag>
    <b:SourceType>Report</b:SourceType>
    <b:Guid>{4DF24C9A-280D-F746-8136-6BEFC53232A0}</b:Guid>
    <b:Author>
      <b:Author>
        <b:Corporate>Ministry of Health</b:Corporate>
      </b:Author>
    </b:Author>
    <b:Title>Samoa eHealth Policy &amp; Strategy 2016 – 2021</b:Title>
    <b:Institution>Ministry of Health, Samoa</b:Institution>
    <b:City>Apia</b:City>
    <b:Year>2016</b:Year>
    <b:RefOrder>28</b:RefOrder>
  </b:Source>
  <b:Source>
    <b:Tag>Wor16</b:Tag>
    <b:SourceType>Report</b:SourceType>
    <b:Guid>{7E2FECC7-1E8E-444A-B5FF-CCDEEF325336}</b:Guid>
    <b:Author>
      <b:Author>
        <b:Corporate>World Bank</b:Corporate>
      </b:Author>
    </b:Author>
    <b:Title>Implementation completion and results report (Draft)</b:Title>
    <b:Year>2016</b:Year>
    <b:Institution>World Bank</b:Institution>
    <b:Department>Human Development Sector Unit Health, Nutrition, and Population East Asia &amp; Pacific Region</b:Department>
    <b:RefOrder>13</b:RefOrder>
  </b:Source>
  <b:Source>
    <b:Tag>Wor</b:Tag>
    <b:SourceType>Report</b:SourceType>
    <b:Guid>{9ECA4452-AA26-A843-B664-A5CB91ECCD43}</b:Guid>
    <b:Author>
      <b:Author>
        <b:Corporate>World Health Organization, Samoa Country Office</b:Corporate>
      </b:Author>
    </b:Author>
    <b:Title>Concept note on partnership for Samoa health information system</b:Title>
    <b:RefOrder>26</b:RefOrder>
  </b:Source>
  <b:Source>
    <b:Tag>Gov</b:Tag>
    <b:SourceType>Report</b:SourceType>
    <b:Guid>{1733D061-D696-014F-A2BA-0B481BCE8A9A}</b:Guid>
    <b:Author>
      <b:Author>
        <b:Corporate>Government of Samoa</b:Corporate>
      </b:Author>
    </b:Author>
    <b:Title>Samoa’s National Disaster Management Plan 2011 –2014</b:Title>
    <b:Institution>Samoa Disaster Management Office</b:Institution>
    <b:City>Apia</b:City>
    <b:Year>2011</b:Year>
    <b:RefOrder>6</b:RefOrder>
  </b:Source>
  <b:Source>
    <b:Tag>Tho14</b:Tag>
    <b:SourceType>ConferenceProceedings</b:SourceType>
    <b:Guid>{6C22EDF8-5A17-E54F-8476-DBB8496BD2A5}</b:Guid>
    <b:Title>The Samoan Women’s Health Committees: a study of community vulnerability and resilience</b:Title>
    <b:City>Dunedin</b:City>
    <b:Year>2014</b:Year>
    <b:Author>
      <b:Author>
        <b:NameList>
          <b:Person>
            <b:Last>Thomas</b:Last>
            <b:First>Pamela</b:First>
          </b:Person>
        </b:NameList>
      </b:Author>
    </b:Author>
    <b:ConferenceName>NZ Development Network Conference</b:ConferenceName>
    <b:RefOrder>23</b:RefOrder>
  </b:Source>
  <b:Source>
    <b:Tag>Cha14</b:Tag>
    <b:SourceType>Report</b:SourceType>
    <b:Guid>{2593A922-5432-BD49-A6A8-29EE8EE1F57B}</b:Guid>
    <b:Author>
      <b:Author>
        <b:Corporate>Charles Kendall &amp; Partners</b:Corporate>
      </b:Author>
    </b:Author>
    <b:Title>Assessment of Government Partner’s procurement capability and capacity and of associated risks and benefits  for proposed assistance to Samoa involving possible procurement via partner systems: Final Report</b:Title>
    <b:Year>2014</b:Year>
    <b:RefOrder>25</b:RefOrder>
  </b:Source>
  <b:Source>
    <b:Tag>DFA141</b:Tag>
    <b:SourceType>Report</b:SourceType>
    <b:Guid>{44B1C41D-E1D5-6349-9F4E-3C6EE67A06DB}</b:Guid>
    <b:Author>
      <b:Author>
        <b:Corporate>DFAT</b:Corporate>
      </b:Author>
    </b:Author>
    <b:Title>Samoa health sector – PFM risk assessment (Revised draft - 9 March 2014)</b:Title>
    <b:Year>2014</b:Year>
    <b:RefOrder>14</b:RefOrder>
  </b:Source>
  <b:Source>
    <b:Tag>SPC151</b:Tag>
    <b:SourceType>Report</b:SourceType>
    <b:Guid>{CE9BF18F-3111-1D44-99C6-BC911D5731E3}</b:Guid>
    <b:Author>
      <b:Author>
        <b:Corporate>SPC</b:Corporate>
      </b:Author>
    </b:Author>
    <b:Title>Stocktake of the gender mainstreaming capacity of Pacific Island governments - Samoa</b:Title>
    <b:Institution>Secretariat of the Pacific Community</b:Institution>
    <b:City>Noumea</b:City>
    <b:Year>2015</b:Year>
    <b:RefOrder>36</b:RefOrder>
  </b:Source>
  <b:Source>
    <b:Tag>MWC</b:Tag>
    <b:SourceType>Report</b:SourceType>
    <b:Guid>{5899AA3D-6215-6342-AD73-BEED377DB087}</b:Guid>
    <b:Author>
      <b:Author>
        <b:Corporate>MWCSD</b:Corporate>
      </b:Author>
    </b:Author>
    <b:Title>National policy for women of Samoa 2010-2015</b:Title>
    <b:Institution>Ministry of Women, Community and Social Development</b:Institution>
    <b:Department>Division for Women</b:Department>
    <b:Year>2010</b:Year>
    <b:RefOrder>10</b:RefOrder>
  </b:Source>
  <b:Source>
    <b:Tag>Spe</b:Tag>
    <b:SourceType>Report</b:SourceType>
    <b:Guid>{63ED7500-3626-0242-A766-AA1B21ED06E2}</b:Guid>
    <b:Author>
      <b:Author>
        <b:Corporate>Specialist Health Service</b:Corporate>
      </b:Author>
    </b:Author>
    <b:Title>Samoa Health Sector Wide Approach (SWAp): Information to input into DFAT’s Health Aid Quality Check and MFAT’s assessment of the SWAp.</b:Title>
    <b:Year>2016</b:Year>
    <b:RefOrder>12</b:RefOrder>
  </b:Source>
  <b:Source>
    <b:Tag>Spe16</b:Tag>
    <b:SourceType>Report</b:SourceType>
    <b:Guid>{1207728E-7712-FF4D-8F68-7B827C8866AB}</b:Guid>
    <b:Author>
      <b:Author>
        <b:Corporate>Specialist Health Service</b:Corporate>
      </b:Author>
    </b:Author>
    <b:Title>Samoa Health Sector Wide Approach (SWAp): Lessons to inform future Australia and New Zealand engagement in the health sector of Samoa</b:Title>
    <b:Year>2016</b:Year>
    <b:RefOrder>27</b:RefOrder>
  </b:Source>
  <b:Source>
    <b:Tag>Ada15</b:Tag>
    <b:SourceType>Report</b:SourceType>
    <b:Guid>{CD4D3147-4C6F-AB47-85DD-251AAFBD3068}</b:Guid>
    <b:Author>
      <b:Author>
        <b:Corporate>Adam Smith International</b:Corporate>
      </b:Author>
    </b:Author>
    <b:Title>Evaluation of the Samoa Country Programme</b:Title>
    <b:Year>2015</b:Year>
    <b:RefOrder>30</b:RefOrder>
  </b:Source>
  <b:Source>
    <b:Tag>Sap14</b:Tag>
    <b:SourceType>Report</b:SourceType>
    <b:Guid>{960D3802-0F54-4241-9600-6220241F740C}</b:Guid>
    <b:Author>
      <b:Author>
        <b:Corporate>Sapere Research Group</b:Corporate>
      </b:Author>
    </b:Author>
    <b:Title>Evaluation of the Samoa Institutional Linkage Programme: Final evaluation report</b:Title>
    <b:City>Wellington, NZ</b:City>
    <b:Year>2014</b:Year>
    <b:RefOrder>29</b:RefOrder>
  </b:Source>
  <b:Source>
    <b:Tag>Gov1</b:Tag>
    <b:SourceType>Report</b:SourceType>
    <b:Guid>{3F7BC7F5-965F-D140-A8B4-76EF16F5112A}</b:Guid>
    <b:Author>
      <b:Author>
        <b:Corporate>Ministry of Health</b:Corporate>
      </b:Author>
    </b:Author>
    <b:Title>Report on the first Update of the Medium Term Expenditure Framework (MTEF) for the Health Sector</b:Title>
    <b:Institution>Ministry of Health, Corporate Services Unit</b:Institution>
    <b:Year>2011</b:Year>
    <b:RefOrder>34</b:RefOrder>
  </b:Source>
  <b:Source>
    <b:Tag>Dav13</b:Tag>
    <b:SourceType>Report</b:SourceType>
    <b:Guid>{809948FF-B30A-3044-9E94-6F2EF3BC1C09}</b:Guid>
    <b:Author>
      <b:Author>
        <b:NameList>
          <b:Person>
            <b:Last>Davies</b:Last>
            <b:First>Philip</b:First>
          </b:Person>
        </b:NameList>
      </b:Author>
    </b:Author>
    <b:Title>Evaluation of Samoa Health Sector Management Programme</b:Title>
    <b:Institution>AusAID HRF</b:Institution>
    <b:Year>2013</b:Year>
    <b:RefOrder>11</b:RefOrder>
  </b:Source>
  <b:Source>
    <b:Tag>Wor161</b:Tag>
    <b:SourceType>Report</b:SourceType>
    <b:Guid>{0D42025B-0ECB-1542-82F0-D06FE41AD8BD}</b:Guid>
    <b:Author>
      <b:Author>
        <b:Corporate>World Health Organization</b:Corporate>
      </b:Author>
    </b:Author>
    <b:Title>PEN Fa'a Samoa Progress Report: February 2016</b:Title>
    <b:Year>2016</b:Year>
    <b:RefOrder>37</b:RefOrder>
  </b:Source>
  <b:Source>
    <b:Tag>Wor12</b:Tag>
    <b:SourceType>Report</b:SourceType>
    <b:Guid>{1F4B69D4-67F7-214C-9A56-07A43B42BAFC}</b:Guid>
    <b:Author>
      <b:Author>
        <b:Corporate>World Health Organization</b:Corporate>
      </b:Author>
    </b:Author>
    <b:Title>WHO country cooperation strategy for Samoa 2013-2017</b:Title>
    <b:Institution>World Health Organization, Western Pacific Regional Office</b:Institution>
    <b:Year>2012</b:Year>
    <b:RefOrder>38</b:RefOrder>
  </b:Source>
  <b:Source>
    <b:Tag>Fes15</b:Tag>
    <b:SourceType>Report</b:SourceType>
    <b:Guid>{7A0D353D-DEED-2145-9D65-086794093E0E}</b:Guid>
    <b:Author>
      <b:Author>
        <b:NameList>
          <b:Person>
            <b:Last>Festin</b:Last>
            <b:First>Susan</b:First>
            <b:Middle>P</b:Middle>
          </b:Person>
        </b:NameList>
      </b:Author>
    </b:Author>
    <b:Title>Analysis of high level requirements and implementation options for Samoa's health information system</b:Title>
    <b:Year>2015</b:Year>
    <b:RefOrder>31</b:RefOrder>
  </b:Source>
  <b:Source>
    <b:Tag>Spo13</b:Tag>
    <b:SourceType>Report</b:SourceType>
    <b:Guid>{51F4DD21-41B0-204B-88A5-2B2902957499}</b:Guid>
    <b:Author>
      <b:Author>
        <b:NameList>
          <b:Person>
            <b:Last>Spohr</b:Last>
            <b:First>Mark</b:First>
            <b:Middle>H</b:Middle>
          </b:Person>
        </b:NameList>
      </b:Author>
    </b:Author>
    <b:Title>Samoa health sector information system plan: Information system strengthening recommendations (Phase 1 - Planning and scoping)</b:Title>
    <b:Year>2013</b:Year>
    <b:RefOrder>32</b:RefOrder>
  </b:Source>
  <b:Source>
    <b:Tag>UNF15</b:Tag>
    <b:SourceType>Report</b:SourceType>
    <b:Guid>{3E606953-363B-9A45-8656-3824D5751747}</b:Guid>
    <b:Author>
      <b:Author>
        <b:Corporate>UNFPA</b:Corporate>
      </b:Author>
    </b:Author>
    <b:Title>Samoa: Sexual and Reproductive Health Rights Needs Assessment</b:Title>
    <b:Year>2015</b:Year>
    <b:RefOrder>3</b:RefOrder>
  </b:Source>
  <b:Source>
    <b:Tag>Wor1</b:Tag>
    <b:SourceType>Report</b:SourceType>
    <b:Guid>{2734EF87-52D3-004E-906E-1D3AB1B24F19}</b:Guid>
    <b:Author>
      <b:Author>
        <b:Corporate>World Health Organization</b:Corporate>
      </b:Author>
    </b:Author>
    <b:Title>Multi-country Study on Women’s Health and Domestic Violence against Women</b:Title>
    <b:City>Geneva</b:City>
    <b:Year>2005</b:Year>
    <b:RefOrder>9</b:RefOrder>
  </b:Source>
  <b:Source>
    <b:Tag>Jam13</b:Tag>
    <b:SourceType>JournalArticle</b:SourceType>
    <b:Guid>{CEEA6263-8D38-FF44-9DC1-20199D3CB30F}</b:Guid>
    <b:Title>Global Health 2035: a world converging within a generation</b:Title>
    <b:Year>2013</b:Year>
    <b:Pages>1898-1955</b:Pages>
    <b:Author>
      <b:Author>
        <b:NameList>
          <b:Person>
            <b:Last>Jamieson</b:Last>
            <b:First>DT</b:First>
          </b:Person>
          <b:Person>
            <b:Last>Summers</b:Last>
            <b:First>HL</b:First>
          </b:Person>
          <b:Person>
            <b:Last>Alleyne</b:Last>
            <b:First>G</b:First>
          </b:Person>
          <b:Person>
            <b:Last>Arrow</b:Last>
            <b:First>KJ</b:First>
          </b:Person>
          <b:Person>
            <b:Last>Berkley</b:Last>
            <b:First>S</b:First>
          </b:Person>
          <b:Person>
            <b:Last>Binagwaho</b:Last>
            <b:First>Agnes</b:First>
          </b:Person>
          <b:Person>
            <b:Last>Bustreo</b:Last>
            <b:First>F</b:First>
          </b:Person>
          <b:Person>
            <b:Last>Evans</b:Last>
            <b:First>D</b:First>
          </b:Person>
          <b:Person>
            <b:Last>Feachem</b:Last>
            <b:First>RDA</b:First>
          </b:Person>
        </b:NameList>
      </b:Author>
    </b:Author>
    <b:JournalName>Lancet</b:JournalName>
    <b:Month>December</b:Month>
    <b:Volume>382</b:Volume>
    <b:Issue>9908</b:Issue>
    <b:RefOrder>39</b:RefOrder>
  </b:Source>
  <b:Source>
    <b:Tag>DFA142</b:Tag>
    <b:SourceType>Report</b:SourceType>
    <b:Guid>{BF9E58E3-0C57-0D48-BEBF-FA2AA38F5782}</b:Guid>
    <b:Author>
      <b:Author>
        <b:Corporate>DFAT</b:Corporate>
      </b:Author>
    </b:Author>
    <b:Title>Australian aid: promoting prosperity, reducing poverty, enhancing stability</b:Title>
    <b:Institution>Department of Foreign Affairs and Trade</b:Institution>
    <b:City>Canberra</b:City>
    <b:Year>2014</b:Year>
    <b:RefOrder>15</b:RefOrder>
  </b:Source>
  <b:Source>
    <b:Tag>DFA15</b:Tag>
    <b:SourceType>Report</b:SourceType>
    <b:Guid>{FD81C0C1-4436-0F48-8DA8-1A976E1C66D6}</b:Guid>
    <b:Author>
      <b:Author>
        <b:Corporate>DFAT</b:Corporate>
      </b:Author>
    </b:Author>
    <b:Title>Aid Investment Plan Samoa 2015-16 to 2018-19</b:Title>
    <b:Institution>Department of Foreign Affairs and Trade</b:Institution>
    <b:City>Canberra</b:City>
    <b:Year>2015</b:Year>
    <b:RefOrder>16</b:RefOrder>
  </b:Source>
  <b:Source>
    <b:Tag>DFA143</b:Tag>
    <b:SourceType>Report</b:SourceType>
    <b:Guid>{69D785E5-5C56-784E-912E-67DDAE2838F4}</b:Guid>
    <b:Author>
      <b:Author>
        <b:Corporate>DFAT</b:Corporate>
      </b:Author>
    </b:Author>
    <b:Title>Making performance count: enhancing the accountability and effectiveness of Australian aid</b:Title>
    <b:City>Canberra</b:City>
    <b:Year>2014</b:Year>
    <b:RefOrder>17</b:RefOrder>
  </b:Source>
  <b:Source>
    <b:Tag>Asi15</b:Tag>
    <b:SourceType>DocumentFromInternetSite</b:SourceType>
    <b:Guid>{BBEBE160-24AB-744C-BAA1-2E945614BB2A}</b:Guid>
    <b:Title>Samoa Submarine Cable Project: Report and Recommendation of the President</b:Title>
    <b:Year>2015</b:Year>
    <b:Author>
      <b:Author>
        <b:Corporate>Asian Development Bank</b:Corporate>
      </b:Author>
    </b:Author>
    <b:URL>http://www.adb.org/projects/documents/samoa-submarine-cable-project-rrp</b:URL>
    <b:Month>October</b:Month>
    <b:YearAccessed>2016</b:YearAccessed>
    <b:MonthAccessed>May</b:MonthAccessed>
    <b:DayAccessed>27</b:DayAccessed>
    <b:RefOrder>33</b:RefOrder>
  </b:Source>
  <b:Source>
    <b:Tag>Kap09</b:Tag>
    <b:SourceType>JournalArticle</b:SourceType>
    <b:Guid>{A7F5E7B1-D2C8-424E-A105-761A823725EE}</b:Guid>
    <b:Title>Health IT Success and Failure: Recommendations from Literature and an AMIA Workshop</b:Title>
    <b:Year>2009</b:Year>
    <b:Pages>291-299</b:Pages>
    <b:Author>
      <b:Author>
        <b:NameList>
          <b:Person>
            <b:Last>Kaplan</b:Last>
            <b:First>Bonnie</b:First>
          </b:Person>
          <b:Person>
            <b:Last>Harris-Salamone</b:Last>
            <b:First>Kimberly</b:First>
            <b:Middle>D.</b:Middle>
          </b:Person>
        </b:NameList>
      </b:Author>
    </b:Author>
    <b:JournalName>Journal of the American Medical Informatics Association </b:JournalName>
    <b:Volume>16</b:Volume>
    <b:Issue>3</b:Issue>
    <b:RefOrder>19</b:RefOrder>
  </b:Source>
  <b:Source>
    <b:Tag>Par15</b:Tag>
    <b:SourceType>Report</b:SourceType>
    <b:Guid>{22934CFA-C4C5-CF45-B6C1-B99B3F330C51}</b:Guid>
    <b:Title>Toward better implementation: Australia’s My Health Record</b:Title>
    <b:Publisher>Australian Healthcare and Hospitals Association</b:Publisher>
    <b:City>Canberra</b:City>
    <b:Year>2015</b:Year>
    <b:Author>
      <b:Author>
        <b:NameList>
          <b:Person>
            <b:Last>Partel</b:Last>
            <b:First>Krister</b:First>
          </b:Person>
        </b:NameList>
      </b:Author>
    </b:Author>
    <b:Institution>Deeble Institute for Health Policy Research</b:Institution>
    <b:RefOrder>20</b:RefOrder>
  </b:Source>
  <b:Source>
    <b:Tag>DFA151</b:Tag>
    <b:SourceType>Report</b:SourceType>
    <b:Guid>{EF28C338-5097-3E4F-B356-DD4E56437C2E}</b:Guid>
    <b:Author>
      <b:Author>
        <b:Corporate>DFAT</b:Corporate>
      </b:Author>
    </b:Author>
    <b:Title>Samoa Ministry of Health - Queensland Health Strategic Partnership Program </b:Title>
    <b:Year>2015</b:Year>
    <b:RefOrder>21</b:RefOrder>
  </b:Source>
  <b:Source>
    <b:Tag>Sch15</b:Tag>
    <b:SourceType>Report</b:SourceType>
    <b:Guid>{E95C09B5-9ED6-534F-BFC9-CB1FF13CDE49}</b:Guid>
    <b:Author>
      <b:Author>
        <b:NameList>
          <b:Person>
            <b:Last>Schierhout</b:Last>
            <b:First>Gill</b:First>
          </b:Person>
        </b:NameList>
      </b:Author>
    </b:Author>
    <b:Title>M&amp;E Advisory Services  Samoa Strategic Partnership Program</b:Title>
    <b:Year>2015</b:Year>
    <b:Institution>Mott MacDonald Ltd</b:Institution>
    <b:RefOrder>22</b:RefOrder>
  </b:Source>
  <b:Source>
    <b:Tag>OEC05</b:Tag>
    <b:SourceType>DocumentFromInternetSite</b:SourceType>
    <b:Guid>{16A413E5-244C-764C-944E-1BF12F807B40}</b:Guid>
    <b:Author>
      <b:Author>
        <b:Corporate>OECD</b:Corporate>
      </b:Author>
    </b:Author>
    <b:Title>The Paris Declaration on Aid Effectiveness and the Accra Agenda for Action</b:Title>
    <b:City>Paris</b:City>
    <b:Year>2005</b:Year>
    <b:URL>http://www.oecd.org/dac/effectiveness/parisdeclarationandaccraagendaforaction.htm</b:URL>
    <b:YearAccessed>2016</b:YearAccessed>
    <b:MonthAccessed>June</b:MonthAccessed>
    <b:DayAccessed>13</b:DayAccessed>
    <b:RefOrder>18</b:RefOrder>
  </b:Source>
  <b:Source>
    <b:Tag>Gov11</b:Tag>
    <b:SourceType>Report</b:SourceType>
    <b:Guid>{09C94793-4E5C-E54E-A303-DE2831449C15}</b:Guid>
    <b:Author>
      <b:Author>
        <b:Corporate>Government of Samoa</b:Corporate>
      </b:Author>
    </b:Author>
    <b:Title>Review of the Ministry of Health realignment</b:Title>
    <b:Institution>Government of Samoa Review Committee</b:Institution>
    <b:Year>2011</b:Year>
    <b:RefOrder>24</b:RefOrder>
  </b:Source>
  <b:Source>
    <b:Tag>Gov15</b:Tag>
    <b:SourceType>Report</b:SourceType>
    <b:Guid>{46C679B1-2A93-E648-A417-3582F022C7C7}</b:Guid>
    <b:Author>
      <b:Author>
        <b:Corporate>Government of Samoa</b:Corporate>
      </b:Author>
    </b:Author>
    <b:Title>Approved estimates of receipts and payments of the government of Samoa for the financial year ending 30th June 2016</b:Title>
    <b:Year>2015</b:Year>
    <b:Institution>Legislative Assembly of Samoa</b:Institution>
    <b:StandardNumber>Parliamentary Paper 2015/2016 No.2</b:StandardNumber>
    <b:RefOrder>40</b:RefOrder>
  </b:Source>
  <b:Source>
    <b:Tag>UNC16</b:Tag>
    <b:SourceType>DocumentFromInternetSite</b:SourceType>
    <b:Guid>{9D2A0062-9964-364D-A97E-B7C88E3212B9}</b:Guid>
    <b:Author>
      <b:Author>
        <b:Corporate>UN Committee on the Rights of the Child</b:Corporate>
      </b:Author>
    </b:Author>
    <b:Title>Convention on the Rights of the Child  72 Session (17 May 2016 - 03 Jun 2016) : Samoa, Concluding remarks (CRC/C/WSM/2-4)</b:Title>
    <b:URL>http://tbinternet.ohchr.org/_layouts/treatybodyexternal/Download.aspx?symbolno=CRC%2fC%2fWSM%2fCO%2f2-4&amp;Lang=en</b:URL>
    <b:Year>2016</b:Year>
    <b:Month>June</b:Month>
    <b:Day>3</b:Day>
    <b:YearAccessed>2016</b:YearAccessed>
    <b:MonthAccessed>June</b:MonthAccessed>
    <b:DayAccessed>14</b:DayAccessed>
    <b:RefOrder>41</b:RefOrder>
  </b:Source>
  <b:Source>
    <b:Tag>DFA152</b:Tag>
    <b:SourceType>Report</b:SourceType>
    <b:Guid>{61A2BE2B-1252-4046-957D-60689287AC15}</b:Guid>
    <b:Title>Health for Development Strategy 2015–2020 </b:Title>
    <b:Year>2015</b:Year>
    <b:Author>
      <b:Author>
        <b:Corporate>DFAT</b:Corporate>
      </b:Author>
    </b:Author>
    <b:City>Canberra</b:City>
    <b:RefOrder>42</b:RefOrder>
  </b:Source>
  <b:Source>
    <b:Tag>Placeholder1</b:Tag>
    <b:SourceType>Report</b:SourceType>
    <b:Guid>{FABBCFB4-1F8E-0545-9809-08651B9AC3D6}</b:Guid>
    <b:Author>
      <b:Author>
        <b:Corporate>World Health Orgnaisation, Samoa Country Office</b:Corporate>
      </b:Author>
    </b:Author>
    <b:Title>Concept Note on partnership for Samoa health information system</b:Title>
    <b:RefOrder>43</b:RefOrder>
  </b:Source>
  <b:Source>
    <b:Tag>Gov111</b:Tag>
    <b:SourceType>Report</b:SourceType>
    <b:Guid>{8F977B23-C5F9-F643-9EF6-B55E63DF286E}</b:Guid>
    <b:Author>
      <b:Author>
        <b:Corporate>Government of Samoa, Ministry  of  Health</b:Corporate>
      </b:Author>
    </b:Author>
    <b:Title>Concept paper for Samoa (Proposal for Response Fund)</b:Title>
    <b:Year>2011</b:Year>
    <b:RefOrder>1</b:RefOrder>
  </b:Source>
  <b:Source>
    <b:Tag>Gov16</b:Tag>
    <b:SourceType>Report</b:SourceType>
    <b:Guid>{04347E10-6F2F-174D-9817-3D7EFE69721F}</b:Guid>
    <b:Author>
      <b:Author>
        <b:Corporate>Government of Samoa, Ministry of Health</b:Corporate>
      </b:Author>
    </b:Author>
    <b:Title>Gloabl AIDS response progress report 2016 (Reporting period January - December 2015)</b:Title>
    <b:Institution>Government of Samoa, Ministry of Health</b:Institution>
    <b:Year>2016</b:Year>
    <b:RefOrder>5</b:RefOrder>
  </b:Source>
</b:Sources>
</file>

<file path=customXml/itemProps1.xml><?xml version="1.0" encoding="utf-8"?>
<ds:datastoreItem xmlns:ds="http://schemas.openxmlformats.org/officeDocument/2006/customXml" ds:itemID="{B227A274-39C4-4423-8691-30F3C082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9362</Words>
  <Characters>53366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Davies</dc:creator>
  <cp:lastModifiedBy>Scott Robertson</cp:lastModifiedBy>
  <cp:revision>4</cp:revision>
  <cp:lastPrinted>2020-02-10T22:39:00Z</cp:lastPrinted>
  <dcterms:created xsi:type="dcterms:W3CDTF">2021-03-04T04:58:00Z</dcterms:created>
  <dcterms:modified xsi:type="dcterms:W3CDTF">2021-03-11T03:13:00Z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1cf268bc-8304-4dbe-80b4-85ba1ab5ccce</vt:lpwstr>
  </property>
  <property fmtid="{D5CDD505-2E9C-101B-9397-08002B2CF9AE}" pid="3" name="SEC">
    <vt:lpwstr>OFFICIAL</vt:lpwstr>
  </property>
  <property fmtid="{D5CDD505-2E9C-101B-9397-08002B2CF9AE}" pid="4" name="DLM">
    <vt:lpwstr>No DLM</vt:lpwstr>
  </property>
</Properties>
</file>