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3B3F" w14:textId="243F766D" w:rsidR="00611AEB" w:rsidRPr="00F3523E" w:rsidRDefault="00611AEB" w:rsidP="00F3523E">
      <w:pPr>
        <w:pStyle w:val="Heading1"/>
      </w:pPr>
      <w:r w:rsidRPr="00F3523E">
        <w:t xml:space="preserve">DFAT’s management response to </w:t>
      </w:r>
      <w:r w:rsidR="00575C36" w:rsidRPr="00F3523E">
        <w:t>the mid-term review of the South Asia Regional Infrastructure Connectivity (SARIC) Program</w:t>
      </w:r>
    </w:p>
    <w:p w14:paraId="79D079A7" w14:textId="29BCD70C" w:rsidR="00BC6E15" w:rsidRPr="00F3523E" w:rsidRDefault="00575C36" w:rsidP="00F3523E">
      <w:pPr>
        <w:pStyle w:val="Heading2"/>
      </w:pPr>
      <w:r w:rsidRPr="00F3523E">
        <w:t>Context</w:t>
      </w:r>
    </w:p>
    <w:p w14:paraId="47F938FE" w14:textId="77777777" w:rsidR="00575C36" w:rsidRPr="009767A9" w:rsidRDefault="00575C36" w:rsidP="00575C36">
      <w:pPr>
        <w:spacing w:after="120"/>
        <w:jc w:val="both"/>
        <w:rPr>
          <w:rFonts w:ascii="Arial" w:hAnsi="Arial" w:cs="Arial"/>
        </w:rPr>
      </w:pPr>
      <w:r w:rsidRPr="009767A9">
        <w:rPr>
          <w:rFonts w:ascii="Arial" w:hAnsi="Arial" w:cs="Arial"/>
        </w:rPr>
        <w:t xml:space="preserve">Australia’s </w:t>
      </w:r>
      <w:r>
        <w:rPr>
          <w:rFonts w:ascii="Arial" w:hAnsi="Arial" w:cs="Arial"/>
        </w:rPr>
        <w:t>$</w:t>
      </w:r>
      <w:r w:rsidRPr="009767A9">
        <w:rPr>
          <w:rFonts w:ascii="Arial" w:hAnsi="Arial" w:cs="Arial"/>
        </w:rPr>
        <w:t xml:space="preserve">32 million (2019-205) South Asia Regional Infrastructure Connectivity (SARIC) program </w:t>
      </w:r>
      <w:r w:rsidRPr="009762AA">
        <w:rPr>
          <w:rFonts w:ascii="Arial" w:hAnsi="Arial" w:cs="Arial"/>
        </w:rPr>
        <w:t>is increasing regional economic links and growth. It</w:t>
      </w:r>
      <w:r w:rsidRPr="009767A9">
        <w:rPr>
          <w:rFonts w:ascii="Arial" w:hAnsi="Arial" w:cs="Arial"/>
        </w:rPr>
        <w:t xml:space="preserve"> aims to address constraints to economic growth in South Asia, particularly weak infrastructure investments and lagging regional connectivity. It builds on Australia’s previous </w:t>
      </w:r>
      <w:r>
        <w:rPr>
          <w:rFonts w:ascii="Arial" w:hAnsi="Arial" w:cs="Arial"/>
        </w:rPr>
        <w:t>investments in</w:t>
      </w:r>
      <w:r w:rsidRPr="009767A9">
        <w:rPr>
          <w:rFonts w:ascii="Arial" w:hAnsi="Arial" w:cs="Arial"/>
        </w:rPr>
        <w:t xml:space="preserve"> infrastructure, cross-border trade, and </w:t>
      </w:r>
      <w:r>
        <w:rPr>
          <w:rFonts w:ascii="Arial" w:hAnsi="Arial" w:cs="Arial"/>
        </w:rPr>
        <w:t>private-sector</w:t>
      </w:r>
      <w:r w:rsidRPr="009767A9">
        <w:rPr>
          <w:rFonts w:ascii="Arial" w:hAnsi="Arial" w:cs="Arial"/>
        </w:rPr>
        <w:t xml:space="preserve"> investment mobilisation.</w:t>
      </w:r>
    </w:p>
    <w:p w14:paraId="3F0C384C" w14:textId="77777777" w:rsidR="00575C36" w:rsidRPr="009767A9" w:rsidRDefault="00575C36" w:rsidP="00575C36">
      <w:pPr>
        <w:spacing w:after="120"/>
        <w:jc w:val="both"/>
        <w:rPr>
          <w:rFonts w:ascii="Arial" w:hAnsi="Arial" w:cs="Arial"/>
        </w:rPr>
      </w:pPr>
      <w:r w:rsidRPr="009767A9">
        <w:rPr>
          <w:rFonts w:ascii="Arial" w:hAnsi="Arial" w:cs="Arial"/>
        </w:rPr>
        <w:t xml:space="preserve">Australian </w:t>
      </w:r>
      <w:r>
        <w:rPr>
          <w:rFonts w:ascii="Arial" w:hAnsi="Arial" w:cs="Arial"/>
        </w:rPr>
        <w:t>funding</w:t>
      </w:r>
      <w:r w:rsidRPr="009767A9">
        <w:rPr>
          <w:rFonts w:ascii="Arial" w:hAnsi="Arial" w:cs="Arial"/>
        </w:rPr>
        <w:t xml:space="preserve">, backed by </w:t>
      </w:r>
      <w:r>
        <w:rPr>
          <w:rFonts w:ascii="Arial" w:hAnsi="Arial" w:cs="Arial"/>
        </w:rPr>
        <w:t xml:space="preserve">the </w:t>
      </w:r>
      <w:r w:rsidRPr="009767A9">
        <w:rPr>
          <w:rFonts w:ascii="Arial" w:hAnsi="Arial" w:cs="Arial"/>
        </w:rPr>
        <w:t xml:space="preserve">World Bank and the International Finance Corporation (IFC) </w:t>
      </w:r>
      <w:r w:rsidRPr="009762AA">
        <w:rPr>
          <w:rFonts w:ascii="Arial" w:hAnsi="Arial" w:cs="Arial"/>
          <w:lang w:val="en-PH"/>
        </w:rPr>
        <w:t>expertise</w:t>
      </w:r>
      <w:r w:rsidRPr="009762AA">
        <w:rPr>
          <w:rFonts w:ascii="Arial" w:hAnsi="Arial" w:cs="Arial"/>
        </w:rPr>
        <w:t xml:space="preserve">, leverages loans and private sector investment in transport and energy infrastructure to do this. </w:t>
      </w:r>
      <w:r w:rsidRPr="009767A9">
        <w:rPr>
          <w:rFonts w:ascii="Arial" w:hAnsi="Arial" w:cs="Arial"/>
        </w:rPr>
        <w:t xml:space="preserve">These partners are assisting governments </w:t>
      </w:r>
      <w:r>
        <w:rPr>
          <w:rFonts w:ascii="Arial" w:hAnsi="Arial" w:cs="Arial"/>
        </w:rPr>
        <w:t xml:space="preserve">to </w:t>
      </w:r>
      <w:r w:rsidRPr="009767A9">
        <w:rPr>
          <w:rFonts w:ascii="Arial" w:hAnsi="Arial" w:cs="Arial"/>
        </w:rPr>
        <w:t xml:space="preserve">prepare a pipeline of transport and energy projects that connect the economies in the region for public and/or private financing. </w:t>
      </w:r>
      <w:r>
        <w:rPr>
          <w:rFonts w:ascii="Arial" w:hAnsi="Arial" w:cs="Arial"/>
        </w:rPr>
        <w:t>Additionally, through Palladium, t</w:t>
      </w:r>
      <w:r w:rsidRPr="009767A9">
        <w:rPr>
          <w:rFonts w:ascii="Arial" w:hAnsi="Arial" w:cs="Arial"/>
        </w:rPr>
        <w:t xml:space="preserve">raining </w:t>
      </w:r>
      <w:r>
        <w:rPr>
          <w:rFonts w:ascii="Arial" w:hAnsi="Arial" w:cs="Arial"/>
        </w:rPr>
        <w:t>and networking are provided to build skills and connect individuals and institutions to contribute to cross-border</w:t>
      </w:r>
      <w:r w:rsidRPr="009767A9">
        <w:rPr>
          <w:rFonts w:ascii="Arial" w:hAnsi="Arial" w:cs="Arial"/>
        </w:rPr>
        <w:t xml:space="preserve"> connectivity projects. </w:t>
      </w:r>
      <w:r>
        <w:rPr>
          <w:rFonts w:ascii="Arial" w:hAnsi="Arial" w:cs="Arial"/>
        </w:rPr>
        <w:t xml:space="preserve">SARIC is supported by a monitoring and evaluation advisor through Adam Smith International. </w:t>
      </w:r>
    </w:p>
    <w:p w14:paraId="52D89526" w14:textId="77777777" w:rsidR="00575C36" w:rsidRDefault="00575C36" w:rsidP="00575C36">
      <w:pPr>
        <w:spacing w:after="120"/>
        <w:rPr>
          <w:rFonts w:ascii="Calibri" w:eastAsia="MS Gothic" w:hAnsi="Calibri" w:cs="Times New Roman"/>
          <w:spacing w:val="-10"/>
          <w:sz w:val="24"/>
          <w:szCs w:val="24"/>
        </w:rPr>
      </w:pPr>
      <w:r w:rsidRPr="009762AA">
        <w:rPr>
          <w:rFonts w:ascii="Arial" w:hAnsi="Arial" w:cs="Arial"/>
        </w:rPr>
        <w:t xml:space="preserve">SARIC’s technical assistance and training has enabled South Asian governments to secure more than $3.6 billion in loans and private sector investment. </w:t>
      </w:r>
      <w:r>
        <w:rPr>
          <w:rFonts w:ascii="Arial" w:hAnsi="Arial" w:cs="Arial"/>
        </w:rPr>
        <w:t>This enables</w:t>
      </w:r>
      <w:r w:rsidRPr="009762AA">
        <w:rPr>
          <w:rFonts w:ascii="Arial" w:hAnsi="Arial" w:cs="Arial"/>
        </w:rPr>
        <w:t xml:space="preserve"> more effective building and management of critical transport and energy</w:t>
      </w:r>
      <w:r>
        <w:rPr>
          <w:rFonts w:ascii="Arial" w:hAnsi="Arial" w:cs="Arial"/>
        </w:rPr>
        <w:t xml:space="preserve"> </w:t>
      </w:r>
      <w:r w:rsidRPr="009762AA">
        <w:rPr>
          <w:rFonts w:ascii="Arial" w:hAnsi="Arial" w:cs="Arial"/>
        </w:rPr>
        <w:t>infrastructure that links and increases growth across South Asia</w:t>
      </w:r>
      <w:r>
        <w:rPr>
          <w:rFonts w:ascii="Arial" w:hAnsi="Arial" w:cs="Arial"/>
        </w:rPr>
        <w:t>.</w:t>
      </w:r>
    </w:p>
    <w:p w14:paraId="3033B2D7" w14:textId="625C10F6" w:rsidR="00BC6E15" w:rsidRDefault="00BC6E15" w:rsidP="00BC6E15"/>
    <w:p w14:paraId="2A2CD86E" w14:textId="7A95F849" w:rsidR="00575C36" w:rsidRPr="00F3523E" w:rsidRDefault="00575C36" w:rsidP="00F3523E">
      <w:pPr>
        <w:pStyle w:val="Heading2"/>
      </w:pPr>
      <w:r w:rsidRPr="00F3523E">
        <w:t>The SARIC mid-term review</w:t>
      </w:r>
    </w:p>
    <w:p w14:paraId="347BD16E" w14:textId="77777777" w:rsidR="00575C36" w:rsidRDefault="00575C36" w:rsidP="00575C36">
      <w:pPr>
        <w:spacing w:after="120"/>
        <w:rPr>
          <w:rFonts w:ascii="Arial" w:hAnsi="Arial" w:cs="Arial"/>
        </w:rPr>
      </w:pPr>
      <w:r>
        <w:rPr>
          <w:rFonts w:ascii="Arial" w:hAnsi="Arial" w:cs="Arial"/>
        </w:rPr>
        <w:t xml:space="preserve">At approximately the mid-point of the SARIC program, a mid-term review was undertaken by independent consultants Strategic Development Group. The purpose of the mid-term review was to assess results and progress towards outcomes and impacts. The mid-term review also provided a list of recommendations and lessons for the remainder of the program. Field work for the mid-term review focused on Bangladesh, Nepal and at the Singapore-based Working Group meeting where some regional partners are based. Additionally, program beneficiaries and Posts in South Asia were interviewed remotely to inform the report. </w:t>
      </w:r>
    </w:p>
    <w:p w14:paraId="2009D6A2" w14:textId="6B272EE5" w:rsidR="00575C36" w:rsidRPr="00575C36" w:rsidRDefault="00575C36" w:rsidP="00575C36">
      <w:pPr>
        <w:spacing w:after="120"/>
        <w:rPr>
          <w:rFonts w:ascii="Arial" w:hAnsi="Arial" w:cs="Arial"/>
        </w:rPr>
      </w:pPr>
      <w:r>
        <w:rPr>
          <w:rFonts w:ascii="Arial" w:hAnsi="Arial" w:cs="Arial"/>
        </w:rPr>
        <w:t xml:space="preserve">Overall, the mid-term review report found that SARIC remains a highly relevant program in addressing, supporting, and guiding infrastructure provision in South Asia. </w:t>
      </w:r>
      <w:r w:rsidRPr="00C67299">
        <w:rPr>
          <w:rFonts w:ascii="Arial" w:hAnsi="Arial" w:cs="Arial"/>
        </w:rPr>
        <w:t xml:space="preserve">Its delivery approach and partnership arrangements </w:t>
      </w:r>
      <w:r>
        <w:rPr>
          <w:rFonts w:ascii="Arial" w:hAnsi="Arial" w:cs="Arial"/>
        </w:rPr>
        <w:t>were</w:t>
      </w:r>
      <w:r w:rsidRPr="00C67299">
        <w:rPr>
          <w:rFonts w:ascii="Arial" w:hAnsi="Arial" w:cs="Arial"/>
        </w:rPr>
        <w:t xml:space="preserve"> realistic, </w:t>
      </w:r>
      <w:proofErr w:type="gramStart"/>
      <w:r w:rsidRPr="00C67299">
        <w:rPr>
          <w:rFonts w:ascii="Arial" w:hAnsi="Arial" w:cs="Arial"/>
        </w:rPr>
        <w:t>appropriate</w:t>
      </w:r>
      <w:proofErr w:type="gramEnd"/>
      <w:r w:rsidRPr="00C67299">
        <w:rPr>
          <w:rFonts w:ascii="Arial" w:hAnsi="Arial" w:cs="Arial"/>
        </w:rPr>
        <w:t xml:space="preserve"> and adequate. It</w:t>
      </w:r>
      <w:r>
        <w:rPr>
          <w:rFonts w:ascii="Arial" w:hAnsi="Arial" w:cs="Arial"/>
        </w:rPr>
        <w:t xml:space="preserve"> was</w:t>
      </w:r>
      <w:r w:rsidRPr="00C67299">
        <w:rPr>
          <w:rFonts w:ascii="Arial" w:hAnsi="Arial" w:cs="Arial"/>
        </w:rPr>
        <w:t xml:space="preserve"> effectively leveraging additional finance to deliver greater impact without duplicating efforts. While initially hindered by COVID-19, the program was now delivering at pace, with a clear pipeline of support to government and the private sector</w:t>
      </w:r>
      <w:r>
        <w:rPr>
          <w:rFonts w:ascii="Arial" w:hAnsi="Arial" w:cs="Arial"/>
        </w:rPr>
        <w:t xml:space="preserve"> that is delivering the</w:t>
      </w:r>
      <w:r w:rsidRPr="00C67299">
        <w:rPr>
          <w:rFonts w:ascii="Arial" w:hAnsi="Arial" w:cs="Arial"/>
        </w:rPr>
        <w:t xml:space="preserve"> foundations for transformative impact</w:t>
      </w:r>
      <w:r>
        <w:rPr>
          <w:rFonts w:ascii="Arial" w:hAnsi="Arial" w:cs="Arial"/>
        </w:rPr>
        <w:t xml:space="preserve">. </w:t>
      </w:r>
    </w:p>
    <w:p w14:paraId="3DB8150D" w14:textId="77777777" w:rsidR="00575C36" w:rsidRDefault="00575C36" w:rsidP="00575C36">
      <w:pPr>
        <w:spacing w:after="120"/>
        <w:rPr>
          <w:rFonts w:ascii="Arial" w:hAnsi="Arial" w:cs="Arial"/>
        </w:rPr>
      </w:pPr>
      <w:r>
        <w:rPr>
          <w:rFonts w:ascii="Arial" w:hAnsi="Arial" w:cs="Arial"/>
        </w:rPr>
        <w:t xml:space="preserve">The report represents the independent views of the consultants and not necessarily the views of DFAT or the implementing partners of SARIC. DFAT recognises the importance of its partnership with all implementing partners. DFAT considers this review as an important opportunity to reflect on how SARIC can evolve and strengthen in the remaining period of the program. </w:t>
      </w:r>
    </w:p>
    <w:p w14:paraId="5890952F" w14:textId="77777777" w:rsidR="00575C36" w:rsidRDefault="00575C36" w:rsidP="00BC6E15"/>
    <w:p w14:paraId="5DFAEE41" w14:textId="77777777" w:rsidR="00575C36" w:rsidRDefault="00575C36">
      <w:pPr>
        <w:suppressAutoHyphens w:val="0"/>
        <w:spacing w:before="0" w:after="160" w:line="259" w:lineRule="auto"/>
        <w:rPr>
          <w:rFonts w:ascii="Arial" w:hAnsi="Arial" w:cs="Arial"/>
          <w:b/>
          <w:bCs/>
          <w:sz w:val="28"/>
          <w:szCs w:val="28"/>
        </w:rPr>
      </w:pPr>
      <w:r>
        <w:rPr>
          <w:sz w:val="28"/>
          <w:szCs w:val="28"/>
        </w:rPr>
        <w:br w:type="page"/>
      </w:r>
    </w:p>
    <w:p w14:paraId="71198D92" w14:textId="7D1D7EA2" w:rsidR="00575C36" w:rsidRDefault="00575C36" w:rsidP="00575C36">
      <w:pPr>
        <w:pStyle w:val="Heading3"/>
        <w:spacing w:before="240" w:line="240" w:lineRule="atLeast"/>
        <w:rPr>
          <w:sz w:val="28"/>
          <w:szCs w:val="28"/>
        </w:rPr>
      </w:pPr>
      <w:r w:rsidRPr="00F3523E">
        <w:rPr>
          <w:rStyle w:val="Heading2Char"/>
          <w:b/>
          <w:bCs/>
        </w:rPr>
        <w:lastRenderedPageBreak/>
        <w:t>Response to recommendations</w:t>
      </w:r>
      <w:r>
        <w:rPr>
          <w:sz w:val="28"/>
          <w:szCs w:val="28"/>
        </w:rPr>
        <w:t>:</w:t>
      </w:r>
    </w:p>
    <w:p w14:paraId="432FB8D8" w14:textId="5722E78A" w:rsidR="00575C36" w:rsidRPr="00C16006" w:rsidRDefault="00575C36" w:rsidP="00575C36">
      <w:pPr>
        <w:pStyle w:val="Heading3"/>
        <w:spacing w:before="240" w:line="240" w:lineRule="atLeast"/>
        <w:rPr>
          <w:i/>
          <w:iCs/>
          <w:sz w:val="24"/>
          <w:szCs w:val="24"/>
        </w:rPr>
      </w:pPr>
      <w:r w:rsidRPr="00C16006">
        <w:rPr>
          <w:i/>
          <w:iCs/>
          <w:sz w:val="24"/>
          <w:szCs w:val="24"/>
        </w:rPr>
        <w:t>Working Group Meetings</w:t>
      </w:r>
    </w:p>
    <w:p w14:paraId="4F13EA97" w14:textId="77777777" w:rsidR="00575C36" w:rsidRPr="00575C36" w:rsidRDefault="00575C36" w:rsidP="00BC6E15">
      <w:pPr>
        <w:rPr>
          <w:i/>
          <w:iCs/>
        </w:rPr>
      </w:pPr>
    </w:p>
    <w:tbl>
      <w:tblPr>
        <w:tblStyle w:val="TableGrid"/>
        <w:tblW w:w="9067" w:type="dxa"/>
        <w:tblLayout w:type="fixed"/>
        <w:tblLook w:val="04A0" w:firstRow="1" w:lastRow="0" w:firstColumn="1" w:lastColumn="0" w:noHBand="0" w:noVBand="1"/>
      </w:tblPr>
      <w:tblGrid>
        <w:gridCol w:w="2405"/>
        <w:gridCol w:w="1276"/>
        <w:gridCol w:w="1843"/>
        <w:gridCol w:w="2126"/>
        <w:gridCol w:w="1417"/>
      </w:tblGrid>
      <w:tr w:rsidR="00BC6E15" w14:paraId="33D8E7BD" w14:textId="77777777" w:rsidTr="006F2E11">
        <w:trPr>
          <w:tblHeader/>
        </w:trPr>
        <w:tc>
          <w:tcPr>
            <w:tcW w:w="2405" w:type="dxa"/>
          </w:tcPr>
          <w:p w14:paraId="53020397" w14:textId="77777777" w:rsidR="00BC6E15" w:rsidRDefault="00BC6E15" w:rsidP="00D15679">
            <w:pPr>
              <w:spacing w:after="120"/>
            </w:pPr>
            <w:r w:rsidRPr="001D4594">
              <w:rPr>
                <w:rFonts w:ascii="Arial" w:hAnsi="Arial" w:cs="Arial"/>
                <w:b/>
                <w:bCs/>
              </w:rPr>
              <w:t>Recommendation</w:t>
            </w:r>
          </w:p>
        </w:tc>
        <w:tc>
          <w:tcPr>
            <w:tcW w:w="1276" w:type="dxa"/>
          </w:tcPr>
          <w:p w14:paraId="0F509D03" w14:textId="77777777" w:rsidR="00BC6E15" w:rsidRDefault="00BC6E15" w:rsidP="00D15679">
            <w:pPr>
              <w:spacing w:after="120"/>
            </w:pPr>
            <w:r w:rsidRPr="001D4594">
              <w:rPr>
                <w:rFonts w:ascii="Arial" w:hAnsi="Arial" w:cs="Arial"/>
                <w:b/>
                <w:bCs/>
              </w:rPr>
              <w:t>Response</w:t>
            </w:r>
          </w:p>
        </w:tc>
        <w:tc>
          <w:tcPr>
            <w:tcW w:w="1843" w:type="dxa"/>
          </w:tcPr>
          <w:p w14:paraId="22A437CF" w14:textId="77777777" w:rsidR="00BC6E15" w:rsidRDefault="00BC6E15" w:rsidP="00D15679">
            <w:pPr>
              <w:spacing w:after="120"/>
            </w:pPr>
            <w:r w:rsidRPr="001D4594">
              <w:rPr>
                <w:rFonts w:ascii="Arial" w:hAnsi="Arial" w:cs="Arial"/>
                <w:b/>
                <w:bCs/>
              </w:rPr>
              <w:t>Explanation</w:t>
            </w:r>
          </w:p>
        </w:tc>
        <w:tc>
          <w:tcPr>
            <w:tcW w:w="2126" w:type="dxa"/>
          </w:tcPr>
          <w:p w14:paraId="10FDD120" w14:textId="77777777" w:rsidR="00BC6E15" w:rsidRDefault="00BC6E15" w:rsidP="00D15679">
            <w:pPr>
              <w:spacing w:after="120"/>
            </w:pPr>
            <w:r w:rsidRPr="001D4594">
              <w:rPr>
                <w:rFonts w:ascii="Arial" w:hAnsi="Arial" w:cs="Arial"/>
                <w:b/>
                <w:bCs/>
              </w:rPr>
              <w:t>Action Plan</w:t>
            </w:r>
          </w:p>
        </w:tc>
        <w:tc>
          <w:tcPr>
            <w:tcW w:w="1417" w:type="dxa"/>
          </w:tcPr>
          <w:p w14:paraId="744C72B1" w14:textId="77777777" w:rsidR="00BC6E15" w:rsidRDefault="00BC6E15" w:rsidP="00D15679">
            <w:pPr>
              <w:spacing w:after="120"/>
            </w:pPr>
            <w:r>
              <w:rPr>
                <w:rFonts w:ascii="Arial" w:hAnsi="Arial" w:cs="Arial"/>
                <w:b/>
                <w:bCs/>
              </w:rPr>
              <w:t>Timeframe</w:t>
            </w:r>
          </w:p>
        </w:tc>
      </w:tr>
      <w:tr w:rsidR="00BC6E15" w14:paraId="1E732F4C" w14:textId="77777777" w:rsidTr="006F2E11">
        <w:tc>
          <w:tcPr>
            <w:tcW w:w="2405" w:type="dxa"/>
          </w:tcPr>
          <w:p w14:paraId="43CEF9B1" w14:textId="1DF0071A" w:rsidR="00BC6E15" w:rsidRDefault="00BC6E15" w:rsidP="00D15679">
            <w:pPr>
              <w:spacing w:after="120"/>
            </w:pPr>
            <w:r>
              <w:rPr>
                <w:rFonts w:ascii="Arial" w:hAnsi="Arial" w:cs="Arial"/>
              </w:rPr>
              <w:t>1: It is recommended that the DFAT Investment Manager, as Chair, updates the Working Group Meeting agenda to incorporate the areas discussed in section 2.3.6 and with reference to the suggested agenda presented in Annex 5. Specific areas for inclusion are partner reporting of progress against outcome, intermediate outcome and output level result statements, and validity of the program and assessment of financial progress.</w:t>
            </w:r>
          </w:p>
        </w:tc>
        <w:tc>
          <w:tcPr>
            <w:tcW w:w="1276" w:type="dxa"/>
          </w:tcPr>
          <w:p w14:paraId="764DE22D" w14:textId="77777777" w:rsidR="00BC6E15" w:rsidRDefault="00BC6E15" w:rsidP="00D15679">
            <w:pPr>
              <w:spacing w:after="120"/>
            </w:pPr>
            <w:r w:rsidRPr="008D2913">
              <w:rPr>
                <w:rFonts w:ascii="Arial" w:hAnsi="Arial" w:cs="Arial"/>
                <w:b/>
                <w:bCs/>
              </w:rPr>
              <w:t>Agreed</w:t>
            </w:r>
          </w:p>
        </w:tc>
        <w:tc>
          <w:tcPr>
            <w:tcW w:w="1843" w:type="dxa"/>
          </w:tcPr>
          <w:p w14:paraId="24EAC140" w14:textId="77777777" w:rsidR="00BC6E15" w:rsidRDefault="00BC6E15" w:rsidP="00D15679">
            <w:pPr>
              <w:spacing w:after="120"/>
            </w:pPr>
            <w:r>
              <w:rPr>
                <w:rFonts w:ascii="Arial" w:hAnsi="Arial" w:cs="Arial"/>
              </w:rPr>
              <w:t>Section 2.3.6 of the mid-term report outlines the Operations Manual as the guiding document that governs the partnerships and mechanisms of SARIC. The monitoring and evaluation framework may be adjusted to remain fit for purpose but continues to relate to the ways of working as defined in the Operations Manual.</w:t>
            </w:r>
          </w:p>
        </w:tc>
        <w:tc>
          <w:tcPr>
            <w:tcW w:w="2126" w:type="dxa"/>
          </w:tcPr>
          <w:p w14:paraId="5D04731D" w14:textId="77777777" w:rsidR="00BC6E15" w:rsidRDefault="00BC6E15" w:rsidP="00D15679">
            <w:pPr>
              <w:spacing w:after="120"/>
            </w:pPr>
            <w:r>
              <w:rPr>
                <w:rFonts w:ascii="Arial" w:hAnsi="Arial" w:cs="Arial"/>
              </w:rPr>
              <w:t xml:space="preserve">DFAT Chair to make a standard agenda item at every working group dedicated to </w:t>
            </w:r>
            <w:proofErr w:type="gramStart"/>
            <w:r>
              <w:rPr>
                <w:rFonts w:ascii="Arial" w:hAnsi="Arial" w:cs="Arial"/>
              </w:rPr>
              <w:t>discuss</w:t>
            </w:r>
            <w:proofErr w:type="gramEnd"/>
            <w:r>
              <w:rPr>
                <w:rFonts w:ascii="Arial" w:hAnsi="Arial" w:cs="Arial"/>
              </w:rPr>
              <w:t xml:space="preserve"> monitoring and evaluation.</w:t>
            </w:r>
          </w:p>
        </w:tc>
        <w:tc>
          <w:tcPr>
            <w:tcW w:w="1417" w:type="dxa"/>
          </w:tcPr>
          <w:p w14:paraId="0EC10897" w14:textId="77777777" w:rsidR="00BC6E15" w:rsidRDefault="00BC6E15" w:rsidP="00D15679">
            <w:pPr>
              <w:spacing w:after="120"/>
            </w:pPr>
            <w:r>
              <w:rPr>
                <w:rFonts w:ascii="Arial" w:hAnsi="Arial" w:cs="Arial"/>
              </w:rPr>
              <w:t>Commence in January 2024</w:t>
            </w:r>
          </w:p>
        </w:tc>
      </w:tr>
      <w:tr w:rsidR="00BC6E15" w14:paraId="63D81ED3" w14:textId="77777777" w:rsidTr="006F2E11">
        <w:tc>
          <w:tcPr>
            <w:tcW w:w="2405" w:type="dxa"/>
          </w:tcPr>
          <w:p w14:paraId="0A68B3A4" w14:textId="235FD071" w:rsidR="00BC6E15" w:rsidRDefault="00BC6E15" w:rsidP="00D15679">
            <w:pPr>
              <w:spacing w:after="120"/>
              <w:rPr>
                <w:rFonts w:ascii="Arial" w:hAnsi="Arial" w:cs="Arial"/>
              </w:rPr>
            </w:pPr>
            <w:r>
              <w:rPr>
                <w:rFonts w:ascii="Arial" w:hAnsi="Arial" w:cs="Arial"/>
              </w:rPr>
              <w:t xml:space="preserve">2: </w:t>
            </w:r>
            <w:r w:rsidRPr="00EC10F1">
              <w:rPr>
                <w:rFonts w:ascii="Arial" w:hAnsi="Arial" w:cs="Arial"/>
              </w:rPr>
              <w:t>It is recommended that the DFAT investment manager in collaboration with the SARIC partners develop a thematic focus area for alternate working group meetings, drawing in TTLs and DFAT post representatives to share thematic expertise and lessons from implementation</w:t>
            </w:r>
          </w:p>
        </w:tc>
        <w:tc>
          <w:tcPr>
            <w:tcW w:w="1276" w:type="dxa"/>
          </w:tcPr>
          <w:p w14:paraId="6DC04DFA" w14:textId="77777777" w:rsidR="00BC6E15" w:rsidRPr="008D2913" w:rsidRDefault="00BC6E15" w:rsidP="00D15679">
            <w:pPr>
              <w:spacing w:after="120"/>
              <w:rPr>
                <w:rFonts w:ascii="Arial" w:hAnsi="Arial" w:cs="Arial"/>
                <w:b/>
                <w:bCs/>
              </w:rPr>
            </w:pPr>
            <w:r w:rsidRPr="008D2913">
              <w:rPr>
                <w:rFonts w:ascii="Arial" w:hAnsi="Arial" w:cs="Arial"/>
                <w:b/>
                <w:bCs/>
              </w:rPr>
              <w:t>Agreed</w:t>
            </w:r>
          </w:p>
        </w:tc>
        <w:tc>
          <w:tcPr>
            <w:tcW w:w="1843" w:type="dxa"/>
          </w:tcPr>
          <w:p w14:paraId="057C60E4" w14:textId="77777777" w:rsidR="00BC6E15" w:rsidRDefault="00BC6E15" w:rsidP="00D15679">
            <w:pPr>
              <w:spacing w:after="120"/>
              <w:rPr>
                <w:rFonts w:ascii="Arial" w:hAnsi="Arial" w:cs="Arial"/>
              </w:rPr>
            </w:pPr>
            <w:r>
              <w:rPr>
                <w:rFonts w:ascii="Arial" w:hAnsi="Arial" w:cs="Arial"/>
              </w:rPr>
              <w:t>For DFAT and all partners to understand the outcomes and results of activities, engagement on thematic areas and team leaders is important. Working Groups are an ideal forum for these discussions.</w:t>
            </w:r>
          </w:p>
        </w:tc>
        <w:tc>
          <w:tcPr>
            <w:tcW w:w="2126" w:type="dxa"/>
          </w:tcPr>
          <w:p w14:paraId="0F9DC20E" w14:textId="77777777" w:rsidR="00BC6E15" w:rsidRDefault="00BC6E15" w:rsidP="00D15679">
            <w:pPr>
              <w:spacing w:after="120"/>
              <w:rPr>
                <w:rFonts w:ascii="Arial" w:hAnsi="Arial" w:cs="Arial"/>
              </w:rPr>
            </w:pPr>
            <w:r>
              <w:rPr>
                <w:rFonts w:ascii="Arial" w:hAnsi="Arial" w:cs="Arial"/>
              </w:rPr>
              <w:t>DFAT to make every second working group meeting have a thematic focus.</w:t>
            </w:r>
          </w:p>
          <w:p w14:paraId="322A418B" w14:textId="77777777" w:rsidR="00BC6E15" w:rsidRDefault="00BC6E15" w:rsidP="00D15679">
            <w:pPr>
              <w:spacing w:after="120"/>
              <w:rPr>
                <w:rFonts w:ascii="Arial" w:hAnsi="Arial" w:cs="Arial"/>
              </w:rPr>
            </w:pPr>
          </w:p>
          <w:p w14:paraId="1A213CA7" w14:textId="77777777" w:rsidR="00BC6E15" w:rsidRDefault="00BC6E15" w:rsidP="00D15679">
            <w:pPr>
              <w:spacing w:after="120"/>
              <w:rPr>
                <w:rFonts w:ascii="Arial" w:hAnsi="Arial" w:cs="Arial"/>
              </w:rPr>
            </w:pPr>
            <w:r>
              <w:rPr>
                <w:rFonts w:ascii="Arial" w:hAnsi="Arial" w:cs="Arial"/>
              </w:rPr>
              <w:t>DFAT to ask partners to invite team leaders to update on the progress and learnings from activities.</w:t>
            </w:r>
          </w:p>
        </w:tc>
        <w:tc>
          <w:tcPr>
            <w:tcW w:w="1417" w:type="dxa"/>
          </w:tcPr>
          <w:p w14:paraId="08208D44" w14:textId="77777777" w:rsidR="00BC6E15" w:rsidRDefault="00BC6E15" w:rsidP="00D15679">
            <w:pPr>
              <w:spacing w:after="120"/>
              <w:rPr>
                <w:rFonts w:ascii="Arial" w:hAnsi="Arial" w:cs="Arial"/>
              </w:rPr>
            </w:pPr>
            <w:r>
              <w:rPr>
                <w:rFonts w:ascii="Arial" w:hAnsi="Arial" w:cs="Arial"/>
              </w:rPr>
              <w:t>Commence in February 2024</w:t>
            </w:r>
          </w:p>
        </w:tc>
      </w:tr>
    </w:tbl>
    <w:p w14:paraId="1B9BC3D7" w14:textId="77777777" w:rsidR="006F113C" w:rsidRDefault="006F113C" w:rsidP="006F113C">
      <w:pPr>
        <w:pStyle w:val="Heading3"/>
        <w:spacing w:before="240" w:line="240" w:lineRule="atLeast"/>
        <w:rPr>
          <w:i/>
          <w:iCs/>
          <w:sz w:val="28"/>
          <w:szCs w:val="28"/>
        </w:rPr>
      </w:pPr>
    </w:p>
    <w:p w14:paraId="5317EA0F" w14:textId="77777777" w:rsidR="006F113C" w:rsidRDefault="006F113C" w:rsidP="006F113C">
      <w:pPr>
        <w:pStyle w:val="Heading3"/>
        <w:spacing w:before="240" w:line="240" w:lineRule="atLeast"/>
        <w:rPr>
          <w:i/>
          <w:iCs/>
          <w:sz w:val="28"/>
          <w:szCs w:val="28"/>
        </w:rPr>
      </w:pPr>
    </w:p>
    <w:p w14:paraId="27A8F2F6" w14:textId="3D3C7316" w:rsidR="006F113C" w:rsidRPr="00C16006" w:rsidRDefault="006F113C" w:rsidP="006F113C">
      <w:pPr>
        <w:pStyle w:val="Heading3"/>
        <w:spacing w:before="240" w:line="240" w:lineRule="atLeast"/>
        <w:rPr>
          <w:i/>
          <w:iCs/>
          <w:sz w:val="24"/>
          <w:szCs w:val="24"/>
        </w:rPr>
      </w:pPr>
      <w:r w:rsidRPr="00C16006">
        <w:rPr>
          <w:i/>
          <w:iCs/>
          <w:sz w:val="24"/>
          <w:szCs w:val="24"/>
        </w:rPr>
        <w:lastRenderedPageBreak/>
        <w:t>Early-Stage Project Identification</w:t>
      </w:r>
    </w:p>
    <w:p w14:paraId="47F4D311" w14:textId="77777777" w:rsidR="006F113C" w:rsidRDefault="006F113C" w:rsidP="006F113C"/>
    <w:tbl>
      <w:tblPr>
        <w:tblStyle w:val="TableGrid"/>
        <w:tblW w:w="9067" w:type="dxa"/>
        <w:tblLayout w:type="fixed"/>
        <w:tblLook w:val="04A0" w:firstRow="1" w:lastRow="0" w:firstColumn="1" w:lastColumn="0" w:noHBand="0" w:noVBand="1"/>
      </w:tblPr>
      <w:tblGrid>
        <w:gridCol w:w="2405"/>
        <w:gridCol w:w="1276"/>
        <w:gridCol w:w="1843"/>
        <w:gridCol w:w="2126"/>
        <w:gridCol w:w="1417"/>
      </w:tblGrid>
      <w:tr w:rsidR="006F113C" w14:paraId="3BAB37DC" w14:textId="77777777" w:rsidTr="006F2E11">
        <w:trPr>
          <w:tblHeader/>
        </w:trPr>
        <w:tc>
          <w:tcPr>
            <w:tcW w:w="2405" w:type="dxa"/>
          </w:tcPr>
          <w:p w14:paraId="06EE0634" w14:textId="77777777" w:rsidR="006F113C" w:rsidRDefault="006F113C" w:rsidP="00290DEE">
            <w:pPr>
              <w:spacing w:after="120"/>
            </w:pPr>
            <w:r w:rsidRPr="001D4594">
              <w:rPr>
                <w:rFonts w:ascii="Arial" w:hAnsi="Arial" w:cs="Arial"/>
                <w:b/>
                <w:bCs/>
              </w:rPr>
              <w:t>Recommendation</w:t>
            </w:r>
          </w:p>
        </w:tc>
        <w:tc>
          <w:tcPr>
            <w:tcW w:w="1276" w:type="dxa"/>
          </w:tcPr>
          <w:p w14:paraId="7470BA13" w14:textId="77777777" w:rsidR="006F113C" w:rsidRDefault="006F113C" w:rsidP="00290DEE">
            <w:pPr>
              <w:spacing w:after="120"/>
            </w:pPr>
            <w:r w:rsidRPr="001D4594">
              <w:rPr>
                <w:rFonts w:ascii="Arial" w:hAnsi="Arial" w:cs="Arial"/>
                <w:b/>
                <w:bCs/>
              </w:rPr>
              <w:t>Response</w:t>
            </w:r>
          </w:p>
        </w:tc>
        <w:tc>
          <w:tcPr>
            <w:tcW w:w="1843" w:type="dxa"/>
          </w:tcPr>
          <w:p w14:paraId="239F6C28" w14:textId="77777777" w:rsidR="006F113C" w:rsidRDefault="006F113C" w:rsidP="00290DEE">
            <w:pPr>
              <w:spacing w:after="120"/>
            </w:pPr>
            <w:r w:rsidRPr="001D4594">
              <w:rPr>
                <w:rFonts w:ascii="Arial" w:hAnsi="Arial" w:cs="Arial"/>
                <w:b/>
                <w:bCs/>
              </w:rPr>
              <w:t>Explanation</w:t>
            </w:r>
          </w:p>
        </w:tc>
        <w:tc>
          <w:tcPr>
            <w:tcW w:w="2126" w:type="dxa"/>
          </w:tcPr>
          <w:p w14:paraId="3604FABF" w14:textId="77777777" w:rsidR="006F113C" w:rsidRDefault="006F113C" w:rsidP="00290DEE">
            <w:pPr>
              <w:spacing w:after="120"/>
            </w:pPr>
            <w:r w:rsidRPr="001D4594">
              <w:rPr>
                <w:rFonts w:ascii="Arial" w:hAnsi="Arial" w:cs="Arial"/>
                <w:b/>
                <w:bCs/>
              </w:rPr>
              <w:t>Action Plan</w:t>
            </w:r>
          </w:p>
        </w:tc>
        <w:tc>
          <w:tcPr>
            <w:tcW w:w="1417" w:type="dxa"/>
          </w:tcPr>
          <w:p w14:paraId="78143E69" w14:textId="77777777" w:rsidR="006F113C" w:rsidRDefault="006F113C" w:rsidP="00290DEE">
            <w:pPr>
              <w:spacing w:after="120"/>
            </w:pPr>
            <w:r>
              <w:rPr>
                <w:rFonts w:ascii="Arial" w:hAnsi="Arial" w:cs="Arial"/>
                <w:b/>
                <w:bCs/>
              </w:rPr>
              <w:t>Timeframe</w:t>
            </w:r>
          </w:p>
        </w:tc>
      </w:tr>
      <w:tr w:rsidR="006F113C" w14:paraId="747B2492" w14:textId="77777777" w:rsidTr="006F2E11">
        <w:trPr>
          <w:tblHeader/>
        </w:trPr>
        <w:tc>
          <w:tcPr>
            <w:tcW w:w="2405" w:type="dxa"/>
          </w:tcPr>
          <w:p w14:paraId="328AB430" w14:textId="77777777" w:rsidR="006F113C" w:rsidRPr="001D4594" w:rsidRDefault="006F113C" w:rsidP="00290DEE">
            <w:pPr>
              <w:spacing w:after="120"/>
              <w:rPr>
                <w:rFonts w:ascii="Arial" w:hAnsi="Arial" w:cs="Arial"/>
                <w:b/>
                <w:bCs/>
              </w:rPr>
            </w:pPr>
            <w:r>
              <w:rPr>
                <w:rFonts w:ascii="Arial" w:hAnsi="Arial" w:cs="Arial"/>
              </w:rPr>
              <w:t xml:space="preserve">3: </w:t>
            </w:r>
            <w:r w:rsidRPr="00F92B65">
              <w:rPr>
                <w:rFonts w:ascii="Arial" w:hAnsi="Arial" w:cs="Arial"/>
              </w:rPr>
              <w:t>It is recommended that IFC and World Bank provide additional information on the process of early-stage project identification, by incorporating progress at this stage of work in program updates at working group meetings, with basic information on section, type of activity and timeline of expenditure.</w:t>
            </w:r>
          </w:p>
        </w:tc>
        <w:tc>
          <w:tcPr>
            <w:tcW w:w="1276" w:type="dxa"/>
          </w:tcPr>
          <w:p w14:paraId="0E2F50EF" w14:textId="77777777" w:rsidR="006F113C" w:rsidRPr="001D4594" w:rsidRDefault="006F113C" w:rsidP="00290DEE">
            <w:pPr>
              <w:spacing w:after="120"/>
              <w:rPr>
                <w:rFonts w:ascii="Arial" w:hAnsi="Arial" w:cs="Arial"/>
                <w:b/>
                <w:bCs/>
              </w:rPr>
            </w:pPr>
            <w:r w:rsidRPr="008D2913">
              <w:rPr>
                <w:rFonts w:ascii="Arial" w:hAnsi="Arial" w:cs="Arial"/>
                <w:b/>
                <w:bCs/>
              </w:rPr>
              <w:t>Agreed</w:t>
            </w:r>
          </w:p>
        </w:tc>
        <w:tc>
          <w:tcPr>
            <w:tcW w:w="1843" w:type="dxa"/>
          </w:tcPr>
          <w:p w14:paraId="48409CD7" w14:textId="77777777" w:rsidR="006F113C" w:rsidRPr="001D4594" w:rsidRDefault="006F113C" w:rsidP="00290DEE">
            <w:pPr>
              <w:spacing w:after="120"/>
              <w:rPr>
                <w:rFonts w:ascii="Arial" w:hAnsi="Arial" w:cs="Arial"/>
                <w:b/>
                <w:bCs/>
              </w:rPr>
            </w:pPr>
            <w:r>
              <w:rPr>
                <w:rFonts w:ascii="Arial" w:hAnsi="Arial" w:cs="Arial"/>
              </w:rPr>
              <w:t>DFAT, World Bank, IFC and Palladium to use the working group meetings to discuss potential SARIC activities as appropriate. Note that SARIC’s funding is fully committed to activities. There is no scope for new projects under current funding levels.</w:t>
            </w:r>
          </w:p>
        </w:tc>
        <w:tc>
          <w:tcPr>
            <w:tcW w:w="2126" w:type="dxa"/>
          </w:tcPr>
          <w:p w14:paraId="71CDD0E6" w14:textId="77777777" w:rsidR="006F113C" w:rsidRDefault="006F113C" w:rsidP="00290DEE">
            <w:pPr>
              <w:spacing w:after="120"/>
              <w:rPr>
                <w:rFonts w:ascii="Arial" w:hAnsi="Arial" w:cs="Arial"/>
              </w:rPr>
            </w:pPr>
            <w:r>
              <w:rPr>
                <w:rFonts w:ascii="Arial" w:hAnsi="Arial" w:cs="Arial"/>
              </w:rPr>
              <w:t>DFAT to allocate time in working group meetings as appropriate for World Bank and IFC to discuss potential SARIC projects</w:t>
            </w:r>
            <w:r w:rsidRPr="00F92B65">
              <w:rPr>
                <w:rFonts w:ascii="Arial" w:hAnsi="Arial" w:cs="Arial"/>
              </w:rPr>
              <w:t>, with basic information on section, type of activity and timeline of expenditure</w:t>
            </w:r>
            <w:r>
              <w:rPr>
                <w:rFonts w:ascii="Arial" w:hAnsi="Arial" w:cs="Arial"/>
              </w:rPr>
              <w:t>.</w:t>
            </w:r>
          </w:p>
          <w:p w14:paraId="7FD3FDDD" w14:textId="77777777" w:rsidR="006F113C" w:rsidRPr="001D4594" w:rsidRDefault="006F113C" w:rsidP="00290DEE">
            <w:pPr>
              <w:spacing w:after="120"/>
              <w:rPr>
                <w:rFonts w:ascii="Arial" w:hAnsi="Arial" w:cs="Arial"/>
                <w:b/>
                <w:bCs/>
              </w:rPr>
            </w:pPr>
          </w:p>
        </w:tc>
        <w:tc>
          <w:tcPr>
            <w:tcW w:w="1417" w:type="dxa"/>
          </w:tcPr>
          <w:p w14:paraId="02BF004C" w14:textId="77777777" w:rsidR="006F113C" w:rsidRDefault="006F113C" w:rsidP="00290DEE">
            <w:pPr>
              <w:spacing w:after="120"/>
              <w:rPr>
                <w:rFonts w:ascii="Arial" w:hAnsi="Arial" w:cs="Arial"/>
                <w:b/>
                <w:bCs/>
              </w:rPr>
            </w:pPr>
            <w:r>
              <w:rPr>
                <w:rFonts w:ascii="Arial" w:hAnsi="Arial" w:cs="Arial"/>
              </w:rPr>
              <w:t>Commence in February 2024</w:t>
            </w:r>
          </w:p>
        </w:tc>
      </w:tr>
      <w:tr w:rsidR="006F113C" w14:paraId="5736F18D" w14:textId="77777777" w:rsidTr="006F2E11">
        <w:trPr>
          <w:tblHeader/>
        </w:trPr>
        <w:tc>
          <w:tcPr>
            <w:tcW w:w="2405" w:type="dxa"/>
          </w:tcPr>
          <w:p w14:paraId="3336E164" w14:textId="77777777" w:rsidR="006F113C" w:rsidRPr="00575C36" w:rsidRDefault="006F113C" w:rsidP="00290DEE">
            <w:pPr>
              <w:spacing w:after="120"/>
              <w:rPr>
                <w:rFonts w:ascii="Arial" w:hAnsi="Arial" w:cs="Arial"/>
              </w:rPr>
            </w:pPr>
            <w:r w:rsidRPr="00575C36">
              <w:rPr>
                <w:rFonts w:ascii="Arial" w:hAnsi="Arial" w:cs="Arial"/>
              </w:rPr>
              <w:t xml:space="preserve">4: </w:t>
            </w:r>
          </w:p>
          <w:p w14:paraId="5B71768B" w14:textId="77777777" w:rsidR="006F113C" w:rsidRDefault="006F113C" w:rsidP="00290DEE">
            <w:pPr>
              <w:spacing w:after="120"/>
              <w:rPr>
                <w:rFonts w:ascii="Arial" w:hAnsi="Arial" w:cs="Arial"/>
              </w:rPr>
            </w:pPr>
            <w:r w:rsidRPr="00CD40A5">
              <w:rPr>
                <w:rFonts w:ascii="Arial" w:hAnsi="Arial" w:cs="Arial"/>
              </w:rPr>
              <w:t>It is recommended that DFAT lead a discussion with the Steering Committee and come to agreement on whether and how any additional meaningful consultation with DFAT could take place at this stage of project selection.</w:t>
            </w:r>
          </w:p>
        </w:tc>
        <w:tc>
          <w:tcPr>
            <w:tcW w:w="1276" w:type="dxa"/>
          </w:tcPr>
          <w:p w14:paraId="2ADD9BB2" w14:textId="77777777" w:rsidR="006F113C" w:rsidRPr="008D2913" w:rsidRDefault="006F113C" w:rsidP="00290DEE">
            <w:pPr>
              <w:spacing w:after="120"/>
              <w:rPr>
                <w:rFonts w:ascii="Arial" w:hAnsi="Arial" w:cs="Arial"/>
                <w:b/>
                <w:bCs/>
              </w:rPr>
            </w:pPr>
            <w:r>
              <w:rPr>
                <w:rFonts w:ascii="Arial" w:hAnsi="Arial" w:cs="Arial"/>
                <w:b/>
                <w:bCs/>
              </w:rPr>
              <w:t>Not Agreed</w:t>
            </w:r>
          </w:p>
        </w:tc>
        <w:tc>
          <w:tcPr>
            <w:tcW w:w="1843" w:type="dxa"/>
          </w:tcPr>
          <w:p w14:paraId="12AAD668" w14:textId="77777777" w:rsidR="006F113C" w:rsidRDefault="006F113C" w:rsidP="00290DEE">
            <w:pPr>
              <w:spacing w:after="120"/>
              <w:rPr>
                <w:rFonts w:ascii="Arial" w:hAnsi="Arial" w:cs="Arial"/>
              </w:rPr>
            </w:pPr>
            <w:r>
              <w:rPr>
                <w:rFonts w:ascii="Arial" w:hAnsi="Arial" w:cs="Arial"/>
              </w:rPr>
              <w:t>Steering Committee meetings are currently held annually between senior managers of DFAT, World Bank and IFC to set the general direction of the program.  Regular working group meetings are the most appropriate place to discuss project proposals.</w:t>
            </w:r>
          </w:p>
        </w:tc>
        <w:tc>
          <w:tcPr>
            <w:tcW w:w="2126" w:type="dxa"/>
          </w:tcPr>
          <w:p w14:paraId="3EF005FC" w14:textId="77777777" w:rsidR="006F113C" w:rsidRDefault="006F113C" w:rsidP="00290DEE">
            <w:pPr>
              <w:spacing w:after="120"/>
              <w:rPr>
                <w:rFonts w:ascii="Arial" w:hAnsi="Arial" w:cs="Arial"/>
              </w:rPr>
            </w:pPr>
            <w:r>
              <w:rPr>
                <w:rFonts w:ascii="Arial" w:hAnsi="Arial" w:cs="Arial"/>
              </w:rPr>
              <w:t>DFAT will invite Palladium to join future Steering Committee meetings for more holistic direction setting.</w:t>
            </w:r>
          </w:p>
        </w:tc>
        <w:tc>
          <w:tcPr>
            <w:tcW w:w="1417" w:type="dxa"/>
          </w:tcPr>
          <w:p w14:paraId="192262DA" w14:textId="77777777" w:rsidR="006F113C" w:rsidRDefault="006F113C" w:rsidP="00290DEE">
            <w:pPr>
              <w:spacing w:after="120"/>
              <w:rPr>
                <w:rFonts w:ascii="Arial" w:hAnsi="Arial" w:cs="Arial"/>
              </w:rPr>
            </w:pPr>
          </w:p>
        </w:tc>
      </w:tr>
    </w:tbl>
    <w:p w14:paraId="62E7E52C" w14:textId="77777777" w:rsidR="006F113C" w:rsidRDefault="006F113C" w:rsidP="006F113C"/>
    <w:p w14:paraId="106D4D8B" w14:textId="77777777" w:rsidR="006F113C" w:rsidRDefault="006F113C" w:rsidP="006F113C"/>
    <w:p w14:paraId="7DF48105" w14:textId="77777777" w:rsidR="006F113C" w:rsidRDefault="006F113C" w:rsidP="006F113C"/>
    <w:p w14:paraId="1DD17C73" w14:textId="77777777" w:rsidR="006F113C" w:rsidRDefault="006F113C" w:rsidP="006F113C"/>
    <w:p w14:paraId="72AB7209" w14:textId="77777777" w:rsidR="006F2E11" w:rsidRDefault="006F2E11" w:rsidP="006F113C"/>
    <w:p w14:paraId="778AB86A" w14:textId="77777777" w:rsidR="00E06211" w:rsidRDefault="00E06211">
      <w:pPr>
        <w:suppressAutoHyphens w:val="0"/>
        <w:spacing w:before="0" w:after="160" w:line="259" w:lineRule="auto"/>
        <w:rPr>
          <w:rFonts w:ascii="Arial" w:hAnsi="Arial" w:cs="Arial"/>
          <w:b/>
          <w:bCs/>
          <w:i/>
          <w:iCs/>
          <w:sz w:val="24"/>
          <w:szCs w:val="24"/>
        </w:rPr>
      </w:pPr>
    </w:p>
    <w:p w14:paraId="58EA2119" w14:textId="474D29FD" w:rsidR="00EE3D84" w:rsidRDefault="00E06211">
      <w:pPr>
        <w:suppressAutoHyphens w:val="0"/>
        <w:spacing w:before="0" w:after="160" w:line="259" w:lineRule="auto"/>
        <w:rPr>
          <w:rFonts w:ascii="Arial" w:hAnsi="Arial" w:cs="Arial"/>
          <w:b/>
          <w:bCs/>
          <w:i/>
          <w:iCs/>
          <w:sz w:val="24"/>
          <w:szCs w:val="24"/>
        </w:rPr>
      </w:pPr>
      <w:r w:rsidRPr="00C16006">
        <w:rPr>
          <w:rFonts w:ascii="Arial" w:hAnsi="Arial" w:cs="Arial"/>
          <w:b/>
          <w:bCs/>
          <w:i/>
          <w:iCs/>
          <w:sz w:val="24"/>
          <w:szCs w:val="24"/>
        </w:rPr>
        <w:lastRenderedPageBreak/>
        <w:t>Monitoring, Evaluation and Reporting</w:t>
      </w:r>
      <w:r>
        <w:rPr>
          <w:rFonts w:ascii="Arial" w:hAnsi="Arial" w:cs="Arial"/>
          <w:b/>
          <w:bCs/>
          <w:i/>
          <w:iCs/>
          <w:sz w:val="24"/>
          <w:szCs w:val="24"/>
        </w:rPr>
        <w:t xml:space="preserve"> </w:t>
      </w:r>
    </w:p>
    <w:p w14:paraId="05FA2178" w14:textId="77777777" w:rsidR="00D208FF" w:rsidRDefault="00D208FF">
      <w:pPr>
        <w:suppressAutoHyphens w:val="0"/>
        <w:spacing w:before="0" w:after="160" w:line="259" w:lineRule="auto"/>
        <w:rPr>
          <w:rFonts w:ascii="Arial" w:hAnsi="Arial" w:cs="Arial"/>
          <w:b/>
          <w:bCs/>
          <w:i/>
          <w:iCs/>
          <w:sz w:val="24"/>
          <w:szCs w:val="24"/>
        </w:rPr>
      </w:pPr>
    </w:p>
    <w:tbl>
      <w:tblPr>
        <w:tblStyle w:val="TableGrid"/>
        <w:tblW w:w="0" w:type="auto"/>
        <w:tblLook w:val="04A0" w:firstRow="1" w:lastRow="0" w:firstColumn="1" w:lastColumn="0" w:noHBand="0" w:noVBand="1"/>
      </w:tblPr>
      <w:tblGrid>
        <w:gridCol w:w="2062"/>
        <w:gridCol w:w="1609"/>
        <w:gridCol w:w="1855"/>
        <w:gridCol w:w="1855"/>
        <w:gridCol w:w="1635"/>
      </w:tblGrid>
      <w:tr w:rsidR="00D208FF" w14:paraId="0B61AA71" w14:textId="04C8552E" w:rsidTr="00D208FF">
        <w:tc>
          <w:tcPr>
            <w:tcW w:w="2062" w:type="dxa"/>
          </w:tcPr>
          <w:p w14:paraId="5987C1D9" w14:textId="0F8F7D10"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b/>
                <w:bCs/>
              </w:rPr>
              <w:t>Re</w:t>
            </w:r>
            <w:r w:rsidRPr="001D4594">
              <w:rPr>
                <w:rFonts w:ascii="Arial" w:hAnsi="Arial" w:cs="Arial"/>
                <w:b/>
                <w:bCs/>
              </w:rPr>
              <w:t>commendation</w:t>
            </w:r>
          </w:p>
        </w:tc>
        <w:tc>
          <w:tcPr>
            <w:tcW w:w="1609" w:type="dxa"/>
          </w:tcPr>
          <w:p w14:paraId="4824833D" w14:textId="0EBD7780" w:rsidR="00D208FF" w:rsidRDefault="00D208FF" w:rsidP="00D208FF">
            <w:pPr>
              <w:suppressAutoHyphens w:val="0"/>
              <w:spacing w:before="0" w:after="160" w:line="259" w:lineRule="auto"/>
              <w:rPr>
                <w:rFonts w:ascii="Arial" w:hAnsi="Arial" w:cs="Arial"/>
                <w:b/>
                <w:bCs/>
                <w:i/>
                <w:iCs/>
                <w:sz w:val="24"/>
                <w:szCs w:val="24"/>
              </w:rPr>
            </w:pPr>
            <w:r w:rsidRPr="001D4594">
              <w:rPr>
                <w:rFonts w:ascii="Arial" w:hAnsi="Arial" w:cs="Arial"/>
                <w:b/>
                <w:bCs/>
              </w:rPr>
              <w:t>Response</w:t>
            </w:r>
          </w:p>
        </w:tc>
        <w:tc>
          <w:tcPr>
            <w:tcW w:w="1855" w:type="dxa"/>
          </w:tcPr>
          <w:p w14:paraId="3BCB9A18" w14:textId="159E352E" w:rsidR="00D208FF" w:rsidRDefault="00D208FF" w:rsidP="00D208FF">
            <w:pPr>
              <w:suppressAutoHyphens w:val="0"/>
              <w:spacing w:before="0" w:after="160" w:line="259" w:lineRule="auto"/>
              <w:rPr>
                <w:rFonts w:ascii="Arial" w:hAnsi="Arial" w:cs="Arial"/>
                <w:b/>
                <w:bCs/>
                <w:i/>
                <w:iCs/>
                <w:sz w:val="24"/>
                <w:szCs w:val="24"/>
              </w:rPr>
            </w:pPr>
            <w:r w:rsidRPr="001D4594">
              <w:rPr>
                <w:rFonts w:ascii="Arial" w:hAnsi="Arial" w:cs="Arial"/>
                <w:b/>
                <w:bCs/>
              </w:rPr>
              <w:t>Explanation</w:t>
            </w:r>
          </w:p>
        </w:tc>
        <w:tc>
          <w:tcPr>
            <w:tcW w:w="1855" w:type="dxa"/>
          </w:tcPr>
          <w:p w14:paraId="0CE369E2" w14:textId="716AEAB8" w:rsidR="00D208FF" w:rsidRDefault="00D208FF" w:rsidP="00D208FF">
            <w:pPr>
              <w:suppressAutoHyphens w:val="0"/>
              <w:spacing w:before="0" w:after="160" w:line="259" w:lineRule="auto"/>
              <w:rPr>
                <w:rFonts w:ascii="Arial" w:hAnsi="Arial" w:cs="Arial"/>
                <w:b/>
                <w:bCs/>
                <w:i/>
                <w:iCs/>
                <w:sz w:val="24"/>
                <w:szCs w:val="24"/>
              </w:rPr>
            </w:pPr>
            <w:r w:rsidRPr="001D4594">
              <w:rPr>
                <w:rFonts w:ascii="Arial" w:hAnsi="Arial" w:cs="Arial"/>
                <w:b/>
                <w:bCs/>
              </w:rPr>
              <w:t>Action Plan</w:t>
            </w:r>
          </w:p>
        </w:tc>
        <w:tc>
          <w:tcPr>
            <w:tcW w:w="1635" w:type="dxa"/>
          </w:tcPr>
          <w:p w14:paraId="147883AE" w14:textId="2DBB79D9"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b/>
                <w:bCs/>
              </w:rPr>
              <w:t>Timeframe</w:t>
            </w:r>
          </w:p>
        </w:tc>
      </w:tr>
      <w:tr w:rsidR="00D208FF" w14:paraId="16D61244" w14:textId="77777777" w:rsidTr="00D208FF">
        <w:tc>
          <w:tcPr>
            <w:tcW w:w="2062" w:type="dxa"/>
          </w:tcPr>
          <w:p w14:paraId="77EDD273" w14:textId="77777777" w:rsidR="00D208FF" w:rsidRPr="009E6B95" w:rsidRDefault="00D208FF" w:rsidP="00D208FF">
            <w:pPr>
              <w:spacing w:after="120"/>
              <w:rPr>
                <w:rFonts w:ascii="Arial" w:hAnsi="Arial" w:cs="Arial"/>
              </w:rPr>
            </w:pPr>
            <w:r w:rsidRPr="009E6B95">
              <w:rPr>
                <w:rFonts w:ascii="Arial" w:hAnsi="Arial" w:cs="Arial"/>
              </w:rPr>
              <w:t>5:</w:t>
            </w:r>
          </w:p>
          <w:p w14:paraId="57400A65" w14:textId="79AF756B" w:rsidR="00D208FF" w:rsidRDefault="00D208FF" w:rsidP="00D208FF">
            <w:pPr>
              <w:suppressAutoHyphens w:val="0"/>
              <w:spacing w:before="0" w:after="160" w:line="259" w:lineRule="auto"/>
              <w:rPr>
                <w:rFonts w:ascii="Arial" w:hAnsi="Arial" w:cs="Arial"/>
                <w:b/>
                <w:bCs/>
                <w:i/>
                <w:iCs/>
                <w:sz w:val="24"/>
                <w:szCs w:val="24"/>
              </w:rPr>
            </w:pPr>
            <w:r w:rsidRPr="003E3C56">
              <w:rPr>
                <w:rFonts w:ascii="Arial" w:hAnsi="Arial" w:cs="Arial"/>
              </w:rPr>
              <w:t xml:space="preserve">It is recommended that the </w:t>
            </w:r>
            <w:r>
              <w:rPr>
                <w:rFonts w:ascii="Arial" w:hAnsi="Arial" w:cs="Arial"/>
              </w:rPr>
              <w:t>monitoring and evaluation (</w:t>
            </w:r>
            <w:r w:rsidRPr="003E3C56">
              <w:rPr>
                <w:rFonts w:ascii="Arial" w:hAnsi="Arial" w:cs="Arial"/>
              </w:rPr>
              <w:t>M&amp;E</w:t>
            </w:r>
            <w:r>
              <w:rPr>
                <w:rFonts w:ascii="Arial" w:hAnsi="Arial" w:cs="Arial"/>
              </w:rPr>
              <w:t xml:space="preserve">) </w:t>
            </w:r>
            <w:r w:rsidRPr="003E3C56">
              <w:rPr>
                <w:rFonts w:ascii="Arial" w:hAnsi="Arial" w:cs="Arial"/>
              </w:rPr>
              <w:t>coordinator works closely with all partners to develop and agree on targets at output, intermediate outcome, and outcome levels of the results framework.</w:t>
            </w:r>
          </w:p>
        </w:tc>
        <w:tc>
          <w:tcPr>
            <w:tcW w:w="1609" w:type="dxa"/>
          </w:tcPr>
          <w:p w14:paraId="4EDB9FA7" w14:textId="5B387C96" w:rsidR="00D208FF" w:rsidRDefault="00D208FF" w:rsidP="00D208FF">
            <w:pPr>
              <w:suppressAutoHyphens w:val="0"/>
              <w:spacing w:before="0" w:after="160" w:line="259" w:lineRule="auto"/>
              <w:rPr>
                <w:rFonts w:ascii="Arial" w:hAnsi="Arial" w:cs="Arial"/>
                <w:b/>
                <w:bCs/>
                <w:i/>
                <w:iCs/>
                <w:sz w:val="24"/>
                <w:szCs w:val="24"/>
              </w:rPr>
            </w:pPr>
            <w:r w:rsidRPr="009E6B95">
              <w:rPr>
                <w:rFonts w:ascii="Arial" w:hAnsi="Arial" w:cs="Arial"/>
                <w:b/>
                <w:bCs/>
              </w:rPr>
              <w:t>Agreed</w:t>
            </w:r>
          </w:p>
        </w:tc>
        <w:tc>
          <w:tcPr>
            <w:tcW w:w="1855" w:type="dxa"/>
          </w:tcPr>
          <w:p w14:paraId="5A88B723" w14:textId="211063EE"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rPr>
              <w:t>The M&amp;E coordinator is a resource to SARIC funded by DFAT. Regular meetings are held between the M&amp;E coordinator and partners to allow ongoing conversations on updating the M&amp;E framework and program targets.</w:t>
            </w:r>
          </w:p>
        </w:tc>
        <w:tc>
          <w:tcPr>
            <w:tcW w:w="1855" w:type="dxa"/>
          </w:tcPr>
          <w:p w14:paraId="49E6A204" w14:textId="0CD66859"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rPr>
              <w:t>The M&amp;E coordinator has commenced discussions on updating the M&amp;E framework and developing targets in line with Australia’s new international development policy.</w:t>
            </w:r>
          </w:p>
        </w:tc>
        <w:tc>
          <w:tcPr>
            <w:tcW w:w="1635" w:type="dxa"/>
          </w:tcPr>
          <w:p w14:paraId="2FE2474D" w14:textId="186DCB5E"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rPr>
              <w:t>Commence in January 2024</w:t>
            </w:r>
          </w:p>
        </w:tc>
      </w:tr>
      <w:tr w:rsidR="00D208FF" w14:paraId="05DAC18A" w14:textId="77777777" w:rsidTr="00D208FF">
        <w:tc>
          <w:tcPr>
            <w:tcW w:w="2062" w:type="dxa"/>
          </w:tcPr>
          <w:p w14:paraId="5E9E86EA" w14:textId="77777777" w:rsidR="00D208FF" w:rsidRPr="00940F13" w:rsidRDefault="00D208FF" w:rsidP="00D208FF">
            <w:pPr>
              <w:spacing w:after="120"/>
              <w:rPr>
                <w:rFonts w:ascii="Arial" w:hAnsi="Arial" w:cs="Arial"/>
              </w:rPr>
            </w:pPr>
            <w:r w:rsidRPr="00940F13">
              <w:rPr>
                <w:rFonts w:ascii="Arial" w:hAnsi="Arial" w:cs="Arial"/>
              </w:rPr>
              <w:t>6:</w:t>
            </w:r>
          </w:p>
          <w:p w14:paraId="50F49FB6" w14:textId="02AA9BEC"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rPr>
              <w:t>It is recommended that the M&amp;E coordinator, in collaboration with partner M&amp;E coordinators, revise the reporting template so that it gathers progress and achievements against output and outcome results statement and indicators.</w:t>
            </w:r>
          </w:p>
        </w:tc>
        <w:tc>
          <w:tcPr>
            <w:tcW w:w="1609" w:type="dxa"/>
          </w:tcPr>
          <w:p w14:paraId="539FD8C4" w14:textId="662C6933"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b/>
                <w:bCs/>
              </w:rPr>
              <w:t>Agreed</w:t>
            </w:r>
          </w:p>
        </w:tc>
        <w:tc>
          <w:tcPr>
            <w:tcW w:w="1855" w:type="dxa"/>
          </w:tcPr>
          <w:p w14:paraId="364BB444" w14:textId="50CCB9C6"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rPr>
              <w:t>As per recommendation 5, regular conversations take place within the M&amp;E coordinators.</w:t>
            </w:r>
          </w:p>
        </w:tc>
        <w:tc>
          <w:tcPr>
            <w:tcW w:w="1855" w:type="dxa"/>
          </w:tcPr>
          <w:p w14:paraId="114F5F1C" w14:textId="58FFAF27"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rPr>
              <w:t xml:space="preserve">The M&amp;E coordinator will take this recommendation forward during the updating of the results framework and subsequent reporting in March and October each year. </w:t>
            </w:r>
          </w:p>
        </w:tc>
        <w:tc>
          <w:tcPr>
            <w:tcW w:w="1635" w:type="dxa"/>
          </w:tcPr>
          <w:p w14:paraId="2D0076CF" w14:textId="63EF5D48" w:rsidR="00D208FF" w:rsidRDefault="00D208FF" w:rsidP="00D208FF">
            <w:pPr>
              <w:suppressAutoHyphens w:val="0"/>
              <w:spacing w:before="0" w:after="160" w:line="259" w:lineRule="auto"/>
              <w:rPr>
                <w:rFonts w:ascii="Arial" w:hAnsi="Arial" w:cs="Arial"/>
                <w:b/>
                <w:bCs/>
                <w:i/>
                <w:iCs/>
                <w:sz w:val="24"/>
                <w:szCs w:val="24"/>
              </w:rPr>
            </w:pPr>
            <w:r>
              <w:rPr>
                <w:rFonts w:ascii="Arial" w:hAnsi="Arial" w:cs="Arial"/>
              </w:rPr>
              <w:t>Commence in March 2024</w:t>
            </w:r>
          </w:p>
        </w:tc>
      </w:tr>
    </w:tbl>
    <w:p w14:paraId="6B6A3C17" w14:textId="2D23FE93" w:rsidR="00220747" w:rsidRDefault="00220747">
      <w:pPr>
        <w:suppressAutoHyphens w:val="0"/>
        <w:spacing w:before="0" w:after="160" w:line="259" w:lineRule="auto"/>
        <w:rPr>
          <w:rFonts w:ascii="Arial" w:hAnsi="Arial" w:cs="Arial"/>
          <w:b/>
          <w:bCs/>
          <w:i/>
          <w:iCs/>
          <w:sz w:val="24"/>
          <w:szCs w:val="24"/>
        </w:rPr>
      </w:pPr>
      <w:r>
        <w:rPr>
          <w:rFonts w:ascii="Arial" w:hAnsi="Arial" w:cs="Arial"/>
          <w:b/>
          <w:bCs/>
          <w:i/>
          <w:iCs/>
          <w:sz w:val="24"/>
          <w:szCs w:val="24"/>
        </w:rPr>
        <w:br w:type="page"/>
      </w:r>
    </w:p>
    <w:tbl>
      <w:tblPr>
        <w:tblStyle w:val="TableGrid"/>
        <w:tblW w:w="0" w:type="auto"/>
        <w:tblLook w:val="04A0" w:firstRow="1" w:lastRow="0" w:firstColumn="1" w:lastColumn="0" w:noHBand="0" w:noVBand="1"/>
      </w:tblPr>
      <w:tblGrid>
        <w:gridCol w:w="1981"/>
        <w:gridCol w:w="974"/>
        <w:gridCol w:w="2153"/>
        <w:gridCol w:w="2412"/>
        <w:gridCol w:w="1496"/>
      </w:tblGrid>
      <w:tr w:rsidR="006F2E11" w14:paraId="35A75DE4" w14:textId="77777777" w:rsidTr="00E06211">
        <w:trPr>
          <w:trHeight w:val="4509"/>
          <w:tblHeader/>
        </w:trPr>
        <w:tc>
          <w:tcPr>
            <w:tcW w:w="0" w:type="auto"/>
          </w:tcPr>
          <w:p w14:paraId="2A42619E" w14:textId="77777777" w:rsidR="006F2E11" w:rsidRPr="007A7C7E" w:rsidRDefault="006F2E11" w:rsidP="006F2E11">
            <w:pPr>
              <w:spacing w:after="120"/>
              <w:rPr>
                <w:rFonts w:ascii="Arial" w:hAnsi="Arial" w:cs="Arial"/>
              </w:rPr>
            </w:pPr>
            <w:r w:rsidRPr="007A7C7E">
              <w:rPr>
                <w:rFonts w:ascii="Arial" w:hAnsi="Arial" w:cs="Arial"/>
              </w:rPr>
              <w:lastRenderedPageBreak/>
              <w:t>7:</w:t>
            </w:r>
          </w:p>
          <w:p w14:paraId="15B3F5BE" w14:textId="4FA7C03A" w:rsidR="006F2E11" w:rsidRPr="00AE2125" w:rsidRDefault="006F2E11" w:rsidP="006F2E11">
            <w:pPr>
              <w:spacing w:after="120"/>
              <w:rPr>
                <w:rFonts w:ascii="Arial" w:hAnsi="Arial" w:cs="Arial"/>
              </w:rPr>
            </w:pPr>
            <w:r w:rsidRPr="00181A76">
              <w:rPr>
                <w:rFonts w:ascii="Arial" w:hAnsi="Arial" w:cs="Arial"/>
              </w:rPr>
              <w:t xml:space="preserve">It is recommended that the DFAT investment manager review and discuss with SARIC partners the proposed improvements to program M&amp;E including the adjustments suggested in Annex 6. </w:t>
            </w:r>
          </w:p>
        </w:tc>
        <w:tc>
          <w:tcPr>
            <w:tcW w:w="0" w:type="auto"/>
          </w:tcPr>
          <w:p w14:paraId="33E72E40" w14:textId="718660C0" w:rsidR="006F2E11" w:rsidRDefault="006F2E11" w:rsidP="006F2E11">
            <w:pPr>
              <w:spacing w:after="120"/>
              <w:rPr>
                <w:rFonts w:ascii="Arial" w:hAnsi="Arial" w:cs="Arial"/>
                <w:b/>
                <w:bCs/>
              </w:rPr>
            </w:pPr>
            <w:r>
              <w:rPr>
                <w:rFonts w:ascii="Arial" w:hAnsi="Arial" w:cs="Arial"/>
                <w:b/>
                <w:bCs/>
              </w:rPr>
              <w:t>Agreed</w:t>
            </w:r>
          </w:p>
        </w:tc>
        <w:tc>
          <w:tcPr>
            <w:tcW w:w="0" w:type="auto"/>
          </w:tcPr>
          <w:p w14:paraId="46E617E1" w14:textId="4B3A88A8" w:rsidR="006F2E11" w:rsidRDefault="006F2E11" w:rsidP="006F2E11">
            <w:pPr>
              <w:spacing w:after="120"/>
              <w:rPr>
                <w:rFonts w:ascii="Arial" w:hAnsi="Arial" w:cs="Arial"/>
              </w:rPr>
            </w:pPr>
            <w:r>
              <w:rPr>
                <w:rFonts w:ascii="Arial" w:hAnsi="Arial" w:cs="Arial"/>
              </w:rPr>
              <w:t>DFAT investment manager to work with the M&amp;E coordinator to discuss the recommendation.</w:t>
            </w:r>
          </w:p>
        </w:tc>
        <w:tc>
          <w:tcPr>
            <w:tcW w:w="0" w:type="auto"/>
          </w:tcPr>
          <w:p w14:paraId="042EE949" w14:textId="1F9965E2" w:rsidR="006F2E11" w:rsidRDefault="006F2E11" w:rsidP="006F2E11">
            <w:pPr>
              <w:spacing w:after="120"/>
              <w:rPr>
                <w:rFonts w:ascii="Arial" w:hAnsi="Arial" w:cs="Arial"/>
              </w:rPr>
            </w:pPr>
            <w:r>
              <w:rPr>
                <w:rFonts w:ascii="Arial" w:hAnsi="Arial" w:cs="Arial"/>
              </w:rPr>
              <w:t>The M&amp;E coordinator to SARIC will be in regular discussion with SARIC partners to implement this recommendation. Through regular meetings between DFAT and the M&amp;E coordinator, the DFAT investment manager will review and provide feedback to proposed improvements.</w:t>
            </w:r>
          </w:p>
        </w:tc>
        <w:tc>
          <w:tcPr>
            <w:tcW w:w="0" w:type="auto"/>
          </w:tcPr>
          <w:p w14:paraId="16B84121" w14:textId="5AE64234" w:rsidR="006F2E11" w:rsidRDefault="006F2E11" w:rsidP="006F2E11">
            <w:pPr>
              <w:spacing w:after="120"/>
              <w:rPr>
                <w:rFonts w:ascii="Arial" w:hAnsi="Arial" w:cs="Arial"/>
              </w:rPr>
            </w:pPr>
            <w:r>
              <w:rPr>
                <w:rFonts w:ascii="Arial" w:hAnsi="Arial" w:cs="Arial"/>
              </w:rPr>
              <w:t>Commence in March 2024</w:t>
            </w:r>
          </w:p>
        </w:tc>
      </w:tr>
      <w:tr w:rsidR="00220747" w14:paraId="361DBED4" w14:textId="77777777" w:rsidTr="00E06211">
        <w:trPr>
          <w:trHeight w:val="4509"/>
          <w:tblHeader/>
        </w:trPr>
        <w:tc>
          <w:tcPr>
            <w:tcW w:w="0" w:type="auto"/>
          </w:tcPr>
          <w:p w14:paraId="20EC2723" w14:textId="77777777" w:rsidR="00220747" w:rsidRPr="00E672D5" w:rsidRDefault="00220747" w:rsidP="00220747">
            <w:pPr>
              <w:spacing w:after="120"/>
              <w:rPr>
                <w:rFonts w:ascii="Arial" w:hAnsi="Arial" w:cs="Arial"/>
              </w:rPr>
            </w:pPr>
            <w:r w:rsidRPr="00E672D5">
              <w:rPr>
                <w:rFonts w:ascii="Arial" w:hAnsi="Arial" w:cs="Arial"/>
              </w:rPr>
              <w:t>8:</w:t>
            </w:r>
          </w:p>
          <w:p w14:paraId="2ADD20EE" w14:textId="1EA61C12" w:rsidR="00220747" w:rsidRPr="007A7C7E" w:rsidRDefault="00220747" w:rsidP="00220747">
            <w:pPr>
              <w:spacing w:after="120"/>
              <w:rPr>
                <w:rFonts w:ascii="Arial" w:hAnsi="Arial" w:cs="Arial"/>
              </w:rPr>
            </w:pPr>
            <w:r w:rsidRPr="00ED499E">
              <w:rPr>
                <w:rFonts w:ascii="Arial" w:hAnsi="Arial" w:cs="Arial"/>
              </w:rPr>
              <w:t>It is recommended that World Bank and IFC provide additional plans to bolster threat monitoring activities, and plans for engagement with DFAT on identifying political and/or diplomatic inroads to support the enabling environment</w:t>
            </w:r>
          </w:p>
        </w:tc>
        <w:tc>
          <w:tcPr>
            <w:tcW w:w="0" w:type="auto"/>
          </w:tcPr>
          <w:p w14:paraId="004511DF" w14:textId="658F9469" w:rsidR="00220747" w:rsidRDefault="00220747" w:rsidP="00220747">
            <w:pPr>
              <w:spacing w:after="120"/>
              <w:rPr>
                <w:rFonts w:ascii="Arial" w:hAnsi="Arial" w:cs="Arial"/>
                <w:b/>
                <w:bCs/>
              </w:rPr>
            </w:pPr>
            <w:r>
              <w:rPr>
                <w:rFonts w:ascii="Arial" w:hAnsi="Arial" w:cs="Arial"/>
                <w:b/>
                <w:bCs/>
              </w:rPr>
              <w:t>Agreed</w:t>
            </w:r>
          </w:p>
        </w:tc>
        <w:tc>
          <w:tcPr>
            <w:tcW w:w="0" w:type="auto"/>
          </w:tcPr>
          <w:p w14:paraId="74CB4F75" w14:textId="503D70FC" w:rsidR="00220747" w:rsidRDefault="00220747" w:rsidP="00220747">
            <w:pPr>
              <w:spacing w:after="120"/>
              <w:rPr>
                <w:rFonts w:ascii="Arial" w:hAnsi="Arial" w:cs="Arial"/>
              </w:rPr>
            </w:pPr>
            <w:proofErr w:type="gramStart"/>
            <w:r>
              <w:rPr>
                <w:rFonts w:ascii="Arial" w:hAnsi="Arial" w:cs="Arial"/>
              </w:rPr>
              <w:t>DFAT ,</w:t>
            </w:r>
            <w:proofErr w:type="gramEnd"/>
            <w:r>
              <w:rPr>
                <w:rFonts w:ascii="Arial" w:hAnsi="Arial" w:cs="Arial"/>
              </w:rPr>
              <w:t xml:space="preserve"> the World Bank and IFC senior management has agreed to more open and joint communication on the ground and advocacy with partner governments. </w:t>
            </w:r>
          </w:p>
        </w:tc>
        <w:tc>
          <w:tcPr>
            <w:tcW w:w="0" w:type="auto"/>
          </w:tcPr>
          <w:p w14:paraId="36B4253B" w14:textId="60246284" w:rsidR="00220747" w:rsidRDefault="00220747" w:rsidP="00220747">
            <w:pPr>
              <w:spacing w:after="120"/>
              <w:rPr>
                <w:rFonts w:ascii="Arial" w:hAnsi="Arial" w:cs="Arial"/>
              </w:rPr>
            </w:pPr>
            <w:r>
              <w:rPr>
                <w:rFonts w:ascii="Arial" w:hAnsi="Arial" w:cs="Arial"/>
              </w:rPr>
              <w:t xml:space="preserve">DFAT and partners to continue collaboration at formal meetings through the year, during visits in the region where there is an Australian diplomatic post </w:t>
            </w:r>
            <w:proofErr w:type="gramStart"/>
            <w:r>
              <w:rPr>
                <w:rFonts w:ascii="Arial" w:hAnsi="Arial" w:cs="Arial"/>
              </w:rPr>
              <w:t>and also</w:t>
            </w:r>
            <w:proofErr w:type="gramEnd"/>
            <w:r>
              <w:rPr>
                <w:rFonts w:ascii="Arial" w:hAnsi="Arial" w:cs="Arial"/>
              </w:rPr>
              <w:t xml:space="preserve"> informally through the DFAT investment manager. Conversations can assess risks (including political) and best ways to manage these through advocacy.</w:t>
            </w:r>
          </w:p>
        </w:tc>
        <w:tc>
          <w:tcPr>
            <w:tcW w:w="0" w:type="auto"/>
          </w:tcPr>
          <w:p w14:paraId="380515AF" w14:textId="6EE43C2A" w:rsidR="00220747" w:rsidRDefault="00220747" w:rsidP="00220747">
            <w:pPr>
              <w:spacing w:after="120"/>
              <w:rPr>
                <w:rFonts w:ascii="Arial" w:hAnsi="Arial" w:cs="Arial"/>
              </w:rPr>
            </w:pPr>
            <w:r>
              <w:rPr>
                <w:rFonts w:ascii="Arial" w:hAnsi="Arial" w:cs="Arial"/>
              </w:rPr>
              <w:t>Commenced in November 2023</w:t>
            </w:r>
          </w:p>
        </w:tc>
      </w:tr>
    </w:tbl>
    <w:p w14:paraId="74BFC554" w14:textId="77777777" w:rsidR="00E06211" w:rsidRDefault="00E06211" w:rsidP="007F1A14">
      <w:pPr>
        <w:pStyle w:val="Heading3"/>
        <w:spacing w:before="240" w:line="240" w:lineRule="atLeast"/>
        <w:rPr>
          <w:i/>
          <w:iCs/>
          <w:sz w:val="24"/>
          <w:szCs w:val="24"/>
        </w:rPr>
      </w:pPr>
    </w:p>
    <w:p w14:paraId="78E0196B" w14:textId="77777777" w:rsidR="00E06211" w:rsidRDefault="00E06211" w:rsidP="007F1A14">
      <w:pPr>
        <w:pStyle w:val="Heading3"/>
        <w:spacing w:before="240" w:line="240" w:lineRule="atLeast"/>
        <w:rPr>
          <w:i/>
          <w:iCs/>
          <w:sz w:val="24"/>
          <w:szCs w:val="24"/>
        </w:rPr>
      </w:pPr>
    </w:p>
    <w:p w14:paraId="41893C9F" w14:textId="77777777" w:rsidR="00E06211" w:rsidRDefault="00E06211" w:rsidP="007F1A14">
      <w:pPr>
        <w:pStyle w:val="Heading3"/>
        <w:spacing w:before="240" w:line="240" w:lineRule="atLeast"/>
        <w:rPr>
          <w:i/>
          <w:iCs/>
          <w:sz w:val="24"/>
          <w:szCs w:val="24"/>
        </w:rPr>
      </w:pPr>
    </w:p>
    <w:p w14:paraId="716D8EEB" w14:textId="77777777" w:rsidR="00E06211" w:rsidRDefault="00E06211" w:rsidP="007F1A14">
      <w:pPr>
        <w:pStyle w:val="Heading3"/>
        <w:spacing w:before="240" w:line="240" w:lineRule="atLeast"/>
        <w:rPr>
          <w:i/>
          <w:iCs/>
          <w:sz w:val="24"/>
          <w:szCs w:val="24"/>
        </w:rPr>
      </w:pPr>
    </w:p>
    <w:p w14:paraId="05D3BBC7" w14:textId="77777777" w:rsidR="00E06211" w:rsidRDefault="00E06211" w:rsidP="007F1A14">
      <w:pPr>
        <w:pStyle w:val="Heading3"/>
        <w:spacing w:before="240" w:line="240" w:lineRule="atLeast"/>
        <w:rPr>
          <w:i/>
          <w:iCs/>
          <w:sz w:val="24"/>
          <w:szCs w:val="24"/>
        </w:rPr>
      </w:pPr>
    </w:p>
    <w:p w14:paraId="32E99844" w14:textId="77777777" w:rsidR="00E06211" w:rsidRDefault="00E06211" w:rsidP="007F1A14">
      <w:pPr>
        <w:pStyle w:val="Heading3"/>
        <w:spacing w:before="240" w:line="240" w:lineRule="atLeast"/>
        <w:rPr>
          <w:i/>
          <w:iCs/>
          <w:sz w:val="24"/>
          <w:szCs w:val="24"/>
        </w:rPr>
      </w:pPr>
    </w:p>
    <w:p w14:paraId="7D6FDBB8" w14:textId="77777777" w:rsidR="00D208FF" w:rsidRDefault="00D208FF">
      <w:pPr>
        <w:suppressAutoHyphens w:val="0"/>
        <w:spacing w:before="0" w:after="160" w:line="259" w:lineRule="auto"/>
        <w:rPr>
          <w:rFonts w:ascii="Arial" w:hAnsi="Arial" w:cs="Arial"/>
          <w:b/>
          <w:bCs/>
          <w:i/>
          <w:iCs/>
          <w:sz w:val="24"/>
          <w:szCs w:val="24"/>
        </w:rPr>
      </w:pPr>
      <w:r>
        <w:rPr>
          <w:i/>
          <w:iCs/>
          <w:sz w:val="24"/>
          <w:szCs w:val="24"/>
        </w:rPr>
        <w:br w:type="page"/>
      </w:r>
    </w:p>
    <w:p w14:paraId="61A83A5E" w14:textId="74124F0F" w:rsidR="006F113C" w:rsidRDefault="00EC18A9" w:rsidP="007F1A14">
      <w:pPr>
        <w:pStyle w:val="Heading3"/>
        <w:spacing w:before="240" w:line="240" w:lineRule="atLeast"/>
        <w:rPr>
          <w:i/>
          <w:iCs/>
          <w:sz w:val="24"/>
          <w:szCs w:val="24"/>
        </w:rPr>
      </w:pPr>
      <w:r w:rsidRPr="00C16006">
        <w:rPr>
          <w:i/>
          <w:iCs/>
          <w:sz w:val="24"/>
          <w:szCs w:val="24"/>
        </w:rPr>
        <w:lastRenderedPageBreak/>
        <w:t>Visibility</w:t>
      </w:r>
    </w:p>
    <w:p w14:paraId="42B50127" w14:textId="77777777" w:rsidR="00220747" w:rsidRPr="00220747" w:rsidRDefault="00220747" w:rsidP="00220747"/>
    <w:tbl>
      <w:tblPr>
        <w:tblStyle w:val="TableGrid"/>
        <w:tblW w:w="9351" w:type="dxa"/>
        <w:tblLayout w:type="fixed"/>
        <w:tblLook w:val="04A0" w:firstRow="1" w:lastRow="0" w:firstColumn="1" w:lastColumn="0" w:noHBand="0" w:noVBand="1"/>
      </w:tblPr>
      <w:tblGrid>
        <w:gridCol w:w="2405"/>
        <w:gridCol w:w="1276"/>
        <w:gridCol w:w="1984"/>
        <w:gridCol w:w="2127"/>
        <w:gridCol w:w="1559"/>
      </w:tblGrid>
      <w:tr w:rsidR="007C7A6F" w14:paraId="7B201136" w14:textId="77777777" w:rsidTr="006F2E11">
        <w:trPr>
          <w:tblHeader/>
        </w:trPr>
        <w:tc>
          <w:tcPr>
            <w:tcW w:w="2405" w:type="dxa"/>
          </w:tcPr>
          <w:p w14:paraId="6C22DB6C" w14:textId="77777777" w:rsidR="007C7A6F" w:rsidRDefault="007C7A6F" w:rsidP="00290DEE">
            <w:pPr>
              <w:spacing w:after="120"/>
            </w:pPr>
            <w:bookmarkStart w:id="0" w:name="_Hlk160199043"/>
            <w:r>
              <w:rPr>
                <w:rFonts w:ascii="Arial" w:hAnsi="Arial" w:cs="Arial"/>
                <w:b/>
                <w:bCs/>
              </w:rPr>
              <w:t>Re</w:t>
            </w:r>
            <w:r w:rsidRPr="001D4594">
              <w:rPr>
                <w:rFonts w:ascii="Arial" w:hAnsi="Arial" w:cs="Arial"/>
                <w:b/>
                <w:bCs/>
              </w:rPr>
              <w:t>commendation</w:t>
            </w:r>
          </w:p>
        </w:tc>
        <w:tc>
          <w:tcPr>
            <w:tcW w:w="1276" w:type="dxa"/>
          </w:tcPr>
          <w:p w14:paraId="1048C21D" w14:textId="77777777" w:rsidR="007C7A6F" w:rsidRDefault="007C7A6F" w:rsidP="00290DEE">
            <w:pPr>
              <w:spacing w:after="120"/>
            </w:pPr>
            <w:r w:rsidRPr="001D4594">
              <w:rPr>
                <w:rFonts w:ascii="Arial" w:hAnsi="Arial" w:cs="Arial"/>
                <w:b/>
                <w:bCs/>
              </w:rPr>
              <w:t>Response</w:t>
            </w:r>
          </w:p>
        </w:tc>
        <w:tc>
          <w:tcPr>
            <w:tcW w:w="1984" w:type="dxa"/>
          </w:tcPr>
          <w:p w14:paraId="524B7A06" w14:textId="77777777" w:rsidR="007C7A6F" w:rsidRDefault="007C7A6F" w:rsidP="00290DEE">
            <w:pPr>
              <w:spacing w:after="120"/>
            </w:pPr>
            <w:r w:rsidRPr="001D4594">
              <w:rPr>
                <w:rFonts w:ascii="Arial" w:hAnsi="Arial" w:cs="Arial"/>
                <w:b/>
                <w:bCs/>
              </w:rPr>
              <w:t>Explanation</w:t>
            </w:r>
          </w:p>
        </w:tc>
        <w:tc>
          <w:tcPr>
            <w:tcW w:w="2127" w:type="dxa"/>
          </w:tcPr>
          <w:p w14:paraId="34950774" w14:textId="77777777" w:rsidR="007C7A6F" w:rsidRDefault="007C7A6F" w:rsidP="00290DEE">
            <w:pPr>
              <w:spacing w:after="120"/>
            </w:pPr>
            <w:r w:rsidRPr="001D4594">
              <w:rPr>
                <w:rFonts w:ascii="Arial" w:hAnsi="Arial" w:cs="Arial"/>
                <w:b/>
                <w:bCs/>
              </w:rPr>
              <w:t>Action Plan</w:t>
            </w:r>
          </w:p>
        </w:tc>
        <w:tc>
          <w:tcPr>
            <w:tcW w:w="1559" w:type="dxa"/>
          </w:tcPr>
          <w:p w14:paraId="544BCDB9" w14:textId="77777777" w:rsidR="007C7A6F" w:rsidRDefault="007C7A6F" w:rsidP="00290DEE">
            <w:pPr>
              <w:spacing w:after="120"/>
            </w:pPr>
            <w:r>
              <w:rPr>
                <w:rFonts w:ascii="Arial" w:hAnsi="Arial" w:cs="Arial"/>
                <w:b/>
                <w:bCs/>
              </w:rPr>
              <w:t>Timeframe</w:t>
            </w:r>
          </w:p>
        </w:tc>
      </w:tr>
      <w:tr w:rsidR="007C7A6F" w14:paraId="1CC2358E" w14:textId="77777777" w:rsidTr="006F2E11">
        <w:trPr>
          <w:tblHeader/>
        </w:trPr>
        <w:tc>
          <w:tcPr>
            <w:tcW w:w="2405" w:type="dxa"/>
          </w:tcPr>
          <w:p w14:paraId="7377BDE5" w14:textId="0E15C484" w:rsidR="00AE2125" w:rsidRPr="00AE2125" w:rsidRDefault="00AE2125" w:rsidP="00AE2125">
            <w:pPr>
              <w:spacing w:after="120"/>
              <w:rPr>
                <w:rFonts w:ascii="Arial" w:hAnsi="Arial" w:cs="Arial"/>
              </w:rPr>
            </w:pPr>
            <w:r w:rsidRPr="00AE2125">
              <w:rPr>
                <w:rFonts w:ascii="Arial" w:hAnsi="Arial" w:cs="Arial"/>
              </w:rPr>
              <w:t xml:space="preserve">9: </w:t>
            </w:r>
          </w:p>
          <w:p w14:paraId="17A7282E" w14:textId="53BCF54C" w:rsidR="007C7A6F" w:rsidRDefault="00AE2125" w:rsidP="00AE2125">
            <w:pPr>
              <w:spacing w:after="120"/>
              <w:rPr>
                <w:rFonts w:ascii="Arial" w:hAnsi="Arial" w:cs="Arial"/>
                <w:b/>
                <w:bCs/>
              </w:rPr>
            </w:pPr>
            <w:r w:rsidRPr="00595AD7">
              <w:rPr>
                <w:rFonts w:ascii="Arial" w:hAnsi="Arial" w:cs="Arial"/>
              </w:rPr>
              <w:t>It is recommended that all partners play a role in improving the brand identity of SARIC, firstly by working with Palladium to use the LinkedIn platform to tell stories of change, and more broadly to communicate the message of transport and energy coordinators being created in the region.</w:t>
            </w:r>
          </w:p>
        </w:tc>
        <w:tc>
          <w:tcPr>
            <w:tcW w:w="1276" w:type="dxa"/>
          </w:tcPr>
          <w:p w14:paraId="02BD2044" w14:textId="1A791AE8" w:rsidR="007C7A6F" w:rsidRPr="001D4594" w:rsidRDefault="007A3C61" w:rsidP="00290DEE">
            <w:pPr>
              <w:spacing w:after="120"/>
              <w:rPr>
                <w:rFonts w:ascii="Arial" w:hAnsi="Arial" w:cs="Arial"/>
                <w:b/>
                <w:bCs/>
              </w:rPr>
            </w:pPr>
            <w:r>
              <w:rPr>
                <w:rFonts w:ascii="Arial" w:hAnsi="Arial" w:cs="Arial"/>
                <w:b/>
                <w:bCs/>
              </w:rPr>
              <w:t>Agreed</w:t>
            </w:r>
          </w:p>
        </w:tc>
        <w:tc>
          <w:tcPr>
            <w:tcW w:w="1984" w:type="dxa"/>
          </w:tcPr>
          <w:p w14:paraId="2C8B82FB" w14:textId="6A9A1B42" w:rsidR="007C7A6F" w:rsidRPr="001D4594" w:rsidRDefault="002D1767" w:rsidP="00290DEE">
            <w:pPr>
              <w:spacing w:after="120"/>
              <w:rPr>
                <w:rFonts w:ascii="Arial" w:hAnsi="Arial" w:cs="Arial"/>
                <w:b/>
                <w:bCs/>
              </w:rPr>
            </w:pPr>
            <w:r>
              <w:rPr>
                <w:rFonts w:ascii="Arial" w:hAnsi="Arial" w:cs="Arial"/>
              </w:rPr>
              <w:t>Visibility of Australian funding to partner governments is priority area for SARIC as results are now starting to emerge.</w:t>
            </w:r>
          </w:p>
        </w:tc>
        <w:tc>
          <w:tcPr>
            <w:tcW w:w="2127" w:type="dxa"/>
          </w:tcPr>
          <w:p w14:paraId="7F2CAC73" w14:textId="2105011A" w:rsidR="007C7A6F" w:rsidRPr="001D4594" w:rsidRDefault="00FF320A" w:rsidP="00290DEE">
            <w:pPr>
              <w:spacing w:after="120"/>
              <w:rPr>
                <w:rFonts w:ascii="Arial" w:hAnsi="Arial" w:cs="Arial"/>
                <w:b/>
                <w:bCs/>
              </w:rPr>
            </w:pPr>
            <w:r>
              <w:rPr>
                <w:rFonts w:ascii="Arial" w:hAnsi="Arial" w:cs="Arial"/>
              </w:rPr>
              <w:t>DFAT and implementing partners have agreed to a Visibility Plan. Working Group meetings and regular reporting will be used to track progress.</w:t>
            </w:r>
          </w:p>
        </w:tc>
        <w:tc>
          <w:tcPr>
            <w:tcW w:w="1559" w:type="dxa"/>
          </w:tcPr>
          <w:p w14:paraId="6FE0C3BE" w14:textId="7DC20F02" w:rsidR="007C7A6F" w:rsidRDefault="008125E0" w:rsidP="00290DEE">
            <w:pPr>
              <w:spacing w:after="120"/>
              <w:rPr>
                <w:rFonts w:ascii="Arial" w:hAnsi="Arial" w:cs="Arial"/>
                <w:b/>
                <w:bCs/>
              </w:rPr>
            </w:pPr>
            <w:r>
              <w:rPr>
                <w:rFonts w:ascii="Arial" w:hAnsi="Arial" w:cs="Arial"/>
              </w:rPr>
              <w:t>Commence in February 2024</w:t>
            </w:r>
          </w:p>
        </w:tc>
      </w:tr>
      <w:bookmarkEnd w:id="0"/>
    </w:tbl>
    <w:p w14:paraId="1C829788" w14:textId="549BD4DC" w:rsidR="006F113C" w:rsidRDefault="006F113C" w:rsidP="006F113C"/>
    <w:p w14:paraId="29151C3A" w14:textId="77777777" w:rsidR="006F2E11" w:rsidRDefault="006F2E11" w:rsidP="006F113C"/>
    <w:p w14:paraId="5B234F57" w14:textId="77777777" w:rsidR="006F2E11" w:rsidRDefault="006F2E11" w:rsidP="006F113C"/>
    <w:p w14:paraId="2DD0928D" w14:textId="77777777" w:rsidR="00C16006" w:rsidRDefault="00C16006" w:rsidP="006F113C"/>
    <w:p w14:paraId="7CD663E0" w14:textId="77777777" w:rsidR="00D208FF" w:rsidRDefault="00D208FF">
      <w:pPr>
        <w:suppressAutoHyphens w:val="0"/>
        <w:spacing w:before="0" w:after="160" w:line="259" w:lineRule="auto"/>
        <w:rPr>
          <w:rFonts w:ascii="Arial" w:hAnsi="Arial" w:cs="Arial"/>
          <w:b/>
          <w:bCs/>
          <w:i/>
          <w:iCs/>
          <w:sz w:val="24"/>
          <w:szCs w:val="24"/>
        </w:rPr>
      </w:pPr>
      <w:r>
        <w:rPr>
          <w:i/>
          <w:iCs/>
          <w:sz w:val="24"/>
          <w:szCs w:val="24"/>
        </w:rPr>
        <w:br w:type="page"/>
      </w:r>
    </w:p>
    <w:p w14:paraId="71A7FFFC" w14:textId="67E2A4BA" w:rsidR="00BC6E15" w:rsidRDefault="000256F9" w:rsidP="007F1A14">
      <w:pPr>
        <w:pStyle w:val="Heading3"/>
        <w:spacing w:before="240" w:line="240" w:lineRule="atLeast"/>
        <w:rPr>
          <w:i/>
          <w:iCs/>
          <w:sz w:val="24"/>
          <w:szCs w:val="24"/>
        </w:rPr>
      </w:pPr>
      <w:r w:rsidRPr="00C16006">
        <w:rPr>
          <w:i/>
          <w:iCs/>
          <w:sz w:val="24"/>
          <w:szCs w:val="24"/>
        </w:rPr>
        <w:lastRenderedPageBreak/>
        <w:t>Gender Equality, Disability and Social Inclusion (GEDSI)</w:t>
      </w:r>
    </w:p>
    <w:p w14:paraId="6061D495" w14:textId="77777777" w:rsidR="00C16006" w:rsidRPr="00C16006" w:rsidRDefault="00C16006" w:rsidP="00C16006"/>
    <w:tbl>
      <w:tblPr>
        <w:tblStyle w:val="TableGrid"/>
        <w:tblW w:w="9351" w:type="dxa"/>
        <w:tblLayout w:type="fixed"/>
        <w:tblLook w:val="04A0" w:firstRow="1" w:lastRow="0" w:firstColumn="1" w:lastColumn="0" w:noHBand="0" w:noVBand="1"/>
      </w:tblPr>
      <w:tblGrid>
        <w:gridCol w:w="2405"/>
        <w:gridCol w:w="1276"/>
        <w:gridCol w:w="2126"/>
        <w:gridCol w:w="2126"/>
        <w:gridCol w:w="1418"/>
      </w:tblGrid>
      <w:tr w:rsidR="001943A6" w14:paraId="1DD19DB7" w14:textId="77777777" w:rsidTr="006F2E11">
        <w:trPr>
          <w:tblHeader/>
        </w:trPr>
        <w:tc>
          <w:tcPr>
            <w:tcW w:w="2405" w:type="dxa"/>
          </w:tcPr>
          <w:p w14:paraId="380AD333" w14:textId="77777777" w:rsidR="001943A6" w:rsidRDefault="001943A6" w:rsidP="00290DEE">
            <w:pPr>
              <w:spacing w:after="120"/>
            </w:pPr>
            <w:r>
              <w:rPr>
                <w:rFonts w:ascii="Arial" w:hAnsi="Arial" w:cs="Arial"/>
                <w:b/>
                <w:bCs/>
              </w:rPr>
              <w:t>Re</w:t>
            </w:r>
            <w:r w:rsidRPr="001D4594">
              <w:rPr>
                <w:rFonts w:ascii="Arial" w:hAnsi="Arial" w:cs="Arial"/>
                <w:b/>
                <w:bCs/>
              </w:rPr>
              <w:t>commendation</w:t>
            </w:r>
          </w:p>
        </w:tc>
        <w:tc>
          <w:tcPr>
            <w:tcW w:w="1276" w:type="dxa"/>
          </w:tcPr>
          <w:p w14:paraId="125518A2" w14:textId="77777777" w:rsidR="001943A6" w:rsidRDefault="001943A6" w:rsidP="00290DEE">
            <w:pPr>
              <w:spacing w:after="120"/>
            </w:pPr>
            <w:r w:rsidRPr="001D4594">
              <w:rPr>
                <w:rFonts w:ascii="Arial" w:hAnsi="Arial" w:cs="Arial"/>
                <w:b/>
                <w:bCs/>
              </w:rPr>
              <w:t>Response</w:t>
            </w:r>
          </w:p>
        </w:tc>
        <w:tc>
          <w:tcPr>
            <w:tcW w:w="2126" w:type="dxa"/>
          </w:tcPr>
          <w:p w14:paraId="659EAECE" w14:textId="77777777" w:rsidR="001943A6" w:rsidRDefault="001943A6" w:rsidP="00290DEE">
            <w:pPr>
              <w:spacing w:after="120"/>
            </w:pPr>
            <w:r w:rsidRPr="001D4594">
              <w:rPr>
                <w:rFonts w:ascii="Arial" w:hAnsi="Arial" w:cs="Arial"/>
                <w:b/>
                <w:bCs/>
              </w:rPr>
              <w:t>Explanation</w:t>
            </w:r>
          </w:p>
        </w:tc>
        <w:tc>
          <w:tcPr>
            <w:tcW w:w="2126" w:type="dxa"/>
          </w:tcPr>
          <w:p w14:paraId="13A4F845" w14:textId="77777777" w:rsidR="001943A6" w:rsidRDefault="001943A6" w:rsidP="00290DEE">
            <w:pPr>
              <w:spacing w:after="120"/>
            </w:pPr>
            <w:r w:rsidRPr="001D4594">
              <w:rPr>
                <w:rFonts w:ascii="Arial" w:hAnsi="Arial" w:cs="Arial"/>
                <w:b/>
                <w:bCs/>
              </w:rPr>
              <w:t>Action Plan</w:t>
            </w:r>
          </w:p>
        </w:tc>
        <w:tc>
          <w:tcPr>
            <w:tcW w:w="1418" w:type="dxa"/>
          </w:tcPr>
          <w:p w14:paraId="3AD523F7" w14:textId="77777777" w:rsidR="001943A6" w:rsidRDefault="001943A6" w:rsidP="00290DEE">
            <w:pPr>
              <w:spacing w:after="120"/>
            </w:pPr>
            <w:r>
              <w:rPr>
                <w:rFonts w:ascii="Arial" w:hAnsi="Arial" w:cs="Arial"/>
                <w:b/>
                <w:bCs/>
              </w:rPr>
              <w:t>Timeframe</w:t>
            </w:r>
          </w:p>
        </w:tc>
      </w:tr>
      <w:tr w:rsidR="001943A6" w14:paraId="7E23433D" w14:textId="77777777" w:rsidTr="006F2E11">
        <w:trPr>
          <w:tblHeader/>
        </w:trPr>
        <w:tc>
          <w:tcPr>
            <w:tcW w:w="2405" w:type="dxa"/>
          </w:tcPr>
          <w:p w14:paraId="3369BD41" w14:textId="44E50BC5" w:rsidR="002F2E91" w:rsidRPr="00220747" w:rsidRDefault="002F2E91" w:rsidP="002F2E91">
            <w:pPr>
              <w:spacing w:after="120"/>
              <w:rPr>
                <w:rFonts w:ascii="Arial" w:hAnsi="Arial" w:cs="Arial"/>
              </w:rPr>
            </w:pPr>
            <w:r w:rsidRPr="00220747">
              <w:rPr>
                <w:rFonts w:ascii="Arial" w:hAnsi="Arial" w:cs="Arial"/>
              </w:rPr>
              <w:t>10:</w:t>
            </w:r>
          </w:p>
          <w:p w14:paraId="753EC773" w14:textId="7A8E3356" w:rsidR="001943A6" w:rsidRDefault="002F2E91" w:rsidP="002F2E91">
            <w:pPr>
              <w:spacing w:after="120"/>
              <w:rPr>
                <w:rFonts w:ascii="Arial" w:hAnsi="Arial" w:cs="Arial"/>
                <w:b/>
                <w:bCs/>
              </w:rPr>
            </w:pPr>
            <w:r>
              <w:rPr>
                <w:rFonts w:ascii="Arial" w:hAnsi="Arial" w:cs="Arial"/>
              </w:rPr>
              <w:t xml:space="preserve">It is recommended that World Bank and IFC increase the visibility of their internal GEDSI processes within SARIC-supported project cycles (particularly project gender tagging, ESF processes, social </w:t>
            </w:r>
            <w:proofErr w:type="gramStart"/>
            <w:r>
              <w:rPr>
                <w:rFonts w:ascii="Arial" w:hAnsi="Arial" w:cs="Arial"/>
              </w:rPr>
              <w:t>assessment</w:t>
            </w:r>
            <w:proofErr w:type="gramEnd"/>
            <w:r>
              <w:rPr>
                <w:rFonts w:ascii="Arial" w:hAnsi="Arial" w:cs="Arial"/>
              </w:rPr>
              <w:t xml:space="preserve"> and feasibility reporting); and that Palladium continues to prioritise inclusive infrastructure training and support and seek out opportunities to integrate disability inclusion.</w:t>
            </w:r>
          </w:p>
        </w:tc>
        <w:tc>
          <w:tcPr>
            <w:tcW w:w="1276" w:type="dxa"/>
          </w:tcPr>
          <w:p w14:paraId="04766BDC" w14:textId="06BBCAD3" w:rsidR="001943A6" w:rsidRPr="001D4594" w:rsidRDefault="005D30F9" w:rsidP="00290DEE">
            <w:pPr>
              <w:spacing w:after="120"/>
              <w:rPr>
                <w:rFonts w:ascii="Arial" w:hAnsi="Arial" w:cs="Arial"/>
                <w:b/>
                <w:bCs/>
              </w:rPr>
            </w:pPr>
            <w:r>
              <w:rPr>
                <w:rFonts w:ascii="Arial" w:hAnsi="Arial" w:cs="Arial"/>
                <w:b/>
                <w:bCs/>
              </w:rPr>
              <w:t>Partially Agreed</w:t>
            </w:r>
          </w:p>
        </w:tc>
        <w:tc>
          <w:tcPr>
            <w:tcW w:w="2126" w:type="dxa"/>
          </w:tcPr>
          <w:p w14:paraId="4E148BBF" w14:textId="0630C59D" w:rsidR="001943A6" w:rsidRPr="001D4594" w:rsidRDefault="00A00A7A" w:rsidP="00290DEE">
            <w:pPr>
              <w:spacing w:after="120"/>
              <w:rPr>
                <w:rFonts w:ascii="Arial" w:hAnsi="Arial" w:cs="Arial"/>
                <w:b/>
                <w:bCs/>
              </w:rPr>
            </w:pPr>
            <w:r>
              <w:rPr>
                <w:rFonts w:ascii="Arial" w:hAnsi="Arial" w:cs="Arial"/>
              </w:rPr>
              <w:t>GEDSI is a priority for Australia’s development program and within SARIC’s implementing partners the capability exists to do this well. DFAT to explore with implementing partners a section in the annual reports template that is dedicated to showing GEDSI results.</w:t>
            </w:r>
          </w:p>
        </w:tc>
        <w:tc>
          <w:tcPr>
            <w:tcW w:w="2126" w:type="dxa"/>
          </w:tcPr>
          <w:p w14:paraId="0541FA67" w14:textId="2690E708" w:rsidR="001943A6" w:rsidRPr="001D4594" w:rsidRDefault="001025CF" w:rsidP="00290DEE">
            <w:pPr>
              <w:spacing w:after="120"/>
              <w:rPr>
                <w:rFonts w:ascii="Arial" w:hAnsi="Arial" w:cs="Arial"/>
                <w:b/>
                <w:bCs/>
              </w:rPr>
            </w:pPr>
            <w:r>
              <w:rPr>
                <w:rFonts w:ascii="Arial" w:hAnsi="Arial" w:cs="Arial"/>
              </w:rPr>
              <w:t>DFAT to discuss with, World Bank and IFC and palladium an option to include a section in annual reports that showcases results of GEDSI, where relevant to the activity.</w:t>
            </w:r>
          </w:p>
        </w:tc>
        <w:tc>
          <w:tcPr>
            <w:tcW w:w="1418" w:type="dxa"/>
          </w:tcPr>
          <w:p w14:paraId="4F2FF6FE" w14:textId="2750C5CA" w:rsidR="001943A6" w:rsidRDefault="007F1A14" w:rsidP="00290DEE">
            <w:pPr>
              <w:spacing w:after="120"/>
              <w:rPr>
                <w:rFonts w:ascii="Arial" w:hAnsi="Arial" w:cs="Arial"/>
                <w:b/>
                <w:bCs/>
              </w:rPr>
            </w:pPr>
            <w:r>
              <w:rPr>
                <w:rFonts w:ascii="Arial" w:hAnsi="Arial" w:cs="Arial"/>
              </w:rPr>
              <w:t>Commence in March 2024</w:t>
            </w:r>
          </w:p>
        </w:tc>
      </w:tr>
    </w:tbl>
    <w:p w14:paraId="0A82E7D4" w14:textId="77777777" w:rsidR="00BC6E15" w:rsidRDefault="00BC6E15" w:rsidP="007F1A14">
      <w:pPr>
        <w:spacing w:after="120"/>
      </w:pPr>
    </w:p>
    <w:p w14:paraId="4C033064" w14:textId="77777777" w:rsidR="006F2E11" w:rsidRDefault="006F2E11" w:rsidP="007F1A14">
      <w:pPr>
        <w:spacing w:after="120"/>
      </w:pPr>
    </w:p>
    <w:p w14:paraId="6E6636FB" w14:textId="77777777" w:rsidR="006F2E11" w:rsidRPr="00611AEB" w:rsidRDefault="006F2E11" w:rsidP="007F1A14">
      <w:pPr>
        <w:spacing w:after="120"/>
      </w:pPr>
    </w:p>
    <w:sectPr w:rsidR="006F2E11" w:rsidRPr="00611AE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4070" w14:textId="77777777" w:rsidR="00A94115" w:rsidRDefault="00A94115" w:rsidP="00BC6E15">
      <w:pPr>
        <w:spacing w:before="0" w:after="0" w:line="240" w:lineRule="auto"/>
      </w:pPr>
      <w:r>
        <w:separator/>
      </w:r>
    </w:p>
  </w:endnote>
  <w:endnote w:type="continuationSeparator" w:id="0">
    <w:p w14:paraId="00C241AD" w14:textId="77777777" w:rsidR="00A94115" w:rsidRDefault="00A94115" w:rsidP="00BC6E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33218"/>
      <w:docPartObj>
        <w:docPartGallery w:val="Page Numbers (Bottom of Page)"/>
        <w:docPartUnique/>
      </w:docPartObj>
    </w:sdtPr>
    <w:sdtEndPr>
      <w:rPr>
        <w:noProof/>
      </w:rPr>
    </w:sdtEndPr>
    <w:sdtContent>
      <w:p w14:paraId="033BEEC6" w14:textId="1B67EA9A" w:rsidR="00EE4C24" w:rsidRDefault="00EE4C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BCEE2" w14:textId="77777777" w:rsidR="00EE4C24" w:rsidRDefault="00EE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85B3" w14:textId="77777777" w:rsidR="00A94115" w:rsidRDefault="00A94115" w:rsidP="00BC6E15">
      <w:pPr>
        <w:spacing w:before="0" w:after="0" w:line="240" w:lineRule="auto"/>
      </w:pPr>
      <w:r>
        <w:separator/>
      </w:r>
    </w:p>
  </w:footnote>
  <w:footnote w:type="continuationSeparator" w:id="0">
    <w:p w14:paraId="5200D2A9" w14:textId="77777777" w:rsidR="00A94115" w:rsidRDefault="00A94115" w:rsidP="00BC6E1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EB"/>
    <w:rsid w:val="00015A89"/>
    <w:rsid w:val="000256F9"/>
    <w:rsid w:val="00060D53"/>
    <w:rsid w:val="000A7537"/>
    <w:rsid w:val="000D1439"/>
    <w:rsid w:val="001025CF"/>
    <w:rsid w:val="001126B5"/>
    <w:rsid w:val="00131AB2"/>
    <w:rsid w:val="00161522"/>
    <w:rsid w:val="001943A6"/>
    <w:rsid w:val="001D3F0F"/>
    <w:rsid w:val="00220747"/>
    <w:rsid w:val="0027392C"/>
    <w:rsid w:val="002B5E9F"/>
    <w:rsid w:val="002D1767"/>
    <w:rsid w:val="002F2E91"/>
    <w:rsid w:val="002F4D19"/>
    <w:rsid w:val="00320856"/>
    <w:rsid w:val="0036022C"/>
    <w:rsid w:val="00370666"/>
    <w:rsid w:val="0037234B"/>
    <w:rsid w:val="003D1A0D"/>
    <w:rsid w:val="0041144A"/>
    <w:rsid w:val="0041605E"/>
    <w:rsid w:val="0052778E"/>
    <w:rsid w:val="00557014"/>
    <w:rsid w:val="00575C36"/>
    <w:rsid w:val="005A004F"/>
    <w:rsid w:val="005D30F9"/>
    <w:rsid w:val="00611AEB"/>
    <w:rsid w:val="006968B6"/>
    <w:rsid w:val="006A7A35"/>
    <w:rsid w:val="006F113C"/>
    <w:rsid w:val="006F2E11"/>
    <w:rsid w:val="007505D9"/>
    <w:rsid w:val="007A3C61"/>
    <w:rsid w:val="007A42AC"/>
    <w:rsid w:val="007A7C7E"/>
    <w:rsid w:val="007C7A6F"/>
    <w:rsid w:val="007E4B3E"/>
    <w:rsid w:val="007F1A14"/>
    <w:rsid w:val="007F4DB7"/>
    <w:rsid w:val="008125E0"/>
    <w:rsid w:val="00832AA7"/>
    <w:rsid w:val="00885AE1"/>
    <w:rsid w:val="008C15BF"/>
    <w:rsid w:val="00940F13"/>
    <w:rsid w:val="00977C3C"/>
    <w:rsid w:val="009E6B95"/>
    <w:rsid w:val="00A00A7A"/>
    <w:rsid w:val="00A509F5"/>
    <w:rsid w:val="00A81298"/>
    <w:rsid w:val="00A94115"/>
    <w:rsid w:val="00AC3D15"/>
    <w:rsid w:val="00AE2125"/>
    <w:rsid w:val="00B15DFF"/>
    <w:rsid w:val="00B55CD1"/>
    <w:rsid w:val="00BC6E15"/>
    <w:rsid w:val="00BF4C41"/>
    <w:rsid w:val="00C16006"/>
    <w:rsid w:val="00C32BDB"/>
    <w:rsid w:val="00CE2769"/>
    <w:rsid w:val="00D208FF"/>
    <w:rsid w:val="00D56BEF"/>
    <w:rsid w:val="00E06211"/>
    <w:rsid w:val="00E672D5"/>
    <w:rsid w:val="00EC18A9"/>
    <w:rsid w:val="00EE3D84"/>
    <w:rsid w:val="00EE4C24"/>
    <w:rsid w:val="00EF325D"/>
    <w:rsid w:val="00F3523E"/>
    <w:rsid w:val="00FF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B0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A6"/>
    <w:pPr>
      <w:suppressAutoHyphens/>
      <w:spacing w:before="120" w:after="60" w:line="260" w:lineRule="atLeast"/>
    </w:pPr>
    <w:rPr>
      <w:color w:val="44546A" w:themeColor="text2"/>
      <w:kern w:val="0"/>
      <w:lang w:val="en-GB"/>
      <w14:ligatures w14:val="none"/>
    </w:rPr>
  </w:style>
  <w:style w:type="paragraph" w:styleId="Heading1">
    <w:name w:val="heading 1"/>
    <w:basedOn w:val="Normal"/>
    <w:next w:val="Normal"/>
    <w:link w:val="Heading1Char"/>
    <w:uiPriority w:val="9"/>
    <w:qFormat/>
    <w:rsid w:val="00F3523E"/>
    <w:pPr>
      <w:spacing w:after="120"/>
      <w:outlineLvl w:val="0"/>
    </w:pPr>
    <w:rPr>
      <w:rFonts w:ascii="Arial" w:hAnsi="Arial" w:cs="Arial"/>
      <w:b/>
      <w:bCs/>
      <w:sz w:val="32"/>
      <w:szCs w:val="32"/>
    </w:rPr>
  </w:style>
  <w:style w:type="paragraph" w:styleId="Heading2">
    <w:name w:val="heading 2"/>
    <w:basedOn w:val="Heading3"/>
    <w:next w:val="Normal"/>
    <w:link w:val="Heading2Char"/>
    <w:uiPriority w:val="9"/>
    <w:unhideWhenUsed/>
    <w:qFormat/>
    <w:rsid w:val="00F3523E"/>
    <w:pPr>
      <w:spacing w:before="240" w:line="240" w:lineRule="atLeast"/>
      <w:outlineLvl w:val="1"/>
    </w:pPr>
    <w:rPr>
      <w:sz w:val="28"/>
      <w:szCs w:val="28"/>
    </w:rPr>
  </w:style>
  <w:style w:type="paragraph" w:styleId="Heading3">
    <w:name w:val="heading 3"/>
    <w:basedOn w:val="Normal"/>
    <w:next w:val="Normal"/>
    <w:link w:val="Heading3Char"/>
    <w:uiPriority w:val="9"/>
    <w:unhideWhenUsed/>
    <w:qFormat/>
    <w:rsid w:val="00611AEB"/>
    <w:pP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23E"/>
    <w:rPr>
      <w:rFonts w:ascii="Arial" w:hAnsi="Arial" w:cs="Arial"/>
      <w:b/>
      <w:bCs/>
      <w:color w:val="44546A" w:themeColor="text2"/>
      <w:kern w:val="0"/>
      <w:sz w:val="28"/>
      <w:szCs w:val="28"/>
      <w:lang w:val="en-GB"/>
      <w14:ligatures w14:val="none"/>
    </w:rPr>
  </w:style>
  <w:style w:type="character" w:customStyle="1" w:styleId="Heading3Char">
    <w:name w:val="Heading 3 Char"/>
    <w:basedOn w:val="DefaultParagraphFont"/>
    <w:link w:val="Heading3"/>
    <w:uiPriority w:val="9"/>
    <w:rsid w:val="00611AEB"/>
    <w:rPr>
      <w:rFonts w:ascii="Arial" w:hAnsi="Arial" w:cs="Arial"/>
      <w:b/>
      <w:bCs/>
      <w:color w:val="44546A" w:themeColor="text2"/>
      <w:kern w:val="0"/>
      <w:lang w:val="en-GB"/>
      <w14:ligatures w14:val="none"/>
    </w:rPr>
  </w:style>
  <w:style w:type="table" w:styleId="TableGrid">
    <w:name w:val="Table Grid"/>
    <w:basedOn w:val="TableNormal"/>
    <w:rsid w:val="00611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C2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4C24"/>
    <w:rPr>
      <w:color w:val="44546A" w:themeColor="text2"/>
      <w:kern w:val="0"/>
      <w:lang w:val="en-GB"/>
      <w14:ligatures w14:val="none"/>
    </w:rPr>
  </w:style>
  <w:style w:type="paragraph" w:styleId="Footer">
    <w:name w:val="footer"/>
    <w:basedOn w:val="Normal"/>
    <w:link w:val="FooterChar"/>
    <w:uiPriority w:val="99"/>
    <w:unhideWhenUsed/>
    <w:rsid w:val="00EE4C2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4C24"/>
    <w:rPr>
      <w:color w:val="44546A" w:themeColor="text2"/>
      <w:kern w:val="0"/>
      <w:lang w:val="en-GB"/>
      <w14:ligatures w14:val="none"/>
    </w:rPr>
  </w:style>
  <w:style w:type="character" w:customStyle="1" w:styleId="Heading1Char">
    <w:name w:val="Heading 1 Char"/>
    <w:basedOn w:val="DefaultParagraphFont"/>
    <w:link w:val="Heading1"/>
    <w:uiPriority w:val="9"/>
    <w:rsid w:val="00F3523E"/>
    <w:rPr>
      <w:rFonts w:ascii="Arial" w:hAnsi="Arial" w:cs="Arial"/>
      <w:b/>
      <w:bCs/>
      <w:color w:val="44546A" w:themeColor="text2"/>
      <w:kern w:val="0"/>
      <w:sz w:val="32"/>
      <w:szCs w:val="3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1517</Words>
  <Characters>8842</Characters>
  <Application>Microsoft Office Word</Application>
  <DocSecurity>0</DocSecurity>
  <Lines>569</Lines>
  <Paragraphs>97</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DFAT’s management response to the mid-term review of the South Asia Regional Infrastructure Connectivity (SARIC) Program</dc:title>
  <dc:subject/>
  <dc:creator/>
  <cp:keywords>[SEC=UNOFFICIAL]</cp:keywords>
  <dc:description/>
  <cp:lastModifiedBy/>
  <cp:revision>1</cp:revision>
  <dcterms:created xsi:type="dcterms:W3CDTF">2024-03-26T03:19:00Z</dcterms:created>
  <dcterms:modified xsi:type="dcterms:W3CDTF">2024-03-26T03:26:00Z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UNOFFICIAL</vt:lpwstr>
  </property>
  <property fmtid="{D5CDD505-2E9C-101B-9397-08002B2CF9AE}" pid="5" name="PMHMAC">
    <vt:lpwstr>v=2022.1;a=SHA256;h=B6A34E0CEF479F33750B620BA112A5C908426FC6A2ACB4D2C15B7E8A86DC6B0C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UNOFFICIAL</vt:lpwstr>
  </property>
  <property fmtid="{D5CDD505-2E9C-101B-9397-08002B2CF9AE}" pid="9" name="PM_OriginationTimeStamp">
    <vt:lpwstr>2024-02-29T05:29:30Z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C071C15E238B47BCA3AF46C9FBB081148C01DE2D</vt:lpwstr>
  </property>
  <property fmtid="{D5CDD505-2E9C-101B-9397-08002B2CF9AE}" pid="13" name="PM_DisplayValueSecClassificationWithQualifier">
    <vt:lpwstr>UNOFFICIAL</vt:lpwstr>
  </property>
  <property fmtid="{D5CDD505-2E9C-101B-9397-08002B2CF9AE}" pid="14" name="PM_ProtectiveMarkingValue_Footer">
    <vt:lpwstr>UNOFFICIAL</vt:lpwstr>
  </property>
  <property fmtid="{D5CDD505-2E9C-101B-9397-08002B2CF9AE}" pid="15" name="PM_Originating_FileId">
    <vt:lpwstr>7A250F9C896A42B69796B00B51D87413</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D047CF7C12F50B260C5556573D2442698C69EBAE705CC5E17AE71616AB57BE22</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5581DAFB677617A4F0BA800DA282B468</vt:lpwstr>
  </property>
  <property fmtid="{D5CDD505-2E9C-101B-9397-08002B2CF9AE}" pid="24" name="PM_Hash_Salt">
    <vt:lpwstr>33E5B8B8DC518F177906BE975E3F2F6D</vt:lpwstr>
  </property>
  <property fmtid="{D5CDD505-2E9C-101B-9397-08002B2CF9AE}" pid="25" name="PM_Hash_SHA1">
    <vt:lpwstr>D5392C94F0EF3900510F6305C9957B38310D4D47</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Caveats_Count">
    <vt:lpwstr>0</vt:lpwstr>
  </property>
</Properties>
</file>