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67CBA" w14:textId="3C1F9CA2" w:rsidR="00A635AD" w:rsidRDefault="00A635AD" w:rsidP="004469DB">
      <w:pPr>
        <w:pStyle w:val="Title"/>
        <w:tabs>
          <w:tab w:val="clear" w:pos="720"/>
        </w:tabs>
        <w:spacing w:before="0" w:after="0" w:line="240" w:lineRule="auto"/>
        <w:rPr>
          <w:color w:val="000000" w:themeColor="text1"/>
        </w:rPr>
      </w:pPr>
      <w:r>
        <w:rPr>
          <w:color w:val="000000" w:themeColor="text1"/>
        </w:rPr>
        <w:t xml:space="preserve">ANNEX </w:t>
      </w:r>
      <w:r w:rsidR="00AE7E56">
        <w:rPr>
          <w:color w:val="000000" w:themeColor="text1"/>
        </w:rPr>
        <w:t>3</w:t>
      </w:r>
    </w:p>
    <w:p w14:paraId="1E6FB99D" w14:textId="77777777" w:rsidR="00A635AD" w:rsidRPr="00A635AD" w:rsidRDefault="00A635AD" w:rsidP="004469DB">
      <w:pPr>
        <w:jc w:val="center"/>
        <w:rPr>
          <w:lang w:val="en-GB"/>
        </w:rPr>
      </w:pPr>
    </w:p>
    <w:p w14:paraId="4CF95E95" w14:textId="1B7032E1" w:rsidR="00A0778E" w:rsidRPr="00F83DA8" w:rsidRDefault="00A0778E" w:rsidP="00D27CB1">
      <w:pPr>
        <w:pStyle w:val="Title"/>
        <w:tabs>
          <w:tab w:val="clear" w:pos="720"/>
        </w:tabs>
        <w:spacing w:before="0" w:after="0" w:line="240" w:lineRule="auto"/>
        <w:rPr>
          <w:color w:val="000000" w:themeColor="text1"/>
        </w:rPr>
      </w:pPr>
      <w:r w:rsidRPr="00F83DA8">
        <w:rPr>
          <w:color w:val="000000" w:themeColor="text1"/>
        </w:rPr>
        <w:t>SCHEDULE OF RESERVATIONS AND NON-CONFORMING MEASURES FOR INVESTMENT</w:t>
      </w:r>
    </w:p>
    <w:p w14:paraId="15AE4BCE" w14:textId="77777777" w:rsidR="00A0778E" w:rsidRPr="00F83DA8" w:rsidRDefault="00A0778E" w:rsidP="004469DB">
      <w:pPr>
        <w:jc w:val="center"/>
        <w:rPr>
          <w:rFonts w:cs="Arial"/>
          <w:color w:val="000000" w:themeColor="text1"/>
          <w:szCs w:val="20"/>
          <w:lang w:val="en-GB"/>
        </w:rPr>
      </w:pPr>
    </w:p>
    <w:p w14:paraId="778ED623" w14:textId="199CCEC7" w:rsidR="00183C19" w:rsidRPr="00F83DA8" w:rsidRDefault="00A0778E" w:rsidP="004469DB">
      <w:pPr>
        <w:autoSpaceDE w:val="0"/>
        <w:autoSpaceDN w:val="0"/>
        <w:adjustRightInd w:val="0"/>
        <w:jc w:val="center"/>
        <w:rPr>
          <w:rFonts w:cs="Arial"/>
          <w:color w:val="000000" w:themeColor="text1"/>
          <w:szCs w:val="20"/>
        </w:rPr>
      </w:pPr>
      <w:r w:rsidRPr="00F83DA8">
        <w:rPr>
          <w:rFonts w:eastAsiaTheme="minorHAnsi" w:cs="Arial"/>
          <w:b/>
          <w:bCs/>
          <w:color w:val="000000" w:themeColor="text1"/>
          <w:szCs w:val="20"/>
        </w:rPr>
        <w:t>MALAYSIA</w:t>
      </w:r>
    </w:p>
    <w:p w14:paraId="65FB6C02" w14:textId="77777777" w:rsidR="0006641C" w:rsidRDefault="0006641C" w:rsidP="00AB28E2">
      <w:pPr>
        <w:pStyle w:val="Heading1"/>
        <w:spacing w:before="0" w:after="0" w:line="240" w:lineRule="auto"/>
        <w:rPr>
          <w:color w:val="000000" w:themeColor="text1"/>
        </w:rPr>
      </w:pPr>
    </w:p>
    <w:p w14:paraId="2C09944D" w14:textId="77777777" w:rsidR="0006641C" w:rsidRDefault="0006641C" w:rsidP="00AB28E2">
      <w:pPr>
        <w:pStyle w:val="Heading1"/>
        <w:spacing w:before="0" w:after="0" w:line="240" w:lineRule="auto"/>
        <w:rPr>
          <w:color w:val="000000" w:themeColor="text1"/>
        </w:rPr>
      </w:pPr>
    </w:p>
    <w:p w14:paraId="245E73CE" w14:textId="796B7F8F" w:rsidR="00B94FA5" w:rsidRPr="00F83DA8" w:rsidRDefault="00B94FA5" w:rsidP="00AB28E2">
      <w:pPr>
        <w:pStyle w:val="Heading1"/>
        <w:spacing w:before="0" w:after="0" w:line="240" w:lineRule="auto"/>
        <w:rPr>
          <w:color w:val="000000" w:themeColor="text1"/>
        </w:rPr>
      </w:pPr>
      <w:r w:rsidRPr="00F83DA8">
        <w:rPr>
          <w:color w:val="000000" w:themeColor="text1"/>
        </w:rPr>
        <w:t xml:space="preserve">LIST </w:t>
      </w:r>
      <w:r w:rsidR="00C32073" w:rsidRPr="00F83DA8">
        <w:rPr>
          <w:color w:val="000000" w:themeColor="text1"/>
        </w:rPr>
        <w:t>A</w:t>
      </w:r>
    </w:p>
    <w:p w14:paraId="0BC3CBD9" w14:textId="77777777" w:rsidR="00AB28E2" w:rsidRPr="00F83DA8" w:rsidRDefault="00AB28E2" w:rsidP="00AB28E2">
      <w:pPr>
        <w:rPr>
          <w:rFonts w:cs="Arial"/>
          <w:color w:val="000000" w:themeColor="text1"/>
          <w:szCs w:val="20"/>
          <w:lang w:val="en-GB"/>
        </w:rPr>
      </w:pPr>
    </w:p>
    <w:p w14:paraId="568D6A8C" w14:textId="38987205" w:rsidR="00FB61F1" w:rsidRPr="00F83DA8" w:rsidRDefault="00FB61F1" w:rsidP="00AB28E2">
      <w:pPr>
        <w:pStyle w:val="Heading1"/>
        <w:spacing w:before="0" w:after="0" w:line="240" w:lineRule="auto"/>
        <w:rPr>
          <w:color w:val="000000" w:themeColor="text1"/>
        </w:rPr>
      </w:pPr>
      <w:r w:rsidRPr="00F83DA8">
        <w:rPr>
          <w:color w:val="000000" w:themeColor="text1"/>
        </w:rPr>
        <w:t>EXPLANATORY NOTES</w:t>
      </w:r>
    </w:p>
    <w:p w14:paraId="4B5AED1A" w14:textId="7B410CD8" w:rsidR="00AB28E2" w:rsidRPr="00F83DA8" w:rsidRDefault="00AB28E2" w:rsidP="00AB28E2">
      <w:pPr>
        <w:rPr>
          <w:rFonts w:cs="Arial"/>
          <w:color w:val="000000" w:themeColor="text1"/>
          <w:szCs w:val="20"/>
          <w:lang w:val="en-GB"/>
        </w:rPr>
      </w:pPr>
    </w:p>
    <w:p w14:paraId="0996B4E8" w14:textId="77777777" w:rsidR="00AB28E2" w:rsidRPr="00F83DA8" w:rsidRDefault="00AB28E2" w:rsidP="00AB28E2">
      <w:pPr>
        <w:rPr>
          <w:rFonts w:cs="Arial"/>
          <w:color w:val="000000" w:themeColor="text1"/>
          <w:szCs w:val="20"/>
          <w:lang w:val="en-GB"/>
        </w:rPr>
      </w:pPr>
    </w:p>
    <w:p w14:paraId="6DC87B92" w14:textId="1A875AB5" w:rsidR="00F8518A" w:rsidRPr="00F83DA8" w:rsidRDefault="004469DB" w:rsidP="004469DB">
      <w:pPr>
        <w:pStyle w:val="NumberedList"/>
        <w:numPr>
          <w:ilvl w:val="0"/>
          <w:numId w:val="0"/>
        </w:numPr>
        <w:spacing w:before="0"/>
        <w:rPr>
          <w:color w:val="000000" w:themeColor="text1"/>
        </w:rPr>
      </w:pPr>
      <w:r>
        <w:rPr>
          <w:color w:val="000000" w:themeColor="text1"/>
        </w:rPr>
        <w:t>1.</w:t>
      </w:r>
      <w:r>
        <w:rPr>
          <w:color w:val="000000" w:themeColor="text1"/>
        </w:rPr>
        <w:tab/>
      </w:r>
      <w:r w:rsidR="00F8518A" w:rsidRPr="00F83DA8">
        <w:rPr>
          <w:color w:val="000000" w:themeColor="text1"/>
        </w:rPr>
        <w:t xml:space="preserve">This List </w:t>
      </w:r>
      <w:r w:rsidR="00075DFF">
        <w:rPr>
          <w:color w:val="000000" w:themeColor="text1"/>
        </w:rPr>
        <w:t xml:space="preserve">A </w:t>
      </w:r>
      <w:r w:rsidR="00F8518A" w:rsidRPr="00F83DA8">
        <w:rPr>
          <w:color w:val="000000" w:themeColor="text1"/>
        </w:rPr>
        <w:t>sets out, pursuant to Article 1</w:t>
      </w:r>
      <w:r w:rsidR="00EC2973" w:rsidRPr="00F83DA8">
        <w:rPr>
          <w:color w:val="000000" w:themeColor="text1"/>
        </w:rPr>
        <w:t>3</w:t>
      </w:r>
      <w:r w:rsidR="00F8518A" w:rsidRPr="00F83DA8">
        <w:rPr>
          <w:color w:val="000000" w:themeColor="text1"/>
        </w:rPr>
        <w:t xml:space="preserve"> (Reservations and Non-Conforming Measures)</w:t>
      </w:r>
      <w:r w:rsidR="00A635AD">
        <w:rPr>
          <w:color w:val="000000" w:themeColor="text1"/>
        </w:rPr>
        <w:t xml:space="preserve"> </w:t>
      </w:r>
      <w:r w:rsidR="001951FD" w:rsidRPr="00F83DA8">
        <w:rPr>
          <w:color w:val="000000" w:themeColor="text1"/>
        </w:rPr>
        <w:t>of Chapter 11 (Investment)</w:t>
      </w:r>
      <w:r w:rsidR="00F8518A" w:rsidRPr="00F83DA8">
        <w:rPr>
          <w:color w:val="000000" w:themeColor="text1"/>
        </w:rPr>
        <w:t>, Malaysia’s existing measures that are not subject to some or all of the obligations imposed by:</w:t>
      </w:r>
    </w:p>
    <w:p w14:paraId="3F398DB2" w14:textId="77777777" w:rsidR="00F8518A" w:rsidRPr="00F83DA8" w:rsidRDefault="00F8518A" w:rsidP="00F8518A">
      <w:pPr>
        <w:pStyle w:val="NumberedList"/>
        <w:numPr>
          <w:ilvl w:val="0"/>
          <w:numId w:val="0"/>
        </w:numPr>
        <w:spacing w:before="0"/>
        <w:ind w:left="360"/>
        <w:rPr>
          <w:color w:val="000000" w:themeColor="text1"/>
        </w:rPr>
      </w:pPr>
    </w:p>
    <w:p w14:paraId="7249CA21" w14:textId="061D014E" w:rsidR="00224232" w:rsidRPr="00F83DA8" w:rsidRDefault="00224232" w:rsidP="00D27CB1">
      <w:pPr>
        <w:pStyle w:val="List2"/>
        <w:numPr>
          <w:ilvl w:val="0"/>
          <w:numId w:val="7"/>
        </w:numPr>
        <w:spacing w:before="0" w:after="0"/>
        <w:ind w:hanging="720"/>
        <w:rPr>
          <w:color w:val="000000" w:themeColor="text1"/>
        </w:rPr>
      </w:pPr>
      <w:r w:rsidRPr="00F83DA8">
        <w:rPr>
          <w:color w:val="000000" w:themeColor="text1"/>
        </w:rPr>
        <w:t xml:space="preserve">Article </w:t>
      </w:r>
      <w:r w:rsidR="00602E87" w:rsidRPr="00F83DA8">
        <w:rPr>
          <w:color w:val="000000" w:themeColor="text1"/>
        </w:rPr>
        <w:t>3</w:t>
      </w:r>
      <w:r w:rsidR="00286371" w:rsidRPr="00F83DA8">
        <w:rPr>
          <w:color w:val="000000" w:themeColor="text1"/>
        </w:rPr>
        <w:t xml:space="preserve"> </w:t>
      </w:r>
      <w:r w:rsidR="00CC56B6" w:rsidRPr="00F83DA8">
        <w:rPr>
          <w:color w:val="000000" w:themeColor="text1"/>
        </w:rPr>
        <w:t>(National Treatment)</w:t>
      </w:r>
      <w:r w:rsidR="001951FD" w:rsidRPr="00F83DA8">
        <w:rPr>
          <w:color w:val="000000" w:themeColor="text1"/>
        </w:rPr>
        <w:t xml:space="preserve"> of Chapter 11 (Investment)</w:t>
      </w:r>
      <w:r w:rsidR="00CC56B6" w:rsidRPr="00F83DA8">
        <w:rPr>
          <w:color w:val="000000" w:themeColor="text1"/>
        </w:rPr>
        <w:t>;</w:t>
      </w:r>
    </w:p>
    <w:p w14:paraId="06702F05" w14:textId="77777777" w:rsidR="00AB28E2" w:rsidRPr="00F83DA8" w:rsidRDefault="00AB28E2" w:rsidP="00D27CB1">
      <w:pPr>
        <w:pStyle w:val="List2"/>
        <w:spacing w:before="0" w:after="0"/>
        <w:ind w:left="1440" w:hanging="720"/>
        <w:rPr>
          <w:color w:val="000000" w:themeColor="text1"/>
        </w:rPr>
      </w:pPr>
    </w:p>
    <w:p w14:paraId="07AD80EF" w14:textId="066806CF" w:rsidR="00224232" w:rsidRPr="00F83DA8" w:rsidRDefault="00224232" w:rsidP="00D27CB1">
      <w:pPr>
        <w:pStyle w:val="List2"/>
        <w:numPr>
          <w:ilvl w:val="0"/>
          <w:numId w:val="7"/>
        </w:numPr>
        <w:spacing w:before="0" w:after="0"/>
        <w:ind w:hanging="720"/>
        <w:rPr>
          <w:color w:val="000000" w:themeColor="text1"/>
        </w:rPr>
      </w:pPr>
      <w:r w:rsidRPr="00F83DA8">
        <w:rPr>
          <w:color w:val="000000" w:themeColor="text1"/>
        </w:rPr>
        <w:t xml:space="preserve">Article </w:t>
      </w:r>
      <w:r w:rsidR="00602E87" w:rsidRPr="00F83DA8">
        <w:rPr>
          <w:color w:val="000000" w:themeColor="text1"/>
        </w:rPr>
        <w:t>4</w:t>
      </w:r>
      <w:r w:rsidR="00286371" w:rsidRPr="00F83DA8">
        <w:rPr>
          <w:color w:val="000000" w:themeColor="text1"/>
        </w:rPr>
        <w:t xml:space="preserve"> </w:t>
      </w:r>
      <w:r w:rsidRPr="00F83DA8">
        <w:rPr>
          <w:color w:val="000000" w:themeColor="text1"/>
        </w:rPr>
        <w:t>(Most-Favoured-Nation Treatment)</w:t>
      </w:r>
      <w:r w:rsidR="001951FD" w:rsidRPr="00F83DA8">
        <w:rPr>
          <w:color w:val="000000" w:themeColor="text1"/>
        </w:rPr>
        <w:t xml:space="preserve"> of Chapter 11 (Investment)</w:t>
      </w:r>
      <w:r w:rsidRPr="00F83DA8">
        <w:rPr>
          <w:color w:val="000000" w:themeColor="text1"/>
        </w:rPr>
        <w:t xml:space="preserve">; </w:t>
      </w:r>
    </w:p>
    <w:p w14:paraId="4ED2008C" w14:textId="77777777" w:rsidR="006E39A1" w:rsidRPr="00F83DA8" w:rsidRDefault="006E39A1" w:rsidP="00D27CB1">
      <w:pPr>
        <w:pStyle w:val="ListParagraph"/>
        <w:ind w:left="1440" w:hanging="720"/>
        <w:rPr>
          <w:color w:val="000000" w:themeColor="text1"/>
        </w:rPr>
      </w:pPr>
    </w:p>
    <w:p w14:paraId="015C5914" w14:textId="4FCAF333" w:rsidR="006E39A1" w:rsidRPr="00F83DA8" w:rsidRDefault="00602E87" w:rsidP="00D27CB1">
      <w:pPr>
        <w:pStyle w:val="List2"/>
        <w:numPr>
          <w:ilvl w:val="0"/>
          <w:numId w:val="7"/>
        </w:numPr>
        <w:spacing w:before="0" w:after="0"/>
        <w:ind w:hanging="720"/>
        <w:rPr>
          <w:color w:val="000000" w:themeColor="text1"/>
        </w:rPr>
      </w:pPr>
      <w:r w:rsidRPr="00F83DA8">
        <w:rPr>
          <w:color w:val="000000" w:themeColor="text1"/>
        </w:rPr>
        <w:t>Article 5 (</w:t>
      </w:r>
      <w:r w:rsidR="006E39A1" w:rsidRPr="00F83DA8">
        <w:rPr>
          <w:color w:val="000000" w:themeColor="text1"/>
        </w:rPr>
        <w:t>Senior Management and Board of Directors</w:t>
      </w:r>
      <w:r w:rsidRPr="00F83DA8">
        <w:rPr>
          <w:color w:val="000000" w:themeColor="text1"/>
        </w:rPr>
        <w:t>)</w:t>
      </w:r>
      <w:r w:rsidR="001951FD" w:rsidRPr="00F83DA8">
        <w:rPr>
          <w:color w:val="000000" w:themeColor="text1"/>
        </w:rPr>
        <w:t xml:space="preserve"> of Chapter 11 (Investment)</w:t>
      </w:r>
      <w:r w:rsidR="00203F9D" w:rsidRPr="00F83DA8">
        <w:rPr>
          <w:color w:val="000000" w:themeColor="text1"/>
        </w:rPr>
        <w:t>; or</w:t>
      </w:r>
    </w:p>
    <w:p w14:paraId="1EC5E763" w14:textId="77777777" w:rsidR="00AB28E2" w:rsidRPr="00F83DA8" w:rsidRDefault="00AB28E2" w:rsidP="00D27CB1">
      <w:pPr>
        <w:pStyle w:val="List2"/>
        <w:spacing w:before="0" w:after="0"/>
        <w:ind w:left="1440" w:hanging="720"/>
        <w:rPr>
          <w:color w:val="000000" w:themeColor="text1"/>
        </w:rPr>
      </w:pPr>
    </w:p>
    <w:p w14:paraId="7E3DDBFD" w14:textId="6E095BF5" w:rsidR="00AB28E2" w:rsidRPr="00D27CB1" w:rsidRDefault="00224232" w:rsidP="00D27CB1">
      <w:pPr>
        <w:pStyle w:val="List2"/>
        <w:numPr>
          <w:ilvl w:val="0"/>
          <w:numId w:val="7"/>
        </w:numPr>
        <w:spacing w:before="0" w:after="0"/>
        <w:ind w:hanging="720"/>
        <w:rPr>
          <w:color w:val="000000" w:themeColor="text1"/>
        </w:rPr>
      </w:pPr>
      <w:r w:rsidRPr="00F83DA8">
        <w:rPr>
          <w:color w:val="000000" w:themeColor="text1"/>
        </w:rPr>
        <w:t xml:space="preserve">Article </w:t>
      </w:r>
      <w:r w:rsidR="00602E87" w:rsidRPr="00F83DA8">
        <w:rPr>
          <w:color w:val="000000" w:themeColor="text1"/>
        </w:rPr>
        <w:t>6</w:t>
      </w:r>
      <w:r w:rsidR="00286371" w:rsidRPr="00F83DA8">
        <w:rPr>
          <w:color w:val="000000" w:themeColor="text1"/>
        </w:rPr>
        <w:t xml:space="preserve"> </w:t>
      </w:r>
      <w:r w:rsidRPr="00F83DA8">
        <w:rPr>
          <w:color w:val="000000" w:themeColor="text1"/>
        </w:rPr>
        <w:t>(Prohibition of Performance Requirements)</w:t>
      </w:r>
      <w:r w:rsidR="001951FD" w:rsidRPr="00F83DA8">
        <w:rPr>
          <w:color w:val="000000" w:themeColor="text1"/>
        </w:rPr>
        <w:t xml:space="preserve"> of Chapter 11 (Investment)</w:t>
      </w:r>
      <w:r w:rsidR="00203F9D" w:rsidRPr="00F83DA8">
        <w:rPr>
          <w:color w:val="000000" w:themeColor="text1"/>
        </w:rPr>
        <w:t>.</w:t>
      </w:r>
    </w:p>
    <w:p w14:paraId="3C33D2A8" w14:textId="5AB9B4BC" w:rsidR="00AB28E2" w:rsidRPr="00F83DA8" w:rsidRDefault="00AB28E2" w:rsidP="00D27CB1">
      <w:pPr>
        <w:pStyle w:val="List2"/>
        <w:spacing w:before="0" w:after="0"/>
        <w:ind w:left="1440" w:hanging="720"/>
        <w:rPr>
          <w:color w:val="000000" w:themeColor="text1"/>
        </w:rPr>
      </w:pPr>
    </w:p>
    <w:p w14:paraId="27373C4B" w14:textId="36551C3C" w:rsidR="00224232" w:rsidRPr="00F83DA8" w:rsidRDefault="004469DB" w:rsidP="004469DB">
      <w:pPr>
        <w:pStyle w:val="NumberedList"/>
        <w:numPr>
          <w:ilvl w:val="0"/>
          <w:numId w:val="0"/>
        </w:numPr>
        <w:spacing w:before="0"/>
        <w:ind w:left="720" w:hanging="720"/>
        <w:rPr>
          <w:color w:val="000000" w:themeColor="text1"/>
        </w:rPr>
      </w:pPr>
      <w:r>
        <w:rPr>
          <w:color w:val="000000" w:themeColor="text1"/>
        </w:rPr>
        <w:t>2.</w:t>
      </w:r>
      <w:r>
        <w:rPr>
          <w:color w:val="000000" w:themeColor="text1"/>
        </w:rPr>
        <w:tab/>
      </w:r>
      <w:r w:rsidR="00224232" w:rsidRPr="00F83DA8">
        <w:rPr>
          <w:color w:val="000000" w:themeColor="text1"/>
        </w:rPr>
        <w:t>Each entry</w:t>
      </w:r>
      <w:r w:rsidR="00673EB6" w:rsidRPr="00F83DA8">
        <w:rPr>
          <w:color w:val="000000" w:themeColor="text1"/>
        </w:rPr>
        <w:t xml:space="preserve"> in this List</w:t>
      </w:r>
      <w:r w:rsidR="00224232" w:rsidRPr="00F83DA8">
        <w:rPr>
          <w:color w:val="000000" w:themeColor="text1"/>
        </w:rPr>
        <w:t xml:space="preserve"> </w:t>
      </w:r>
      <w:r w:rsidR="006E576A">
        <w:rPr>
          <w:color w:val="000000" w:themeColor="text1"/>
        </w:rPr>
        <w:t xml:space="preserve">A </w:t>
      </w:r>
      <w:r w:rsidR="00224232" w:rsidRPr="00F83DA8">
        <w:rPr>
          <w:color w:val="000000" w:themeColor="text1"/>
        </w:rPr>
        <w:t xml:space="preserve">sets out the following elements: </w:t>
      </w:r>
    </w:p>
    <w:p w14:paraId="1EEE3876" w14:textId="77777777" w:rsidR="00AB28E2" w:rsidRPr="00F83DA8" w:rsidRDefault="00AB28E2" w:rsidP="00AB28E2">
      <w:pPr>
        <w:pStyle w:val="NumberedList"/>
        <w:numPr>
          <w:ilvl w:val="0"/>
          <w:numId w:val="0"/>
        </w:numPr>
        <w:spacing w:before="0"/>
        <w:ind w:left="540"/>
        <w:rPr>
          <w:color w:val="000000" w:themeColor="text1"/>
        </w:rPr>
      </w:pPr>
    </w:p>
    <w:p w14:paraId="0D10E004" w14:textId="77777777" w:rsidR="00224232" w:rsidRPr="00F83DA8" w:rsidRDefault="00224232" w:rsidP="00D27CB1">
      <w:pPr>
        <w:pStyle w:val="List2"/>
        <w:numPr>
          <w:ilvl w:val="1"/>
          <w:numId w:val="8"/>
        </w:numPr>
        <w:spacing w:before="0" w:after="0"/>
        <w:ind w:hanging="720"/>
        <w:rPr>
          <w:color w:val="000000" w:themeColor="text1"/>
        </w:rPr>
      </w:pPr>
      <w:r w:rsidRPr="00F83DA8">
        <w:rPr>
          <w:b/>
          <w:color w:val="000000" w:themeColor="text1"/>
        </w:rPr>
        <w:t>Sector</w:t>
      </w:r>
      <w:r w:rsidRPr="00F83DA8">
        <w:rPr>
          <w:color w:val="000000" w:themeColor="text1"/>
        </w:rPr>
        <w:t xml:space="preserve"> refers to the sector for which the entry is made;</w:t>
      </w:r>
    </w:p>
    <w:p w14:paraId="762EF301" w14:textId="77777777" w:rsidR="00AB28E2" w:rsidRPr="00F83DA8" w:rsidRDefault="00AB28E2" w:rsidP="00D27CB1">
      <w:pPr>
        <w:pStyle w:val="List2"/>
        <w:spacing w:before="0" w:after="0"/>
        <w:ind w:left="1440" w:hanging="720"/>
        <w:rPr>
          <w:color w:val="000000" w:themeColor="text1"/>
        </w:rPr>
      </w:pPr>
    </w:p>
    <w:p w14:paraId="5B6EB9F7" w14:textId="6B6754D9" w:rsidR="00224232" w:rsidRPr="00F83DA8" w:rsidRDefault="00224232" w:rsidP="00D27CB1">
      <w:pPr>
        <w:pStyle w:val="List2"/>
        <w:numPr>
          <w:ilvl w:val="1"/>
          <w:numId w:val="8"/>
        </w:numPr>
        <w:spacing w:before="0" w:after="0"/>
        <w:ind w:hanging="720"/>
        <w:rPr>
          <w:color w:val="000000" w:themeColor="text1"/>
        </w:rPr>
      </w:pPr>
      <w:r w:rsidRPr="00F83DA8">
        <w:rPr>
          <w:b/>
          <w:color w:val="000000" w:themeColor="text1"/>
        </w:rPr>
        <w:t>Sub</w:t>
      </w:r>
      <w:r w:rsidR="00BF2A17" w:rsidRPr="00F83DA8">
        <w:rPr>
          <w:b/>
          <w:color w:val="000000" w:themeColor="text1"/>
        </w:rPr>
        <w:t>s</w:t>
      </w:r>
      <w:r w:rsidRPr="00F83DA8">
        <w:rPr>
          <w:b/>
          <w:color w:val="000000" w:themeColor="text1"/>
        </w:rPr>
        <w:t>ector</w:t>
      </w:r>
      <w:r w:rsidRPr="00F83DA8">
        <w:rPr>
          <w:color w:val="000000" w:themeColor="text1"/>
        </w:rPr>
        <w:t>, where referenced, refers to the specific subsector for which the entry is made;</w:t>
      </w:r>
    </w:p>
    <w:p w14:paraId="1DB2BF13" w14:textId="77777777" w:rsidR="00F8518A" w:rsidRPr="00F83DA8" w:rsidRDefault="00F8518A" w:rsidP="00D27CB1">
      <w:pPr>
        <w:pStyle w:val="List2"/>
        <w:spacing w:before="0" w:after="0"/>
        <w:ind w:left="1440" w:hanging="720"/>
        <w:rPr>
          <w:color w:val="000000" w:themeColor="text1"/>
        </w:rPr>
      </w:pPr>
    </w:p>
    <w:p w14:paraId="41E121A1" w14:textId="298C320B" w:rsidR="00933D64" w:rsidRPr="00F83DA8" w:rsidRDefault="00933D64" w:rsidP="00D27CB1">
      <w:pPr>
        <w:pStyle w:val="List2"/>
        <w:numPr>
          <w:ilvl w:val="1"/>
          <w:numId w:val="8"/>
        </w:numPr>
        <w:spacing w:before="0" w:after="0"/>
        <w:ind w:hanging="720"/>
        <w:rPr>
          <w:color w:val="000000" w:themeColor="text1"/>
        </w:rPr>
      </w:pPr>
      <w:r w:rsidRPr="00F83DA8">
        <w:rPr>
          <w:b/>
          <w:color w:val="000000" w:themeColor="text1"/>
        </w:rPr>
        <w:t>Level of Government</w:t>
      </w:r>
      <w:r w:rsidRPr="00F83DA8">
        <w:rPr>
          <w:color w:val="000000" w:themeColor="text1"/>
        </w:rPr>
        <w:t xml:space="preserve"> indicates the level of government mai</w:t>
      </w:r>
      <w:r w:rsidR="00926E98" w:rsidRPr="00F83DA8">
        <w:rPr>
          <w:color w:val="000000" w:themeColor="text1"/>
        </w:rPr>
        <w:t>ntaining the listed measure</w:t>
      </w:r>
      <w:r w:rsidR="00055CA3" w:rsidRPr="00F83DA8">
        <w:rPr>
          <w:color w:val="000000" w:themeColor="text1"/>
        </w:rPr>
        <w:t>s;</w:t>
      </w:r>
    </w:p>
    <w:p w14:paraId="65FF08D1" w14:textId="77777777" w:rsidR="00AB28E2" w:rsidRPr="00F83DA8" w:rsidRDefault="00AB28E2" w:rsidP="00D27CB1">
      <w:pPr>
        <w:pStyle w:val="List2"/>
        <w:spacing w:before="0" w:after="0"/>
        <w:ind w:left="1440" w:hanging="720"/>
        <w:rPr>
          <w:color w:val="000000" w:themeColor="text1"/>
        </w:rPr>
      </w:pPr>
    </w:p>
    <w:p w14:paraId="74D402B7" w14:textId="593224A4" w:rsidR="00224232" w:rsidRPr="00F83DA8" w:rsidRDefault="00224232" w:rsidP="00D27CB1">
      <w:pPr>
        <w:pStyle w:val="List2"/>
        <w:numPr>
          <w:ilvl w:val="1"/>
          <w:numId w:val="8"/>
        </w:numPr>
        <w:spacing w:before="0" w:after="0"/>
        <w:ind w:hanging="720"/>
        <w:rPr>
          <w:color w:val="000000" w:themeColor="text1"/>
        </w:rPr>
      </w:pPr>
      <w:r w:rsidRPr="00F83DA8">
        <w:rPr>
          <w:b/>
          <w:color w:val="000000" w:themeColor="text1"/>
        </w:rPr>
        <w:t>Obligations Concerned</w:t>
      </w:r>
      <w:r w:rsidRPr="00F83DA8">
        <w:rPr>
          <w:color w:val="000000" w:themeColor="text1"/>
        </w:rPr>
        <w:t xml:space="preserve"> specifies the obligations referred to in paragraph 1 that, pursuant to</w:t>
      </w:r>
      <w:r w:rsidR="00E628CA" w:rsidRPr="00F83DA8">
        <w:rPr>
          <w:color w:val="000000" w:themeColor="text1"/>
        </w:rPr>
        <w:t xml:space="preserve"> </w:t>
      </w:r>
      <w:r w:rsidR="00B90426" w:rsidRPr="00F83DA8">
        <w:rPr>
          <w:color w:val="000000" w:themeColor="text1"/>
        </w:rPr>
        <w:t>A</w:t>
      </w:r>
      <w:r w:rsidR="0046071B" w:rsidRPr="00F83DA8">
        <w:rPr>
          <w:color w:val="000000" w:themeColor="text1"/>
        </w:rPr>
        <w:t xml:space="preserve">rticle </w:t>
      </w:r>
      <w:r w:rsidR="00990BD2" w:rsidRPr="00F83DA8">
        <w:rPr>
          <w:color w:val="000000" w:themeColor="text1"/>
        </w:rPr>
        <w:t>1</w:t>
      </w:r>
      <w:r w:rsidR="00602E87" w:rsidRPr="00F83DA8">
        <w:rPr>
          <w:color w:val="000000" w:themeColor="text1"/>
        </w:rPr>
        <w:t>3</w:t>
      </w:r>
      <w:r w:rsidR="00990BD2" w:rsidRPr="00F83DA8">
        <w:rPr>
          <w:color w:val="000000" w:themeColor="text1"/>
        </w:rPr>
        <w:t xml:space="preserve"> </w:t>
      </w:r>
      <w:r w:rsidRPr="00F83DA8">
        <w:rPr>
          <w:color w:val="000000" w:themeColor="text1"/>
        </w:rPr>
        <w:t>(</w:t>
      </w:r>
      <w:r w:rsidR="00EE0AF4" w:rsidRPr="00F83DA8">
        <w:rPr>
          <w:color w:val="000000" w:themeColor="text1"/>
        </w:rPr>
        <w:t xml:space="preserve">Reservations and </w:t>
      </w:r>
      <w:r w:rsidRPr="00F83DA8">
        <w:rPr>
          <w:color w:val="000000" w:themeColor="text1"/>
        </w:rPr>
        <w:t>Non-Conforming Measures)</w:t>
      </w:r>
      <w:r w:rsidR="001951FD" w:rsidRPr="00F83DA8">
        <w:rPr>
          <w:color w:val="000000" w:themeColor="text1"/>
        </w:rPr>
        <w:t xml:space="preserve"> of Chapter 11 (Investment)</w:t>
      </w:r>
      <w:r w:rsidRPr="00F83DA8">
        <w:rPr>
          <w:color w:val="000000" w:themeColor="text1"/>
        </w:rPr>
        <w:t>, do not apply to the listed measures</w:t>
      </w:r>
      <w:r w:rsidR="00055CA3" w:rsidRPr="00F83DA8">
        <w:rPr>
          <w:color w:val="000000" w:themeColor="text1"/>
        </w:rPr>
        <w:t>;</w:t>
      </w:r>
    </w:p>
    <w:p w14:paraId="03A9627A" w14:textId="77777777" w:rsidR="00AB28E2" w:rsidRPr="00F83DA8" w:rsidRDefault="00AB28E2" w:rsidP="00D27CB1">
      <w:pPr>
        <w:pStyle w:val="List2"/>
        <w:spacing w:before="0" w:after="0"/>
        <w:ind w:left="1440" w:hanging="720"/>
        <w:rPr>
          <w:color w:val="000000" w:themeColor="text1"/>
        </w:rPr>
      </w:pPr>
    </w:p>
    <w:p w14:paraId="04790F89" w14:textId="1E502508" w:rsidR="00933D64" w:rsidRPr="00F83DA8" w:rsidRDefault="00933D64" w:rsidP="00D27CB1">
      <w:pPr>
        <w:pStyle w:val="List2"/>
        <w:numPr>
          <w:ilvl w:val="1"/>
          <w:numId w:val="8"/>
        </w:numPr>
        <w:spacing w:before="0" w:after="0"/>
        <w:ind w:hanging="720"/>
        <w:rPr>
          <w:color w:val="000000" w:themeColor="text1"/>
        </w:rPr>
      </w:pPr>
      <w:r w:rsidRPr="00F83DA8">
        <w:rPr>
          <w:b/>
          <w:color w:val="000000" w:themeColor="text1"/>
        </w:rPr>
        <w:t>Description</w:t>
      </w:r>
      <w:r w:rsidRPr="00F83DA8">
        <w:rPr>
          <w:color w:val="000000" w:themeColor="text1"/>
        </w:rPr>
        <w:t xml:space="preserve"> sets out the non-conforming measure for which the entry is made</w:t>
      </w:r>
      <w:r w:rsidR="00D41E23" w:rsidRPr="00F83DA8">
        <w:rPr>
          <w:color w:val="000000" w:themeColor="text1"/>
        </w:rPr>
        <w:t>; and</w:t>
      </w:r>
    </w:p>
    <w:p w14:paraId="700586C4" w14:textId="77777777" w:rsidR="00AB28E2" w:rsidRPr="00F83DA8" w:rsidRDefault="00AB28E2" w:rsidP="00D27CB1">
      <w:pPr>
        <w:pStyle w:val="List2"/>
        <w:spacing w:before="0" w:after="0"/>
        <w:ind w:left="1440" w:hanging="720"/>
        <w:rPr>
          <w:color w:val="000000" w:themeColor="text1"/>
        </w:rPr>
      </w:pPr>
    </w:p>
    <w:p w14:paraId="46A52A0A" w14:textId="0375AC82" w:rsidR="00F8518A" w:rsidRPr="00F83DA8" w:rsidRDefault="00F8518A" w:rsidP="00D27CB1">
      <w:pPr>
        <w:pStyle w:val="NumberList2"/>
        <w:numPr>
          <w:ilvl w:val="1"/>
          <w:numId w:val="8"/>
        </w:numPr>
        <w:spacing w:before="0" w:after="0"/>
        <w:ind w:hanging="720"/>
        <w:rPr>
          <w:color w:val="000000" w:themeColor="text1"/>
        </w:rPr>
      </w:pPr>
      <w:r w:rsidRPr="00F83DA8">
        <w:rPr>
          <w:b/>
          <w:color w:val="000000" w:themeColor="text1"/>
        </w:rPr>
        <w:t>Source of Measure</w:t>
      </w:r>
      <w:r w:rsidRPr="00F83DA8">
        <w:rPr>
          <w:color w:val="000000" w:themeColor="text1"/>
        </w:rPr>
        <w:t xml:space="preserve"> means the laws, regulations or other measures that are the source of the non-conforming measure for which the entry is made. A measure cited in the Source of Measure element:</w:t>
      </w:r>
    </w:p>
    <w:p w14:paraId="15C5218F" w14:textId="77777777" w:rsidR="00F8518A" w:rsidRPr="00F83DA8" w:rsidRDefault="00F8518A" w:rsidP="00AB28E2">
      <w:pPr>
        <w:pStyle w:val="NumberList3"/>
        <w:numPr>
          <w:ilvl w:val="0"/>
          <w:numId w:val="0"/>
        </w:numPr>
        <w:spacing w:before="0" w:after="0"/>
        <w:ind w:left="1620"/>
        <w:rPr>
          <w:color w:val="000000" w:themeColor="text1"/>
        </w:rPr>
      </w:pPr>
    </w:p>
    <w:p w14:paraId="771C0ECD" w14:textId="2E42169A" w:rsidR="00224232" w:rsidRPr="00F83DA8" w:rsidRDefault="00224232" w:rsidP="004469DB">
      <w:pPr>
        <w:pStyle w:val="NumberList3"/>
        <w:numPr>
          <w:ilvl w:val="3"/>
          <w:numId w:val="9"/>
        </w:numPr>
        <w:spacing w:before="0" w:after="0"/>
        <w:ind w:left="2160" w:hanging="720"/>
        <w:rPr>
          <w:color w:val="000000" w:themeColor="text1"/>
        </w:rPr>
      </w:pPr>
      <w:r w:rsidRPr="00F83DA8">
        <w:rPr>
          <w:color w:val="000000" w:themeColor="text1"/>
        </w:rPr>
        <w:t>means the measure as amended, continued or renewed as of the date of entry into force of th</w:t>
      </w:r>
      <w:r w:rsidR="00EC0291">
        <w:rPr>
          <w:color w:val="000000" w:themeColor="text1"/>
        </w:rPr>
        <w:t>e Second Protocol</w:t>
      </w:r>
      <w:r w:rsidRPr="00F83DA8">
        <w:rPr>
          <w:color w:val="000000" w:themeColor="text1"/>
        </w:rPr>
        <w:t>, and</w:t>
      </w:r>
    </w:p>
    <w:p w14:paraId="3DD9B048" w14:textId="77777777" w:rsidR="00AB28E2" w:rsidRPr="00F83DA8" w:rsidRDefault="00AB28E2" w:rsidP="004469DB">
      <w:pPr>
        <w:pStyle w:val="NumberList3"/>
        <w:numPr>
          <w:ilvl w:val="0"/>
          <w:numId w:val="0"/>
        </w:numPr>
        <w:spacing w:before="0" w:after="0"/>
        <w:ind w:left="2160" w:hanging="720"/>
        <w:rPr>
          <w:color w:val="000000" w:themeColor="text1"/>
        </w:rPr>
      </w:pPr>
    </w:p>
    <w:p w14:paraId="0A70BA26" w14:textId="36CBA730" w:rsidR="00224232" w:rsidRPr="00F83DA8" w:rsidRDefault="00224232" w:rsidP="004469DB">
      <w:pPr>
        <w:pStyle w:val="NumberList3"/>
        <w:numPr>
          <w:ilvl w:val="3"/>
          <w:numId w:val="9"/>
        </w:numPr>
        <w:spacing w:before="0" w:after="0"/>
        <w:ind w:left="2160" w:hanging="720"/>
        <w:rPr>
          <w:color w:val="000000" w:themeColor="text1"/>
        </w:rPr>
      </w:pPr>
      <w:r w:rsidRPr="00F83DA8">
        <w:rPr>
          <w:color w:val="000000" w:themeColor="text1"/>
        </w:rPr>
        <w:t>includes any subordinate measure adopted or maintained under the authority of and consistent with the measure</w:t>
      </w:r>
      <w:r w:rsidR="00F268B7" w:rsidRPr="00F83DA8">
        <w:rPr>
          <w:color w:val="000000" w:themeColor="text1"/>
        </w:rPr>
        <w:t>.</w:t>
      </w:r>
      <w:r w:rsidRPr="00F83DA8">
        <w:rPr>
          <w:color w:val="000000" w:themeColor="text1"/>
        </w:rPr>
        <w:t xml:space="preserve"> </w:t>
      </w:r>
    </w:p>
    <w:p w14:paraId="21A1F808" w14:textId="77DCCC50" w:rsidR="00912139" w:rsidRPr="00F83DA8" w:rsidRDefault="004469DB" w:rsidP="004469DB">
      <w:pPr>
        <w:pStyle w:val="NumberedList"/>
        <w:numPr>
          <w:ilvl w:val="0"/>
          <w:numId w:val="0"/>
        </w:numPr>
        <w:spacing w:before="0"/>
        <w:rPr>
          <w:color w:val="000000" w:themeColor="text1"/>
        </w:rPr>
      </w:pPr>
      <w:r>
        <w:rPr>
          <w:color w:val="000000" w:themeColor="text1"/>
        </w:rPr>
        <w:lastRenderedPageBreak/>
        <w:t>3.</w:t>
      </w:r>
      <w:r>
        <w:rPr>
          <w:color w:val="000000" w:themeColor="text1"/>
        </w:rPr>
        <w:tab/>
      </w:r>
      <w:r w:rsidR="00912139" w:rsidRPr="00F83DA8">
        <w:rPr>
          <w:color w:val="000000" w:themeColor="text1"/>
        </w:rPr>
        <w:t xml:space="preserve">In accordance with </w:t>
      </w:r>
      <w:r w:rsidR="00926E98" w:rsidRPr="00F83DA8">
        <w:rPr>
          <w:color w:val="000000" w:themeColor="text1"/>
        </w:rPr>
        <w:t xml:space="preserve">Article </w:t>
      </w:r>
      <w:r w:rsidR="00286371" w:rsidRPr="00F83DA8">
        <w:rPr>
          <w:color w:val="000000" w:themeColor="text1"/>
        </w:rPr>
        <w:t>1</w:t>
      </w:r>
      <w:r w:rsidR="00602E87" w:rsidRPr="00F83DA8">
        <w:rPr>
          <w:color w:val="000000" w:themeColor="text1"/>
        </w:rPr>
        <w:t>3</w:t>
      </w:r>
      <w:r w:rsidR="00286371" w:rsidRPr="00F83DA8">
        <w:rPr>
          <w:color w:val="000000" w:themeColor="text1"/>
        </w:rPr>
        <w:t xml:space="preserve"> </w:t>
      </w:r>
      <w:r w:rsidR="00912139" w:rsidRPr="00F83DA8">
        <w:rPr>
          <w:color w:val="000000" w:themeColor="text1"/>
        </w:rPr>
        <w:t>(</w:t>
      </w:r>
      <w:r w:rsidR="00A3079A" w:rsidRPr="00F83DA8">
        <w:rPr>
          <w:color w:val="000000" w:themeColor="text1"/>
        </w:rPr>
        <w:t xml:space="preserve">Reservations and </w:t>
      </w:r>
      <w:r w:rsidR="00912139" w:rsidRPr="00F83DA8">
        <w:rPr>
          <w:color w:val="000000" w:themeColor="text1"/>
        </w:rPr>
        <w:t>Non-Conforming Measures)</w:t>
      </w:r>
      <w:r w:rsidR="001951FD" w:rsidRPr="00F83DA8">
        <w:rPr>
          <w:color w:val="000000" w:themeColor="text1"/>
        </w:rPr>
        <w:t xml:space="preserve"> of Chapter 11 (Investment)</w:t>
      </w:r>
      <w:r w:rsidR="00912139" w:rsidRPr="00F83DA8">
        <w:rPr>
          <w:color w:val="000000" w:themeColor="text1"/>
        </w:rPr>
        <w:t xml:space="preserve">, the </w:t>
      </w:r>
      <w:r w:rsidR="006F1D59" w:rsidRPr="00931D76">
        <w:rPr>
          <w:color w:val="000000" w:themeColor="text1"/>
        </w:rPr>
        <w:t xml:space="preserve">Articles </w:t>
      </w:r>
      <w:r w:rsidR="00912139" w:rsidRPr="00931D76">
        <w:rPr>
          <w:color w:val="000000" w:themeColor="text1"/>
        </w:rPr>
        <w:t>of this Agreement specified</w:t>
      </w:r>
      <w:r w:rsidR="00912139" w:rsidRPr="00F83DA8">
        <w:rPr>
          <w:color w:val="000000" w:themeColor="text1"/>
        </w:rPr>
        <w:t xml:space="preserve"> in the Obligations Concerned element of an entry do not apply to the non-conforming measure identified in the Descri</w:t>
      </w:r>
      <w:r w:rsidR="00055CA3" w:rsidRPr="00F83DA8">
        <w:rPr>
          <w:color w:val="000000" w:themeColor="text1"/>
        </w:rPr>
        <w:t>ption element of that entry.</w:t>
      </w:r>
    </w:p>
    <w:p w14:paraId="3DF28F72" w14:textId="47136A6C" w:rsidR="00AB28E2" w:rsidRPr="00F83DA8" w:rsidRDefault="00AB28E2" w:rsidP="00AB28E2">
      <w:pPr>
        <w:pStyle w:val="NumberedList"/>
        <w:numPr>
          <w:ilvl w:val="0"/>
          <w:numId w:val="0"/>
        </w:numPr>
        <w:spacing w:before="0"/>
        <w:ind w:left="540"/>
        <w:rPr>
          <w:color w:val="000000" w:themeColor="text1"/>
        </w:rPr>
      </w:pPr>
    </w:p>
    <w:p w14:paraId="4EE688AD" w14:textId="13F5E4F3" w:rsidR="00F8518A" w:rsidRPr="00F83DA8" w:rsidRDefault="004469DB" w:rsidP="004469DB">
      <w:pPr>
        <w:pStyle w:val="NumberedList"/>
        <w:numPr>
          <w:ilvl w:val="0"/>
          <w:numId w:val="0"/>
        </w:numPr>
        <w:spacing w:before="0"/>
        <w:rPr>
          <w:color w:val="000000" w:themeColor="text1"/>
        </w:rPr>
      </w:pPr>
      <w:r>
        <w:rPr>
          <w:color w:val="000000" w:themeColor="text1"/>
        </w:rPr>
        <w:t>4.</w:t>
      </w:r>
      <w:r>
        <w:rPr>
          <w:color w:val="000000" w:themeColor="text1"/>
        </w:rPr>
        <w:tab/>
      </w:r>
      <w:r w:rsidR="00F8518A" w:rsidRPr="00F83DA8">
        <w:rPr>
          <w:color w:val="000000" w:themeColor="text1"/>
        </w:rPr>
        <w:t xml:space="preserve">For greater certainty, the Description element of each of the entries in this List </w:t>
      </w:r>
      <w:r w:rsidR="006E576A">
        <w:rPr>
          <w:color w:val="000000" w:themeColor="text1"/>
        </w:rPr>
        <w:t xml:space="preserve">A </w:t>
      </w:r>
      <w:r w:rsidR="00F8518A" w:rsidRPr="00F83DA8">
        <w:rPr>
          <w:color w:val="000000" w:themeColor="text1"/>
        </w:rPr>
        <w:t>is to be interpreted in accordance with the relevant cited sources of the non-conforming measures. For greater certainty, to the extent of any conflict between the Description element and other elements in an entry, the Description element shall prevail</w:t>
      </w:r>
      <w:r w:rsidR="00931D76">
        <w:rPr>
          <w:color w:val="000000" w:themeColor="text1"/>
        </w:rPr>
        <w:t>.</w:t>
      </w:r>
    </w:p>
    <w:p w14:paraId="253A4DCB" w14:textId="77777777" w:rsidR="00F8518A" w:rsidRPr="00F83DA8" w:rsidRDefault="00F8518A" w:rsidP="00AB28E2">
      <w:pPr>
        <w:pStyle w:val="NumberedList"/>
        <w:numPr>
          <w:ilvl w:val="0"/>
          <w:numId w:val="0"/>
        </w:numPr>
        <w:spacing w:before="0"/>
        <w:ind w:left="540"/>
        <w:rPr>
          <w:color w:val="000000" w:themeColor="text1"/>
        </w:rPr>
      </w:pPr>
    </w:p>
    <w:p w14:paraId="0707FF51" w14:textId="60289A21" w:rsidR="00E30676" w:rsidRPr="00F83DA8" w:rsidRDefault="004469DB" w:rsidP="004469DB">
      <w:pPr>
        <w:pStyle w:val="NumberedList"/>
        <w:numPr>
          <w:ilvl w:val="0"/>
          <w:numId w:val="0"/>
        </w:numPr>
        <w:spacing w:before="0"/>
        <w:rPr>
          <w:color w:val="000000" w:themeColor="text1"/>
        </w:rPr>
      </w:pPr>
      <w:r>
        <w:rPr>
          <w:color w:val="000000" w:themeColor="text1"/>
        </w:rPr>
        <w:t>5.</w:t>
      </w:r>
      <w:r>
        <w:rPr>
          <w:color w:val="000000" w:themeColor="text1"/>
        </w:rPr>
        <w:tab/>
      </w:r>
      <w:r w:rsidR="00E30676" w:rsidRPr="00F83DA8">
        <w:rPr>
          <w:color w:val="000000" w:themeColor="text1"/>
        </w:rPr>
        <w:t xml:space="preserve">The </w:t>
      </w:r>
      <w:r w:rsidR="006F1D59" w:rsidRPr="00F83DA8">
        <w:rPr>
          <w:color w:val="000000" w:themeColor="text1"/>
        </w:rPr>
        <w:t xml:space="preserve">Schedules </w:t>
      </w:r>
      <w:r w:rsidR="00E30676" w:rsidRPr="00F83DA8">
        <w:rPr>
          <w:color w:val="000000" w:themeColor="text1"/>
        </w:rPr>
        <w:t>of other Parties shall not be used to interpret Malaysia’s commitments or obligations under Chapter 1</w:t>
      </w:r>
      <w:r w:rsidR="00286371" w:rsidRPr="00F83DA8">
        <w:rPr>
          <w:color w:val="000000" w:themeColor="text1"/>
        </w:rPr>
        <w:t>1</w:t>
      </w:r>
      <w:r w:rsidR="00E30676" w:rsidRPr="00F83DA8">
        <w:rPr>
          <w:color w:val="000000" w:themeColor="text1"/>
        </w:rPr>
        <w:t xml:space="preserve"> (Investment)</w:t>
      </w:r>
      <w:r w:rsidR="00055CA3" w:rsidRPr="00F83DA8">
        <w:rPr>
          <w:color w:val="000000" w:themeColor="text1"/>
        </w:rPr>
        <w:t>.</w:t>
      </w:r>
    </w:p>
    <w:p w14:paraId="58DA7208" w14:textId="77777777" w:rsidR="00E30676" w:rsidRPr="00F83DA8" w:rsidRDefault="00E30676" w:rsidP="00AB28E2">
      <w:pPr>
        <w:pStyle w:val="NumberedList"/>
        <w:numPr>
          <w:ilvl w:val="0"/>
          <w:numId w:val="0"/>
        </w:numPr>
        <w:spacing w:before="0"/>
        <w:jc w:val="left"/>
        <w:rPr>
          <w:color w:val="000000" w:themeColor="text1"/>
        </w:rPr>
      </w:pPr>
    </w:p>
    <w:p w14:paraId="4F55922B" w14:textId="7ED8C426" w:rsidR="00F729DC" w:rsidRPr="00F83DA8" w:rsidRDefault="00F0624B" w:rsidP="00AB28E2">
      <w:pPr>
        <w:pStyle w:val="NoSpacing"/>
        <w:spacing w:before="0" w:after="0" w:line="240" w:lineRule="auto"/>
        <w:jc w:val="left"/>
        <w:rPr>
          <w:color w:val="000000" w:themeColor="text1"/>
          <w:sz w:val="20"/>
        </w:rPr>
      </w:pPr>
      <w:r w:rsidRPr="00F83DA8">
        <w:rPr>
          <w:color w:val="000000" w:themeColor="text1"/>
          <w:sz w:val="20"/>
        </w:rPr>
        <w:br w:type="page"/>
      </w:r>
    </w:p>
    <w:tbl>
      <w:tblPr>
        <w:tblW w:w="497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41"/>
        <w:gridCol w:w="303"/>
        <w:gridCol w:w="4537"/>
      </w:tblGrid>
      <w:tr w:rsidR="00F83DA8" w:rsidRPr="00F83DA8" w14:paraId="49B4CF96" w14:textId="77777777" w:rsidTr="00C32073">
        <w:trPr>
          <w:trHeight w:val="230"/>
        </w:trPr>
        <w:tc>
          <w:tcPr>
            <w:tcW w:w="300" w:type="pct"/>
          </w:tcPr>
          <w:p w14:paraId="20D55FBA" w14:textId="77777777" w:rsidR="00C3276A" w:rsidRPr="00F83DA8" w:rsidRDefault="00C3276A" w:rsidP="00C32073">
            <w:pPr>
              <w:numPr>
                <w:ilvl w:val="0"/>
                <w:numId w:val="2"/>
              </w:numPr>
              <w:spacing w:after="120"/>
              <w:rPr>
                <w:rFonts w:cs="Arial"/>
                <w:snapToGrid w:val="0"/>
                <w:color w:val="000000" w:themeColor="text1"/>
                <w:szCs w:val="20"/>
              </w:rPr>
            </w:pPr>
          </w:p>
        </w:tc>
        <w:tc>
          <w:tcPr>
            <w:tcW w:w="1482" w:type="pct"/>
          </w:tcPr>
          <w:p w14:paraId="34C62FD3" w14:textId="77777777" w:rsidR="00C3276A" w:rsidRPr="00F83DA8" w:rsidRDefault="00C3276A" w:rsidP="00C32073">
            <w:pPr>
              <w:spacing w:after="120"/>
              <w:rPr>
                <w:rFonts w:cs="Arial"/>
                <w:color w:val="000000" w:themeColor="text1"/>
                <w:szCs w:val="20"/>
              </w:rPr>
            </w:pPr>
            <w:r w:rsidRPr="00F83DA8">
              <w:rPr>
                <w:rFonts w:cs="Arial"/>
                <w:snapToGrid w:val="0"/>
                <w:color w:val="000000" w:themeColor="text1"/>
                <w:szCs w:val="20"/>
              </w:rPr>
              <w:t>Sector</w:t>
            </w:r>
          </w:p>
        </w:tc>
        <w:tc>
          <w:tcPr>
            <w:tcW w:w="200" w:type="pct"/>
          </w:tcPr>
          <w:p w14:paraId="32256F8B" w14:textId="77777777" w:rsidR="00C3276A" w:rsidRPr="00F83DA8" w:rsidRDefault="00C3276A" w:rsidP="00C32073">
            <w:pPr>
              <w:spacing w:after="120"/>
              <w:rPr>
                <w:rFonts w:cs="Arial"/>
                <w:snapToGrid w:val="0"/>
                <w:color w:val="000000" w:themeColor="text1"/>
                <w:szCs w:val="20"/>
              </w:rPr>
            </w:pPr>
            <w:r w:rsidRPr="00F83DA8">
              <w:rPr>
                <w:rFonts w:cs="Arial"/>
                <w:snapToGrid w:val="0"/>
                <w:color w:val="000000" w:themeColor="text1"/>
                <w:szCs w:val="20"/>
              </w:rPr>
              <w:t>:</w:t>
            </w:r>
          </w:p>
        </w:tc>
        <w:tc>
          <w:tcPr>
            <w:tcW w:w="3000" w:type="pct"/>
          </w:tcPr>
          <w:p w14:paraId="613502AF" w14:textId="6B4E47DD" w:rsidR="00C3276A" w:rsidRPr="00F83DA8" w:rsidRDefault="00C3276A" w:rsidP="00D27CB1">
            <w:pPr>
              <w:tabs>
                <w:tab w:val="center" w:pos="2153"/>
              </w:tabs>
              <w:spacing w:after="120"/>
              <w:rPr>
                <w:rFonts w:cs="Arial"/>
                <w:snapToGrid w:val="0"/>
                <w:color w:val="000000" w:themeColor="text1"/>
                <w:szCs w:val="20"/>
              </w:rPr>
            </w:pPr>
            <w:r w:rsidRPr="00F83DA8">
              <w:rPr>
                <w:rFonts w:cs="Arial"/>
                <w:snapToGrid w:val="0"/>
                <w:color w:val="000000" w:themeColor="text1"/>
                <w:szCs w:val="20"/>
              </w:rPr>
              <w:t xml:space="preserve">All sectors </w:t>
            </w:r>
            <w:r w:rsidR="00D27CB1">
              <w:rPr>
                <w:rFonts w:cs="Arial"/>
                <w:snapToGrid w:val="0"/>
                <w:color w:val="000000" w:themeColor="text1"/>
                <w:szCs w:val="20"/>
              </w:rPr>
              <w:tab/>
            </w:r>
          </w:p>
        </w:tc>
      </w:tr>
      <w:tr w:rsidR="00F83DA8" w:rsidRPr="00F83DA8" w14:paraId="01546C80" w14:textId="77777777" w:rsidTr="00C32073">
        <w:trPr>
          <w:trHeight w:val="230"/>
        </w:trPr>
        <w:tc>
          <w:tcPr>
            <w:tcW w:w="300" w:type="pct"/>
          </w:tcPr>
          <w:p w14:paraId="1F4FCACA" w14:textId="77777777" w:rsidR="00171C46" w:rsidRPr="00F83DA8" w:rsidRDefault="00171C46" w:rsidP="00C32073">
            <w:pPr>
              <w:spacing w:after="120"/>
              <w:rPr>
                <w:rFonts w:cs="Arial"/>
                <w:snapToGrid w:val="0"/>
                <w:color w:val="000000" w:themeColor="text1"/>
                <w:szCs w:val="20"/>
              </w:rPr>
            </w:pPr>
          </w:p>
        </w:tc>
        <w:tc>
          <w:tcPr>
            <w:tcW w:w="1482" w:type="pct"/>
          </w:tcPr>
          <w:p w14:paraId="53237083" w14:textId="6EA30158" w:rsidR="00171C46" w:rsidRPr="00F83DA8" w:rsidRDefault="00171C46" w:rsidP="00C32073">
            <w:pPr>
              <w:spacing w:after="120"/>
              <w:rPr>
                <w:rFonts w:cs="Arial"/>
                <w:snapToGrid w:val="0"/>
                <w:color w:val="000000" w:themeColor="text1"/>
                <w:szCs w:val="20"/>
              </w:rPr>
            </w:pPr>
            <w:r w:rsidRPr="00F83DA8">
              <w:rPr>
                <w:rFonts w:cs="Arial"/>
                <w:snapToGrid w:val="0"/>
                <w:color w:val="000000" w:themeColor="text1"/>
                <w:szCs w:val="20"/>
              </w:rPr>
              <w:t>Subsector</w:t>
            </w:r>
          </w:p>
        </w:tc>
        <w:tc>
          <w:tcPr>
            <w:tcW w:w="200" w:type="pct"/>
          </w:tcPr>
          <w:p w14:paraId="11A03639" w14:textId="7B9BE55C" w:rsidR="00171C46" w:rsidRPr="00F83DA8" w:rsidRDefault="00171C46" w:rsidP="00C32073">
            <w:pPr>
              <w:spacing w:after="120"/>
              <w:rPr>
                <w:rFonts w:cs="Arial"/>
                <w:snapToGrid w:val="0"/>
                <w:color w:val="000000" w:themeColor="text1"/>
                <w:szCs w:val="20"/>
              </w:rPr>
            </w:pPr>
            <w:r w:rsidRPr="00F83DA8">
              <w:rPr>
                <w:rFonts w:cs="Arial"/>
                <w:snapToGrid w:val="0"/>
                <w:color w:val="000000" w:themeColor="text1"/>
                <w:szCs w:val="20"/>
              </w:rPr>
              <w:t>:</w:t>
            </w:r>
          </w:p>
        </w:tc>
        <w:tc>
          <w:tcPr>
            <w:tcW w:w="3000" w:type="pct"/>
          </w:tcPr>
          <w:p w14:paraId="4A4CDA02" w14:textId="32846E5B" w:rsidR="00171C46" w:rsidRPr="00F83DA8" w:rsidRDefault="00171C46" w:rsidP="00C32073">
            <w:pPr>
              <w:spacing w:after="120"/>
              <w:rPr>
                <w:rFonts w:cs="Arial"/>
                <w:snapToGrid w:val="0"/>
                <w:color w:val="000000" w:themeColor="text1"/>
                <w:szCs w:val="20"/>
              </w:rPr>
            </w:pPr>
            <w:r w:rsidRPr="00F83DA8">
              <w:rPr>
                <w:rFonts w:cs="Arial"/>
                <w:snapToGrid w:val="0"/>
                <w:color w:val="000000" w:themeColor="text1"/>
                <w:szCs w:val="20"/>
              </w:rPr>
              <w:t>-</w:t>
            </w:r>
          </w:p>
        </w:tc>
      </w:tr>
      <w:tr w:rsidR="00F83DA8" w:rsidRPr="00F83DA8" w14:paraId="1C39A36E" w14:textId="77777777" w:rsidTr="00C32073">
        <w:trPr>
          <w:trHeight w:val="230"/>
        </w:trPr>
        <w:tc>
          <w:tcPr>
            <w:tcW w:w="300" w:type="pct"/>
          </w:tcPr>
          <w:p w14:paraId="388C896E" w14:textId="77777777" w:rsidR="00C3276A" w:rsidRPr="00F83DA8" w:rsidRDefault="00C3276A" w:rsidP="00C32073">
            <w:pPr>
              <w:spacing w:after="120"/>
              <w:rPr>
                <w:rFonts w:cs="Arial"/>
                <w:snapToGrid w:val="0"/>
                <w:color w:val="000000" w:themeColor="text1"/>
                <w:szCs w:val="20"/>
              </w:rPr>
            </w:pPr>
          </w:p>
        </w:tc>
        <w:tc>
          <w:tcPr>
            <w:tcW w:w="1482" w:type="pct"/>
          </w:tcPr>
          <w:p w14:paraId="028115EF" w14:textId="77777777" w:rsidR="00C3276A" w:rsidRPr="00F83DA8" w:rsidRDefault="00C3276A" w:rsidP="00C32073">
            <w:pPr>
              <w:spacing w:after="120"/>
              <w:rPr>
                <w:rFonts w:cs="Arial"/>
                <w:snapToGrid w:val="0"/>
                <w:color w:val="000000" w:themeColor="text1"/>
                <w:szCs w:val="20"/>
              </w:rPr>
            </w:pPr>
            <w:r w:rsidRPr="00F83DA8">
              <w:rPr>
                <w:rFonts w:cs="Arial"/>
                <w:snapToGrid w:val="0"/>
                <w:color w:val="000000" w:themeColor="text1"/>
                <w:szCs w:val="20"/>
              </w:rPr>
              <w:t>Level of Government</w:t>
            </w:r>
          </w:p>
        </w:tc>
        <w:tc>
          <w:tcPr>
            <w:tcW w:w="200" w:type="pct"/>
          </w:tcPr>
          <w:p w14:paraId="2D33248D" w14:textId="77777777" w:rsidR="00C3276A" w:rsidRPr="00F83DA8" w:rsidRDefault="00C3276A" w:rsidP="00C32073">
            <w:pPr>
              <w:spacing w:after="120"/>
              <w:rPr>
                <w:rFonts w:cs="Arial"/>
                <w:snapToGrid w:val="0"/>
                <w:color w:val="000000" w:themeColor="text1"/>
                <w:szCs w:val="20"/>
              </w:rPr>
            </w:pPr>
            <w:r w:rsidRPr="00F83DA8">
              <w:rPr>
                <w:rFonts w:cs="Arial"/>
                <w:snapToGrid w:val="0"/>
                <w:color w:val="000000" w:themeColor="text1"/>
                <w:szCs w:val="20"/>
              </w:rPr>
              <w:t>:</w:t>
            </w:r>
          </w:p>
        </w:tc>
        <w:tc>
          <w:tcPr>
            <w:tcW w:w="3000" w:type="pct"/>
          </w:tcPr>
          <w:p w14:paraId="1E0E0DF1" w14:textId="77777777" w:rsidR="00C3276A" w:rsidRPr="00F83DA8" w:rsidRDefault="00476F14" w:rsidP="00C32073">
            <w:pPr>
              <w:spacing w:after="120"/>
              <w:rPr>
                <w:rFonts w:cs="Arial"/>
                <w:snapToGrid w:val="0"/>
                <w:color w:val="000000" w:themeColor="text1"/>
                <w:szCs w:val="20"/>
              </w:rPr>
            </w:pPr>
            <w:r w:rsidRPr="00F83DA8">
              <w:rPr>
                <w:rFonts w:cs="Arial"/>
                <w:snapToGrid w:val="0"/>
                <w:color w:val="000000" w:themeColor="text1"/>
                <w:szCs w:val="20"/>
              </w:rPr>
              <w:t>Central and Regional</w:t>
            </w:r>
          </w:p>
        </w:tc>
      </w:tr>
      <w:tr w:rsidR="00F83DA8" w:rsidRPr="00F83DA8" w14:paraId="7482A5E9" w14:textId="77777777" w:rsidTr="00C32073">
        <w:tc>
          <w:tcPr>
            <w:tcW w:w="300" w:type="pct"/>
          </w:tcPr>
          <w:p w14:paraId="6A3F745F" w14:textId="77777777" w:rsidR="00476F14" w:rsidRPr="00F83DA8" w:rsidRDefault="00476F14" w:rsidP="00C32073">
            <w:pPr>
              <w:spacing w:after="120"/>
              <w:rPr>
                <w:rFonts w:cs="Arial"/>
                <w:snapToGrid w:val="0"/>
                <w:color w:val="000000" w:themeColor="text1"/>
                <w:szCs w:val="20"/>
              </w:rPr>
            </w:pPr>
          </w:p>
        </w:tc>
        <w:tc>
          <w:tcPr>
            <w:tcW w:w="1482" w:type="pct"/>
          </w:tcPr>
          <w:p w14:paraId="1F60504F" w14:textId="77777777" w:rsidR="00476F14" w:rsidRPr="00F83DA8" w:rsidRDefault="00C26F5D" w:rsidP="00C32073">
            <w:pPr>
              <w:spacing w:after="120"/>
              <w:rPr>
                <w:rFonts w:cs="Arial"/>
                <w:snapToGrid w:val="0"/>
                <w:color w:val="000000" w:themeColor="text1"/>
                <w:szCs w:val="20"/>
              </w:rPr>
            </w:pPr>
            <w:r w:rsidRPr="00F83DA8">
              <w:rPr>
                <w:rFonts w:cs="Arial"/>
                <w:snapToGrid w:val="0"/>
                <w:color w:val="000000" w:themeColor="text1"/>
                <w:szCs w:val="20"/>
              </w:rPr>
              <w:t>Obligations Concerned</w:t>
            </w:r>
          </w:p>
        </w:tc>
        <w:tc>
          <w:tcPr>
            <w:tcW w:w="200" w:type="pct"/>
          </w:tcPr>
          <w:p w14:paraId="4CF59A79" w14:textId="77777777" w:rsidR="00476F14" w:rsidRPr="00F83DA8" w:rsidRDefault="00476F14" w:rsidP="00C32073">
            <w:pPr>
              <w:spacing w:after="120"/>
              <w:rPr>
                <w:rFonts w:cs="Arial"/>
                <w:snapToGrid w:val="0"/>
                <w:color w:val="000000" w:themeColor="text1"/>
                <w:szCs w:val="20"/>
              </w:rPr>
            </w:pPr>
            <w:r w:rsidRPr="00F83DA8">
              <w:rPr>
                <w:rFonts w:cs="Arial"/>
                <w:snapToGrid w:val="0"/>
                <w:color w:val="000000" w:themeColor="text1"/>
                <w:szCs w:val="20"/>
              </w:rPr>
              <w:t>:</w:t>
            </w:r>
          </w:p>
        </w:tc>
        <w:tc>
          <w:tcPr>
            <w:tcW w:w="3000" w:type="pct"/>
          </w:tcPr>
          <w:p w14:paraId="05340182" w14:textId="5882216E" w:rsidR="00775EEA" w:rsidRPr="00F83DA8" w:rsidRDefault="00476F14" w:rsidP="00C32073">
            <w:pPr>
              <w:pStyle w:val="TOSM"/>
              <w:rPr>
                <w:color w:val="000000" w:themeColor="text1"/>
              </w:rPr>
            </w:pPr>
            <w:r w:rsidRPr="00F83DA8">
              <w:rPr>
                <w:color w:val="000000" w:themeColor="text1"/>
              </w:rPr>
              <w:t>National Treatment</w:t>
            </w:r>
          </w:p>
          <w:p w14:paraId="73B4A74A" w14:textId="355B578B" w:rsidR="00476F14" w:rsidRPr="00F83DA8" w:rsidRDefault="00476F14" w:rsidP="00C32073">
            <w:pPr>
              <w:pStyle w:val="TOSM"/>
              <w:rPr>
                <w:color w:val="000000" w:themeColor="text1"/>
              </w:rPr>
            </w:pPr>
            <w:r w:rsidRPr="00F83DA8">
              <w:rPr>
                <w:color w:val="000000" w:themeColor="text1"/>
              </w:rPr>
              <w:t>Senior Management and Board of Directors</w:t>
            </w:r>
          </w:p>
        </w:tc>
      </w:tr>
      <w:tr w:rsidR="00F83DA8" w:rsidRPr="00F83DA8" w14:paraId="5803EB42" w14:textId="77777777" w:rsidTr="00C32073">
        <w:tc>
          <w:tcPr>
            <w:tcW w:w="300" w:type="pct"/>
          </w:tcPr>
          <w:p w14:paraId="5323C85D" w14:textId="77777777" w:rsidR="00476F14" w:rsidRPr="00F83DA8" w:rsidRDefault="00476F14" w:rsidP="00C32073">
            <w:pPr>
              <w:spacing w:after="120"/>
              <w:rPr>
                <w:rFonts w:cs="Arial"/>
                <w:snapToGrid w:val="0"/>
                <w:color w:val="000000" w:themeColor="text1"/>
                <w:szCs w:val="20"/>
              </w:rPr>
            </w:pPr>
          </w:p>
        </w:tc>
        <w:tc>
          <w:tcPr>
            <w:tcW w:w="1482" w:type="pct"/>
          </w:tcPr>
          <w:p w14:paraId="1ECA8735" w14:textId="77777777" w:rsidR="00A737F7" w:rsidRPr="00F83DA8" w:rsidRDefault="00476F14" w:rsidP="00C32073">
            <w:pPr>
              <w:spacing w:after="120"/>
              <w:rPr>
                <w:rFonts w:cs="Arial"/>
                <w:snapToGrid w:val="0"/>
                <w:color w:val="000000" w:themeColor="text1"/>
                <w:szCs w:val="20"/>
              </w:rPr>
            </w:pPr>
            <w:r w:rsidRPr="00F83DA8">
              <w:rPr>
                <w:rFonts w:cs="Arial"/>
                <w:snapToGrid w:val="0"/>
                <w:color w:val="000000" w:themeColor="text1"/>
                <w:szCs w:val="20"/>
              </w:rPr>
              <w:t>Description</w:t>
            </w:r>
          </w:p>
        </w:tc>
        <w:tc>
          <w:tcPr>
            <w:tcW w:w="200" w:type="pct"/>
          </w:tcPr>
          <w:p w14:paraId="5AB1B38D" w14:textId="77777777" w:rsidR="00476F14" w:rsidRPr="00F83DA8" w:rsidRDefault="00476F14" w:rsidP="00C32073">
            <w:pPr>
              <w:spacing w:after="120"/>
              <w:rPr>
                <w:rFonts w:cs="Arial"/>
                <w:snapToGrid w:val="0"/>
                <w:color w:val="000000" w:themeColor="text1"/>
                <w:szCs w:val="20"/>
              </w:rPr>
            </w:pPr>
            <w:r w:rsidRPr="00F83DA8">
              <w:rPr>
                <w:rFonts w:cs="Arial"/>
                <w:snapToGrid w:val="0"/>
                <w:color w:val="000000" w:themeColor="text1"/>
                <w:szCs w:val="20"/>
              </w:rPr>
              <w:t>:</w:t>
            </w:r>
          </w:p>
        </w:tc>
        <w:tc>
          <w:tcPr>
            <w:tcW w:w="3000" w:type="pct"/>
          </w:tcPr>
          <w:p w14:paraId="75A0AE1E" w14:textId="77777777" w:rsidR="00476F14" w:rsidRPr="00F83DA8" w:rsidRDefault="00476F14" w:rsidP="00C32073">
            <w:pPr>
              <w:pStyle w:val="DM"/>
              <w:spacing w:after="120"/>
              <w:jc w:val="both"/>
              <w:rPr>
                <w:color w:val="000000" w:themeColor="text1"/>
              </w:rPr>
            </w:pPr>
            <w:r w:rsidRPr="00F83DA8">
              <w:rPr>
                <w:color w:val="000000" w:themeColor="text1"/>
              </w:rPr>
              <w:t>Only Malaysian nationals or permanent residents can register a sole proprietorship or partnership in Malaysia. Foreigners can register a Limited Liability Partnership (LLP), but the compliance officer shall be a citizen or permanent resident of Malaysia that resides in Malaysia.</w:t>
            </w:r>
          </w:p>
          <w:p w14:paraId="3044BC98" w14:textId="658B3233" w:rsidR="00476F14" w:rsidRPr="00F83DA8" w:rsidRDefault="00476F14" w:rsidP="00C32073">
            <w:pPr>
              <w:pStyle w:val="DM"/>
              <w:spacing w:after="120"/>
              <w:jc w:val="both"/>
              <w:rPr>
                <w:color w:val="000000" w:themeColor="text1"/>
              </w:rPr>
            </w:pPr>
            <w:r w:rsidRPr="00F83DA8">
              <w:rPr>
                <w:color w:val="000000" w:themeColor="text1"/>
              </w:rPr>
              <w:t>Foreigners are not allowed to establish or join cooperative societies in Malaysia.</w:t>
            </w:r>
          </w:p>
        </w:tc>
      </w:tr>
      <w:tr w:rsidR="00476F14" w:rsidRPr="00F83DA8" w14:paraId="3084CE06" w14:textId="77777777" w:rsidTr="00C32073">
        <w:tc>
          <w:tcPr>
            <w:tcW w:w="300" w:type="pct"/>
          </w:tcPr>
          <w:p w14:paraId="29652D3A" w14:textId="77777777" w:rsidR="00476F14" w:rsidRPr="00F83DA8" w:rsidRDefault="00476F14" w:rsidP="00C32073">
            <w:pPr>
              <w:spacing w:after="120"/>
              <w:rPr>
                <w:rFonts w:cs="Arial"/>
                <w:color w:val="000000" w:themeColor="text1"/>
                <w:szCs w:val="20"/>
              </w:rPr>
            </w:pPr>
          </w:p>
        </w:tc>
        <w:tc>
          <w:tcPr>
            <w:tcW w:w="1482" w:type="pct"/>
          </w:tcPr>
          <w:p w14:paraId="2984D347" w14:textId="493F4D70" w:rsidR="00476F14" w:rsidRPr="00F83DA8" w:rsidRDefault="00F519B1" w:rsidP="00C32073">
            <w:pPr>
              <w:spacing w:after="120"/>
              <w:rPr>
                <w:rFonts w:cs="Arial"/>
                <w:color w:val="000000" w:themeColor="text1"/>
                <w:szCs w:val="20"/>
              </w:rPr>
            </w:pPr>
            <w:r w:rsidRPr="00F83DA8">
              <w:rPr>
                <w:rFonts w:cs="Arial"/>
                <w:color w:val="000000" w:themeColor="text1"/>
                <w:szCs w:val="20"/>
              </w:rPr>
              <w:t xml:space="preserve">Source of </w:t>
            </w:r>
            <w:r w:rsidR="00DF3934" w:rsidRPr="00F83DA8">
              <w:rPr>
                <w:rFonts w:cs="Arial"/>
                <w:color w:val="000000" w:themeColor="text1"/>
                <w:szCs w:val="20"/>
              </w:rPr>
              <w:t>Measure</w:t>
            </w:r>
            <w:r w:rsidR="00B26556" w:rsidRPr="00F83DA8">
              <w:rPr>
                <w:rFonts w:cs="Arial"/>
                <w:color w:val="000000" w:themeColor="text1"/>
                <w:szCs w:val="20"/>
              </w:rPr>
              <w:t>s</w:t>
            </w:r>
          </w:p>
        </w:tc>
        <w:tc>
          <w:tcPr>
            <w:tcW w:w="200" w:type="pct"/>
          </w:tcPr>
          <w:p w14:paraId="67AA1006" w14:textId="77777777" w:rsidR="00476F14" w:rsidRPr="00F83DA8" w:rsidRDefault="00476F14" w:rsidP="00C32073">
            <w:pPr>
              <w:spacing w:after="120"/>
              <w:rPr>
                <w:rFonts w:cs="Arial"/>
                <w:color w:val="000000" w:themeColor="text1"/>
                <w:szCs w:val="20"/>
              </w:rPr>
            </w:pPr>
            <w:r w:rsidRPr="00F83DA8">
              <w:rPr>
                <w:rFonts w:cs="Arial"/>
                <w:color w:val="000000" w:themeColor="text1"/>
                <w:szCs w:val="20"/>
              </w:rPr>
              <w:t>:</w:t>
            </w:r>
          </w:p>
        </w:tc>
        <w:tc>
          <w:tcPr>
            <w:tcW w:w="3000" w:type="pct"/>
          </w:tcPr>
          <w:p w14:paraId="0235B018" w14:textId="77777777" w:rsidR="00476F14" w:rsidRPr="0027032F" w:rsidRDefault="00476F14" w:rsidP="004469DB">
            <w:pPr>
              <w:pStyle w:val="TOSM"/>
              <w:jc w:val="both"/>
              <w:rPr>
                <w:i/>
                <w:color w:val="000000" w:themeColor="text1"/>
              </w:rPr>
            </w:pPr>
            <w:r w:rsidRPr="0027032F">
              <w:rPr>
                <w:i/>
                <w:color w:val="000000" w:themeColor="text1"/>
              </w:rPr>
              <w:t xml:space="preserve">Registration of Businesses Act 1956 </w:t>
            </w:r>
            <w:r w:rsidRPr="00502987">
              <w:rPr>
                <w:color w:val="000000" w:themeColor="text1"/>
              </w:rPr>
              <w:t>[Act 197]</w:t>
            </w:r>
          </w:p>
          <w:p w14:paraId="60B12A23" w14:textId="77777777" w:rsidR="00476F14" w:rsidRPr="0027032F" w:rsidRDefault="00476F14" w:rsidP="004469DB">
            <w:pPr>
              <w:pStyle w:val="TOSM"/>
              <w:jc w:val="both"/>
              <w:rPr>
                <w:i/>
                <w:color w:val="000000" w:themeColor="text1"/>
              </w:rPr>
            </w:pPr>
            <w:r w:rsidRPr="0027032F">
              <w:rPr>
                <w:i/>
                <w:color w:val="000000" w:themeColor="text1"/>
              </w:rPr>
              <w:t xml:space="preserve">Limited Liability Partnerships Act 2012 </w:t>
            </w:r>
            <w:r w:rsidRPr="00502987">
              <w:rPr>
                <w:color w:val="000000" w:themeColor="text1"/>
              </w:rPr>
              <w:t>[Act 743]</w:t>
            </w:r>
          </w:p>
          <w:p w14:paraId="07AA5B02" w14:textId="77777777" w:rsidR="00476F14" w:rsidRPr="0027032F" w:rsidRDefault="00476F14" w:rsidP="004469DB">
            <w:pPr>
              <w:pStyle w:val="TOSM"/>
              <w:jc w:val="both"/>
              <w:rPr>
                <w:i/>
                <w:color w:val="000000" w:themeColor="text1"/>
                <w:u w:val="single"/>
              </w:rPr>
            </w:pPr>
            <w:r w:rsidRPr="0027032F">
              <w:rPr>
                <w:i/>
                <w:color w:val="000000" w:themeColor="text1"/>
              </w:rPr>
              <w:t xml:space="preserve">Co-operative Societies Act 1993 </w:t>
            </w:r>
            <w:r w:rsidRPr="00502987">
              <w:rPr>
                <w:color w:val="000000" w:themeColor="text1"/>
              </w:rPr>
              <w:t>[Act 502]</w:t>
            </w:r>
          </w:p>
          <w:p w14:paraId="2D72217C" w14:textId="0BB7D76B" w:rsidR="00476F14" w:rsidRPr="003242E7" w:rsidRDefault="0066186B" w:rsidP="004469DB">
            <w:pPr>
              <w:pStyle w:val="TOSM"/>
              <w:jc w:val="both"/>
              <w:rPr>
                <w:color w:val="000000" w:themeColor="text1"/>
              </w:rPr>
            </w:pPr>
            <w:r>
              <w:rPr>
                <w:i/>
                <w:color w:val="000000" w:themeColor="text1"/>
              </w:rPr>
              <w:t xml:space="preserve">Sarawak </w:t>
            </w:r>
            <w:r w:rsidR="00476F14" w:rsidRPr="0027032F">
              <w:rPr>
                <w:i/>
                <w:color w:val="000000" w:themeColor="text1"/>
              </w:rPr>
              <w:t xml:space="preserve">Business Names Ordinance 1932 </w:t>
            </w:r>
            <w:r w:rsidR="00476F14" w:rsidRPr="00502987">
              <w:rPr>
                <w:color w:val="000000" w:themeColor="text1"/>
              </w:rPr>
              <w:t>[</w:t>
            </w:r>
            <w:r>
              <w:rPr>
                <w:color w:val="000000" w:themeColor="text1"/>
              </w:rPr>
              <w:t>Chapter</w:t>
            </w:r>
            <w:r w:rsidR="00476F14" w:rsidRPr="00502987">
              <w:rPr>
                <w:color w:val="000000" w:themeColor="text1"/>
              </w:rPr>
              <w:t xml:space="preserve"> 64]</w:t>
            </w:r>
            <w:r w:rsidR="00A737F7" w:rsidRPr="003242E7">
              <w:rPr>
                <w:color w:val="000000" w:themeColor="text1"/>
              </w:rPr>
              <w:t xml:space="preserve"> (1958 Edition)</w:t>
            </w:r>
          </w:p>
          <w:p w14:paraId="4AE80ABB" w14:textId="629C4FFF" w:rsidR="00476F14" w:rsidRPr="003242E7" w:rsidRDefault="0066186B" w:rsidP="004469DB">
            <w:pPr>
              <w:pStyle w:val="TOSM"/>
              <w:jc w:val="both"/>
              <w:rPr>
                <w:color w:val="000000" w:themeColor="text1"/>
              </w:rPr>
            </w:pPr>
            <w:r>
              <w:rPr>
                <w:i/>
                <w:color w:val="000000" w:themeColor="text1"/>
              </w:rPr>
              <w:t xml:space="preserve">Sarawak </w:t>
            </w:r>
            <w:r w:rsidR="00476F14" w:rsidRPr="0027032F">
              <w:rPr>
                <w:i/>
                <w:color w:val="000000" w:themeColor="text1"/>
              </w:rPr>
              <w:t>Business, Professions and Trade</w:t>
            </w:r>
            <w:r>
              <w:rPr>
                <w:i/>
                <w:color w:val="000000" w:themeColor="text1"/>
              </w:rPr>
              <w:t>s</w:t>
            </w:r>
            <w:r w:rsidR="00476F14" w:rsidRPr="0027032F">
              <w:rPr>
                <w:i/>
                <w:color w:val="000000" w:themeColor="text1"/>
              </w:rPr>
              <w:t xml:space="preserve"> Licensing Ordinance 1955 </w:t>
            </w:r>
            <w:r w:rsidR="00476F14" w:rsidRPr="00502987">
              <w:rPr>
                <w:color w:val="000000" w:themeColor="text1"/>
              </w:rPr>
              <w:t>[</w:t>
            </w:r>
            <w:r>
              <w:rPr>
                <w:color w:val="000000" w:themeColor="text1"/>
              </w:rPr>
              <w:t>Chapter</w:t>
            </w:r>
            <w:r w:rsidR="00476F14" w:rsidRPr="00502987">
              <w:rPr>
                <w:color w:val="000000" w:themeColor="text1"/>
              </w:rPr>
              <w:t xml:space="preserve"> 33]</w:t>
            </w:r>
            <w:r w:rsidR="00A737F7" w:rsidRPr="00502987">
              <w:rPr>
                <w:color w:val="000000" w:themeColor="text1"/>
              </w:rPr>
              <w:t xml:space="preserve"> (1958 Edition)</w:t>
            </w:r>
          </w:p>
          <w:p w14:paraId="495AD06E" w14:textId="5C712A86" w:rsidR="00E30D99" w:rsidRPr="0027032F" w:rsidRDefault="0066186B" w:rsidP="004469DB">
            <w:pPr>
              <w:pStyle w:val="TOSM"/>
              <w:jc w:val="both"/>
              <w:rPr>
                <w:i/>
                <w:color w:val="000000" w:themeColor="text1"/>
              </w:rPr>
            </w:pPr>
            <w:r>
              <w:rPr>
                <w:i/>
                <w:color w:val="000000" w:themeColor="text1"/>
              </w:rPr>
              <w:t xml:space="preserve">Sabah </w:t>
            </w:r>
            <w:r w:rsidR="00E30D99" w:rsidRPr="0027032F">
              <w:rPr>
                <w:i/>
                <w:color w:val="000000" w:themeColor="text1"/>
              </w:rPr>
              <w:t xml:space="preserve">Trades Licensing Ordinance </w:t>
            </w:r>
            <w:r w:rsidR="00E30D99" w:rsidRPr="00502987">
              <w:rPr>
                <w:color w:val="000000" w:themeColor="text1"/>
              </w:rPr>
              <w:t>(Sabah Cap. 144)</w:t>
            </w:r>
            <w:r w:rsidR="00E30D99" w:rsidRPr="0027032F">
              <w:rPr>
                <w:i/>
                <w:color w:val="000000" w:themeColor="text1"/>
              </w:rPr>
              <w:t xml:space="preserve"> </w:t>
            </w:r>
          </w:p>
          <w:p w14:paraId="4446205F" w14:textId="77777777" w:rsidR="00E43327" w:rsidRPr="0027032F" w:rsidRDefault="00E43327" w:rsidP="004469DB">
            <w:pPr>
              <w:pStyle w:val="TOSM"/>
              <w:jc w:val="both"/>
              <w:rPr>
                <w:i/>
                <w:color w:val="000000" w:themeColor="text1"/>
              </w:rPr>
            </w:pPr>
            <w:r w:rsidRPr="0027032F">
              <w:rPr>
                <w:i/>
                <w:color w:val="000000" w:themeColor="text1"/>
              </w:rPr>
              <w:t xml:space="preserve">Companies Act 2016 </w:t>
            </w:r>
            <w:r w:rsidRPr="00502987">
              <w:rPr>
                <w:color w:val="000000" w:themeColor="text1"/>
              </w:rPr>
              <w:t>[Act 777]</w:t>
            </w:r>
          </w:p>
          <w:p w14:paraId="0E7B7003" w14:textId="08906BE3" w:rsidR="00E43327" w:rsidRPr="00502987" w:rsidRDefault="00E43327" w:rsidP="004469DB">
            <w:pPr>
              <w:pStyle w:val="TOSM"/>
              <w:jc w:val="both"/>
              <w:rPr>
                <w:color w:val="000000" w:themeColor="text1"/>
              </w:rPr>
            </w:pPr>
            <w:r w:rsidRPr="00502987">
              <w:rPr>
                <w:color w:val="000000" w:themeColor="text1"/>
              </w:rPr>
              <w:t>General Guidelines for Registration of Limited Liability Partnership</w:t>
            </w:r>
          </w:p>
        </w:tc>
      </w:tr>
    </w:tbl>
    <w:p w14:paraId="71E09917" w14:textId="207F13CA" w:rsidR="00476F14" w:rsidRPr="00F83DA8" w:rsidRDefault="00476F14" w:rsidP="00C32073">
      <w:pPr>
        <w:spacing w:after="120"/>
        <w:rPr>
          <w:rFonts w:cs="Arial"/>
          <w:i/>
          <w:color w:val="000000" w:themeColor="text1"/>
          <w:szCs w:val="20"/>
        </w:rPr>
      </w:pPr>
    </w:p>
    <w:p w14:paraId="579E4DC6" w14:textId="77777777" w:rsidR="005A0DC3" w:rsidRPr="00F83DA8" w:rsidRDefault="005A0DC3" w:rsidP="00C32073">
      <w:pPr>
        <w:spacing w:after="120"/>
        <w:rPr>
          <w:rFonts w:cs="Arial"/>
          <w:color w:val="000000" w:themeColor="text1"/>
          <w:szCs w:val="20"/>
        </w:rPr>
      </w:pPr>
    </w:p>
    <w:p w14:paraId="505DEA2F" w14:textId="2CF5CC4B" w:rsidR="00EC720B" w:rsidRPr="00F83DA8" w:rsidRDefault="00EC720B" w:rsidP="00C32073">
      <w:pPr>
        <w:spacing w:after="120"/>
        <w:rPr>
          <w:rFonts w:cs="Arial"/>
          <w:color w:val="000000" w:themeColor="text1"/>
          <w:szCs w:val="20"/>
        </w:rPr>
      </w:pPr>
      <w:r w:rsidRPr="00F83DA8">
        <w:rPr>
          <w:rFonts w:cs="Arial"/>
          <w:color w:val="000000" w:themeColor="text1"/>
          <w:szCs w:val="20"/>
        </w:rPr>
        <w:br w:type="page"/>
      </w:r>
    </w:p>
    <w:tbl>
      <w:tblPr>
        <w:tblW w:w="497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41"/>
        <w:gridCol w:w="303"/>
        <w:gridCol w:w="4537"/>
      </w:tblGrid>
      <w:tr w:rsidR="00F83DA8" w:rsidRPr="00F83DA8" w14:paraId="6E353C4E" w14:textId="77777777" w:rsidTr="00C32073">
        <w:tc>
          <w:tcPr>
            <w:tcW w:w="300" w:type="pct"/>
          </w:tcPr>
          <w:p w14:paraId="3DEDFD64" w14:textId="77777777" w:rsidR="00476F14" w:rsidRPr="00F83DA8" w:rsidRDefault="00476F14" w:rsidP="00C32073">
            <w:pPr>
              <w:numPr>
                <w:ilvl w:val="0"/>
                <w:numId w:val="2"/>
              </w:numPr>
              <w:spacing w:after="120"/>
              <w:rPr>
                <w:rFonts w:cs="Arial"/>
                <w:snapToGrid w:val="0"/>
                <w:color w:val="000000" w:themeColor="text1"/>
                <w:szCs w:val="20"/>
              </w:rPr>
            </w:pPr>
          </w:p>
        </w:tc>
        <w:tc>
          <w:tcPr>
            <w:tcW w:w="1482" w:type="pct"/>
          </w:tcPr>
          <w:p w14:paraId="6E1EC9E1" w14:textId="77777777" w:rsidR="00476F14" w:rsidRPr="00F83DA8" w:rsidRDefault="00476F14" w:rsidP="00C32073">
            <w:pPr>
              <w:spacing w:after="120"/>
              <w:rPr>
                <w:rFonts w:cs="Arial"/>
                <w:color w:val="000000" w:themeColor="text1"/>
                <w:szCs w:val="20"/>
              </w:rPr>
            </w:pPr>
            <w:r w:rsidRPr="00F83DA8">
              <w:rPr>
                <w:rFonts w:cs="Arial"/>
                <w:snapToGrid w:val="0"/>
                <w:color w:val="000000" w:themeColor="text1"/>
                <w:szCs w:val="20"/>
              </w:rPr>
              <w:t>Sector</w:t>
            </w:r>
          </w:p>
        </w:tc>
        <w:tc>
          <w:tcPr>
            <w:tcW w:w="200" w:type="pct"/>
          </w:tcPr>
          <w:p w14:paraId="2E33B3CD" w14:textId="77777777" w:rsidR="00476F14" w:rsidRPr="00F83DA8" w:rsidRDefault="00476F14" w:rsidP="00C32073">
            <w:pPr>
              <w:spacing w:after="120"/>
              <w:rPr>
                <w:rFonts w:cs="Arial"/>
                <w:snapToGrid w:val="0"/>
                <w:color w:val="000000" w:themeColor="text1"/>
                <w:szCs w:val="20"/>
              </w:rPr>
            </w:pPr>
            <w:r w:rsidRPr="00F83DA8">
              <w:rPr>
                <w:rFonts w:cs="Arial"/>
                <w:snapToGrid w:val="0"/>
                <w:color w:val="000000" w:themeColor="text1"/>
                <w:szCs w:val="20"/>
              </w:rPr>
              <w:t>:</w:t>
            </w:r>
          </w:p>
        </w:tc>
        <w:tc>
          <w:tcPr>
            <w:tcW w:w="3000" w:type="pct"/>
          </w:tcPr>
          <w:p w14:paraId="10858B14" w14:textId="7717443C" w:rsidR="00476F14" w:rsidRPr="00F83DA8" w:rsidRDefault="00476F14" w:rsidP="00C32073">
            <w:pPr>
              <w:spacing w:after="120"/>
              <w:rPr>
                <w:rFonts w:cs="Arial"/>
                <w:snapToGrid w:val="0"/>
                <w:color w:val="000000" w:themeColor="text1"/>
                <w:szCs w:val="20"/>
              </w:rPr>
            </w:pPr>
            <w:r w:rsidRPr="00F83DA8">
              <w:rPr>
                <w:rFonts w:cs="Arial"/>
                <w:snapToGrid w:val="0"/>
                <w:color w:val="000000" w:themeColor="text1"/>
                <w:szCs w:val="20"/>
              </w:rPr>
              <w:t>All sectors</w:t>
            </w:r>
          </w:p>
        </w:tc>
      </w:tr>
      <w:tr w:rsidR="00F83DA8" w:rsidRPr="00F83DA8" w14:paraId="3F088AEB" w14:textId="77777777" w:rsidTr="00C32073">
        <w:tc>
          <w:tcPr>
            <w:tcW w:w="300" w:type="pct"/>
          </w:tcPr>
          <w:p w14:paraId="7F58B2D1" w14:textId="77777777" w:rsidR="00171C46" w:rsidRPr="00F83DA8" w:rsidRDefault="00171C46" w:rsidP="00C32073">
            <w:pPr>
              <w:spacing w:after="120"/>
              <w:rPr>
                <w:rFonts w:cs="Arial"/>
                <w:snapToGrid w:val="0"/>
                <w:color w:val="000000" w:themeColor="text1"/>
                <w:szCs w:val="20"/>
              </w:rPr>
            </w:pPr>
          </w:p>
        </w:tc>
        <w:tc>
          <w:tcPr>
            <w:tcW w:w="1482" w:type="pct"/>
          </w:tcPr>
          <w:p w14:paraId="08D0E86D" w14:textId="4EC4BF5C" w:rsidR="00171C46" w:rsidRPr="00F83DA8" w:rsidRDefault="00171C46" w:rsidP="00C32073">
            <w:pPr>
              <w:spacing w:after="120"/>
              <w:rPr>
                <w:rFonts w:cs="Arial"/>
                <w:snapToGrid w:val="0"/>
                <w:color w:val="000000" w:themeColor="text1"/>
                <w:szCs w:val="20"/>
              </w:rPr>
            </w:pPr>
            <w:r w:rsidRPr="00F83DA8">
              <w:rPr>
                <w:rFonts w:cs="Arial"/>
                <w:snapToGrid w:val="0"/>
                <w:color w:val="000000" w:themeColor="text1"/>
                <w:szCs w:val="20"/>
              </w:rPr>
              <w:t>Subsector</w:t>
            </w:r>
          </w:p>
        </w:tc>
        <w:tc>
          <w:tcPr>
            <w:tcW w:w="200" w:type="pct"/>
          </w:tcPr>
          <w:p w14:paraId="517151AC" w14:textId="6CEE1698" w:rsidR="00171C46" w:rsidRPr="00F83DA8" w:rsidRDefault="00171C46" w:rsidP="00C32073">
            <w:pPr>
              <w:spacing w:after="120"/>
              <w:rPr>
                <w:rFonts w:cs="Arial"/>
                <w:snapToGrid w:val="0"/>
                <w:color w:val="000000" w:themeColor="text1"/>
                <w:szCs w:val="20"/>
              </w:rPr>
            </w:pPr>
            <w:r w:rsidRPr="00F83DA8">
              <w:rPr>
                <w:rFonts w:cs="Arial"/>
                <w:snapToGrid w:val="0"/>
                <w:color w:val="000000" w:themeColor="text1"/>
                <w:szCs w:val="20"/>
              </w:rPr>
              <w:t>:</w:t>
            </w:r>
          </w:p>
        </w:tc>
        <w:tc>
          <w:tcPr>
            <w:tcW w:w="3000" w:type="pct"/>
          </w:tcPr>
          <w:p w14:paraId="0357168B" w14:textId="04E5ADD3" w:rsidR="00171C46" w:rsidRPr="00F83DA8" w:rsidRDefault="00171C46" w:rsidP="00C32073">
            <w:pPr>
              <w:spacing w:after="120"/>
              <w:rPr>
                <w:rFonts w:cs="Arial"/>
                <w:snapToGrid w:val="0"/>
                <w:color w:val="000000" w:themeColor="text1"/>
                <w:szCs w:val="20"/>
              </w:rPr>
            </w:pPr>
            <w:r w:rsidRPr="00F83DA8">
              <w:rPr>
                <w:rFonts w:cs="Arial"/>
                <w:snapToGrid w:val="0"/>
                <w:color w:val="000000" w:themeColor="text1"/>
                <w:szCs w:val="20"/>
              </w:rPr>
              <w:t>-</w:t>
            </w:r>
          </w:p>
        </w:tc>
      </w:tr>
      <w:tr w:rsidR="00F83DA8" w:rsidRPr="00F83DA8" w14:paraId="65E5B3E9" w14:textId="77777777" w:rsidTr="00C32073">
        <w:tc>
          <w:tcPr>
            <w:tcW w:w="300" w:type="pct"/>
          </w:tcPr>
          <w:p w14:paraId="0B576577" w14:textId="77777777" w:rsidR="00171C46" w:rsidRPr="00F83DA8" w:rsidRDefault="00171C46" w:rsidP="00C32073">
            <w:pPr>
              <w:spacing w:after="120"/>
              <w:rPr>
                <w:rFonts w:cs="Arial"/>
                <w:snapToGrid w:val="0"/>
                <w:color w:val="000000" w:themeColor="text1"/>
                <w:szCs w:val="20"/>
              </w:rPr>
            </w:pPr>
          </w:p>
        </w:tc>
        <w:tc>
          <w:tcPr>
            <w:tcW w:w="1482" w:type="pct"/>
          </w:tcPr>
          <w:p w14:paraId="32DC33B7" w14:textId="77777777" w:rsidR="00171C46" w:rsidRPr="00F83DA8" w:rsidRDefault="00171C46" w:rsidP="00C32073">
            <w:pPr>
              <w:spacing w:after="120"/>
              <w:rPr>
                <w:rFonts w:cs="Arial"/>
                <w:snapToGrid w:val="0"/>
                <w:color w:val="000000" w:themeColor="text1"/>
                <w:szCs w:val="20"/>
              </w:rPr>
            </w:pPr>
            <w:r w:rsidRPr="00F83DA8">
              <w:rPr>
                <w:rFonts w:cs="Arial"/>
                <w:snapToGrid w:val="0"/>
                <w:color w:val="000000" w:themeColor="text1"/>
                <w:szCs w:val="20"/>
              </w:rPr>
              <w:t>Level of Government</w:t>
            </w:r>
          </w:p>
        </w:tc>
        <w:tc>
          <w:tcPr>
            <w:tcW w:w="200" w:type="pct"/>
          </w:tcPr>
          <w:p w14:paraId="44B8B0C6" w14:textId="77777777" w:rsidR="00171C46" w:rsidRPr="00F83DA8" w:rsidRDefault="00171C46" w:rsidP="00C32073">
            <w:pPr>
              <w:spacing w:after="120"/>
              <w:rPr>
                <w:rFonts w:cs="Arial"/>
                <w:snapToGrid w:val="0"/>
                <w:color w:val="000000" w:themeColor="text1"/>
                <w:szCs w:val="20"/>
              </w:rPr>
            </w:pPr>
            <w:r w:rsidRPr="00F83DA8">
              <w:rPr>
                <w:rFonts w:cs="Arial"/>
                <w:snapToGrid w:val="0"/>
                <w:color w:val="000000" w:themeColor="text1"/>
                <w:szCs w:val="20"/>
              </w:rPr>
              <w:t>:</w:t>
            </w:r>
          </w:p>
        </w:tc>
        <w:tc>
          <w:tcPr>
            <w:tcW w:w="3000" w:type="pct"/>
          </w:tcPr>
          <w:p w14:paraId="7C6265BB" w14:textId="77777777" w:rsidR="00171C46" w:rsidRPr="00F83DA8" w:rsidRDefault="00171C46" w:rsidP="00C32073">
            <w:pPr>
              <w:spacing w:after="120"/>
              <w:rPr>
                <w:rFonts w:cs="Arial"/>
                <w:snapToGrid w:val="0"/>
                <w:color w:val="000000" w:themeColor="text1"/>
                <w:szCs w:val="20"/>
              </w:rPr>
            </w:pPr>
            <w:r w:rsidRPr="00F83DA8">
              <w:rPr>
                <w:rFonts w:cs="Arial"/>
                <w:color w:val="000000" w:themeColor="text1"/>
                <w:szCs w:val="20"/>
              </w:rPr>
              <w:t>Central</w:t>
            </w:r>
          </w:p>
        </w:tc>
      </w:tr>
      <w:tr w:rsidR="00F83DA8" w:rsidRPr="00F83DA8" w14:paraId="20C11406" w14:textId="77777777" w:rsidTr="00C32073">
        <w:tc>
          <w:tcPr>
            <w:tcW w:w="300" w:type="pct"/>
          </w:tcPr>
          <w:p w14:paraId="3833F0F3" w14:textId="77777777" w:rsidR="00171C46" w:rsidRPr="00F83DA8" w:rsidRDefault="00171C46" w:rsidP="00C32073">
            <w:pPr>
              <w:spacing w:after="120"/>
              <w:rPr>
                <w:rFonts w:cs="Arial"/>
                <w:snapToGrid w:val="0"/>
                <w:color w:val="000000" w:themeColor="text1"/>
                <w:szCs w:val="20"/>
              </w:rPr>
            </w:pPr>
          </w:p>
        </w:tc>
        <w:tc>
          <w:tcPr>
            <w:tcW w:w="1482" w:type="pct"/>
          </w:tcPr>
          <w:p w14:paraId="3BAF650E" w14:textId="77777777" w:rsidR="00171C46" w:rsidRPr="00F83DA8" w:rsidRDefault="00171C46" w:rsidP="00C32073">
            <w:pPr>
              <w:spacing w:after="120"/>
              <w:rPr>
                <w:rFonts w:cs="Arial"/>
                <w:strike/>
                <w:snapToGrid w:val="0"/>
                <w:color w:val="000000" w:themeColor="text1"/>
                <w:szCs w:val="20"/>
              </w:rPr>
            </w:pPr>
            <w:r w:rsidRPr="00F83DA8">
              <w:rPr>
                <w:rFonts w:cs="Arial"/>
                <w:snapToGrid w:val="0"/>
                <w:color w:val="000000" w:themeColor="text1"/>
                <w:szCs w:val="20"/>
              </w:rPr>
              <w:t>Obligations Concerned</w:t>
            </w:r>
          </w:p>
        </w:tc>
        <w:tc>
          <w:tcPr>
            <w:tcW w:w="200" w:type="pct"/>
          </w:tcPr>
          <w:p w14:paraId="52C4AE90" w14:textId="77777777" w:rsidR="00171C46" w:rsidRPr="00F83DA8" w:rsidRDefault="00171C46" w:rsidP="00C32073">
            <w:pPr>
              <w:spacing w:after="120"/>
              <w:rPr>
                <w:rFonts w:cs="Arial"/>
                <w:snapToGrid w:val="0"/>
                <w:color w:val="000000" w:themeColor="text1"/>
                <w:szCs w:val="20"/>
              </w:rPr>
            </w:pPr>
            <w:r w:rsidRPr="00F83DA8">
              <w:rPr>
                <w:rFonts w:cs="Arial"/>
                <w:snapToGrid w:val="0"/>
                <w:color w:val="000000" w:themeColor="text1"/>
                <w:szCs w:val="20"/>
              </w:rPr>
              <w:t>:</w:t>
            </w:r>
          </w:p>
        </w:tc>
        <w:tc>
          <w:tcPr>
            <w:tcW w:w="3000" w:type="pct"/>
          </w:tcPr>
          <w:p w14:paraId="7AA3241F" w14:textId="7B0276BE" w:rsidR="00DA2D54" w:rsidRPr="00F83DA8" w:rsidRDefault="00A00F6A" w:rsidP="00C32073">
            <w:pPr>
              <w:spacing w:after="120"/>
              <w:rPr>
                <w:color w:val="000000" w:themeColor="text1"/>
              </w:rPr>
            </w:pPr>
            <w:r w:rsidRPr="00F83DA8">
              <w:rPr>
                <w:color w:val="000000" w:themeColor="text1"/>
              </w:rPr>
              <w:t>National Treatment</w:t>
            </w:r>
            <w:r w:rsidR="00DA2D54" w:rsidRPr="00F83DA8">
              <w:rPr>
                <w:color w:val="000000" w:themeColor="text1"/>
              </w:rPr>
              <w:t xml:space="preserve"> </w:t>
            </w:r>
          </w:p>
          <w:p w14:paraId="1920F76F" w14:textId="25558C6D" w:rsidR="00171C46" w:rsidRPr="00F83DA8" w:rsidRDefault="00A00F6A" w:rsidP="00C32073">
            <w:pPr>
              <w:spacing w:after="120"/>
              <w:rPr>
                <w:rFonts w:cs="Arial"/>
                <w:color w:val="000000" w:themeColor="text1"/>
                <w:szCs w:val="20"/>
              </w:rPr>
            </w:pPr>
            <w:r w:rsidRPr="00F83DA8">
              <w:rPr>
                <w:rFonts w:cs="Arial"/>
                <w:color w:val="000000" w:themeColor="text1"/>
                <w:szCs w:val="20"/>
              </w:rPr>
              <w:t>Senior Management and Board of Directors</w:t>
            </w:r>
          </w:p>
        </w:tc>
      </w:tr>
      <w:tr w:rsidR="00F83DA8" w:rsidRPr="00F83DA8" w14:paraId="7517DCEA" w14:textId="77777777" w:rsidTr="00C32073">
        <w:tc>
          <w:tcPr>
            <w:tcW w:w="300" w:type="pct"/>
          </w:tcPr>
          <w:p w14:paraId="2A29F496" w14:textId="77777777" w:rsidR="00171C46" w:rsidRPr="00F83DA8" w:rsidRDefault="00171C46" w:rsidP="00C32073">
            <w:pPr>
              <w:spacing w:after="120"/>
              <w:rPr>
                <w:rFonts w:cs="Arial"/>
                <w:snapToGrid w:val="0"/>
                <w:color w:val="000000" w:themeColor="text1"/>
                <w:szCs w:val="20"/>
              </w:rPr>
            </w:pPr>
          </w:p>
        </w:tc>
        <w:tc>
          <w:tcPr>
            <w:tcW w:w="1482" w:type="pct"/>
          </w:tcPr>
          <w:p w14:paraId="2698E022" w14:textId="77777777" w:rsidR="00171C46" w:rsidRPr="00F83DA8" w:rsidRDefault="00171C46" w:rsidP="00C32073">
            <w:pPr>
              <w:spacing w:after="120"/>
              <w:rPr>
                <w:rFonts w:cs="Arial"/>
                <w:snapToGrid w:val="0"/>
                <w:color w:val="000000" w:themeColor="text1"/>
                <w:szCs w:val="20"/>
              </w:rPr>
            </w:pPr>
            <w:r w:rsidRPr="00F83DA8">
              <w:rPr>
                <w:rFonts w:cs="Arial"/>
                <w:snapToGrid w:val="0"/>
                <w:color w:val="000000" w:themeColor="text1"/>
                <w:szCs w:val="20"/>
              </w:rPr>
              <w:t xml:space="preserve">Description </w:t>
            </w:r>
          </w:p>
        </w:tc>
        <w:tc>
          <w:tcPr>
            <w:tcW w:w="200" w:type="pct"/>
          </w:tcPr>
          <w:p w14:paraId="51DB3052" w14:textId="77777777" w:rsidR="00171C46" w:rsidRPr="00F83DA8" w:rsidRDefault="00171C46" w:rsidP="00C32073">
            <w:pPr>
              <w:spacing w:after="120"/>
              <w:rPr>
                <w:rFonts w:cs="Arial"/>
                <w:snapToGrid w:val="0"/>
                <w:color w:val="000000" w:themeColor="text1"/>
                <w:szCs w:val="20"/>
              </w:rPr>
            </w:pPr>
            <w:r w:rsidRPr="00F83DA8">
              <w:rPr>
                <w:rFonts w:cs="Arial"/>
                <w:snapToGrid w:val="0"/>
                <w:color w:val="000000" w:themeColor="text1"/>
                <w:szCs w:val="20"/>
              </w:rPr>
              <w:t>:</w:t>
            </w:r>
          </w:p>
        </w:tc>
        <w:tc>
          <w:tcPr>
            <w:tcW w:w="3000" w:type="pct"/>
          </w:tcPr>
          <w:p w14:paraId="19F24BC5" w14:textId="77777777" w:rsidR="00171C46" w:rsidRPr="00F83DA8" w:rsidRDefault="00171C46" w:rsidP="00C32073">
            <w:pPr>
              <w:pStyle w:val="DM"/>
              <w:spacing w:after="120"/>
              <w:jc w:val="both"/>
              <w:rPr>
                <w:color w:val="000000" w:themeColor="text1"/>
              </w:rPr>
            </w:pPr>
            <w:r w:rsidRPr="00F83DA8">
              <w:rPr>
                <w:color w:val="000000" w:themeColor="text1"/>
              </w:rPr>
              <w:t>At least one director of a private company incorporated in Malaysia shall ordinarily reside in Malaysia by having a principal place of residence in Malaysia.</w:t>
            </w:r>
          </w:p>
          <w:p w14:paraId="7F5182E7" w14:textId="77777777" w:rsidR="00171C46" w:rsidRPr="00F83DA8" w:rsidRDefault="00171C46" w:rsidP="00C32073">
            <w:pPr>
              <w:pStyle w:val="DM"/>
              <w:spacing w:after="120"/>
              <w:jc w:val="both"/>
              <w:rPr>
                <w:color w:val="000000" w:themeColor="text1"/>
              </w:rPr>
            </w:pPr>
            <w:r w:rsidRPr="00F83DA8">
              <w:rPr>
                <w:color w:val="000000" w:themeColor="text1"/>
              </w:rPr>
              <w:t>At least two directors of a public company incorporated in Malaysia shall ordinarily reside in Malaysia by having a principal place of residence in Malaysia.</w:t>
            </w:r>
          </w:p>
        </w:tc>
      </w:tr>
      <w:tr w:rsidR="00171C46" w:rsidRPr="00F83DA8" w14:paraId="2EB5AF4A" w14:textId="77777777" w:rsidTr="00C32073">
        <w:tc>
          <w:tcPr>
            <w:tcW w:w="300" w:type="pct"/>
          </w:tcPr>
          <w:p w14:paraId="2F82E6BC" w14:textId="77777777" w:rsidR="00171C46" w:rsidRPr="00F83DA8" w:rsidRDefault="00171C46" w:rsidP="00C32073">
            <w:pPr>
              <w:spacing w:after="120"/>
              <w:rPr>
                <w:rFonts w:cs="Arial"/>
                <w:color w:val="000000" w:themeColor="text1"/>
                <w:szCs w:val="20"/>
              </w:rPr>
            </w:pPr>
          </w:p>
        </w:tc>
        <w:tc>
          <w:tcPr>
            <w:tcW w:w="1482" w:type="pct"/>
          </w:tcPr>
          <w:p w14:paraId="4BDA7929" w14:textId="0CAB59A6" w:rsidR="00171C46" w:rsidRPr="00F83DA8" w:rsidRDefault="00F519B1" w:rsidP="00C32073">
            <w:pPr>
              <w:spacing w:after="120"/>
              <w:rPr>
                <w:rFonts w:cs="Arial"/>
                <w:color w:val="000000" w:themeColor="text1"/>
                <w:szCs w:val="20"/>
              </w:rPr>
            </w:pPr>
            <w:r w:rsidRPr="00F83DA8">
              <w:rPr>
                <w:rFonts w:cs="Arial"/>
                <w:color w:val="000000" w:themeColor="text1"/>
                <w:szCs w:val="20"/>
              </w:rPr>
              <w:t xml:space="preserve">Source of </w:t>
            </w:r>
            <w:r w:rsidR="00171C46" w:rsidRPr="00F83DA8">
              <w:rPr>
                <w:rFonts w:cs="Arial"/>
                <w:color w:val="000000" w:themeColor="text1"/>
                <w:szCs w:val="20"/>
              </w:rPr>
              <w:t>Measures</w:t>
            </w:r>
          </w:p>
        </w:tc>
        <w:tc>
          <w:tcPr>
            <w:tcW w:w="200" w:type="pct"/>
          </w:tcPr>
          <w:p w14:paraId="176702F2" w14:textId="77777777" w:rsidR="00171C46" w:rsidRPr="00F83DA8" w:rsidRDefault="00171C46" w:rsidP="00C32073">
            <w:pPr>
              <w:spacing w:after="120"/>
              <w:rPr>
                <w:rFonts w:cs="Arial"/>
                <w:color w:val="000000" w:themeColor="text1"/>
                <w:szCs w:val="20"/>
              </w:rPr>
            </w:pPr>
            <w:r w:rsidRPr="00F83DA8">
              <w:rPr>
                <w:rFonts w:cs="Arial"/>
                <w:color w:val="000000" w:themeColor="text1"/>
                <w:szCs w:val="20"/>
              </w:rPr>
              <w:t>:</w:t>
            </w:r>
          </w:p>
        </w:tc>
        <w:tc>
          <w:tcPr>
            <w:tcW w:w="3000" w:type="pct"/>
          </w:tcPr>
          <w:p w14:paraId="65E8CAB7" w14:textId="77777777" w:rsidR="00171C46" w:rsidRPr="0027032F" w:rsidRDefault="00171C46" w:rsidP="00C32073">
            <w:pPr>
              <w:pStyle w:val="TOSM"/>
              <w:jc w:val="both"/>
              <w:rPr>
                <w:i/>
                <w:color w:val="000000" w:themeColor="text1"/>
              </w:rPr>
            </w:pPr>
            <w:r w:rsidRPr="0027032F">
              <w:rPr>
                <w:i/>
                <w:color w:val="000000" w:themeColor="text1"/>
              </w:rPr>
              <w:t xml:space="preserve">Companies Act 2016 </w:t>
            </w:r>
            <w:r w:rsidRPr="00502987">
              <w:rPr>
                <w:color w:val="000000" w:themeColor="text1"/>
              </w:rPr>
              <w:t>[Act 777]</w:t>
            </w:r>
          </w:p>
        </w:tc>
      </w:tr>
    </w:tbl>
    <w:p w14:paraId="0B127770" w14:textId="77777777" w:rsidR="00476F14" w:rsidRPr="00F83DA8" w:rsidRDefault="00476F14" w:rsidP="00C32073">
      <w:pPr>
        <w:spacing w:after="120"/>
        <w:rPr>
          <w:rFonts w:cs="Arial"/>
          <w:color w:val="000000" w:themeColor="text1"/>
          <w:szCs w:val="20"/>
        </w:rPr>
      </w:pPr>
    </w:p>
    <w:p w14:paraId="5E7CB716" w14:textId="297EDF8F" w:rsidR="00EC720B" w:rsidRPr="00F83DA8" w:rsidRDefault="00EC720B" w:rsidP="00C32073">
      <w:pPr>
        <w:pStyle w:val="NoSpacing"/>
        <w:spacing w:after="120"/>
        <w:jc w:val="left"/>
        <w:rPr>
          <w:color w:val="000000" w:themeColor="text1"/>
          <w:sz w:val="20"/>
        </w:rPr>
      </w:pPr>
      <w:r w:rsidRPr="00F83DA8">
        <w:rPr>
          <w:color w:val="000000" w:themeColor="text1"/>
          <w:sz w:val="20"/>
        </w:rPr>
        <w:br w:type="page"/>
      </w:r>
    </w:p>
    <w:tbl>
      <w:tblPr>
        <w:tblW w:w="497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41"/>
        <w:gridCol w:w="303"/>
        <w:gridCol w:w="4537"/>
      </w:tblGrid>
      <w:tr w:rsidR="00F83DA8" w:rsidRPr="00F83DA8" w14:paraId="4D7A1BFB" w14:textId="77777777" w:rsidTr="00C32073">
        <w:trPr>
          <w:trHeight w:val="230"/>
        </w:trPr>
        <w:tc>
          <w:tcPr>
            <w:tcW w:w="300" w:type="pct"/>
          </w:tcPr>
          <w:p w14:paraId="7188B80E" w14:textId="77777777" w:rsidR="00476F14" w:rsidRPr="00F83DA8" w:rsidRDefault="00476F14" w:rsidP="00C32073">
            <w:pPr>
              <w:numPr>
                <w:ilvl w:val="0"/>
                <w:numId w:val="2"/>
              </w:numPr>
              <w:spacing w:after="120"/>
              <w:rPr>
                <w:rFonts w:cs="Arial"/>
                <w:snapToGrid w:val="0"/>
                <w:color w:val="000000" w:themeColor="text1"/>
                <w:szCs w:val="20"/>
              </w:rPr>
            </w:pPr>
          </w:p>
        </w:tc>
        <w:tc>
          <w:tcPr>
            <w:tcW w:w="1482" w:type="pct"/>
          </w:tcPr>
          <w:p w14:paraId="2509F4F6" w14:textId="77777777" w:rsidR="00476F14" w:rsidRPr="00F83DA8" w:rsidRDefault="00476F14" w:rsidP="00C32073">
            <w:pPr>
              <w:spacing w:after="120"/>
              <w:rPr>
                <w:rFonts w:cs="Arial"/>
                <w:color w:val="000000" w:themeColor="text1"/>
                <w:szCs w:val="20"/>
              </w:rPr>
            </w:pPr>
            <w:r w:rsidRPr="00F83DA8">
              <w:rPr>
                <w:rFonts w:cs="Arial"/>
                <w:snapToGrid w:val="0"/>
                <w:color w:val="000000" w:themeColor="text1"/>
                <w:szCs w:val="20"/>
              </w:rPr>
              <w:t>Sector</w:t>
            </w:r>
          </w:p>
        </w:tc>
        <w:tc>
          <w:tcPr>
            <w:tcW w:w="200" w:type="pct"/>
          </w:tcPr>
          <w:p w14:paraId="0A074F39" w14:textId="77777777" w:rsidR="00476F14" w:rsidRPr="00F83DA8" w:rsidRDefault="00476F14" w:rsidP="00C32073">
            <w:pPr>
              <w:spacing w:after="120"/>
              <w:rPr>
                <w:rFonts w:cs="Arial"/>
                <w:snapToGrid w:val="0"/>
                <w:color w:val="000000" w:themeColor="text1"/>
                <w:szCs w:val="20"/>
              </w:rPr>
            </w:pPr>
            <w:r w:rsidRPr="00F83DA8">
              <w:rPr>
                <w:rFonts w:cs="Arial"/>
                <w:snapToGrid w:val="0"/>
                <w:color w:val="000000" w:themeColor="text1"/>
                <w:szCs w:val="20"/>
              </w:rPr>
              <w:t>:</w:t>
            </w:r>
          </w:p>
        </w:tc>
        <w:tc>
          <w:tcPr>
            <w:tcW w:w="3000" w:type="pct"/>
          </w:tcPr>
          <w:p w14:paraId="5576E69E" w14:textId="77777777" w:rsidR="00476F14" w:rsidRPr="00F83DA8" w:rsidRDefault="00EC720B" w:rsidP="00C32073">
            <w:pPr>
              <w:spacing w:after="120"/>
              <w:rPr>
                <w:rFonts w:cs="Arial"/>
                <w:snapToGrid w:val="0"/>
                <w:color w:val="000000" w:themeColor="text1"/>
                <w:szCs w:val="20"/>
              </w:rPr>
            </w:pPr>
            <w:r w:rsidRPr="00F83DA8">
              <w:rPr>
                <w:rFonts w:cs="Arial"/>
                <w:snapToGrid w:val="0"/>
                <w:color w:val="000000" w:themeColor="text1"/>
                <w:szCs w:val="20"/>
              </w:rPr>
              <w:t>Fisheries</w:t>
            </w:r>
          </w:p>
        </w:tc>
      </w:tr>
      <w:tr w:rsidR="00F83DA8" w:rsidRPr="00F83DA8" w14:paraId="1F63F00F" w14:textId="77777777" w:rsidTr="00C32073">
        <w:trPr>
          <w:trHeight w:val="230"/>
        </w:trPr>
        <w:tc>
          <w:tcPr>
            <w:tcW w:w="300" w:type="pct"/>
          </w:tcPr>
          <w:p w14:paraId="60904B31" w14:textId="77777777" w:rsidR="00476F14" w:rsidRPr="00F83DA8" w:rsidRDefault="00476F14" w:rsidP="00C32073">
            <w:pPr>
              <w:spacing w:after="120"/>
              <w:rPr>
                <w:rFonts w:cs="Arial"/>
                <w:snapToGrid w:val="0"/>
                <w:color w:val="000000" w:themeColor="text1"/>
                <w:szCs w:val="20"/>
              </w:rPr>
            </w:pPr>
          </w:p>
        </w:tc>
        <w:tc>
          <w:tcPr>
            <w:tcW w:w="1482" w:type="pct"/>
          </w:tcPr>
          <w:p w14:paraId="1AA17CEE" w14:textId="303B17BA" w:rsidR="00476F14" w:rsidRPr="00F83DA8" w:rsidRDefault="00476F14" w:rsidP="00C32073">
            <w:pPr>
              <w:spacing w:after="120"/>
              <w:rPr>
                <w:rFonts w:cs="Arial"/>
                <w:color w:val="000000" w:themeColor="text1"/>
                <w:szCs w:val="20"/>
              </w:rPr>
            </w:pPr>
            <w:r w:rsidRPr="00F83DA8">
              <w:rPr>
                <w:rFonts w:cs="Arial"/>
                <w:snapToGrid w:val="0"/>
                <w:color w:val="000000" w:themeColor="text1"/>
                <w:szCs w:val="20"/>
              </w:rPr>
              <w:t>Sub</w:t>
            </w:r>
            <w:r w:rsidR="00175710" w:rsidRPr="00F83DA8">
              <w:rPr>
                <w:rFonts w:cs="Arial"/>
                <w:snapToGrid w:val="0"/>
                <w:color w:val="000000" w:themeColor="text1"/>
                <w:szCs w:val="20"/>
              </w:rPr>
              <w:t>s</w:t>
            </w:r>
            <w:r w:rsidRPr="00F83DA8">
              <w:rPr>
                <w:rFonts w:cs="Arial"/>
                <w:snapToGrid w:val="0"/>
                <w:color w:val="000000" w:themeColor="text1"/>
                <w:szCs w:val="20"/>
              </w:rPr>
              <w:t>ector</w:t>
            </w:r>
          </w:p>
        </w:tc>
        <w:tc>
          <w:tcPr>
            <w:tcW w:w="200" w:type="pct"/>
          </w:tcPr>
          <w:p w14:paraId="4042800A" w14:textId="77777777" w:rsidR="00476F14" w:rsidRPr="00F83DA8" w:rsidRDefault="00476F14" w:rsidP="00C32073">
            <w:pPr>
              <w:spacing w:after="120"/>
              <w:rPr>
                <w:rFonts w:cs="Arial"/>
                <w:snapToGrid w:val="0"/>
                <w:color w:val="000000" w:themeColor="text1"/>
                <w:szCs w:val="20"/>
              </w:rPr>
            </w:pPr>
            <w:r w:rsidRPr="00F83DA8">
              <w:rPr>
                <w:rFonts w:cs="Arial"/>
                <w:snapToGrid w:val="0"/>
                <w:color w:val="000000" w:themeColor="text1"/>
                <w:szCs w:val="20"/>
              </w:rPr>
              <w:t>:</w:t>
            </w:r>
          </w:p>
        </w:tc>
        <w:tc>
          <w:tcPr>
            <w:tcW w:w="3000" w:type="pct"/>
          </w:tcPr>
          <w:p w14:paraId="5236E7B5" w14:textId="3480B87F" w:rsidR="00476F14" w:rsidRPr="00F83DA8" w:rsidRDefault="00EC720B" w:rsidP="00C32073">
            <w:pPr>
              <w:spacing w:after="120"/>
              <w:rPr>
                <w:rFonts w:cs="Arial"/>
                <w:color w:val="000000" w:themeColor="text1"/>
                <w:szCs w:val="20"/>
              </w:rPr>
            </w:pPr>
            <w:r w:rsidRPr="00F83DA8">
              <w:rPr>
                <w:rFonts w:cs="Arial"/>
                <w:color w:val="000000" w:themeColor="text1"/>
                <w:szCs w:val="20"/>
              </w:rPr>
              <w:t xml:space="preserve">Marine </w:t>
            </w:r>
            <w:r w:rsidR="00314DE5" w:rsidRPr="00F83DA8">
              <w:rPr>
                <w:rFonts w:cs="Arial"/>
                <w:color w:val="000000" w:themeColor="text1"/>
                <w:szCs w:val="20"/>
              </w:rPr>
              <w:t>c</w:t>
            </w:r>
            <w:r w:rsidRPr="00F83DA8">
              <w:rPr>
                <w:rFonts w:cs="Arial"/>
                <w:color w:val="000000" w:themeColor="text1"/>
                <w:szCs w:val="20"/>
              </w:rPr>
              <w:t xml:space="preserve">apture </w:t>
            </w:r>
            <w:r w:rsidR="00314DE5" w:rsidRPr="00F83DA8">
              <w:rPr>
                <w:rFonts w:cs="Arial"/>
                <w:color w:val="000000" w:themeColor="text1"/>
                <w:szCs w:val="20"/>
              </w:rPr>
              <w:t>f</w:t>
            </w:r>
            <w:r w:rsidRPr="00F83DA8">
              <w:rPr>
                <w:rFonts w:cs="Arial"/>
                <w:color w:val="000000" w:themeColor="text1"/>
                <w:szCs w:val="20"/>
              </w:rPr>
              <w:t>isheries</w:t>
            </w:r>
          </w:p>
        </w:tc>
      </w:tr>
      <w:tr w:rsidR="00F83DA8" w:rsidRPr="00F83DA8" w14:paraId="0524326A" w14:textId="77777777" w:rsidTr="00C32073">
        <w:trPr>
          <w:trHeight w:val="230"/>
        </w:trPr>
        <w:tc>
          <w:tcPr>
            <w:tcW w:w="300" w:type="pct"/>
          </w:tcPr>
          <w:p w14:paraId="57FD391A" w14:textId="77777777" w:rsidR="00476F14" w:rsidRPr="00F83DA8" w:rsidRDefault="00476F14" w:rsidP="00C32073">
            <w:pPr>
              <w:spacing w:after="120"/>
              <w:rPr>
                <w:rFonts w:cs="Arial"/>
                <w:snapToGrid w:val="0"/>
                <w:color w:val="000000" w:themeColor="text1"/>
                <w:szCs w:val="20"/>
              </w:rPr>
            </w:pPr>
          </w:p>
        </w:tc>
        <w:tc>
          <w:tcPr>
            <w:tcW w:w="1482" w:type="pct"/>
          </w:tcPr>
          <w:p w14:paraId="2884897E" w14:textId="77777777" w:rsidR="00476F14" w:rsidRPr="00F83DA8" w:rsidRDefault="00476F14" w:rsidP="00C32073">
            <w:pPr>
              <w:spacing w:after="120"/>
              <w:rPr>
                <w:rFonts w:cs="Arial"/>
                <w:snapToGrid w:val="0"/>
                <w:color w:val="000000" w:themeColor="text1"/>
                <w:szCs w:val="20"/>
              </w:rPr>
            </w:pPr>
            <w:r w:rsidRPr="00F83DA8">
              <w:rPr>
                <w:rFonts w:cs="Arial"/>
                <w:snapToGrid w:val="0"/>
                <w:color w:val="000000" w:themeColor="text1"/>
                <w:szCs w:val="20"/>
              </w:rPr>
              <w:t>Level of Government</w:t>
            </w:r>
          </w:p>
        </w:tc>
        <w:tc>
          <w:tcPr>
            <w:tcW w:w="200" w:type="pct"/>
          </w:tcPr>
          <w:p w14:paraId="7F9B6197" w14:textId="77777777" w:rsidR="00476F14" w:rsidRPr="00F83DA8" w:rsidRDefault="00476F14" w:rsidP="00C32073">
            <w:pPr>
              <w:spacing w:after="120"/>
              <w:rPr>
                <w:rFonts w:cs="Arial"/>
                <w:snapToGrid w:val="0"/>
                <w:color w:val="000000" w:themeColor="text1"/>
                <w:szCs w:val="20"/>
              </w:rPr>
            </w:pPr>
            <w:r w:rsidRPr="00F83DA8">
              <w:rPr>
                <w:rFonts w:cs="Arial"/>
                <w:snapToGrid w:val="0"/>
                <w:color w:val="000000" w:themeColor="text1"/>
                <w:szCs w:val="20"/>
              </w:rPr>
              <w:t>:</w:t>
            </w:r>
          </w:p>
        </w:tc>
        <w:tc>
          <w:tcPr>
            <w:tcW w:w="3000" w:type="pct"/>
          </w:tcPr>
          <w:p w14:paraId="06FBCE40" w14:textId="77777777" w:rsidR="00476F14" w:rsidRPr="00F83DA8" w:rsidRDefault="00EC720B" w:rsidP="00C32073">
            <w:pPr>
              <w:spacing w:after="120"/>
              <w:rPr>
                <w:rFonts w:cs="Arial"/>
                <w:snapToGrid w:val="0"/>
                <w:color w:val="000000" w:themeColor="text1"/>
                <w:szCs w:val="20"/>
              </w:rPr>
            </w:pPr>
            <w:r w:rsidRPr="00F83DA8">
              <w:rPr>
                <w:rFonts w:cs="Arial"/>
                <w:snapToGrid w:val="0"/>
                <w:color w:val="000000" w:themeColor="text1"/>
                <w:szCs w:val="20"/>
              </w:rPr>
              <w:t>Central and Regional</w:t>
            </w:r>
          </w:p>
        </w:tc>
      </w:tr>
      <w:tr w:rsidR="00F83DA8" w:rsidRPr="00F83DA8" w14:paraId="4573AC84" w14:textId="77777777" w:rsidTr="00C32073">
        <w:tc>
          <w:tcPr>
            <w:tcW w:w="300" w:type="pct"/>
          </w:tcPr>
          <w:p w14:paraId="58AEB2B8" w14:textId="77777777" w:rsidR="004929E6" w:rsidRPr="00F83DA8" w:rsidRDefault="004929E6" w:rsidP="00C32073">
            <w:pPr>
              <w:spacing w:after="120"/>
              <w:rPr>
                <w:rFonts w:cs="Arial"/>
                <w:snapToGrid w:val="0"/>
                <w:color w:val="000000" w:themeColor="text1"/>
                <w:szCs w:val="20"/>
              </w:rPr>
            </w:pPr>
          </w:p>
        </w:tc>
        <w:tc>
          <w:tcPr>
            <w:tcW w:w="1482" w:type="pct"/>
          </w:tcPr>
          <w:p w14:paraId="410B2F1C" w14:textId="77777777" w:rsidR="004929E6" w:rsidRPr="00F83DA8" w:rsidRDefault="009D7314" w:rsidP="00C32073">
            <w:pPr>
              <w:spacing w:after="120"/>
              <w:rPr>
                <w:rFonts w:cs="Arial"/>
                <w:strike/>
                <w:snapToGrid w:val="0"/>
                <w:color w:val="000000" w:themeColor="text1"/>
                <w:szCs w:val="20"/>
              </w:rPr>
            </w:pPr>
            <w:r w:rsidRPr="00F83DA8">
              <w:rPr>
                <w:rFonts w:cs="Arial"/>
                <w:snapToGrid w:val="0"/>
                <w:color w:val="000000" w:themeColor="text1"/>
                <w:szCs w:val="20"/>
              </w:rPr>
              <w:t>Obligations concerned</w:t>
            </w:r>
          </w:p>
        </w:tc>
        <w:tc>
          <w:tcPr>
            <w:tcW w:w="200" w:type="pct"/>
          </w:tcPr>
          <w:p w14:paraId="651B1F15" w14:textId="77777777" w:rsidR="004929E6" w:rsidRPr="00F83DA8" w:rsidRDefault="004929E6" w:rsidP="00C32073">
            <w:pPr>
              <w:spacing w:after="120"/>
              <w:rPr>
                <w:rFonts w:cs="Arial"/>
                <w:snapToGrid w:val="0"/>
                <w:color w:val="000000" w:themeColor="text1"/>
                <w:szCs w:val="20"/>
              </w:rPr>
            </w:pPr>
            <w:r w:rsidRPr="00F83DA8">
              <w:rPr>
                <w:rFonts w:cs="Arial"/>
                <w:snapToGrid w:val="0"/>
                <w:color w:val="000000" w:themeColor="text1"/>
                <w:szCs w:val="20"/>
              </w:rPr>
              <w:t>:</w:t>
            </w:r>
          </w:p>
        </w:tc>
        <w:tc>
          <w:tcPr>
            <w:tcW w:w="3000" w:type="pct"/>
          </w:tcPr>
          <w:p w14:paraId="5C8467A2" w14:textId="63153D56" w:rsidR="004929E6" w:rsidRPr="00F83DA8" w:rsidRDefault="004929E6" w:rsidP="00C32073">
            <w:pPr>
              <w:pStyle w:val="TOSM"/>
              <w:rPr>
                <w:color w:val="000000" w:themeColor="text1"/>
              </w:rPr>
            </w:pPr>
            <w:r w:rsidRPr="00F83DA8">
              <w:rPr>
                <w:color w:val="000000" w:themeColor="text1"/>
              </w:rPr>
              <w:t>National Treatment</w:t>
            </w:r>
          </w:p>
          <w:p w14:paraId="36B47EDD" w14:textId="7899DB8A" w:rsidR="004929E6" w:rsidRPr="00F83DA8" w:rsidRDefault="004929E6" w:rsidP="00C32073">
            <w:pPr>
              <w:pStyle w:val="TOSM"/>
              <w:jc w:val="both"/>
              <w:rPr>
                <w:strike/>
                <w:color w:val="000000" w:themeColor="text1"/>
              </w:rPr>
            </w:pPr>
            <w:r w:rsidRPr="00F83DA8">
              <w:rPr>
                <w:color w:val="000000" w:themeColor="text1"/>
              </w:rPr>
              <w:t>Most–</w:t>
            </w:r>
            <w:proofErr w:type="spellStart"/>
            <w:r w:rsidRPr="00F83DA8">
              <w:rPr>
                <w:color w:val="000000" w:themeColor="text1"/>
              </w:rPr>
              <w:t>Favoured</w:t>
            </w:r>
            <w:proofErr w:type="spellEnd"/>
            <w:r w:rsidRPr="00F83DA8">
              <w:rPr>
                <w:color w:val="000000" w:themeColor="text1"/>
              </w:rPr>
              <w:t>–Nation</w:t>
            </w:r>
            <w:r w:rsidR="0032587C" w:rsidRPr="00F83DA8">
              <w:rPr>
                <w:color w:val="000000" w:themeColor="text1"/>
              </w:rPr>
              <w:t xml:space="preserve"> </w:t>
            </w:r>
            <w:r w:rsidR="00EA17A4" w:rsidRPr="00F83DA8">
              <w:rPr>
                <w:color w:val="000000" w:themeColor="text1"/>
              </w:rPr>
              <w:t>Treatment</w:t>
            </w:r>
          </w:p>
        </w:tc>
      </w:tr>
      <w:tr w:rsidR="00F83DA8" w:rsidRPr="00F83DA8" w14:paraId="5DA2E464" w14:textId="77777777" w:rsidTr="00C32073">
        <w:tc>
          <w:tcPr>
            <w:tcW w:w="300" w:type="pct"/>
          </w:tcPr>
          <w:p w14:paraId="01AE21B1" w14:textId="77777777" w:rsidR="004929E6" w:rsidRPr="00F83DA8" w:rsidRDefault="004929E6" w:rsidP="00C32073">
            <w:pPr>
              <w:spacing w:after="120"/>
              <w:rPr>
                <w:rFonts w:cs="Arial"/>
                <w:snapToGrid w:val="0"/>
                <w:color w:val="000000" w:themeColor="text1"/>
                <w:szCs w:val="20"/>
              </w:rPr>
            </w:pPr>
          </w:p>
        </w:tc>
        <w:tc>
          <w:tcPr>
            <w:tcW w:w="1482" w:type="pct"/>
          </w:tcPr>
          <w:p w14:paraId="104F3FB2" w14:textId="77777777" w:rsidR="004929E6" w:rsidRPr="00F83DA8" w:rsidRDefault="00B61702" w:rsidP="00C32073">
            <w:pPr>
              <w:spacing w:after="120"/>
              <w:rPr>
                <w:rFonts w:cs="Arial"/>
                <w:snapToGrid w:val="0"/>
                <w:color w:val="000000" w:themeColor="text1"/>
                <w:szCs w:val="20"/>
              </w:rPr>
            </w:pPr>
            <w:r w:rsidRPr="00F83DA8">
              <w:rPr>
                <w:rFonts w:cs="Arial"/>
                <w:snapToGrid w:val="0"/>
                <w:color w:val="000000" w:themeColor="text1"/>
                <w:szCs w:val="20"/>
              </w:rPr>
              <w:t xml:space="preserve">Description </w:t>
            </w:r>
          </w:p>
        </w:tc>
        <w:tc>
          <w:tcPr>
            <w:tcW w:w="200" w:type="pct"/>
          </w:tcPr>
          <w:p w14:paraId="4B4B5294" w14:textId="77777777" w:rsidR="004929E6" w:rsidRPr="00F83DA8" w:rsidRDefault="004929E6" w:rsidP="00C32073">
            <w:pPr>
              <w:spacing w:after="120"/>
              <w:rPr>
                <w:rFonts w:cs="Arial"/>
                <w:snapToGrid w:val="0"/>
                <w:color w:val="000000" w:themeColor="text1"/>
                <w:szCs w:val="20"/>
              </w:rPr>
            </w:pPr>
            <w:r w:rsidRPr="00F83DA8">
              <w:rPr>
                <w:rFonts w:cs="Arial"/>
                <w:snapToGrid w:val="0"/>
                <w:color w:val="000000" w:themeColor="text1"/>
                <w:szCs w:val="20"/>
              </w:rPr>
              <w:t>:</w:t>
            </w:r>
          </w:p>
        </w:tc>
        <w:tc>
          <w:tcPr>
            <w:tcW w:w="3000" w:type="pct"/>
          </w:tcPr>
          <w:p w14:paraId="079F3183" w14:textId="5B6338C9" w:rsidR="004929E6" w:rsidRPr="00F83DA8" w:rsidRDefault="004929E6" w:rsidP="00C32073">
            <w:pPr>
              <w:pStyle w:val="DM"/>
              <w:spacing w:after="120"/>
              <w:jc w:val="both"/>
              <w:rPr>
                <w:color w:val="000000" w:themeColor="text1"/>
              </w:rPr>
            </w:pPr>
            <w:r w:rsidRPr="00F83DA8">
              <w:rPr>
                <w:color w:val="000000" w:themeColor="text1"/>
              </w:rPr>
              <w:t>No foreign fishing vessel shall load or unload any fish, fuel</w:t>
            </w:r>
            <w:r w:rsidR="000076DC" w:rsidRPr="00F83DA8">
              <w:rPr>
                <w:color w:val="000000" w:themeColor="text1"/>
              </w:rPr>
              <w:t>,</w:t>
            </w:r>
            <w:r w:rsidRPr="00F83DA8">
              <w:rPr>
                <w:color w:val="000000" w:themeColor="text1"/>
              </w:rPr>
              <w:t xml:space="preserve"> or supplies</w:t>
            </w:r>
            <w:r w:rsidR="000076DC" w:rsidRPr="00F83DA8">
              <w:rPr>
                <w:color w:val="000000" w:themeColor="text1"/>
              </w:rPr>
              <w:t>,</w:t>
            </w:r>
            <w:r w:rsidRPr="00F83DA8">
              <w:rPr>
                <w:color w:val="000000" w:themeColor="text1"/>
              </w:rPr>
              <w:t xml:space="preserve"> or tranship any fish</w:t>
            </w:r>
            <w:r w:rsidR="000076DC" w:rsidRPr="00F83DA8">
              <w:rPr>
                <w:color w:val="000000" w:themeColor="text1"/>
              </w:rPr>
              <w:t>,</w:t>
            </w:r>
            <w:r w:rsidRPr="00F83DA8">
              <w:rPr>
                <w:color w:val="000000" w:themeColor="text1"/>
              </w:rPr>
              <w:t xml:space="preserve"> or fish or attempt to fish or conduct any techno-economic research or waters survey of any fishery, in Malaysian fisheries waters</w:t>
            </w:r>
            <w:r w:rsidRPr="00F83DA8">
              <w:rPr>
                <w:rStyle w:val="FootnoteReference"/>
                <w:color w:val="000000" w:themeColor="text1"/>
              </w:rPr>
              <w:footnoteReference w:id="2"/>
            </w:r>
            <w:r w:rsidR="009E7397" w:rsidRPr="00F83DA8">
              <w:rPr>
                <w:color w:val="000000" w:themeColor="text1"/>
              </w:rPr>
              <w:t xml:space="preserve"> unless authorised to do so.</w:t>
            </w:r>
          </w:p>
          <w:p w14:paraId="013B175B" w14:textId="77777777" w:rsidR="004929E6" w:rsidRPr="00F83DA8" w:rsidRDefault="004929E6" w:rsidP="00C32073">
            <w:pPr>
              <w:pStyle w:val="DM"/>
              <w:spacing w:after="120"/>
              <w:jc w:val="both"/>
              <w:rPr>
                <w:color w:val="000000" w:themeColor="text1"/>
              </w:rPr>
            </w:pPr>
            <w:r w:rsidRPr="00F83DA8">
              <w:rPr>
                <w:color w:val="000000" w:themeColor="text1"/>
              </w:rPr>
              <w:t>An application for a permit to be issued in respect of a foreign fishing vessel to fish in Malaysian fisheries waters shall be made through a Malaysian agent who shall undertake legal and financial responsibility for the activities to be carried out by such vessel.</w:t>
            </w:r>
          </w:p>
          <w:p w14:paraId="52FBAA57" w14:textId="51DA8021" w:rsidR="004929E6" w:rsidRPr="00F83DA8" w:rsidRDefault="00EB1A3A" w:rsidP="00C32073">
            <w:pPr>
              <w:pStyle w:val="DM"/>
              <w:spacing w:after="120"/>
              <w:jc w:val="both"/>
              <w:rPr>
                <w:color w:val="000000" w:themeColor="text1"/>
              </w:rPr>
            </w:pPr>
            <w:r w:rsidRPr="00F83DA8">
              <w:rPr>
                <w:color w:val="000000" w:themeColor="text1"/>
              </w:rPr>
              <w:t>For the purposes of this entry,</w:t>
            </w:r>
            <w:r w:rsidRPr="00F83DA8">
              <w:rPr>
                <w:b/>
                <w:color w:val="000000" w:themeColor="text1"/>
              </w:rPr>
              <w:t xml:space="preserve"> </w:t>
            </w:r>
            <w:r w:rsidR="006F31C3" w:rsidRPr="00F83DA8">
              <w:rPr>
                <w:color w:val="000000" w:themeColor="text1"/>
              </w:rPr>
              <w:t>“f</w:t>
            </w:r>
            <w:r w:rsidR="004929E6" w:rsidRPr="00F83DA8">
              <w:rPr>
                <w:color w:val="000000" w:themeColor="text1"/>
              </w:rPr>
              <w:t>ishing vessel</w:t>
            </w:r>
            <w:r w:rsidR="006F31C3" w:rsidRPr="00F83DA8">
              <w:rPr>
                <w:color w:val="000000" w:themeColor="text1"/>
              </w:rPr>
              <w:t>”</w:t>
            </w:r>
            <w:r w:rsidR="004929E6" w:rsidRPr="00F83DA8">
              <w:rPr>
                <w:color w:val="000000" w:themeColor="text1"/>
              </w:rPr>
              <w:t xml:space="preserve"> means any boat, craft, ship or other vessel which is used or equipped to be used for, or of a type used for:</w:t>
            </w:r>
          </w:p>
          <w:p w14:paraId="1BC2B2DC" w14:textId="77777777" w:rsidR="004929E6" w:rsidRPr="00F83DA8" w:rsidRDefault="004929E6" w:rsidP="00C32073">
            <w:pPr>
              <w:pStyle w:val="DMList1"/>
              <w:ind w:left="489" w:hanging="489"/>
              <w:jc w:val="both"/>
              <w:rPr>
                <w:color w:val="000000" w:themeColor="text1"/>
              </w:rPr>
            </w:pPr>
            <w:r w:rsidRPr="00F83DA8">
              <w:rPr>
                <w:color w:val="000000" w:themeColor="text1"/>
              </w:rPr>
              <w:t>(a)</w:t>
            </w:r>
            <w:r w:rsidRPr="00F83DA8">
              <w:rPr>
                <w:color w:val="000000" w:themeColor="text1"/>
              </w:rPr>
              <w:tab/>
              <w:t>fishing; or</w:t>
            </w:r>
          </w:p>
          <w:p w14:paraId="17546C67" w14:textId="77777777" w:rsidR="00C01605" w:rsidRPr="00F83DA8" w:rsidRDefault="00C01605" w:rsidP="00C32073">
            <w:pPr>
              <w:pStyle w:val="DMList1"/>
              <w:ind w:left="489" w:hanging="489"/>
              <w:jc w:val="both"/>
              <w:rPr>
                <w:color w:val="000000" w:themeColor="text1"/>
              </w:rPr>
            </w:pPr>
          </w:p>
          <w:p w14:paraId="1CCF7407" w14:textId="58336FBD" w:rsidR="004929E6" w:rsidRPr="00F83DA8" w:rsidRDefault="004929E6" w:rsidP="00C32073">
            <w:pPr>
              <w:pStyle w:val="DMList1"/>
              <w:ind w:left="489" w:hanging="489"/>
              <w:jc w:val="both"/>
              <w:rPr>
                <w:color w:val="000000" w:themeColor="text1"/>
              </w:rPr>
            </w:pPr>
            <w:r w:rsidRPr="00F83DA8">
              <w:rPr>
                <w:color w:val="000000" w:themeColor="text1"/>
              </w:rPr>
              <w:t>(b)</w:t>
            </w:r>
            <w:r w:rsidRPr="00F83DA8">
              <w:rPr>
                <w:color w:val="000000" w:themeColor="text1"/>
              </w:rPr>
              <w:tab/>
              <w:t>aiding or assisting other boat, craft, ship or other vessel in the performance of any activity related to fishing, including any of the activities of preparation, processing, refrigeration, storage, supply or transportation of fish.</w:t>
            </w:r>
          </w:p>
        </w:tc>
      </w:tr>
      <w:tr w:rsidR="004929E6" w:rsidRPr="00F83DA8" w14:paraId="230EB814" w14:textId="77777777" w:rsidTr="00C32073">
        <w:tc>
          <w:tcPr>
            <w:tcW w:w="300" w:type="pct"/>
          </w:tcPr>
          <w:p w14:paraId="4D20C4D7" w14:textId="77777777" w:rsidR="004929E6" w:rsidRPr="00F83DA8" w:rsidRDefault="004929E6" w:rsidP="00C32073">
            <w:pPr>
              <w:spacing w:after="120"/>
              <w:rPr>
                <w:rFonts w:cs="Arial"/>
                <w:color w:val="000000" w:themeColor="text1"/>
                <w:szCs w:val="20"/>
              </w:rPr>
            </w:pPr>
          </w:p>
        </w:tc>
        <w:tc>
          <w:tcPr>
            <w:tcW w:w="1482" w:type="pct"/>
          </w:tcPr>
          <w:p w14:paraId="7D2C5740" w14:textId="676DC07B" w:rsidR="004929E6" w:rsidRPr="00F83DA8" w:rsidRDefault="00F519B1" w:rsidP="00C32073">
            <w:pPr>
              <w:spacing w:after="120"/>
              <w:rPr>
                <w:rFonts w:cs="Arial"/>
                <w:color w:val="000000" w:themeColor="text1"/>
                <w:szCs w:val="20"/>
              </w:rPr>
            </w:pPr>
            <w:r w:rsidRPr="00F83DA8">
              <w:rPr>
                <w:rFonts w:cs="Arial"/>
                <w:color w:val="000000" w:themeColor="text1"/>
                <w:szCs w:val="20"/>
              </w:rPr>
              <w:t xml:space="preserve">Source of </w:t>
            </w:r>
            <w:r w:rsidR="004929E6" w:rsidRPr="00F83DA8">
              <w:rPr>
                <w:rFonts w:cs="Arial"/>
                <w:color w:val="000000" w:themeColor="text1"/>
                <w:szCs w:val="20"/>
              </w:rPr>
              <w:t>Measure</w:t>
            </w:r>
            <w:r w:rsidR="00B26556" w:rsidRPr="00F83DA8">
              <w:rPr>
                <w:rFonts w:cs="Arial"/>
                <w:color w:val="000000" w:themeColor="text1"/>
                <w:szCs w:val="20"/>
              </w:rPr>
              <w:t>s</w:t>
            </w:r>
          </w:p>
        </w:tc>
        <w:tc>
          <w:tcPr>
            <w:tcW w:w="200" w:type="pct"/>
          </w:tcPr>
          <w:p w14:paraId="291C28B7" w14:textId="77777777" w:rsidR="004929E6" w:rsidRPr="00F83DA8" w:rsidRDefault="004929E6" w:rsidP="00C32073">
            <w:pPr>
              <w:spacing w:after="120"/>
              <w:rPr>
                <w:rFonts w:cs="Arial"/>
                <w:color w:val="000000" w:themeColor="text1"/>
                <w:szCs w:val="20"/>
              </w:rPr>
            </w:pPr>
            <w:r w:rsidRPr="00F83DA8">
              <w:rPr>
                <w:rFonts w:cs="Arial"/>
                <w:color w:val="000000" w:themeColor="text1"/>
                <w:szCs w:val="20"/>
              </w:rPr>
              <w:t>:</w:t>
            </w:r>
          </w:p>
        </w:tc>
        <w:tc>
          <w:tcPr>
            <w:tcW w:w="3000" w:type="pct"/>
          </w:tcPr>
          <w:p w14:paraId="3852AEB3" w14:textId="3F14D2DF" w:rsidR="004929E6" w:rsidRPr="00502987" w:rsidRDefault="004929E6" w:rsidP="00C32073">
            <w:pPr>
              <w:pStyle w:val="TOSM"/>
              <w:jc w:val="both"/>
              <w:rPr>
                <w:color w:val="000000" w:themeColor="text1"/>
              </w:rPr>
            </w:pPr>
            <w:r w:rsidRPr="0027032F">
              <w:rPr>
                <w:i/>
                <w:color w:val="000000" w:themeColor="text1"/>
              </w:rPr>
              <w:t xml:space="preserve">Fisheries Act 1985 </w:t>
            </w:r>
            <w:r w:rsidRPr="00502987">
              <w:rPr>
                <w:color w:val="000000" w:themeColor="text1"/>
              </w:rPr>
              <w:t>[Act 317]</w:t>
            </w:r>
          </w:p>
          <w:p w14:paraId="5704E809" w14:textId="77777777" w:rsidR="004929E6" w:rsidRPr="003242E7" w:rsidRDefault="004929E6" w:rsidP="00C32073">
            <w:pPr>
              <w:pStyle w:val="TOSM"/>
              <w:jc w:val="both"/>
              <w:rPr>
                <w:color w:val="000000" w:themeColor="text1"/>
              </w:rPr>
            </w:pPr>
            <w:r w:rsidRPr="0027032F">
              <w:rPr>
                <w:i/>
                <w:color w:val="000000" w:themeColor="text1"/>
              </w:rPr>
              <w:t xml:space="preserve">Lembaga </w:t>
            </w:r>
            <w:proofErr w:type="spellStart"/>
            <w:r w:rsidRPr="0027032F">
              <w:rPr>
                <w:i/>
                <w:color w:val="000000" w:themeColor="text1"/>
              </w:rPr>
              <w:t>Kemajuan</w:t>
            </w:r>
            <w:proofErr w:type="spellEnd"/>
            <w:r w:rsidRPr="0027032F">
              <w:rPr>
                <w:i/>
                <w:color w:val="000000" w:themeColor="text1"/>
              </w:rPr>
              <w:t xml:space="preserve"> </w:t>
            </w:r>
            <w:r w:rsidR="00281BCB" w:rsidRPr="0027032F">
              <w:rPr>
                <w:i/>
                <w:color w:val="000000" w:themeColor="text1"/>
              </w:rPr>
              <w:t xml:space="preserve">Ikan </w:t>
            </w:r>
            <w:r w:rsidRPr="0027032F">
              <w:rPr>
                <w:i/>
                <w:color w:val="000000" w:themeColor="text1"/>
              </w:rPr>
              <w:t xml:space="preserve">Malaysia Act 1971 </w:t>
            </w:r>
            <w:r w:rsidRPr="00502987">
              <w:rPr>
                <w:color w:val="000000" w:themeColor="text1"/>
              </w:rPr>
              <w:t>[Act 49]</w:t>
            </w:r>
          </w:p>
          <w:p w14:paraId="72468765" w14:textId="77777777" w:rsidR="004929E6" w:rsidRPr="00502987" w:rsidRDefault="004929E6" w:rsidP="00C32073">
            <w:pPr>
              <w:pStyle w:val="TOSM"/>
              <w:jc w:val="both"/>
              <w:rPr>
                <w:color w:val="000000" w:themeColor="text1"/>
              </w:rPr>
            </w:pPr>
            <w:r w:rsidRPr="0027032F">
              <w:rPr>
                <w:i/>
                <w:color w:val="000000" w:themeColor="text1"/>
              </w:rPr>
              <w:t xml:space="preserve">Exclusive Economic Zone Act 1984 </w:t>
            </w:r>
            <w:r w:rsidRPr="00502987">
              <w:rPr>
                <w:color w:val="000000" w:themeColor="text1"/>
              </w:rPr>
              <w:t>[Act 311]</w:t>
            </w:r>
          </w:p>
          <w:p w14:paraId="16C51DA3" w14:textId="77777777" w:rsidR="004929E6" w:rsidRPr="00F83DA8" w:rsidRDefault="004929E6" w:rsidP="00C32073">
            <w:pPr>
              <w:pStyle w:val="TOSM"/>
              <w:jc w:val="both"/>
              <w:rPr>
                <w:color w:val="000000" w:themeColor="text1"/>
              </w:rPr>
            </w:pPr>
            <w:r w:rsidRPr="0027032F">
              <w:rPr>
                <w:i/>
                <w:color w:val="000000" w:themeColor="text1"/>
              </w:rPr>
              <w:t xml:space="preserve">Continental Shelf Act 1966 </w:t>
            </w:r>
            <w:r w:rsidRPr="00502987">
              <w:rPr>
                <w:color w:val="000000" w:themeColor="text1"/>
              </w:rPr>
              <w:t>[Act 83</w:t>
            </w:r>
            <w:r w:rsidR="00370D49" w:rsidRPr="00502987">
              <w:rPr>
                <w:color w:val="000000" w:themeColor="text1"/>
              </w:rPr>
              <w:t>]</w:t>
            </w:r>
          </w:p>
        </w:tc>
      </w:tr>
    </w:tbl>
    <w:p w14:paraId="58B87F66" w14:textId="58C91E18" w:rsidR="007460F1" w:rsidRPr="00F83DA8" w:rsidRDefault="007460F1" w:rsidP="00C32073">
      <w:pPr>
        <w:spacing w:after="120"/>
        <w:rPr>
          <w:rFonts w:cs="Arial"/>
          <w:color w:val="000000" w:themeColor="text1"/>
          <w:szCs w:val="20"/>
        </w:rPr>
      </w:pPr>
    </w:p>
    <w:p w14:paraId="36946E70" w14:textId="77777777" w:rsidR="007460F1" w:rsidRPr="00F83DA8" w:rsidRDefault="007460F1" w:rsidP="00C32073">
      <w:pPr>
        <w:spacing w:after="120"/>
        <w:rPr>
          <w:rFonts w:cs="Arial"/>
          <w:color w:val="000000" w:themeColor="text1"/>
          <w:szCs w:val="20"/>
        </w:rPr>
      </w:pPr>
      <w:r w:rsidRPr="00F83DA8">
        <w:rPr>
          <w:rFonts w:cs="Arial"/>
          <w:color w:val="000000" w:themeColor="text1"/>
          <w:szCs w:val="20"/>
        </w:rPr>
        <w:br w:type="page"/>
      </w:r>
    </w:p>
    <w:tbl>
      <w:tblPr>
        <w:tblW w:w="497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41"/>
        <w:gridCol w:w="303"/>
        <w:gridCol w:w="4537"/>
      </w:tblGrid>
      <w:tr w:rsidR="00F83DA8" w:rsidRPr="00F83DA8" w14:paraId="5D74F81C" w14:textId="77777777" w:rsidTr="00C32073">
        <w:trPr>
          <w:trHeight w:val="230"/>
        </w:trPr>
        <w:tc>
          <w:tcPr>
            <w:tcW w:w="300" w:type="pct"/>
          </w:tcPr>
          <w:p w14:paraId="47985202" w14:textId="77777777" w:rsidR="007460F1" w:rsidRPr="00F83DA8" w:rsidRDefault="007460F1" w:rsidP="00C32073">
            <w:pPr>
              <w:numPr>
                <w:ilvl w:val="0"/>
                <w:numId w:val="2"/>
              </w:numPr>
              <w:spacing w:after="120"/>
              <w:rPr>
                <w:rFonts w:cs="Arial"/>
                <w:snapToGrid w:val="0"/>
                <w:color w:val="000000" w:themeColor="text1"/>
                <w:szCs w:val="20"/>
              </w:rPr>
            </w:pPr>
          </w:p>
        </w:tc>
        <w:tc>
          <w:tcPr>
            <w:tcW w:w="1482" w:type="pct"/>
          </w:tcPr>
          <w:p w14:paraId="398F02EC" w14:textId="31731C79" w:rsidR="007460F1" w:rsidRPr="00F83DA8" w:rsidRDefault="007460F1" w:rsidP="00C32073">
            <w:pPr>
              <w:spacing w:after="120"/>
              <w:rPr>
                <w:rFonts w:cs="Arial"/>
                <w:color w:val="000000" w:themeColor="text1"/>
                <w:szCs w:val="20"/>
              </w:rPr>
            </w:pPr>
            <w:r w:rsidRPr="00F83DA8">
              <w:rPr>
                <w:rFonts w:cs="Arial"/>
                <w:snapToGrid w:val="0"/>
                <w:color w:val="000000" w:themeColor="text1"/>
                <w:szCs w:val="20"/>
              </w:rPr>
              <w:t>Sector</w:t>
            </w:r>
          </w:p>
        </w:tc>
        <w:tc>
          <w:tcPr>
            <w:tcW w:w="200" w:type="pct"/>
          </w:tcPr>
          <w:p w14:paraId="3E6FFCAA" w14:textId="3FD8A482" w:rsidR="007460F1" w:rsidRPr="00F83DA8" w:rsidRDefault="007460F1" w:rsidP="00C32073">
            <w:pPr>
              <w:spacing w:after="120"/>
              <w:rPr>
                <w:rFonts w:cs="Arial"/>
                <w:snapToGrid w:val="0"/>
                <w:color w:val="000000" w:themeColor="text1"/>
                <w:szCs w:val="20"/>
              </w:rPr>
            </w:pPr>
            <w:r w:rsidRPr="00F83DA8">
              <w:rPr>
                <w:rFonts w:cs="Arial"/>
                <w:snapToGrid w:val="0"/>
                <w:color w:val="000000" w:themeColor="text1"/>
                <w:szCs w:val="20"/>
              </w:rPr>
              <w:t>:</w:t>
            </w:r>
          </w:p>
        </w:tc>
        <w:tc>
          <w:tcPr>
            <w:tcW w:w="3000" w:type="pct"/>
          </w:tcPr>
          <w:p w14:paraId="693CD2EF" w14:textId="0E157541" w:rsidR="007460F1" w:rsidRPr="00F83DA8" w:rsidRDefault="007460F1" w:rsidP="00C32073">
            <w:pPr>
              <w:spacing w:after="120"/>
              <w:rPr>
                <w:rFonts w:cs="Arial"/>
                <w:snapToGrid w:val="0"/>
                <w:color w:val="000000" w:themeColor="text1"/>
                <w:szCs w:val="20"/>
              </w:rPr>
            </w:pPr>
            <w:r w:rsidRPr="00F83DA8">
              <w:rPr>
                <w:rFonts w:cs="Arial"/>
                <w:snapToGrid w:val="0"/>
                <w:color w:val="000000" w:themeColor="text1"/>
                <w:szCs w:val="20"/>
              </w:rPr>
              <w:t>Manufacturing</w:t>
            </w:r>
          </w:p>
        </w:tc>
      </w:tr>
      <w:tr w:rsidR="00F83DA8" w:rsidRPr="00F83DA8" w14:paraId="2C81BDFA" w14:textId="77777777" w:rsidTr="00C32073">
        <w:trPr>
          <w:trHeight w:val="230"/>
        </w:trPr>
        <w:tc>
          <w:tcPr>
            <w:tcW w:w="300" w:type="pct"/>
          </w:tcPr>
          <w:p w14:paraId="6B5F297A" w14:textId="77777777" w:rsidR="007460F1" w:rsidRPr="00F83DA8" w:rsidRDefault="007460F1" w:rsidP="00C32073">
            <w:pPr>
              <w:spacing w:after="120"/>
              <w:rPr>
                <w:rFonts w:cs="Arial"/>
                <w:snapToGrid w:val="0"/>
                <w:color w:val="000000" w:themeColor="text1"/>
                <w:szCs w:val="20"/>
              </w:rPr>
            </w:pPr>
          </w:p>
        </w:tc>
        <w:tc>
          <w:tcPr>
            <w:tcW w:w="1482" w:type="pct"/>
          </w:tcPr>
          <w:p w14:paraId="3CC72F52" w14:textId="0E7EB496" w:rsidR="007460F1" w:rsidRPr="00F83DA8" w:rsidRDefault="007460F1" w:rsidP="00C32073">
            <w:pPr>
              <w:spacing w:after="120"/>
              <w:rPr>
                <w:rFonts w:cs="Arial"/>
                <w:color w:val="000000" w:themeColor="text1"/>
                <w:szCs w:val="20"/>
              </w:rPr>
            </w:pPr>
            <w:r w:rsidRPr="00F83DA8">
              <w:rPr>
                <w:rFonts w:cs="Arial"/>
                <w:snapToGrid w:val="0"/>
                <w:color w:val="000000" w:themeColor="text1"/>
                <w:szCs w:val="20"/>
              </w:rPr>
              <w:t>Subsector</w:t>
            </w:r>
          </w:p>
        </w:tc>
        <w:tc>
          <w:tcPr>
            <w:tcW w:w="200" w:type="pct"/>
          </w:tcPr>
          <w:p w14:paraId="406F3C53" w14:textId="67E9EA0F" w:rsidR="007460F1" w:rsidRPr="00F83DA8" w:rsidRDefault="007460F1" w:rsidP="00C32073">
            <w:pPr>
              <w:spacing w:after="120"/>
              <w:rPr>
                <w:rFonts w:cs="Arial"/>
                <w:snapToGrid w:val="0"/>
                <w:color w:val="000000" w:themeColor="text1"/>
                <w:szCs w:val="20"/>
              </w:rPr>
            </w:pPr>
            <w:r w:rsidRPr="00F83DA8">
              <w:rPr>
                <w:rFonts w:cs="Arial"/>
                <w:snapToGrid w:val="0"/>
                <w:color w:val="000000" w:themeColor="text1"/>
                <w:szCs w:val="20"/>
              </w:rPr>
              <w:t>:</w:t>
            </w:r>
          </w:p>
        </w:tc>
        <w:tc>
          <w:tcPr>
            <w:tcW w:w="3000" w:type="pct"/>
          </w:tcPr>
          <w:p w14:paraId="066A0656" w14:textId="0C10B36B" w:rsidR="007460F1" w:rsidRPr="00F83DA8" w:rsidRDefault="007460F1" w:rsidP="00C32073">
            <w:pPr>
              <w:spacing w:after="120"/>
              <w:rPr>
                <w:rFonts w:cs="Arial"/>
                <w:color w:val="000000" w:themeColor="text1"/>
                <w:szCs w:val="20"/>
              </w:rPr>
            </w:pPr>
            <w:r w:rsidRPr="00F83DA8">
              <w:rPr>
                <w:rFonts w:cs="Arial"/>
                <w:snapToGrid w:val="0"/>
                <w:color w:val="000000" w:themeColor="text1"/>
                <w:szCs w:val="20"/>
              </w:rPr>
              <w:t>-</w:t>
            </w:r>
          </w:p>
        </w:tc>
      </w:tr>
      <w:tr w:rsidR="00F83DA8" w:rsidRPr="00F83DA8" w14:paraId="5712ADC5" w14:textId="77777777" w:rsidTr="00C32073">
        <w:trPr>
          <w:trHeight w:val="230"/>
        </w:trPr>
        <w:tc>
          <w:tcPr>
            <w:tcW w:w="300" w:type="pct"/>
          </w:tcPr>
          <w:p w14:paraId="0861E429" w14:textId="77777777" w:rsidR="007460F1" w:rsidRPr="00F83DA8" w:rsidRDefault="007460F1" w:rsidP="00C32073">
            <w:pPr>
              <w:spacing w:after="120"/>
              <w:rPr>
                <w:rFonts w:cs="Arial"/>
                <w:snapToGrid w:val="0"/>
                <w:color w:val="000000" w:themeColor="text1"/>
                <w:szCs w:val="20"/>
              </w:rPr>
            </w:pPr>
          </w:p>
        </w:tc>
        <w:tc>
          <w:tcPr>
            <w:tcW w:w="1482" w:type="pct"/>
          </w:tcPr>
          <w:p w14:paraId="2E7A9F2F" w14:textId="15E09A89" w:rsidR="007460F1" w:rsidRPr="00F83DA8" w:rsidRDefault="007460F1" w:rsidP="00C32073">
            <w:pPr>
              <w:spacing w:after="120"/>
              <w:rPr>
                <w:rFonts w:cs="Arial"/>
                <w:snapToGrid w:val="0"/>
                <w:color w:val="000000" w:themeColor="text1"/>
                <w:szCs w:val="20"/>
              </w:rPr>
            </w:pPr>
            <w:r w:rsidRPr="00F83DA8">
              <w:rPr>
                <w:rFonts w:cs="Arial"/>
                <w:snapToGrid w:val="0"/>
                <w:color w:val="000000" w:themeColor="text1"/>
                <w:szCs w:val="20"/>
              </w:rPr>
              <w:t>Level of Government</w:t>
            </w:r>
          </w:p>
        </w:tc>
        <w:tc>
          <w:tcPr>
            <w:tcW w:w="200" w:type="pct"/>
          </w:tcPr>
          <w:p w14:paraId="3139A0F2" w14:textId="4DF4ED85" w:rsidR="007460F1" w:rsidRPr="00F83DA8" w:rsidRDefault="007460F1" w:rsidP="00C32073">
            <w:pPr>
              <w:spacing w:after="120"/>
              <w:rPr>
                <w:rFonts w:cs="Arial"/>
                <w:snapToGrid w:val="0"/>
                <w:color w:val="000000" w:themeColor="text1"/>
                <w:szCs w:val="20"/>
              </w:rPr>
            </w:pPr>
            <w:r w:rsidRPr="00F83DA8">
              <w:rPr>
                <w:rFonts w:cs="Arial"/>
                <w:snapToGrid w:val="0"/>
                <w:color w:val="000000" w:themeColor="text1"/>
                <w:szCs w:val="20"/>
              </w:rPr>
              <w:t>:</w:t>
            </w:r>
          </w:p>
        </w:tc>
        <w:tc>
          <w:tcPr>
            <w:tcW w:w="3000" w:type="pct"/>
          </w:tcPr>
          <w:p w14:paraId="0AE039B6" w14:textId="2D7CDE04" w:rsidR="007460F1" w:rsidRPr="00F83DA8" w:rsidRDefault="007460F1" w:rsidP="00C32073">
            <w:pPr>
              <w:spacing w:after="120"/>
              <w:rPr>
                <w:rFonts w:cs="Arial"/>
                <w:snapToGrid w:val="0"/>
                <w:color w:val="000000" w:themeColor="text1"/>
                <w:szCs w:val="20"/>
              </w:rPr>
            </w:pPr>
            <w:r w:rsidRPr="00F83DA8">
              <w:rPr>
                <w:rFonts w:cs="Arial"/>
                <w:snapToGrid w:val="0"/>
                <w:color w:val="000000" w:themeColor="text1"/>
                <w:szCs w:val="20"/>
              </w:rPr>
              <w:t>Central and Regional</w:t>
            </w:r>
          </w:p>
        </w:tc>
      </w:tr>
      <w:tr w:rsidR="00F83DA8" w:rsidRPr="00F83DA8" w14:paraId="24064FD3" w14:textId="77777777" w:rsidTr="00C32073">
        <w:tc>
          <w:tcPr>
            <w:tcW w:w="300" w:type="pct"/>
          </w:tcPr>
          <w:p w14:paraId="02A13051" w14:textId="77777777" w:rsidR="007460F1" w:rsidRPr="00F83DA8" w:rsidRDefault="007460F1" w:rsidP="00C32073">
            <w:pPr>
              <w:spacing w:after="120"/>
              <w:rPr>
                <w:rFonts w:cs="Arial"/>
                <w:snapToGrid w:val="0"/>
                <w:color w:val="000000" w:themeColor="text1"/>
                <w:szCs w:val="20"/>
              </w:rPr>
            </w:pPr>
          </w:p>
        </w:tc>
        <w:tc>
          <w:tcPr>
            <w:tcW w:w="1482" w:type="pct"/>
          </w:tcPr>
          <w:p w14:paraId="7CC74D6B" w14:textId="76B82705" w:rsidR="007460F1" w:rsidRPr="00F83DA8" w:rsidRDefault="007460F1" w:rsidP="00C32073">
            <w:pPr>
              <w:spacing w:after="120"/>
              <w:rPr>
                <w:rFonts w:cs="Arial"/>
                <w:strike/>
                <w:snapToGrid w:val="0"/>
                <w:color w:val="000000" w:themeColor="text1"/>
                <w:szCs w:val="20"/>
              </w:rPr>
            </w:pPr>
            <w:r w:rsidRPr="00F83DA8">
              <w:rPr>
                <w:rFonts w:cs="Arial"/>
                <w:snapToGrid w:val="0"/>
                <w:color w:val="000000" w:themeColor="text1"/>
                <w:szCs w:val="20"/>
              </w:rPr>
              <w:t>Obligations Concerned</w:t>
            </w:r>
          </w:p>
        </w:tc>
        <w:tc>
          <w:tcPr>
            <w:tcW w:w="200" w:type="pct"/>
          </w:tcPr>
          <w:p w14:paraId="04F1F258" w14:textId="3B6FCD46" w:rsidR="007460F1" w:rsidRPr="00F83DA8" w:rsidRDefault="007460F1" w:rsidP="00C32073">
            <w:pPr>
              <w:spacing w:after="120"/>
              <w:rPr>
                <w:rFonts w:cs="Arial"/>
                <w:snapToGrid w:val="0"/>
                <w:color w:val="000000" w:themeColor="text1"/>
                <w:szCs w:val="20"/>
              </w:rPr>
            </w:pPr>
            <w:r w:rsidRPr="00F83DA8">
              <w:rPr>
                <w:rFonts w:cs="Arial"/>
                <w:snapToGrid w:val="0"/>
                <w:color w:val="000000" w:themeColor="text1"/>
                <w:szCs w:val="20"/>
              </w:rPr>
              <w:t>:</w:t>
            </w:r>
          </w:p>
        </w:tc>
        <w:tc>
          <w:tcPr>
            <w:tcW w:w="3000" w:type="pct"/>
          </w:tcPr>
          <w:p w14:paraId="5C3CD00C" w14:textId="13169BAC" w:rsidR="007460F1" w:rsidRPr="00F83DA8" w:rsidRDefault="007460F1" w:rsidP="00C32073">
            <w:pPr>
              <w:pStyle w:val="TOSM"/>
              <w:jc w:val="both"/>
              <w:rPr>
                <w:strike/>
                <w:color w:val="000000" w:themeColor="text1"/>
              </w:rPr>
            </w:pPr>
            <w:r w:rsidRPr="00F83DA8">
              <w:rPr>
                <w:color w:val="000000" w:themeColor="text1"/>
              </w:rPr>
              <w:t>National Treatment</w:t>
            </w:r>
          </w:p>
        </w:tc>
      </w:tr>
      <w:tr w:rsidR="00F83DA8" w:rsidRPr="00F83DA8" w14:paraId="00AC5751" w14:textId="77777777" w:rsidTr="00C32073">
        <w:tc>
          <w:tcPr>
            <w:tcW w:w="300" w:type="pct"/>
          </w:tcPr>
          <w:p w14:paraId="213127F9" w14:textId="77777777" w:rsidR="007460F1" w:rsidRPr="00F83DA8" w:rsidRDefault="007460F1" w:rsidP="00C32073">
            <w:pPr>
              <w:spacing w:after="120"/>
              <w:rPr>
                <w:rFonts w:cs="Arial"/>
                <w:snapToGrid w:val="0"/>
                <w:color w:val="000000" w:themeColor="text1"/>
                <w:szCs w:val="20"/>
              </w:rPr>
            </w:pPr>
          </w:p>
        </w:tc>
        <w:tc>
          <w:tcPr>
            <w:tcW w:w="1482" w:type="pct"/>
          </w:tcPr>
          <w:p w14:paraId="75D73885" w14:textId="5853AC5A" w:rsidR="007460F1" w:rsidRPr="00F83DA8" w:rsidRDefault="007460F1" w:rsidP="00C32073">
            <w:pPr>
              <w:spacing w:after="120"/>
              <w:rPr>
                <w:rFonts w:cs="Arial"/>
                <w:snapToGrid w:val="0"/>
                <w:color w:val="000000" w:themeColor="text1"/>
                <w:szCs w:val="20"/>
              </w:rPr>
            </w:pPr>
            <w:r w:rsidRPr="00F83DA8">
              <w:rPr>
                <w:rFonts w:cs="Arial"/>
                <w:snapToGrid w:val="0"/>
                <w:color w:val="000000" w:themeColor="text1"/>
                <w:szCs w:val="20"/>
              </w:rPr>
              <w:t>Description</w:t>
            </w:r>
          </w:p>
        </w:tc>
        <w:tc>
          <w:tcPr>
            <w:tcW w:w="200" w:type="pct"/>
          </w:tcPr>
          <w:p w14:paraId="5CA047F1" w14:textId="4F054760" w:rsidR="007460F1" w:rsidRPr="00F83DA8" w:rsidRDefault="007460F1" w:rsidP="00C32073">
            <w:pPr>
              <w:spacing w:after="120"/>
              <w:rPr>
                <w:rFonts w:cs="Arial"/>
                <w:snapToGrid w:val="0"/>
                <w:color w:val="000000" w:themeColor="text1"/>
                <w:szCs w:val="20"/>
              </w:rPr>
            </w:pPr>
            <w:r w:rsidRPr="00F83DA8">
              <w:rPr>
                <w:rFonts w:cs="Arial"/>
                <w:snapToGrid w:val="0"/>
                <w:color w:val="000000" w:themeColor="text1"/>
                <w:szCs w:val="20"/>
              </w:rPr>
              <w:t>:</w:t>
            </w:r>
          </w:p>
        </w:tc>
        <w:tc>
          <w:tcPr>
            <w:tcW w:w="3000" w:type="pct"/>
          </w:tcPr>
          <w:p w14:paraId="4335C3FB" w14:textId="6B5C086E" w:rsidR="007460F1" w:rsidRPr="00F83DA8" w:rsidRDefault="007460F1" w:rsidP="00F20711">
            <w:pPr>
              <w:pStyle w:val="DMList1"/>
              <w:ind w:left="1" w:firstLine="0"/>
              <w:jc w:val="both"/>
              <w:rPr>
                <w:color w:val="000000" w:themeColor="text1"/>
              </w:rPr>
            </w:pPr>
            <w:r w:rsidRPr="00F83DA8">
              <w:rPr>
                <w:color w:val="000000" w:themeColor="text1"/>
              </w:rPr>
              <w:t>Foreign equity is restricted to no more than 30 per cent for the manufacture of batik fabric and apparel of batik.</w:t>
            </w:r>
          </w:p>
        </w:tc>
      </w:tr>
      <w:tr w:rsidR="00F83DA8" w:rsidRPr="00F83DA8" w14:paraId="393CB7A1" w14:textId="77777777" w:rsidTr="00C32073">
        <w:tc>
          <w:tcPr>
            <w:tcW w:w="300" w:type="pct"/>
          </w:tcPr>
          <w:p w14:paraId="6E9E7DD0" w14:textId="77777777" w:rsidR="007460F1" w:rsidRPr="00F83DA8" w:rsidRDefault="007460F1" w:rsidP="00C32073">
            <w:pPr>
              <w:spacing w:after="120"/>
              <w:rPr>
                <w:rFonts w:cs="Arial"/>
                <w:color w:val="000000" w:themeColor="text1"/>
                <w:szCs w:val="20"/>
              </w:rPr>
            </w:pPr>
          </w:p>
        </w:tc>
        <w:tc>
          <w:tcPr>
            <w:tcW w:w="1482" w:type="pct"/>
          </w:tcPr>
          <w:p w14:paraId="514D8807" w14:textId="09449DA1" w:rsidR="007460F1" w:rsidRPr="00F83DA8" w:rsidRDefault="007460F1" w:rsidP="00C32073">
            <w:pPr>
              <w:spacing w:after="120"/>
              <w:rPr>
                <w:rFonts w:cs="Arial"/>
                <w:color w:val="000000" w:themeColor="text1"/>
                <w:szCs w:val="20"/>
              </w:rPr>
            </w:pPr>
            <w:r w:rsidRPr="00F83DA8">
              <w:rPr>
                <w:rFonts w:cs="Arial"/>
                <w:color w:val="000000" w:themeColor="text1"/>
                <w:szCs w:val="20"/>
              </w:rPr>
              <w:t>Source of Measures</w:t>
            </w:r>
          </w:p>
        </w:tc>
        <w:tc>
          <w:tcPr>
            <w:tcW w:w="200" w:type="pct"/>
          </w:tcPr>
          <w:p w14:paraId="2668567A" w14:textId="7F5C7088" w:rsidR="007460F1" w:rsidRPr="00F83DA8" w:rsidRDefault="007460F1" w:rsidP="00C32073">
            <w:pPr>
              <w:spacing w:after="120"/>
              <w:rPr>
                <w:rFonts w:cs="Arial"/>
                <w:color w:val="000000" w:themeColor="text1"/>
                <w:szCs w:val="20"/>
              </w:rPr>
            </w:pPr>
            <w:r w:rsidRPr="00F83DA8">
              <w:rPr>
                <w:rFonts w:cs="Arial"/>
                <w:color w:val="000000" w:themeColor="text1"/>
                <w:szCs w:val="20"/>
              </w:rPr>
              <w:t>:</w:t>
            </w:r>
          </w:p>
        </w:tc>
        <w:tc>
          <w:tcPr>
            <w:tcW w:w="3000" w:type="pct"/>
          </w:tcPr>
          <w:p w14:paraId="3661DCB4" w14:textId="77777777" w:rsidR="007460F1" w:rsidRPr="00F83DA8" w:rsidRDefault="007460F1" w:rsidP="00C32073">
            <w:pPr>
              <w:pStyle w:val="TOSM"/>
              <w:jc w:val="both"/>
              <w:rPr>
                <w:color w:val="000000" w:themeColor="text1"/>
              </w:rPr>
            </w:pPr>
            <w:r w:rsidRPr="0027032F">
              <w:rPr>
                <w:i/>
                <w:color w:val="000000" w:themeColor="text1"/>
              </w:rPr>
              <w:t>Industrial Co-ordination Act 1975</w:t>
            </w:r>
            <w:r w:rsidRPr="00F83DA8">
              <w:rPr>
                <w:color w:val="000000" w:themeColor="text1"/>
              </w:rPr>
              <w:t xml:space="preserve"> [Act 156]</w:t>
            </w:r>
          </w:p>
          <w:p w14:paraId="6C20968E" w14:textId="635CA72D" w:rsidR="007460F1" w:rsidRPr="00F83DA8" w:rsidRDefault="007460F1" w:rsidP="00C32073">
            <w:pPr>
              <w:pStyle w:val="TOSM"/>
              <w:jc w:val="both"/>
              <w:rPr>
                <w:color w:val="000000" w:themeColor="text1"/>
              </w:rPr>
            </w:pPr>
            <w:r w:rsidRPr="00F83DA8">
              <w:rPr>
                <w:color w:val="000000" w:themeColor="text1"/>
              </w:rPr>
              <w:t>Administrative Guidelines</w:t>
            </w:r>
          </w:p>
        </w:tc>
      </w:tr>
    </w:tbl>
    <w:p w14:paraId="6CCA04F8" w14:textId="380A8FAC" w:rsidR="007460F1" w:rsidRPr="00F83DA8" w:rsidRDefault="00913EE7" w:rsidP="00F83DA8">
      <w:pPr>
        <w:spacing w:after="120"/>
        <w:rPr>
          <w:color w:val="000000" w:themeColor="text1"/>
        </w:rPr>
      </w:pPr>
      <w:r w:rsidRPr="00F83DA8">
        <w:rPr>
          <w:rFonts w:cs="Arial"/>
          <w:color w:val="000000" w:themeColor="text1"/>
          <w:szCs w:val="20"/>
        </w:rPr>
        <w:br w:type="page"/>
      </w:r>
    </w:p>
    <w:tbl>
      <w:tblPr>
        <w:tblpPr w:leftFromText="180" w:rightFromText="180" w:vertAnchor="page" w:horzAnchor="margin" w:tblpY="1456"/>
        <w:tblW w:w="497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41"/>
        <w:gridCol w:w="303"/>
        <w:gridCol w:w="4537"/>
      </w:tblGrid>
      <w:tr w:rsidR="00F83DA8" w:rsidRPr="00F83DA8" w14:paraId="322DCA26" w14:textId="77777777" w:rsidTr="00C32073">
        <w:trPr>
          <w:trHeight w:val="230"/>
        </w:trPr>
        <w:tc>
          <w:tcPr>
            <w:tcW w:w="300" w:type="pct"/>
          </w:tcPr>
          <w:p w14:paraId="2E7B573B" w14:textId="77777777" w:rsidR="00BA2CC4" w:rsidRPr="00F83DA8" w:rsidRDefault="00BA2CC4" w:rsidP="00F83DA8">
            <w:pPr>
              <w:numPr>
                <w:ilvl w:val="0"/>
                <w:numId w:val="2"/>
              </w:numPr>
              <w:spacing w:after="120"/>
              <w:rPr>
                <w:rFonts w:cs="Arial"/>
                <w:snapToGrid w:val="0"/>
                <w:color w:val="000000" w:themeColor="text1"/>
                <w:szCs w:val="20"/>
              </w:rPr>
            </w:pPr>
          </w:p>
        </w:tc>
        <w:tc>
          <w:tcPr>
            <w:tcW w:w="1482" w:type="pct"/>
          </w:tcPr>
          <w:p w14:paraId="4CCE40E2" w14:textId="77777777" w:rsidR="00BA2CC4" w:rsidRPr="00F83DA8" w:rsidRDefault="00BA2CC4" w:rsidP="00F83DA8">
            <w:pPr>
              <w:spacing w:after="120"/>
              <w:rPr>
                <w:rFonts w:cs="Arial"/>
                <w:color w:val="000000" w:themeColor="text1"/>
                <w:szCs w:val="20"/>
              </w:rPr>
            </w:pPr>
            <w:r w:rsidRPr="00F83DA8">
              <w:rPr>
                <w:rFonts w:cs="Arial"/>
                <w:snapToGrid w:val="0"/>
                <w:color w:val="000000" w:themeColor="text1"/>
                <w:szCs w:val="20"/>
              </w:rPr>
              <w:t>Sector</w:t>
            </w:r>
          </w:p>
        </w:tc>
        <w:tc>
          <w:tcPr>
            <w:tcW w:w="200" w:type="pct"/>
          </w:tcPr>
          <w:p w14:paraId="1F9BFEC3" w14:textId="77777777" w:rsidR="00BA2CC4" w:rsidRPr="00F83DA8" w:rsidRDefault="00BA2CC4" w:rsidP="00F83DA8">
            <w:pPr>
              <w:spacing w:after="120"/>
              <w:rPr>
                <w:rFonts w:cs="Arial"/>
                <w:snapToGrid w:val="0"/>
                <w:color w:val="000000" w:themeColor="text1"/>
                <w:szCs w:val="20"/>
              </w:rPr>
            </w:pPr>
            <w:r w:rsidRPr="00F83DA8">
              <w:rPr>
                <w:rFonts w:cs="Arial"/>
                <w:snapToGrid w:val="0"/>
                <w:color w:val="000000" w:themeColor="text1"/>
                <w:szCs w:val="20"/>
              </w:rPr>
              <w:t>:</w:t>
            </w:r>
          </w:p>
        </w:tc>
        <w:tc>
          <w:tcPr>
            <w:tcW w:w="3000" w:type="pct"/>
          </w:tcPr>
          <w:p w14:paraId="3E893E74" w14:textId="77777777" w:rsidR="00BA2CC4" w:rsidRPr="00F83DA8" w:rsidRDefault="00BA2CC4" w:rsidP="00F83DA8">
            <w:pPr>
              <w:spacing w:after="120"/>
              <w:rPr>
                <w:rFonts w:cs="Arial"/>
                <w:snapToGrid w:val="0"/>
                <w:color w:val="000000" w:themeColor="text1"/>
                <w:szCs w:val="20"/>
              </w:rPr>
            </w:pPr>
            <w:r w:rsidRPr="00F83DA8">
              <w:rPr>
                <w:rFonts w:cs="Arial"/>
                <w:snapToGrid w:val="0"/>
                <w:color w:val="000000" w:themeColor="text1"/>
                <w:szCs w:val="20"/>
              </w:rPr>
              <w:t>Manufacturing</w:t>
            </w:r>
          </w:p>
        </w:tc>
      </w:tr>
      <w:tr w:rsidR="00F83DA8" w:rsidRPr="00F83DA8" w14:paraId="53515B2D" w14:textId="77777777" w:rsidTr="00C32073">
        <w:trPr>
          <w:trHeight w:val="230"/>
        </w:trPr>
        <w:tc>
          <w:tcPr>
            <w:tcW w:w="300" w:type="pct"/>
          </w:tcPr>
          <w:p w14:paraId="21B0DDC3" w14:textId="77777777" w:rsidR="00BA2CC4" w:rsidRPr="00F83DA8" w:rsidRDefault="00BA2CC4" w:rsidP="00C32073">
            <w:pPr>
              <w:spacing w:after="120"/>
              <w:rPr>
                <w:rFonts w:cs="Arial"/>
                <w:snapToGrid w:val="0"/>
                <w:color w:val="000000" w:themeColor="text1"/>
                <w:szCs w:val="20"/>
              </w:rPr>
            </w:pPr>
          </w:p>
        </w:tc>
        <w:tc>
          <w:tcPr>
            <w:tcW w:w="1482" w:type="pct"/>
          </w:tcPr>
          <w:p w14:paraId="19384008" w14:textId="77777777" w:rsidR="00BA2CC4" w:rsidRPr="00F83DA8" w:rsidRDefault="00BA2CC4" w:rsidP="00C32073">
            <w:pPr>
              <w:spacing w:after="120"/>
              <w:rPr>
                <w:rFonts w:cs="Arial"/>
                <w:color w:val="000000" w:themeColor="text1"/>
                <w:szCs w:val="20"/>
              </w:rPr>
            </w:pPr>
            <w:r w:rsidRPr="00F83DA8">
              <w:rPr>
                <w:rFonts w:cs="Arial"/>
                <w:snapToGrid w:val="0"/>
                <w:color w:val="000000" w:themeColor="text1"/>
                <w:szCs w:val="20"/>
              </w:rPr>
              <w:t>Subsector</w:t>
            </w:r>
          </w:p>
        </w:tc>
        <w:tc>
          <w:tcPr>
            <w:tcW w:w="200" w:type="pct"/>
          </w:tcPr>
          <w:p w14:paraId="1DFD439B" w14:textId="77777777" w:rsidR="00BA2CC4" w:rsidRPr="00F83DA8" w:rsidRDefault="00BA2CC4" w:rsidP="00C32073">
            <w:pPr>
              <w:spacing w:after="120"/>
              <w:rPr>
                <w:rFonts w:cs="Arial"/>
                <w:snapToGrid w:val="0"/>
                <w:color w:val="000000" w:themeColor="text1"/>
                <w:szCs w:val="20"/>
              </w:rPr>
            </w:pPr>
            <w:r w:rsidRPr="00F83DA8">
              <w:rPr>
                <w:rFonts w:cs="Arial"/>
                <w:snapToGrid w:val="0"/>
                <w:color w:val="000000" w:themeColor="text1"/>
                <w:szCs w:val="20"/>
              </w:rPr>
              <w:t>:</w:t>
            </w:r>
          </w:p>
        </w:tc>
        <w:tc>
          <w:tcPr>
            <w:tcW w:w="3000" w:type="pct"/>
          </w:tcPr>
          <w:p w14:paraId="18175CD7" w14:textId="77777777" w:rsidR="00BA2CC4" w:rsidRPr="00F83DA8" w:rsidRDefault="00BA2CC4" w:rsidP="00C32073">
            <w:pPr>
              <w:spacing w:after="120"/>
              <w:rPr>
                <w:rFonts w:cs="Arial"/>
                <w:color w:val="000000" w:themeColor="text1"/>
                <w:szCs w:val="20"/>
              </w:rPr>
            </w:pPr>
            <w:r w:rsidRPr="00F83DA8">
              <w:rPr>
                <w:rFonts w:cs="Arial"/>
                <w:snapToGrid w:val="0"/>
                <w:color w:val="000000" w:themeColor="text1"/>
                <w:szCs w:val="20"/>
              </w:rPr>
              <w:t>-</w:t>
            </w:r>
          </w:p>
        </w:tc>
      </w:tr>
      <w:tr w:rsidR="00F83DA8" w:rsidRPr="00F83DA8" w14:paraId="19B46B59" w14:textId="77777777" w:rsidTr="00C32073">
        <w:trPr>
          <w:trHeight w:val="230"/>
        </w:trPr>
        <w:tc>
          <w:tcPr>
            <w:tcW w:w="300" w:type="pct"/>
          </w:tcPr>
          <w:p w14:paraId="7323BA97" w14:textId="77777777" w:rsidR="00BA2CC4" w:rsidRPr="00F83DA8" w:rsidRDefault="00BA2CC4" w:rsidP="00C32073">
            <w:pPr>
              <w:spacing w:after="120"/>
              <w:rPr>
                <w:rFonts w:cs="Arial"/>
                <w:snapToGrid w:val="0"/>
                <w:color w:val="000000" w:themeColor="text1"/>
                <w:szCs w:val="20"/>
              </w:rPr>
            </w:pPr>
          </w:p>
        </w:tc>
        <w:tc>
          <w:tcPr>
            <w:tcW w:w="1482" w:type="pct"/>
          </w:tcPr>
          <w:p w14:paraId="3CBA2C9D" w14:textId="77777777" w:rsidR="00BA2CC4" w:rsidRPr="00F83DA8" w:rsidRDefault="00BA2CC4" w:rsidP="00C32073">
            <w:pPr>
              <w:spacing w:after="120"/>
              <w:rPr>
                <w:rFonts w:cs="Arial"/>
                <w:snapToGrid w:val="0"/>
                <w:color w:val="000000" w:themeColor="text1"/>
                <w:szCs w:val="20"/>
              </w:rPr>
            </w:pPr>
            <w:r w:rsidRPr="00F83DA8">
              <w:rPr>
                <w:rFonts w:cs="Arial"/>
                <w:snapToGrid w:val="0"/>
                <w:color w:val="000000" w:themeColor="text1"/>
                <w:szCs w:val="20"/>
              </w:rPr>
              <w:t>Level of Government</w:t>
            </w:r>
          </w:p>
        </w:tc>
        <w:tc>
          <w:tcPr>
            <w:tcW w:w="200" w:type="pct"/>
          </w:tcPr>
          <w:p w14:paraId="4D4E6351" w14:textId="77777777" w:rsidR="00BA2CC4" w:rsidRPr="00F83DA8" w:rsidRDefault="00BA2CC4" w:rsidP="00C32073">
            <w:pPr>
              <w:spacing w:after="120"/>
              <w:rPr>
                <w:rFonts w:cs="Arial"/>
                <w:snapToGrid w:val="0"/>
                <w:color w:val="000000" w:themeColor="text1"/>
                <w:szCs w:val="20"/>
              </w:rPr>
            </w:pPr>
            <w:r w:rsidRPr="00F83DA8">
              <w:rPr>
                <w:rFonts w:cs="Arial"/>
                <w:snapToGrid w:val="0"/>
                <w:color w:val="000000" w:themeColor="text1"/>
                <w:szCs w:val="20"/>
              </w:rPr>
              <w:t>:</w:t>
            </w:r>
          </w:p>
        </w:tc>
        <w:tc>
          <w:tcPr>
            <w:tcW w:w="3000" w:type="pct"/>
          </w:tcPr>
          <w:p w14:paraId="534503ED" w14:textId="77777777" w:rsidR="00BA2CC4" w:rsidRPr="00F83DA8" w:rsidRDefault="00BA2CC4" w:rsidP="00C32073">
            <w:pPr>
              <w:spacing w:after="120"/>
              <w:rPr>
                <w:rFonts w:cs="Arial"/>
                <w:snapToGrid w:val="0"/>
                <w:color w:val="000000" w:themeColor="text1"/>
                <w:szCs w:val="20"/>
              </w:rPr>
            </w:pPr>
            <w:r w:rsidRPr="00F83DA8">
              <w:rPr>
                <w:rFonts w:cs="Arial"/>
                <w:snapToGrid w:val="0"/>
                <w:color w:val="000000" w:themeColor="text1"/>
                <w:szCs w:val="20"/>
              </w:rPr>
              <w:t>Central and Regional</w:t>
            </w:r>
          </w:p>
        </w:tc>
      </w:tr>
      <w:tr w:rsidR="00F83DA8" w:rsidRPr="00F83DA8" w14:paraId="674B032A" w14:textId="77777777" w:rsidTr="00C32073">
        <w:tc>
          <w:tcPr>
            <w:tcW w:w="300" w:type="pct"/>
          </w:tcPr>
          <w:p w14:paraId="3986FD6A" w14:textId="77777777" w:rsidR="00BA2CC4" w:rsidRPr="00F83DA8" w:rsidRDefault="00BA2CC4" w:rsidP="00C32073">
            <w:pPr>
              <w:spacing w:after="120"/>
              <w:rPr>
                <w:rFonts w:cs="Arial"/>
                <w:snapToGrid w:val="0"/>
                <w:color w:val="000000" w:themeColor="text1"/>
                <w:szCs w:val="20"/>
              </w:rPr>
            </w:pPr>
          </w:p>
        </w:tc>
        <w:tc>
          <w:tcPr>
            <w:tcW w:w="1482" w:type="pct"/>
          </w:tcPr>
          <w:p w14:paraId="0AB49B4F" w14:textId="77777777" w:rsidR="00BA2CC4" w:rsidRPr="00F83DA8" w:rsidRDefault="00BA2CC4" w:rsidP="00C32073">
            <w:pPr>
              <w:spacing w:after="120"/>
              <w:rPr>
                <w:rFonts w:cs="Arial"/>
                <w:strike/>
                <w:snapToGrid w:val="0"/>
                <w:color w:val="000000" w:themeColor="text1"/>
                <w:szCs w:val="20"/>
              </w:rPr>
            </w:pPr>
            <w:r w:rsidRPr="00F83DA8">
              <w:rPr>
                <w:rFonts w:cs="Arial"/>
                <w:snapToGrid w:val="0"/>
                <w:color w:val="000000" w:themeColor="text1"/>
                <w:szCs w:val="20"/>
              </w:rPr>
              <w:t>Obligations Concerned</w:t>
            </w:r>
          </w:p>
        </w:tc>
        <w:tc>
          <w:tcPr>
            <w:tcW w:w="200" w:type="pct"/>
          </w:tcPr>
          <w:p w14:paraId="4DB6EA55" w14:textId="77777777" w:rsidR="00BA2CC4" w:rsidRPr="00F83DA8" w:rsidRDefault="00BA2CC4" w:rsidP="00C32073">
            <w:pPr>
              <w:spacing w:after="120"/>
              <w:rPr>
                <w:rFonts w:cs="Arial"/>
                <w:snapToGrid w:val="0"/>
                <w:color w:val="000000" w:themeColor="text1"/>
                <w:szCs w:val="20"/>
              </w:rPr>
            </w:pPr>
            <w:r w:rsidRPr="00F83DA8">
              <w:rPr>
                <w:rFonts w:cs="Arial"/>
                <w:snapToGrid w:val="0"/>
                <w:color w:val="000000" w:themeColor="text1"/>
                <w:szCs w:val="20"/>
              </w:rPr>
              <w:t>:</w:t>
            </w:r>
          </w:p>
        </w:tc>
        <w:tc>
          <w:tcPr>
            <w:tcW w:w="3000" w:type="pct"/>
          </w:tcPr>
          <w:p w14:paraId="7D48A767" w14:textId="1D6D46AA" w:rsidR="00BA2CC4" w:rsidRPr="00F83DA8" w:rsidRDefault="00BA2CC4" w:rsidP="00C32073">
            <w:pPr>
              <w:pStyle w:val="TOSM"/>
              <w:jc w:val="both"/>
              <w:rPr>
                <w:strike/>
                <w:color w:val="000000" w:themeColor="text1"/>
              </w:rPr>
            </w:pPr>
            <w:r w:rsidRPr="00F83DA8">
              <w:rPr>
                <w:color w:val="000000" w:themeColor="text1"/>
              </w:rPr>
              <w:t>Prohibition of Performance Requirements</w:t>
            </w:r>
          </w:p>
        </w:tc>
      </w:tr>
      <w:tr w:rsidR="00F83DA8" w:rsidRPr="00F83DA8" w14:paraId="118E0D8D" w14:textId="77777777" w:rsidTr="00C32073">
        <w:tc>
          <w:tcPr>
            <w:tcW w:w="300" w:type="pct"/>
          </w:tcPr>
          <w:p w14:paraId="43C56010" w14:textId="77777777" w:rsidR="00BA2CC4" w:rsidRPr="00F83DA8" w:rsidRDefault="00BA2CC4" w:rsidP="00C32073">
            <w:pPr>
              <w:spacing w:after="120"/>
              <w:rPr>
                <w:rFonts w:cs="Arial"/>
                <w:snapToGrid w:val="0"/>
                <w:color w:val="000000" w:themeColor="text1"/>
                <w:szCs w:val="20"/>
              </w:rPr>
            </w:pPr>
          </w:p>
        </w:tc>
        <w:tc>
          <w:tcPr>
            <w:tcW w:w="1482" w:type="pct"/>
          </w:tcPr>
          <w:p w14:paraId="06031EAE" w14:textId="77777777" w:rsidR="00BA2CC4" w:rsidRPr="00F83DA8" w:rsidRDefault="00BA2CC4" w:rsidP="00C32073">
            <w:pPr>
              <w:spacing w:after="120"/>
              <w:rPr>
                <w:rFonts w:cs="Arial"/>
                <w:snapToGrid w:val="0"/>
                <w:color w:val="000000" w:themeColor="text1"/>
                <w:szCs w:val="20"/>
              </w:rPr>
            </w:pPr>
            <w:r w:rsidRPr="00F83DA8">
              <w:rPr>
                <w:rFonts w:cs="Arial"/>
                <w:snapToGrid w:val="0"/>
                <w:color w:val="000000" w:themeColor="text1"/>
                <w:szCs w:val="20"/>
              </w:rPr>
              <w:t>Description</w:t>
            </w:r>
          </w:p>
        </w:tc>
        <w:tc>
          <w:tcPr>
            <w:tcW w:w="200" w:type="pct"/>
          </w:tcPr>
          <w:p w14:paraId="40BCBD05" w14:textId="77777777" w:rsidR="00BA2CC4" w:rsidRPr="00F83DA8" w:rsidRDefault="00BA2CC4" w:rsidP="00C32073">
            <w:pPr>
              <w:spacing w:after="120"/>
              <w:rPr>
                <w:rFonts w:cs="Arial"/>
                <w:snapToGrid w:val="0"/>
                <w:color w:val="000000" w:themeColor="text1"/>
                <w:szCs w:val="20"/>
              </w:rPr>
            </w:pPr>
            <w:r w:rsidRPr="00F83DA8">
              <w:rPr>
                <w:rFonts w:cs="Arial"/>
                <w:snapToGrid w:val="0"/>
                <w:color w:val="000000" w:themeColor="text1"/>
                <w:szCs w:val="20"/>
              </w:rPr>
              <w:t>:</w:t>
            </w:r>
          </w:p>
        </w:tc>
        <w:tc>
          <w:tcPr>
            <w:tcW w:w="3000" w:type="pct"/>
          </w:tcPr>
          <w:p w14:paraId="23AC516B" w14:textId="77777777" w:rsidR="00BA2CC4" w:rsidRPr="00F83DA8" w:rsidRDefault="00BA2CC4" w:rsidP="00C32073">
            <w:pPr>
              <w:pStyle w:val="DMList1"/>
              <w:spacing w:before="0"/>
              <w:ind w:left="488" w:hanging="488"/>
              <w:contextualSpacing w:val="0"/>
              <w:jc w:val="both"/>
              <w:rPr>
                <w:color w:val="000000" w:themeColor="text1"/>
              </w:rPr>
            </w:pPr>
            <w:r w:rsidRPr="00F83DA8">
              <w:rPr>
                <w:color w:val="000000" w:themeColor="text1"/>
              </w:rPr>
              <w:t>(a)</w:t>
            </w:r>
            <w:r w:rsidRPr="00F83DA8">
              <w:rPr>
                <w:color w:val="000000" w:themeColor="text1"/>
              </w:rPr>
              <w:tab/>
              <w:t>Companies located within the Licensed Manufacturing Warehouse (LMW) and Free Industrial Zone (FIZ) are subject to export requirements.</w:t>
            </w:r>
          </w:p>
          <w:p w14:paraId="24BC3F3A" w14:textId="77777777" w:rsidR="00BA2CC4" w:rsidRPr="00F83DA8" w:rsidRDefault="00BA2CC4" w:rsidP="00C32073">
            <w:pPr>
              <w:pStyle w:val="DMList1"/>
              <w:spacing w:before="0"/>
              <w:ind w:left="488" w:hanging="488"/>
              <w:contextualSpacing w:val="0"/>
              <w:jc w:val="both"/>
              <w:rPr>
                <w:color w:val="000000" w:themeColor="text1"/>
              </w:rPr>
            </w:pPr>
            <w:r w:rsidRPr="00F83DA8">
              <w:rPr>
                <w:color w:val="000000" w:themeColor="text1"/>
              </w:rPr>
              <w:t>(b)</w:t>
            </w:r>
            <w:r w:rsidRPr="00F83DA8">
              <w:rPr>
                <w:color w:val="000000" w:themeColor="text1"/>
              </w:rPr>
              <w:tab/>
              <w:t>Companies engaging in petroleum refining activities are subject to export requirements.</w:t>
            </w:r>
          </w:p>
          <w:p w14:paraId="64D2673D" w14:textId="77777777" w:rsidR="00BA2CC4" w:rsidRPr="00F83DA8" w:rsidRDefault="00BA2CC4" w:rsidP="00C32073">
            <w:pPr>
              <w:pStyle w:val="DMList1"/>
              <w:spacing w:before="0"/>
              <w:ind w:left="488" w:hanging="488"/>
              <w:contextualSpacing w:val="0"/>
              <w:jc w:val="both"/>
              <w:rPr>
                <w:color w:val="000000" w:themeColor="text1"/>
              </w:rPr>
            </w:pPr>
            <w:r w:rsidRPr="00F83DA8">
              <w:rPr>
                <w:color w:val="000000" w:themeColor="text1"/>
              </w:rPr>
              <w:t>(c)</w:t>
            </w:r>
            <w:r w:rsidRPr="00F83DA8">
              <w:rPr>
                <w:color w:val="000000" w:themeColor="text1"/>
              </w:rPr>
              <w:tab/>
              <w:t>Expansion projects will be considered only for existing independent palm oil refineries which source 100 per cent from their own plantations. For Sabah and Sarawak, a manufacturing licence will only be considered for new integrated projects which source 50 per cent of crude palm oil from their own plantations. Integrated projects refer to projects with own plantations.</w:t>
            </w:r>
          </w:p>
          <w:p w14:paraId="76CF80D3" w14:textId="77777777" w:rsidR="00BA2CC4" w:rsidRPr="00F83DA8" w:rsidRDefault="00BA2CC4" w:rsidP="00C32073">
            <w:pPr>
              <w:pStyle w:val="DMList1"/>
              <w:ind w:left="489" w:hanging="489"/>
              <w:jc w:val="both"/>
              <w:rPr>
                <w:color w:val="000000" w:themeColor="text1"/>
              </w:rPr>
            </w:pPr>
            <w:r w:rsidRPr="00F83DA8">
              <w:rPr>
                <w:color w:val="000000" w:themeColor="text1"/>
              </w:rPr>
              <w:t>(d)</w:t>
            </w:r>
            <w:r w:rsidRPr="00F83DA8">
              <w:rPr>
                <w:color w:val="000000" w:themeColor="text1"/>
              </w:rPr>
              <w:tab/>
              <w:t>For pineapple canning, approval will only be granted for projects which source 100 per cent supply from their own plantations.</w:t>
            </w:r>
          </w:p>
        </w:tc>
      </w:tr>
      <w:tr w:rsidR="00F83DA8" w:rsidRPr="00F83DA8" w14:paraId="54666683" w14:textId="77777777" w:rsidTr="00C32073">
        <w:tc>
          <w:tcPr>
            <w:tcW w:w="300" w:type="pct"/>
          </w:tcPr>
          <w:p w14:paraId="11AA871C" w14:textId="77777777" w:rsidR="00BA2CC4" w:rsidRPr="00F83DA8" w:rsidRDefault="00BA2CC4" w:rsidP="00C32073">
            <w:pPr>
              <w:spacing w:after="120"/>
              <w:rPr>
                <w:rFonts w:cs="Arial"/>
                <w:color w:val="000000" w:themeColor="text1"/>
                <w:szCs w:val="20"/>
              </w:rPr>
            </w:pPr>
          </w:p>
        </w:tc>
        <w:tc>
          <w:tcPr>
            <w:tcW w:w="1482" w:type="pct"/>
          </w:tcPr>
          <w:p w14:paraId="560DE914" w14:textId="77777777" w:rsidR="00BA2CC4" w:rsidRPr="00F83DA8" w:rsidRDefault="00BA2CC4" w:rsidP="00C32073">
            <w:pPr>
              <w:spacing w:after="120"/>
              <w:rPr>
                <w:rFonts w:cs="Arial"/>
                <w:color w:val="000000" w:themeColor="text1"/>
                <w:szCs w:val="20"/>
              </w:rPr>
            </w:pPr>
            <w:r w:rsidRPr="00F83DA8">
              <w:rPr>
                <w:rFonts w:cs="Arial"/>
                <w:color w:val="000000" w:themeColor="text1"/>
                <w:szCs w:val="20"/>
              </w:rPr>
              <w:t>Source of Measures</w:t>
            </w:r>
          </w:p>
        </w:tc>
        <w:tc>
          <w:tcPr>
            <w:tcW w:w="200" w:type="pct"/>
          </w:tcPr>
          <w:p w14:paraId="6EB38F09" w14:textId="77777777" w:rsidR="00BA2CC4" w:rsidRPr="00F83DA8" w:rsidRDefault="00BA2CC4" w:rsidP="00C32073">
            <w:pPr>
              <w:spacing w:after="120"/>
              <w:rPr>
                <w:rFonts w:cs="Arial"/>
                <w:color w:val="000000" w:themeColor="text1"/>
                <w:szCs w:val="20"/>
              </w:rPr>
            </w:pPr>
            <w:r w:rsidRPr="00F83DA8">
              <w:rPr>
                <w:rFonts w:cs="Arial"/>
                <w:color w:val="000000" w:themeColor="text1"/>
                <w:szCs w:val="20"/>
              </w:rPr>
              <w:t>:</w:t>
            </w:r>
          </w:p>
        </w:tc>
        <w:tc>
          <w:tcPr>
            <w:tcW w:w="3000" w:type="pct"/>
          </w:tcPr>
          <w:p w14:paraId="79834640" w14:textId="77777777" w:rsidR="00BA2CC4" w:rsidRPr="00F83DA8" w:rsidRDefault="00BA2CC4" w:rsidP="00C32073">
            <w:pPr>
              <w:pStyle w:val="DM"/>
              <w:spacing w:after="120"/>
              <w:jc w:val="both"/>
              <w:rPr>
                <w:snapToGrid w:val="0"/>
                <w:color w:val="000000" w:themeColor="text1"/>
              </w:rPr>
            </w:pPr>
            <w:r w:rsidRPr="0027032F">
              <w:rPr>
                <w:i/>
                <w:snapToGrid w:val="0"/>
                <w:color w:val="000000" w:themeColor="text1"/>
              </w:rPr>
              <w:t>Industrial Co-ordination Act 1975</w:t>
            </w:r>
            <w:r w:rsidRPr="00F83DA8">
              <w:rPr>
                <w:snapToGrid w:val="0"/>
                <w:color w:val="000000" w:themeColor="text1"/>
              </w:rPr>
              <w:t xml:space="preserve"> [Act 156]</w:t>
            </w:r>
          </w:p>
          <w:p w14:paraId="3C2AFA5D" w14:textId="77777777" w:rsidR="00BA2CC4" w:rsidRPr="00F83DA8" w:rsidRDefault="00BA2CC4" w:rsidP="00C32073">
            <w:pPr>
              <w:pStyle w:val="DM"/>
              <w:spacing w:after="120"/>
              <w:jc w:val="both"/>
              <w:rPr>
                <w:snapToGrid w:val="0"/>
                <w:color w:val="000000" w:themeColor="text1"/>
              </w:rPr>
            </w:pPr>
            <w:r w:rsidRPr="0027032F">
              <w:rPr>
                <w:i/>
                <w:snapToGrid w:val="0"/>
                <w:color w:val="000000" w:themeColor="text1"/>
              </w:rPr>
              <w:t>Customs Act 1967 (Revised 1980)</w:t>
            </w:r>
            <w:r w:rsidRPr="00F83DA8">
              <w:rPr>
                <w:snapToGrid w:val="0"/>
                <w:color w:val="000000" w:themeColor="text1"/>
              </w:rPr>
              <w:t xml:space="preserve"> [Act 235]</w:t>
            </w:r>
          </w:p>
          <w:p w14:paraId="57D39807" w14:textId="77777777" w:rsidR="00BA2CC4" w:rsidRPr="00F83DA8" w:rsidRDefault="00BA2CC4" w:rsidP="00C32073">
            <w:pPr>
              <w:pStyle w:val="DM"/>
              <w:spacing w:after="120"/>
              <w:jc w:val="both"/>
              <w:rPr>
                <w:snapToGrid w:val="0"/>
                <w:color w:val="000000" w:themeColor="text1"/>
              </w:rPr>
            </w:pPr>
            <w:r w:rsidRPr="0027032F">
              <w:rPr>
                <w:i/>
                <w:snapToGrid w:val="0"/>
                <w:color w:val="000000" w:themeColor="text1"/>
              </w:rPr>
              <w:t>Free Zone Act 1990</w:t>
            </w:r>
            <w:r w:rsidRPr="00F83DA8">
              <w:rPr>
                <w:snapToGrid w:val="0"/>
                <w:color w:val="000000" w:themeColor="text1"/>
              </w:rPr>
              <w:t xml:space="preserve"> [Act 438]</w:t>
            </w:r>
          </w:p>
          <w:p w14:paraId="6B7C2101" w14:textId="77777777" w:rsidR="00BA2CC4" w:rsidRPr="00F83DA8" w:rsidRDefault="00BA2CC4" w:rsidP="00C32073">
            <w:pPr>
              <w:pStyle w:val="DM"/>
              <w:spacing w:after="120"/>
              <w:jc w:val="both"/>
              <w:rPr>
                <w:snapToGrid w:val="0"/>
                <w:color w:val="000000" w:themeColor="text1"/>
              </w:rPr>
            </w:pPr>
            <w:r w:rsidRPr="0027032F">
              <w:rPr>
                <w:i/>
                <w:snapToGrid w:val="0"/>
                <w:color w:val="000000" w:themeColor="text1"/>
              </w:rPr>
              <w:t>Petroleum Development Act 1974</w:t>
            </w:r>
            <w:r w:rsidRPr="00F83DA8">
              <w:rPr>
                <w:snapToGrid w:val="0"/>
                <w:color w:val="000000" w:themeColor="text1"/>
              </w:rPr>
              <w:t xml:space="preserve"> [Act 144]</w:t>
            </w:r>
          </w:p>
          <w:p w14:paraId="140B02C0" w14:textId="77777777" w:rsidR="00BA2CC4" w:rsidRPr="0027032F" w:rsidRDefault="00BA2CC4" w:rsidP="00C32073">
            <w:pPr>
              <w:pStyle w:val="DM"/>
              <w:spacing w:after="120"/>
              <w:jc w:val="both"/>
              <w:rPr>
                <w:i/>
                <w:snapToGrid w:val="0"/>
                <w:color w:val="000000" w:themeColor="text1"/>
              </w:rPr>
            </w:pPr>
            <w:r w:rsidRPr="0027032F">
              <w:rPr>
                <w:i/>
                <w:snapToGrid w:val="0"/>
                <w:color w:val="000000" w:themeColor="text1"/>
              </w:rPr>
              <w:t xml:space="preserve">Pineapple Industry (Cannery Control) Regulations (Amendment) 1989 </w:t>
            </w:r>
          </w:p>
          <w:p w14:paraId="05753C12" w14:textId="77777777" w:rsidR="00BA2CC4" w:rsidRPr="00F83DA8" w:rsidRDefault="00BA2CC4" w:rsidP="00C32073">
            <w:pPr>
              <w:pStyle w:val="DM"/>
              <w:spacing w:after="120"/>
              <w:jc w:val="both"/>
              <w:rPr>
                <w:snapToGrid w:val="0"/>
                <w:color w:val="000000" w:themeColor="text1"/>
              </w:rPr>
            </w:pPr>
            <w:r w:rsidRPr="0027032F">
              <w:rPr>
                <w:i/>
                <w:snapToGrid w:val="0"/>
                <w:color w:val="000000" w:themeColor="text1"/>
              </w:rPr>
              <w:t>Pineapple Industrial Act 1957</w:t>
            </w:r>
            <w:r w:rsidRPr="00F83DA8">
              <w:rPr>
                <w:snapToGrid w:val="0"/>
                <w:color w:val="000000" w:themeColor="text1"/>
              </w:rPr>
              <w:t xml:space="preserve"> (Revised 1990) [Act 427]</w:t>
            </w:r>
          </w:p>
          <w:p w14:paraId="7D8E3A7A" w14:textId="77777777" w:rsidR="00BA2CC4" w:rsidRPr="00F83DA8" w:rsidRDefault="00BA2CC4" w:rsidP="00C32073">
            <w:pPr>
              <w:pStyle w:val="TOSM"/>
              <w:jc w:val="both"/>
              <w:rPr>
                <w:color w:val="000000" w:themeColor="text1"/>
              </w:rPr>
            </w:pPr>
            <w:r w:rsidRPr="00F83DA8">
              <w:rPr>
                <w:color w:val="000000" w:themeColor="text1"/>
              </w:rPr>
              <w:t>Administrative Guidelines</w:t>
            </w:r>
          </w:p>
        </w:tc>
      </w:tr>
    </w:tbl>
    <w:p w14:paraId="6E3FEE4C" w14:textId="77777777" w:rsidR="007460F1" w:rsidRPr="00F83DA8" w:rsidRDefault="007460F1" w:rsidP="00F83DA8">
      <w:pPr>
        <w:spacing w:after="120"/>
        <w:rPr>
          <w:color w:val="000000" w:themeColor="text1"/>
        </w:rPr>
      </w:pPr>
      <w:r w:rsidRPr="00F83DA8">
        <w:rPr>
          <w:color w:val="000000" w:themeColor="text1"/>
        </w:rPr>
        <w:br w:type="page"/>
      </w:r>
    </w:p>
    <w:tbl>
      <w:tblPr>
        <w:tblW w:w="497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41"/>
        <w:gridCol w:w="303"/>
        <w:gridCol w:w="4537"/>
      </w:tblGrid>
      <w:tr w:rsidR="00F83DA8" w:rsidRPr="00F83DA8" w14:paraId="2D78ECB7" w14:textId="77777777" w:rsidTr="00C32073">
        <w:trPr>
          <w:trHeight w:val="230"/>
        </w:trPr>
        <w:tc>
          <w:tcPr>
            <w:tcW w:w="300" w:type="pct"/>
          </w:tcPr>
          <w:p w14:paraId="0D5E6885" w14:textId="77777777" w:rsidR="007460F1" w:rsidRPr="00F83DA8" w:rsidRDefault="007460F1" w:rsidP="00F83DA8">
            <w:pPr>
              <w:numPr>
                <w:ilvl w:val="0"/>
                <w:numId w:val="2"/>
              </w:numPr>
              <w:spacing w:after="120"/>
              <w:rPr>
                <w:rFonts w:cs="Arial"/>
                <w:snapToGrid w:val="0"/>
                <w:color w:val="000000" w:themeColor="text1"/>
                <w:szCs w:val="20"/>
              </w:rPr>
            </w:pPr>
          </w:p>
        </w:tc>
        <w:tc>
          <w:tcPr>
            <w:tcW w:w="1482" w:type="pct"/>
          </w:tcPr>
          <w:p w14:paraId="79DC78A0" w14:textId="6BC6BFAB" w:rsidR="007460F1" w:rsidRPr="00F83DA8" w:rsidRDefault="007460F1" w:rsidP="00F83DA8">
            <w:pPr>
              <w:spacing w:after="120"/>
              <w:rPr>
                <w:rFonts w:cs="Arial"/>
                <w:color w:val="000000" w:themeColor="text1"/>
                <w:szCs w:val="20"/>
              </w:rPr>
            </w:pPr>
            <w:r w:rsidRPr="00F83DA8">
              <w:rPr>
                <w:rFonts w:cs="Arial"/>
                <w:snapToGrid w:val="0"/>
                <w:color w:val="000000" w:themeColor="text1"/>
                <w:szCs w:val="20"/>
              </w:rPr>
              <w:t>Sector</w:t>
            </w:r>
          </w:p>
        </w:tc>
        <w:tc>
          <w:tcPr>
            <w:tcW w:w="200" w:type="pct"/>
          </w:tcPr>
          <w:p w14:paraId="1A0C88D0" w14:textId="0A9ACAD3" w:rsidR="007460F1" w:rsidRPr="00F83DA8" w:rsidRDefault="007460F1" w:rsidP="00F83DA8">
            <w:pPr>
              <w:spacing w:after="120"/>
              <w:rPr>
                <w:rFonts w:cs="Arial"/>
                <w:snapToGrid w:val="0"/>
                <w:color w:val="000000" w:themeColor="text1"/>
                <w:szCs w:val="20"/>
              </w:rPr>
            </w:pPr>
            <w:r w:rsidRPr="00F83DA8">
              <w:rPr>
                <w:rFonts w:cs="Arial"/>
                <w:snapToGrid w:val="0"/>
                <w:color w:val="000000" w:themeColor="text1"/>
                <w:szCs w:val="20"/>
              </w:rPr>
              <w:t>:</w:t>
            </w:r>
          </w:p>
        </w:tc>
        <w:tc>
          <w:tcPr>
            <w:tcW w:w="3000" w:type="pct"/>
          </w:tcPr>
          <w:p w14:paraId="6DE9629C" w14:textId="5CE89FD8" w:rsidR="007460F1" w:rsidRPr="00F83DA8" w:rsidRDefault="007460F1" w:rsidP="00F83DA8">
            <w:pPr>
              <w:spacing w:after="120"/>
              <w:rPr>
                <w:rFonts w:cs="Arial"/>
                <w:snapToGrid w:val="0"/>
                <w:color w:val="000000" w:themeColor="text1"/>
                <w:szCs w:val="20"/>
              </w:rPr>
            </w:pPr>
            <w:r w:rsidRPr="00F83DA8">
              <w:rPr>
                <w:rFonts w:cs="Arial"/>
                <w:snapToGrid w:val="0"/>
                <w:color w:val="000000" w:themeColor="text1"/>
                <w:szCs w:val="20"/>
              </w:rPr>
              <w:t>All sectors</w:t>
            </w:r>
          </w:p>
        </w:tc>
      </w:tr>
      <w:tr w:rsidR="00F83DA8" w:rsidRPr="00F83DA8" w14:paraId="4C9DDFBF" w14:textId="77777777" w:rsidTr="00C32073">
        <w:trPr>
          <w:trHeight w:val="230"/>
        </w:trPr>
        <w:tc>
          <w:tcPr>
            <w:tcW w:w="300" w:type="pct"/>
          </w:tcPr>
          <w:p w14:paraId="131DEDA4" w14:textId="77777777" w:rsidR="007460F1" w:rsidRPr="00F83DA8" w:rsidRDefault="007460F1" w:rsidP="00C32073">
            <w:pPr>
              <w:spacing w:after="120"/>
              <w:rPr>
                <w:rFonts w:cs="Arial"/>
                <w:snapToGrid w:val="0"/>
                <w:color w:val="000000" w:themeColor="text1"/>
                <w:szCs w:val="20"/>
              </w:rPr>
            </w:pPr>
          </w:p>
        </w:tc>
        <w:tc>
          <w:tcPr>
            <w:tcW w:w="1482" w:type="pct"/>
          </w:tcPr>
          <w:p w14:paraId="7E327927" w14:textId="0250D234" w:rsidR="007460F1" w:rsidRPr="00F83DA8" w:rsidRDefault="007460F1" w:rsidP="00C32073">
            <w:pPr>
              <w:spacing w:after="120"/>
              <w:rPr>
                <w:rFonts w:cs="Arial"/>
                <w:color w:val="000000" w:themeColor="text1"/>
                <w:szCs w:val="20"/>
              </w:rPr>
            </w:pPr>
            <w:r w:rsidRPr="00F83DA8">
              <w:rPr>
                <w:rFonts w:cs="Arial"/>
                <w:snapToGrid w:val="0"/>
                <w:color w:val="000000" w:themeColor="text1"/>
                <w:szCs w:val="20"/>
              </w:rPr>
              <w:t>Subsector</w:t>
            </w:r>
          </w:p>
        </w:tc>
        <w:tc>
          <w:tcPr>
            <w:tcW w:w="200" w:type="pct"/>
          </w:tcPr>
          <w:p w14:paraId="715EBF6E" w14:textId="24F96442" w:rsidR="007460F1" w:rsidRPr="00F83DA8" w:rsidRDefault="007460F1" w:rsidP="00C32073">
            <w:pPr>
              <w:spacing w:after="120"/>
              <w:rPr>
                <w:rFonts w:cs="Arial"/>
                <w:snapToGrid w:val="0"/>
                <w:color w:val="000000" w:themeColor="text1"/>
                <w:szCs w:val="20"/>
              </w:rPr>
            </w:pPr>
            <w:r w:rsidRPr="00F83DA8">
              <w:rPr>
                <w:rFonts w:cs="Arial"/>
                <w:snapToGrid w:val="0"/>
                <w:color w:val="000000" w:themeColor="text1"/>
                <w:szCs w:val="20"/>
              </w:rPr>
              <w:t>:</w:t>
            </w:r>
          </w:p>
        </w:tc>
        <w:tc>
          <w:tcPr>
            <w:tcW w:w="3000" w:type="pct"/>
          </w:tcPr>
          <w:p w14:paraId="5AE2DF50" w14:textId="129C6D92" w:rsidR="007460F1" w:rsidRPr="00F83DA8" w:rsidRDefault="007460F1" w:rsidP="00C32073">
            <w:pPr>
              <w:spacing w:after="120"/>
              <w:rPr>
                <w:rFonts w:cs="Arial"/>
                <w:color w:val="000000" w:themeColor="text1"/>
                <w:szCs w:val="20"/>
              </w:rPr>
            </w:pPr>
            <w:r w:rsidRPr="00F83DA8">
              <w:rPr>
                <w:rFonts w:cs="Arial"/>
                <w:snapToGrid w:val="0"/>
                <w:color w:val="000000" w:themeColor="text1"/>
                <w:szCs w:val="20"/>
              </w:rPr>
              <w:t>-</w:t>
            </w:r>
          </w:p>
        </w:tc>
      </w:tr>
      <w:tr w:rsidR="00F83DA8" w:rsidRPr="00F83DA8" w14:paraId="08AEB691" w14:textId="77777777" w:rsidTr="00C32073">
        <w:trPr>
          <w:trHeight w:val="230"/>
        </w:trPr>
        <w:tc>
          <w:tcPr>
            <w:tcW w:w="300" w:type="pct"/>
          </w:tcPr>
          <w:p w14:paraId="5F9D7A80" w14:textId="77777777" w:rsidR="007460F1" w:rsidRPr="00F83DA8" w:rsidRDefault="007460F1" w:rsidP="00C32073">
            <w:pPr>
              <w:spacing w:after="120"/>
              <w:rPr>
                <w:rFonts w:cs="Arial"/>
                <w:snapToGrid w:val="0"/>
                <w:color w:val="000000" w:themeColor="text1"/>
                <w:szCs w:val="20"/>
              </w:rPr>
            </w:pPr>
          </w:p>
        </w:tc>
        <w:tc>
          <w:tcPr>
            <w:tcW w:w="1482" w:type="pct"/>
          </w:tcPr>
          <w:p w14:paraId="377171B8" w14:textId="053DAF44" w:rsidR="007460F1" w:rsidRPr="00F83DA8" w:rsidRDefault="007460F1" w:rsidP="00C32073">
            <w:pPr>
              <w:spacing w:after="120"/>
              <w:rPr>
                <w:rFonts w:cs="Arial"/>
                <w:snapToGrid w:val="0"/>
                <w:color w:val="000000" w:themeColor="text1"/>
                <w:szCs w:val="20"/>
              </w:rPr>
            </w:pPr>
            <w:r w:rsidRPr="00F83DA8">
              <w:rPr>
                <w:rFonts w:cs="Arial"/>
                <w:snapToGrid w:val="0"/>
                <w:color w:val="000000" w:themeColor="text1"/>
                <w:szCs w:val="20"/>
              </w:rPr>
              <w:t>Level of Government</w:t>
            </w:r>
          </w:p>
        </w:tc>
        <w:tc>
          <w:tcPr>
            <w:tcW w:w="200" w:type="pct"/>
          </w:tcPr>
          <w:p w14:paraId="162464EE" w14:textId="11FD6474" w:rsidR="007460F1" w:rsidRPr="00F83DA8" w:rsidRDefault="007460F1" w:rsidP="00C32073">
            <w:pPr>
              <w:spacing w:after="120"/>
              <w:rPr>
                <w:rFonts w:cs="Arial"/>
                <w:snapToGrid w:val="0"/>
                <w:color w:val="000000" w:themeColor="text1"/>
                <w:szCs w:val="20"/>
              </w:rPr>
            </w:pPr>
            <w:r w:rsidRPr="00F83DA8">
              <w:rPr>
                <w:rFonts w:cs="Arial"/>
                <w:snapToGrid w:val="0"/>
                <w:color w:val="000000" w:themeColor="text1"/>
                <w:szCs w:val="20"/>
              </w:rPr>
              <w:t>:</w:t>
            </w:r>
          </w:p>
        </w:tc>
        <w:tc>
          <w:tcPr>
            <w:tcW w:w="3000" w:type="pct"/>
          </w:tcPr>
          <w:p w14:paraId="0D40C413" w14:textId="3C61D3C7" w:rsidR="007460F1" w:rsidRPr="00F83DA8" w:rsidRDefault="007460F1" w:rsidP="00C32073">
            <w:pPr>
              <w:spacing w:after="120"/>
              <w:rPr>
                <w:rFonts w:cs="Arial"/>
                <w:snapToGrid w:val="0"/>
                <w:color w:val="000000" w:themeColor="text1"/>
                <w:szCs w:val="20"/>
              </w:rPr>
            </w:pPr>
            <w:r w:rsidRPr="00F83DA8">
              <w:rPr>
                <w:rFonts w:cs="Arial"/>
                <w:snapToGrid w:val="0"/>
                <w:color w:val="000000" w:themeColor="text1"/>
                <w:szCs w:val="20"/>
              </w:rPr>
              <w:t>Regional</w:t>
            </w:r>
          </w:p>
        </w:tc>
      </w:tr>
      <w:tr w:rsidR="00F83DA8" w:rsidRPr="00F83DA8" w14:paraId="13050E11" w14:textId="77777777" w:rsidTr="00C32073">
        <w:tc>
          <w:tcPr>
            <w:tcW w:w="300" w:type="pct"/>
          </w:tcPr>
          <w:p w14:paraId="319E8BDA" w14:textId="77777777" w:rsidR="007460F1" w:rsidRPr="00F83DA8" w:rsidRDefault="007460F1" w:rsidP="00C32073">
            <w:pPr>
              <w:spacing w:after="120"/>
              <w:rPr>
                <w:rFonts w:cs="Arial"/>
                <w:snapToGrid w:val="0"/>
                <w:color w:val="000000" w:themeColor="text1"/>
                <w:szCs w:val="20"/>
              </w:rPr>
            </w:pPr>
          </w:p>
        </w:tc>
        <w:tc>
          <w:tcPr>
            <w:tcW w:w="1482" w:type="pct"/>
          </w:tcPr>
          <w:p w14:paraId="2A68065C" w14:textId="5A8B353C" w:rsidR="007460F1" w:rsidRPr="00F83DA8" w:rsidRDefault="007460F1" w:rsidP="00C32073">
            <w:pPr>
              <w:spacing w:after="120"/>
              <w:rPr>
                <w:rFonts w:cs="Arial"/>
                <w:strike/>
                <w:snapToGrid w:val="0"/>
                <w:color w:val="000000" w:themeColor="text1"/>
                <w:szCs w:val="20"/>
              </w:rPr>
            </w:pPr>
            <w:r w:rsidRPr="00F83DA8">
              <w:rPr>
                <w:rFonts w:cs="Arial"/>
                <w:snapToGrid w:val="0"/>
                <w:color w:val="000000" w:themeColor="text1"/>
                <w:szCs w:val="20"/>
              </w:rPr>
              <w:t>Obligations Concerned</w:t>
            </w:r>
          </w:p>
        </w:tc>
        <w:tc>
          <w:tcPr>
            <w:tcW w:w="200" w:type="pct"/>
          </w:tcPr>
          <w:p w14:paraId="73C8BAEE" w14:textId="18CDB27E" w:rsidR="007460F1" w:rsidRPr="00F83DA8" w:rsidRDefault="007460F1" w:rsidP="00C32073">
            <w:pPr>
              <w:spacing w:after="120"/>
              <w:rPr>
                <w:rFonts w:cs="Arial"/>
                <w:snapToGrid w:val="0"/>
                <w:color w:val="000000" w:themeColor="text1"/>
                <w:szCs w:val="20"/>
              </w:rPr>
            </w:pPr>
            <w:r w:rsidRPr="00F83DA8">
              <w:rPr>
                <w:rFonts w:cs="Arial"/>
                <w:snapToGrid w:val="0"/>
                <w:color w:val="000000" w:themeColor="text1"/>
                <w:szCs w:val="20"/>
              </w:rPr>
              <w:t>:</w:t>
            </w:r>
          </w:p>
        </w:tc>
        <w:tc>
          <w:tcPr>
            <w:tcW w:w="3000" w:type="pct"/>
          </w:tcPr>
          <w:p w14:paraId="76B82F8C" w14:textId="63E2D6EB" w:rsidR="007460F1" w:rsidRPr="00F83DA8" w:rsidRDefault="007460F1" w:rsidP="00C32073">
            <w:pPr>
              <w:pStyle w:val="TOSM"/>
              <w:jc w:val="both"/>
              <w:rPr>
                <w:strike/>
                <w:color w:val="000000" w:themeColor="text1"/>
              </w:rPr>
            </w:pPr>
            <w:r w:rsidRPr="00F83DA8">
              <w:rPr>
                <w:color w:val="000000" w:themeColor="text1"/>
              </w:rPr>
              <w:t>Prohibition of Performance Requirements</w:t>
            </w:r>
          </w:p>
        </w:tc>
      </w:tr>
      <w:tr w:rsidR="00F83DA8" w:rsidRPr="00F83DA8" w14:paraId="34FC3374" w14:textId="77777777" w:rsidTr="00C32073">
        <w:tc>
          <w:tcPr>
            <w:tcW w:w="300" w:type="pct"/>
          </w:tcPr>
          <w:p w14:paraId="43F94D8F" w14:textId="77777777" w:rsidR="007460F1" w:rsidRPr="00F83DA8" w:rsidRDefault="007460F1" w:rsidP="00C32073">
            <w:pPr>
              <w:spacing w:after="120"/>
              <w:rPr>
                <w:rFonts w:cs="Arial"/>
                <w:snapToGrid w:val="0"/>
                <w:color w:val="000000" w:themeColor="text1"/>
                <w:szCs w:val="20"/>
              </w:rPr>
            </w:pPr>
          </w:p>
        </w:tc>
        <w:tc>
          <w:tcPr>
            <w:tcW w:w="1482" w:type="pct"/>
          </w:tcPr>
          <w:p w14:paraId="4E21474E" w14:textId="3760656A" w:rsidR="007460F1" w:rsidRPr="00F83DA8" w:rsidRDefault="007460F1" w:rsidP="00C32073">
            <w:pPr>
              <w:spacing w:after="120"/>
              <w:rPr>
                <w:rFonts w:cs="Arial"/>
                <w:snapToGrid w:val="0"/>
                <w:color w:val="000000" w:themeColor="text1"/>
                <w:szCs w:val="20"/>
              </w:rPr>
            </w:pPr>
            <w:r w:rsidRPr="00F83DA8">
              <w:rPr>
                <w:rFonts w:cs="Arial"/>
                <w:snapToGrid w:val="0"/>
                <w:color w:val="000000" w:themeColor="text1"/>
                <w:szCs w:val="20"/>
              </w:rPr>
              <w:t>Description</w:t>
            </w:r>
          </w:p>
        </w:tc>
        <w:tc>
          <w:tcPr>
            <w:tcW w:w="200" w:type="pct"/>
          </w:tcPr>
          <w:p w14:paraId="6DB96BCD" w14:textId="3A2B5010" w:rsidR="007460F1" w:rsidRPr="00F83DA8" w:rsidRDefault="007460F1" w:rsidP="00C32073">
            <w:pPr>
              <w:spacing w:after="120"/>
              <w:rPr>
                <w:rFonts w:cs="Arial"/>
                <w:snapToGrid w:val="0"/>
                <w:color w:val="000000" w:themeColor="text1"/>
                <w:szCs w:val="20"/>
              </w:rPr>
            </w:pPr>
            <w:r w:rsidRPr="00F83DA8">
              <w:rPr>
                <w:rFonts w:cs="Arial"/>
                <w:snapToGrid w:val="0"/>
                <w:color w:val="000000" w:themeColor="text1"/>
                <w:szCs w:val="20"/>
              </w:rPr>
              <w:t>:</w:t>
            </w:r>
          </w:p>
        </w:tc>
        <w:tc>
          <w:tcPr>
            <w:tcW w:w="3000" w:type="pct"/>
          </w:tcPr>
          <w:p w14:paraId="0BC8E4BF" w14:textId="089FF0E8" w:rsidR="007460F1" w:rsidRPr="00F83DA8" w:rsidRDefault="007460F1" w:rsidP="00173EE7">
            <w:pPr>
              <w:pStyle w:val="DMList1"/>
              <w:ind w:left="1" w:hanging="1"/>
              <w:jc w:val="both"/>
              <w:rPr>
                <w:color w:val="000000" w:themeColor="text1"/>
              </w:rPr>
            </w:pPr>
            <w:r w:rsidRPr="00F83DA8">
              <w:rPr>
                <w:color w:val="000000" w:themeColor="text1"/>
              </w:rPr>
              <w:t>Adoption of a given rate or amount of royalty under a license contract may be subject to approval by the relevant State authority.</w:t>
            </w:r>
          </w:p>
        </w:tc>
      </w:tr>
      <w:tr w:rsidR="00F83DA8" w:rsidRPr="00F83DA8" w14:paraId="1C8725C0" w14:textId="77777777" w:rsidTr="00C32073">
        <w:tc>
          <w:tcPr>
            <w:tcW w:w="300" w:type="pct"/>
          </w:tcPr>
          <w:p w14:paraId="4A4EA83B" w14:textId="77777777" w:rsidR="007460F1" w:rsidRPr="00F83DA8" w:rsidRDefault="007460F1" w:rsidP="00C32073">
            <w:pPr>
              <w:spacing w:after="120"/>
              <w:rPr>
                <w:rFonts w:cs="Arial"/>
                <w:color w:val="000000" w:themeColor="text1"/>
                <w:szCs w:val="20"/>
              </w:rPr>
            </w:pPr>
          </w:p>
        </w:tc>
        <w:tc>
          <w:tcPr>
            <w:tcW w:w="1482" w:type="pct"/>
          </w:tcPr>
          <w:p w14:paraId="4698B706" w14:textId="6E93C924" w:rsidR="007460F1" w:rsidRPr="00F83DA8" w:rsidRDefault="007460F1" w:rsidP="00C32073">
            <w:pPr>
              <w:spacing w:after="120"/>
              <w:rPr>
                <w:rFonts w:cs="Arial"/>
                <w:color w:val="000000" w:themeColor="text1"/>
                <w:szCs w:val="20"/>
              </w:rPr>
            </w:pPr>
            <w:r w:rsidRPr="00F83DA8">
              <w:rPr>
                <w:rFonts w:cs="Arial"/>
                <w:color w:val="000000" w:themeColor="text1"/>
                <w:szCs w:val="20"/>
              </w:rPr>
              <w:t>Source of Measures</w:t>
            </w:r>
          </w:p>
        </w:tc>
        <w:tc>
          <w:tcPr>
            <w:tcW w:w="200" w:type="pct"/>
          </w:tcPr>
          <w:p w14:paraId="6BB247FB" w14:textId="0DCAF995" w:rsidR="007460F1" w:rsidRPr="00F83DA8" w:rsidRDefault="007460F1" w:rsidP="00C32073">
            <w:pPr>
              <w:spacing w:after="120"/>
              <w:rPr>
                <w:rFonts w:cs="Arial"/>
                <w:color w:val="000000" w:themeColor="text1"/>
                <w:szCs w:val="20"/>
              </w:rPr>
            </w:pPr>
            <w:r w:rsidRPr="00F83DA8">
              <w:rPr>
                <w:rFonts w:cs="Arial"/>
                <w:color w:val="000000" w:themeColor="text1"/>
                <w:szCs w:val="20"/>
              </w:rPr>
              <w:t>:</w:t>
            </w:r>
          </w:p>
        </w:tc>
        <w:tc>
          <w:tcPr>
            <w:tcW w:w="3000" w:type="pct"/>
          </w:tcPr>
          <w:p w14:paraId="2002ED82" w14:textId="77777777" w:rsidR="007460F1" w:rsidRPr="00F83DA8" w:rsidRDefault="007460F1" w:rsidP="00C32073">
            <w:pPr>
              <w:pStyle w:val="TOSM"/>
              <w:rPr>
                <w:color w:val="000000" w:themeColor="text1"/>
              </w:rPr>
            </w:pPr>
            <w:r w:rsidRPr="00F83DA8">
              <w:rPr>
                <w:color w:val="000000" w:themeColor="text1"/>
              </w:rPr>
              <w:t>Policies and Ministerial Statements</w:t>
            </w:r>
          </w:p>
          <w:p w14:paraId="0143AE6C" w14:textId="2B5E52B8" w:rsidR="007460F1" w:rsidRPr="00F83DA8" w:rsidRDefault="007460F1" w:rsidP="00C32073">
            <w:pPr>
              <w:pStyle w:val="TOSM"/>
              <w:jc w:val="both"/>
              <w:rPr>
                <w:color w:val="000000" w:themeColor="text1"/>
              </w:rPr>
            </w:pPr>
            <w:r w:rsidRPr="00F83DA8">
              <w:rPr>
                <w:color w:val="000000" w:themeColor="text1"/>
              </w:rPr>
              <w:t>Administrative Guidelines</w:t>
            </w:r>
          </w:p>
        </w:tc>
      </w:tr>
    </w:tbl>
    <w:p w14:paraId="624C6907" w14:textId="0E7C540D" w:rsidR="00CF6968" w:rsidRPr="00F83DA8" w:rsidRDefault="00CF6968" w:rsidP="00CF6968">
      <w:pPr>
        <w:rPr>
          <w:rFonts w:eastAsia="Times New Roman" w:cs="Arial"/>
          <w:b/>
          <w:caps/>
          <w:color w:val="000000" w:themeColor="text1"/>
          <w:szCs w:val="20"/>
          <w:lang w:val="en-GB"/>
        </w:rPr>
      </w:pPr>
    </w:p>
    <w:p w14:paraId="286628E8" w14:textId="77777777" w:rsidR="00CF6968" w:rsidRPr="00F83DA8" w:rsidRDefault="00CF6968" w:rsidP="00CF6968">
      <w:pPr>
        <w:pStyle w:val="Heading1"/>
        <w:spacing w:before="0" w:after="0" w:line="240" w:lineRule="auto"/>
        <w:jc w:val="left"/>
        <w:rPr>
          <w:color w:val="000000" w:themeColor="text1"/>
        </w:rPr>
      </w:pPr>
      <w:r w:rsidRPr="00F83DA8">
        <w:rPr>
          <w:color w:val="000000" w:themeColor="text1"/>
        </w:rPr>
        <w:br w:type="page"/>
      </w:r>
    </w:p>
    <w:p w14:paraId="723C0D51" w14:textId="3CEAE150" w:rsidR="00CF6968" w:rsidRPr="00F83DA8" w:rsidRDefault="00CF6968" w:rsidP="00267405">
      <w:pPr>
        <w:pStyle w:val="Heading1"/>
        <w:snapToGrid w:val="0"/>
        <w:spacing w:before="0" w:after="0" w:line="240" w:lineRule="auto"/>
        <w:rPr>
          <w:color w:val="000000" w:themeColor="text1"/>
        </w:rPr>
      </w:pPr>
      <w:r w:rsidRPr="00F83DA8">
        <w:rPr>
          <w:color w:val="000000" w:themeColor="text1"/>
        </w:rPr>
        <w:lastRenderedPageBreak/>
        <w:t xml:space="preserve">LIST </w:t>
      </w:r>
      <w:r w:rsidR="003D156A" w:rsidRPr="00F83DA8">
        <w:rPr>
          <w:color w:val="000000" w:themeColor="text1"/>
        </w:rPr>
        <w:t>B</w:t>
      </w:r>
    </w:p>
    <w:p w14:paraId="04D7CFBF" w14:textId="77777777" w:rsidR="00CF6968" w:rsidRPr="00F83DA8" w:rsidRDefault="00CF6968" w:rsidP="00267405">
      <w:pPr>
        <w:snapToGrid w:val="0"/>
        <w:rPr>
          <w:rFonts w:cs="Arial"/>
          <w:color w:val="000000" w:themeColor="text1"/>
          <w:lang w:val="en-GB"/>
        </w:rPr>
      </w:pPr>
    </w:p>
    <w:p w14:paraId="6649747A" w14:textId="77777777" w:rsidR="00CF6968" w:rsidRPr="00F83DA8" w:rsidRDefault="00CF6968" w:rsidP="00267405">
      <w:pPr>
        <w:pStyle w:val="Heading1"/>
        <w:snapToGrid w:val="0"/>
        <w:spacing w:before="0" w:after="0" w:line="240" w:lineRule="auto"/>
        <w:rPr>
          <w:color w:val="000000" w:themeColor="text1"/>
        </w:rPr>
      </w:pPr>
      <w:r w:rsidRPr="00F83DA8">
        <w:rPr>
          <w:color w:val="000000" w:themeColor="text1"/>
        </w:rPr>
        <w:t>EXPLANATORY NOTES</w:t>
      </w:r>
    </w:p>
    <w:p w14:paraId="2B065EF6" w14:textId="77777777" w:rsidR="00CF6968" w:rsidRPr="00F83DA8" w:rsidRDefault="00CF6968" w:rsidP="00267405">
      <w:pPr>
        <w:snapToGrid w:val="0"/>
        <w:rPr>
          <w:rFonts w:cs="Arial"/>
          <w:color w:val="000000" w:themeColor="text1"/>
          <w:lang w:val="en-GB"/>
        </w:rPr>
      </w:pPr>
    </w:p>
    <w:p w14:paraId="50DAF422" w14:textId="77777777" w:rsidR="00267405" w:rsidRDefault="00267405" w:rsidP="00267405">
      <w:pPr>
        <w:pStyle w:val="NumberedList"/>
        <w:numPr>
          <w:ilvl w:val="0"/>
          <w:numId w:val="0"/>
        </w:numPr>
        <w:snapToGrid w:val="0"/>
        <w:spacing w:before="0"/>
        <w:rPr>
          <w:color w:val="000000" w:themeColor="text1"/>
        </w:rPr>
      </w:pPr>
    </w:p>
    <w:p w14:paraId="7A2FD1DF" w14:textId="0B067358" w:rsidR="00CF6968" w:rsidRPr="00F83DA8" w:rsidRDefault="00267405" w:rsidP="00267405">
      <w:pPr>
        <w:pStyle w:val="NumberedList"/>
        <w:numPr>
          <w:ilvl w:val="0"/>
          <w:numId w:val="0"/>
        </w:numPr>
        <w:snapToGrid w:val="0"/>
        <w:spacing w:before="0"/>
        <w:rPr>
          <w:color w:val="000000" w:themeColor="text1"/>
        </w:rPr>
      </w:pPr>
      <w:r>
        <w:rPr>
          <w:color w:val="000000" w:themeColor="text1"/>
        </w:rPr>
        <w:t>1.</w:t>
      </w:r>
      <w:r>
        <w:rPr>
          <w:color w:val="000000" w:themeColor="text1"/>
        </w:rPr>
        <w:tab/>
      </w:r>
      <w:r w:rsidR="00CF6968" w:rsidRPr="00F83DA8">
        <w:rPr>
          <w:color w:val="000000" w:themeColor="text1"/>
        </w:rPr>
        <w:t xml:space="preserve">This List </w:t>
      </w:r>
      <w:r w:rsidR="00075DFF">
        <w:rPr>
          <w:color w:val="000000" w:themeColor="text1"/>
        </w:rPr>
        <w:t xml:space="preserve">B </w:t>
      </w:r>
      <w:r w:rsidR="00CF6968" w:rsidRPr="00F83DA8">
        <w:rPr>
          <w:color w:val="000000" w:themeColor="text1"/>
        </w:rPr>
        <w:t>sets out, pursuant to Article 1</w:t>
      </w:r>
      <w:r w:rsidR="004271FF" w:rsidRPr="00F83DA8">
        <w:rPr>
          <w:color w:val="000000" w:themeColor="text1"/>
        </w:rPr>
        <w:t>3</w:t>
      </w:r>
      <w:r w:rsidR="00CF6968" w:rsidRPr="00F83DA8">
        <w:rPr>
          <w:color w:val="000000" w:themeColor="text1"/>
        </w:rPr>
        <w:t xml:space="preserve"> (Reservations and Non-Conforming Measures)</w:t>
      </w:r>
      <w:r w:rsidR="0095151E" w:rsidRPr="00F83DA8">
        <w:rPr>
          <w:color w:val="000000" w:themeColor="text1"/>
        </w:rPr>
        <w:t xml:space="preserve"> of Chapter 11 (Investment)</w:t>
      </w:r>
      <w:r w:rsidR="00CF6968" w:rsidRPr="00F83DA8">
        <w:rPr>
          <w:color w:val="000000" w:themeColor="text1"/>
        </w:rPr>
        <w:t>, the specific sectors, subsectors or activities for which Malaysia may maintain existing, or adopt new or more restrictive, measures that do not conform with obligations imposed by:</w:t>
      </w:r>
    </w:p>
    <w:p w14:paraId="17935585" w14:textId="77777777" w:rsidR="00CF6968" w:rsidRPr="00F83DA8" w:rsidRDefault="00CF6968" w:rsidP="00267405">
      <w:pPr>
        <w:pStyle w:val="NumberedList"/>
        <w:numPr>
          <w:ilvl w:val="0"/>
          <w:numId w:val="0"/>
        </w:numPr>
        <w:snapToGrid w:val="0"/>
        <w:spacing w:before="0"/>
        <w:ind w:left="360"/>
        <w:rPr>
          <w:color w:val="000000" w:themeColor="text1"/>
        </w:rPr>
      </w:pPr>
    </w:p>
    <w:p w14:paraId="0A448C63" w14:textId="07C9E67D" w:rsidR="00CF6968" w:rsidRPr="00F83DA8" w:rsidRDefault="00CF6968" w:rsidP="00267405">
      <w:pPr>
        <w:pStyle w:val="NumberList2"/>
        <w:numPr>
          <w:ilvl w:val="0"/>
          <w:numId w:val="22"/>
        </w:numPr>
        <w:snapToGrid w:val="0"/>
        <w:spacing w:before="0" w:after="0"/>
        <w:ind w:left="1440" w:hanging="720"/>
        <w:rPr>
          <w:color w:val="000000" w:themeColor="text1"/>
        </w:rPr>
      </w:pPr>
      <w:r w:rsidRPr="00F83DA8">
        <w:rPr>
          <w:color w:val="000000" w:themeColor="text1"/>
        </w:rPr>
        <w:t xml:space="preserve">Article </w:t>
      </w:r>
      <w:r w:rsidR="004271FF" w:rsidRPr="00F83DA8">
        <w:rPr>
          <w:color w:val="000000" w:themeColor="text1"/>
        </w:rPr>
        <w:t>3</w:t>
      </w:r>
      <w:r w:rsidRPr="00F83DA8">
        <w:rPr>
          <w:color w:val="000000" w:themeColor="text1"/>
        </w:rPr>
        <w:t xml:space="preserve"> (National Treatment)</w:t>
      </w:r>
      <w:r w:rsidR="0095151E" w:rsidRPr="00F83DA8">
        <w:rPr>
          <w:color w:val="000000" w:themeColor="text1"/>
        </w:rPr>
        <w:t xml:space="preserve"> of Chapter 11 (Investment)</w:t>
      </w:r>
      <w:r w:rsidRPr="00F83DA8">
        <w:rPr>
          <w:color w:val="000000" w:themeColor="text1"/>
        </w:rPr>
        <w:t>;</w:t>
      </w:r>
    </w:p>
    <w:p w14:paraId="02CA66DE" w14:textId="77777777" w:rsidR="00CF6968" w:rsidRPr="00F83DA8" w:rsidRDefault="00CF6968" w:rsidP="00267405">
      <w:pPr>
        <w:pStyle w:val="NumberList2"/>
        <w:numPr>
          <w:ilvl w:val="0"/>
          <w:numId w:val="0"/>
        </w:numPr>
        <w:snapToGrid w:val="0"/>
        <w:spacing w:before="0" w:after="0"/>
        <w:ind w:left="1440" w:hanging="720"/>
        <w:rPr>
          <w:color w:val="000000" w:themeColor="text1"/>
        </w:rPr>
      </w:pPr>
    </w:p>
    <w:p w14:paraId="29D90F44" w14:textId="672D1788" w:rsidR="00CF6968" w:rsidRPr="00F83DA8" w:rsidRDefault="00CF6968" w:rsidP="00267405">
      <w:pPr>
        <w:pStyle w:val="NumberList2"/>
        <w:numPr>
          <w:ilvl w:val="0"/>
          <w:numId w:val="22"/>
        </w:numPr>
        <w:snapToGrid w:val="0"/>
        <w:spacing w:before="0" w:after="0"/>
        <w:ind w:left="1440" w:hanging="720"/>
        <w:rPr>
          <w:color w:val="000000" w:themeColor="text1"/>
        </w:rPr>
      </w:pPr>
      <w:r w:rsidRPr="00F83DA8">
        <w:rPr>
          <w:color w:val="000000" w:themeColor="text1"/>
        </w:rPr>
        <w:t xml:space="preserve">Article </w:t>
      </w:r>
      <w:r w:rsidR="004271FF" w:rsidRPr="00F83DA8">
        <w:rPr>
          <w:color w:val="000000" w:themeColor="text1"/>
        </w:rPr>
        <w:t>4</w:t>
      </w:r>
      <w:r w:rsidRPr="00F83DA8">
        <w:rPr>
          <w:color w:val="000000" w:themeColor="text1"/>
        </w:rPr>
        <w:t xml:space="preserve"> (Most-Favoured-Nation Treatment)</w:t>
      </w:r>
      <w:r w:rsidR="0095151E" w:rsidRPr="00F83DA8">
        <w:rPr>
          <w:color w:val="000000" w:themeColor="text1"/>
        </w:rPr>
        <w:t xml:space="preserve"> of Chapter 11 (Investment)</w:t>
      </w:r>
      <w:r w:rsidRPr="00F83DA8">
        <w:rPr>
          <w:color w:val="000000" w:themeColor="text1"/>
        </w:rPr>
        <w:t>;</w:t>
      </w:r>
    </w:p>
    <w:p w14:paraId="0C4B367A" w14:textId="77777777" w:rsidR="004271FF" w:rsidRPr="00F83DA8" w:rsidRDefault="004271FF" w:rsidP="00267405">
      <w:pPr>
        <w:pStyle w:val="ListParagraph"/>
        <w:snapToGrid w:val="0"/>
        <w:ind w:left="1440" w:hanging="720"/>
        <w:contextualSpacing w:val="0"/>
        <w:rPr>
          <w:color w:val="000000" w:themeColor="text1"/>
        </w:rPr>
      </w:pPr>
    </w:p>
    <w:p w14:paraId="04DC2384" w14:textId="4ACBE6F9" w:rsidR="004271FF" w:rsidRPr="00F83DA8" w:rsidRDefault="004271FF" w:rsidP="00267405">
      <w:pPr>
        <w:pStyle w:val="NumberList2"/>
        <w:numPr>
          <w:ilvl w:val="0"/>
          <w:numId w:val="22"/>
        </w:numPr>
        <w:snapToGrid w:val="0"/>
        <w:spacing w:before="0" w:after="0"/>
        <w:ind w:left="1440" w:hanging="720"/>
        <w:rPr>
          <w:color w:val="000000" w:themeColor="text1"/>
        </w:rPr>
      </w:pPr>
      <w:r w:rsidRPr="00F83DA8">
        <w:rPr>
          <w:color w:val="000000" w:themeColor="text1"/>
        </w:rPr>
        <w:t>Article 5 (Senior Management and Board of Directors)</w:t>
      </w:r>
      <w:r w:rsidR="0095151E" w:rsidRPr="00F83DA8">
        <w:rPr>
          <w:color w:val="000000" w:themeColor="text1"/>
        </w:rPr>
        <w:t xml:space="preserve"> of Chapter 11 (Investment)</w:t>
      </w:r>
      <w:r w:rsidRPr="00F83DA8">
        <w:rPr>
          <w:color w:val="000000" w:themeColor="text1"/>
        </w:rPr>
        <w:t>; or</w:t>
      </w:r>
    </w:p>
    <w:p w14:paraId="072B7B86" w14:textId="77777777" w:rsidR="00CF6968" w:rsidRPr="00F83DA8" w:rsidRDefault="00CF6968" w:rsidP="00267405">
      <w:pPr>
        <w:pStyle w:val="NumberList2"/>
        <w:numPr>
          <w:ilvl w:val="0"/>
          <w:numId w:val="0"/>
        </w:numPr>
        <w:snapToGrid w:val="0"/>
        <w:spacing w:before="0" w:after="0"/>
        <w:ind w:left="1440" w:hanging="720"/>
        <w:rPr>
          <w:color w:val="000000" w:themeColor="text1"/>
        </w:rPr>
      </w:pPr>
    </w:p>
    <w:p w14:paraId="5710CE46" w14:textId="66E3FF72" w:rsidR="00CF6968" w:rsidRPr="00F83DA8" w:rsidRDefault="00CF6968" w:rsidP="00267405">
      <w:pPr>
        <w:pStyle w:val="NumberList2"/>
        <w:numPr>
          <w:ilvl w:val="0"/>
          <w:numId w:val="22"/>
        </w:numPr>
        <w:snapToGrid w:val="0"/>
        <w:spacing w:before="0" w:after="0"/>
        <w:ind w:left="1440" w:hanging="720"/>
        <w:rPr>
          <w:color w:val="000000" w:themeColor="text1"/>
        </w:rPr>
      </w:pPr>
      <w:r w:rsidRPr="00F83DA8">
        <w:rPr>
          <w:color w:val="000000" w:themeColor="text1"/>
        </w:rPr>
        <w:t xml:space="preserve">Article </w:t>
      </w:r>
      <w:r w:rsidR="004271FF" w:rsidRPr="00F83DA8">
        <w:rPr>
          <w:color w:val="000000" w:themeColor="text1"/>
        </w:rPr>
        <w:t>6</w:t>
      </w:r>
      <w:r w:rsidRPr="00F83DA8">
        <w:rPr>
          <w:color w:val="000000" w:themeColor="text1"/>
        </w:rPr>
        <w:t xml:space="preserve"> (Prohibition of Performance Requirements)</w:t>
      </w:r>
      <w:r w:rsidR="0095151E" w:rsidRPr="00F83DA8">
        <w:rPr>
          <w:color w:val="000000" w:themeColor="text1"/>
        </w:rPr>
        <w:t xml:space="preserve"> of Chapter 11 (Investment)</w:t>
      </w:r>
      <w:r w:rsidR="004271FF" w:rsidRPr="00F83DA8">
        <w:rPr>
          <w:color w:val="000000" w:themeColor="text1"/>
        </w:rPr>
        <w:t>.</w:t>
      </w:r>
    </w:p>
    <w:p w14:paraId="3AC63177" w14:textId="77777777" w:rsidR="00CF6968" w:rsidRPr="00F83DA8" w:rsidRDefault="00CF6968" w:rsidP="00267405">
      <w:pPr>
        <w:pStyle w:val="ListParagraph"/>
        <w:snapToGrid w:val="0"/>
        <w:contextualSpacing w:val="0"/>
        <w:rPr>
          <w:color w:val="000000" w:themeColor="text1"/>
        </w:rPr>
      </w:pPr>
    </w:p>
    <w:p w14:paraId="60647A7F" w14:textId="173A9038" w:rsidR="00CF6968" w:rsidRPr="00F83DA8" w:rsidRDefault="00267405" w:rsidP="00267405">
      <w:pPr>
        <w:pStyle w:val="NumberedList"/>
        <w:numPr>
          <w:ilvl w:val="0"/>
          <w:numId w:val="0"/>
        </w:numPr>
        <w:snapToGrid w:val="0"/>
        <w:spacing w:before="0"/>
        <w:ind w:left="720" w:hanging="720"/>
        <w:rPr>
          <w:color w:val="000000" w:themeColor="text1"/>
        </w:rPr>
      </w:pPr>
      <w:r>
        <w:rPr>
          <w:color w:val="000000" w:themeColor="text1"/>
        </w:rPr>
        <w:t>2.</w:t>
      </w:r>
      <w:r>
        <w:rPr>
          <w:color w:val="000000" w:themeColor="text1"/>
        </w:rPr>
        <w:tab/>
      </w:r>
      <w:r w:rsidR="00CF6968" w:rsidRPr="00F83DA8">
        <w:rPr>
          <w:color w:val="000000" w:themeColor="text1"/>
        </w:rPr>
        <w:t>Each entry in this List</w:t>
      </w:r>
      <w:r w:rsidR="006E576A">
        <w:rPr>
          <w:color w:val="000000" w:themeColor="text1"/>
        </w:rPr>
        <w:t xml:space="preserve"> B</w:t>
      </w:r>
      <w:r w:rsidR="00CF6968" w:rsidRPr="00F83DA8">
        <w:rPr>
          <w:color w:val="000000" w:themeColor="text1"/>
        </w:rPr>
        <w:t xml:space="preserve"> sets out the following elements:</w:t>
      </w:r>
    </w:p>
    <w:p w14:paraId="09BC32EE" w14:textId="77777777" w:rsidR="00CF6968" w:rsidRPr="00F83DA8" w:rsidRDefault="00CF6968" w:rsidP="00267405">
      <w:pPr>
        <w:pStyle w:val="List2"/>
        <w:snapToGrid w:val="0"/>
        <w:spacing w:before="0" w:after="0"/>
        <w:ind w:left="1080" w:firstLine="0"/>
        <w:rPr>
          <w:color w:val="000000" w:themeColor="text1"/>
        </w:rPr>
      </w:pPr>
    </w:p>
    <w:p w14:paraId="13FA914E" w14:textId="77777777" w:rsidR="00CF6968" w:rsidRPr="00F83DA8" w:rsidRDefault="00CF6968" w:rsidP="00267405">
      <w:pPr>
        <w:pStyle w:val="List2"/>
        <w:numPr>
          <w:ilvl w:val="1"/>
          <w:numId w:val="23"/>
        </w:numPr>
        <w:snapToGrid w:val="0"/>
        <w:spacing w:before="0" w:after="0"/>
        <w:ind w:hanging="720"/>
        <w:rPr>
          <w:color w:val="000000" w:themeColor="text1"/>
        </w:rPr>
      </w:pPr>
      <w:r w:rsidRPr="00F83DA8">
        <w:rPr>
          <w:b/>
          <w:color w:val="000000" w:themeColor="text1"/>
        </w:rPr>
        <w:t>Sector</w:t>
      </w:r>
      <w:r w:rsidRPr="00F83DA8">
        <w:rPr>
          <w:color w:val="000000" w:themeColor="text1"/>
        </w:rPr>
        <w:t xml:space="preserve"> refers to the sector for which the entry is made;</w:t>
      </w:r>
    </w:p>
    <w:p w14:paraId="0EA523B2" w14:textId="77777777" w:rsidR="00CF6968" w:rsidRPr="00F83DA8" w:rsidRDefault="00CF6968" w:rsidP="00267405">
      <w:pPr>
        <w:pStyle w:val="List2"/>
        <w:snapToGrid w:val="0"/>
        <w:spacing w:before="0" w:after="0"/>
        <w:ind w:left="1440" w:hanging="720"/>
        <w:rPr>
          <w:color w:val="000000" w:themeColor="text1"/>
        </w:rPr>
      </w:pPr>
    </w:p>
    <w:p w14:paraId="70572CA4" w14:textId="77777777" w:rsidR="00CF6968" w:rsidRPr="00F83DA8" w:rsidRDefault="00CF6968" w:rsidP="00267405">
      <w:pPr>
        <w:pStyle w:val="List2"/>
        <w:numPr>
          <w:ilvl w:val="1"/>
          <w:numId w:val="23"/>
        </w:numPr>
        <w:snapToGrid w:val="0"/>
        <w:spacing w:before="0" w:after="0"/>
        <w:ind w:hanging="720"/>
        <w:rPr>
          <w:color w:val="000000" w:themeColor="text1"/>
        </w:rPr>
      </w:pPr>
      <w:r w:rsidRPr="00F83DA8">
        <w:rPr>
          <w:b/>
          <w:color w:val="000000" w:themeColor="text1"/>
        </w:rPr>
        <w:t>Subsector</w:t>
      </w:r>
      <w:r w:rsidRPr="00F83DA8">
        <w:rPr>
          <w:color w:val="000000" w:themeColor="text1"/>
        </w:rPr>
        <w:t>, where referenced, refers to the specific subsector for which the entry is made;</w:t>
      </w:r>
    </w:p>
    <w:p w14:paraId="5F6423AF" w14:textId="77777777" w:rsidR="00CF6968" w:rsidRPr="00F83DA8" w:rsidRDefault="00CF6968" w:rsidP="00267405">
      <w:pPr>
        <w:pStyle w:val="List2"/>
        <w:snapToGrid w:val="0"/>
        <w:spacing w:before="0" w:after="0"/>
        <w:ind w:left="1440" w:hanging="720"/>
        <w:rPr>
          <w:color w:val="000000" w:themeColor="text1"/>
        </w:rPr>
      </w:pPr>
    </w:p>
    <w:p w14:paraId="1FB9CE76" w14:textId="4429941D" w:rsidR="00CF6968" w:rsidRPr="00F83DA8" w:rsidRDefault="00CF6968" w:rsidP="00267405">
      <w:pPr>
        <w:pStyle w:val="List2"/>
        <w:numPr>
          <w:ilvl w:val="1"/>
          <w:numId w:val="23"/>
        </w:numPr>
        <w:snapToGrid w:val="0"/>
        <w:spacing w:before="0" w:after="0"/>
        <w:ind w:hanging="720"/>
        <w:rPr>
          <w:color w:val="000000" w:themeColor="text1"/>
        </w:rPr>
      </w:pPr>
      <w:r w:rsidRPr="00F83DA8">
        <w:rPr>
          <w:b/>
          <w:color w:val="000000" w:themeColor="text1"/>
        </w:rPr>
        <w:t xml:space="preserve">Obligations Concerned </w:t>
      </w:r>
      <w:r w:rsidRPr="00F83DA8">
        <w:rPr>
          <w:color w:val="000000" w:themeColor="text1"/>
        </w:rPr>
        <w:t>specifies the obligations referred to in paragraph 1 that, pursuant to Article 1</w:t>
      </w:r>
      <w:r w:rsidR="004271FF" w:rsidRPr="00F83DA8">
        <w:rPr>
          <w:color w:val="000000" w:themeColor="text1"/>
        </w:rPr>
        <w:t>3</w:t>
      </w:r>
      <w:r w:rsidRPr="00F83DA8">
        <w:rPr>
          <w:color w:val="000000" w:themeColor="text1"/>
        </w:rPr>
        <w:t xml:space="preserve"> (Reservations and Non-Conforming Measures)</w:t>
      </w:r>
      <w:r w:rsidR="004A46D9" w:rsidRPr="00F83DA8">
        <w:rPr>
          <w:color w:val="000000" w:themeColor="text1"/>
        </w:rPr>
        <w:t xml:space="preserve"> of Chapter 11 (Investment)</w:t>
      </w:r>
      <w:r w:rsidRPr="00F83DA8">
        <w:rPr>
          <w:color w:val="000000" w:themeColor="text1"/>
        </w:rPr>
        <w:t xml:space="preserve">, </w:t>
      </w:r>
      <w:r w:rsidRPr="00F83DA8">
        <w:rPr>
          <w:rFonts w:eastAsia="Calibri"/>
          <w:color w:val="000000" w:themeColor="text1"/>
        </w:rPr>
        <w:t>do not apply to the sectors, subsectors, or activities, listed in the entry</w:t>
      </w:r>
      <w:r w:rsidRPr="00F83DA8">
        <w:rPr>
          <w:color w:val="000000" w:themeColor="text1"/>
        </w:rPr>
        <w:t>;</w:t>
      </w:r>
    </w:p>
    <w:p w14:paraId="36324F32" w14:textId="77777777" w:rsidR="00CF6968" w:rsidRPr="00F83DA8" w:rsidRDefault="00CF6968" w:rsidP="00267405">
      <w:pPr>
        <w:pStyle w:val="List2"/>
        <w:snapToGrid w:val="0"/>
        <w:spacing w:before="0" w:after="0"/>
        <w:ind w:left="1440" w:hanging="720"/>
        <w:rPr>
          <w:color w:val="000000" w:themeColor="text1"/>
        </w:rPr>
      </w:pPr>
    </w:p>
    <w:p w14:paraId="43151232" w14:textId="2D0238C2" w:rsidR="00CF6968" w:rsidRPr="00F83DA8" w:rsidRDefault="00CF6968" w:rsidP="00267405">
      <w:pPr>
        <w:pStyle w:val="List2"/>
        <w:numPr>
          <w:ilvl w:val="1"/>
          <w:numId w:val="23"/>
        </w:numPr>
        <w:snapToGrid w:val="0"/>
        <w:spacing w:before="0" w:after="0"/>
        <w:ind w:hanging="720"/>
        <w:rPr>
          <w:color w:val="000000" w:themeColor="text1"/>
        </w:rPr>
      </w:pPr>
      <w:r w:rsidRPr="00F83DA8">
        <w:rPr>
          <w:b/>
          <w:color w:val="000000" w:themeColor="text1"/>
        </w:rPr>
        <w:t xml:space="preserve">Description </w:t>
      </w:r>
      <w:r w:rsidRPr="00F83DA8">
        <w:rPr>
          <w:rFonts w:eastAsia="Calibri"/>
          <w:color w:val="000000" w:themeColor="text1"/>
        </w:rPr>
        <w:t>sets out the scope of the sectors, subsectors or activities, covered by the entry; and</w:t>
      </w:r>
    </w:p>
    <w:p w14:paraId="1A67EA9F" w14:textId="77777777" w:rsidR="00CF6968" w:rsidRPr="00F83DA8" w:rsidRDefault="00CF6968" w:rsidP="00267405">
      <w:pPr>
        <w:pStyle w:val="List2"/>
        <w:snapToGrid w:val="0"/>
        <w:spacing w:before="0" w:after="0"/>
        <w:ind w:left="1440" w:hanging="720"/>
        <w:rPr>
          <w:color w:val="000000" w:themeColor="text1"/>
        </w:rPr>
      </w:pPr>
    </w:p>
    <w:p w14:paraId="1FA0A32A" w14:textId="3BC94802" w:rsidR="00CF6968" w:rsidRPr="00F83DA8" w:rsidRDefault="00CF6968" w:rsidP="00267405">
      <w:pPr>
        <w:pStyle w:val="List2"/>
        <w:numPr>
          <w:ilvl w:val="1"/>
          <w:numId w:val="23"/>
        </w:numPr>
        <w:snapToGrid w:val="0"/>
        <w:spacing w:before="0" w:after="0"/>
        <w:ind w:hanging="720"/>
        <w:rPr>
          <w:color w:val="000000" w:themeColor="text1"/>
        </w:rPr>
      </w:pPr>
      <w:r w:rsidRPr="00F83DA8">
        <w:rPr>
          <w:b/>
          <w:color w:val="000000" w:themeColor="text1"/>
        </w:rPr>
        <w:t>Existing Measures</w:t>
      </w:r>
      <w:r w:rsidRPr="00F83DA8">
        <w:rPr>
          <w:color w:val="000000" w:themeColor="text1"/>
        </w:rPr>
        <w:t xml:space="preserve"> where specified, identifies, for transparency purposes, a non-exhaustive list of existing measures that apply to the sectors, subsectors or activities covered by the entry.</w:t>
      </w:r>
    </w:p>
    <w:p w14:paraId="70A04E15" w14:textId="77777777" w:rsidR="00CF6968" w:rsidRPr="00F83DA8" w:rsidRDefault="00CF6968" w:rsidP="00267405">
      <w:pPr>
        <w:pStyle w:val="List2"/>
        <w:snapToGrid w:val="0"/>
        <w:spacing w:before="0" w:after="0"/>
        <w:ind w:left="0" w:firstLine="0"/>
        <w:rPr>
          <w:color w:val="000000" w:themeColor="text1"/>
        </w:rPr>
      </w:pPr>
    </w:p>
    <w:p w14:paraId="50E074F0" w14:textId="5D42DBC6" w:rsidR="00CF6968" w:rsidRPr="00F83DA8" w:rsidRDefault="00267405" w:rsidP="00267405">
      <w:pPr>
        <w:pStyle w:val="NumberedList"/>
        <w:numPr>
          <w:ilvl w:val="0"/>
          <w:numId w:val="0"/>
        </w:numPr>
        <w:snapToGrid w:val="0"/>
        <w:spacing w:before="0"/>
        <w:rPr>
          <w:color w:val="000000" w:themeColor="text1"/>
        </w:rPr>
      </w:pPr>
      <w:r>
        <w:rPr>
          <w:color w:val="000000" w:themeColor="text1"/>
        </w:rPr>
        <w:t>3.</w:t>
      </w:r>
      <w:r>
        <w:rPr>
          <w:color w:val="000000" w:themeColor="text1"/>
        </w:rPr>
        <w:tab/>
      </w:r>
      <w:r w:rsidR="00CF6968" w:rsidRPr="00F83DA8">
        <w:rPr>
          <w:color w:val="000000" w:themeColor="text1"/>
        </w:rPr>
        <w:t xml:space="preserve">In accordance with </w:t>
      </w:r>
      <w:r w:rsidR="00C16934">
        <w:rPr>
          <w:color w:val="000000" w:themeColor="text1"/>
        </w:rPr>
        <w:t xml:space="preserve">Article </w:t>
      </w:r>
      <w:r w:rsidR="00CF6968" w:rsidRPr="00F83DA8">
        <w:rPr>
          <w:color w:val="000000" w:themeColor="text1"/>
        </w:rPr>
        <w:t>1</w:t>
      </w:r>
      <w:r w:rsidR="004271FF" w:rsidRPr="00F83DA8">
        <w:rPr>
          <w:color w:val="000000" w:themeColor="text1"/>
        </w:rPr>
        <w:t>3</w:t>
      </w:r>
      <w:r w:rsidR="00CF6968" w:rsidRPr="00F83DA8">
        <w:rPr>
          <w:color w:val="000000" w:themeColor="text1"/>
        </w:rPr>
        <w:t xml:space="preserve"> (Reservations and Non-Conforming Measures)</w:t>
      </w:r>
      <w:r w:rsidR="00664081" w:rsidRPr="00F83DA8">
        <w:rPr>
          <w:color w:val="000000" w:themeColor="text1"/>
        </w:rPr>
        <w:t xml:space="preserve"> of Chapter 11 (Investment)</w:t>
      </w:r>
      <w:r w:rsidR="00CF6968" w:rsidRPr="00F83DA8">
        <w:rPr>
          <w:color w:val="000000" w:themeColor="text1"/>
        </w:rPr>
        <w:t>, the Articles of this Agreement specified in the Obligations Concerned element of an entry do not apply to the sectors, subsectors and activities, identified in the Description element of that entry.</w:t>
      </w:r>
    </w:p>
    <w:p w14:paraId="4DF2F806" w14:textId="77777777" w:rsidR="00CF6968" w:rsidRPr="00F83DA8" w:rsidRDefault="00CF6968" w:rsidP="00267405">
      <w:pPr>
        <w:pStyle w:val="NumberedList"/>
        <w:numPr>
          <w:ilvl w:val="0"/>
          <w:numId w:val="0"/>
        </w:numPr>
        <w:snapToGrid w:val="0"/>
        <w:spacing w:before="0"/>
        <w:ind w:left="540"/>
        <w:rPr>
          <w:color w:val="000000" w:themeColor="text1"/>
        </w:rPr>
      </w:pPr>
    </w:p>
    <w:p w14:paraId="7D21DA0A" w14:textId="7F6A93DA" w:rsidR="00CF6968" w:rsidRPr="00F83DA8" w:rsidRDefault="00267405" w:rsidP="00267405">
      <w:pPr>
        <w:pStyle w:val="NumberedList"/>
        <w:numPr>
          <w:ilvl w:val="0"/>
          <w:numId w:val="0"/>
        </w:numPr>
        <w:snapToGrid w:val="0"/>
        <w:spacing w:before="0"/>
        <w:rPr>
          <w:color w:val="000000" w:themeColor="text1"/>
        </w:rPr>
      </w:pPr>
      <w:r>
        <w:rPr>
          <w:color w:val="000000" w:themeColor="text1"/>
        </w:rPr>
        <w:t>4.</w:t>
      </w:r>
      <w:r>
        <w:rPr>
          <w:color w:val="000000" w:themeColor="text1"/>
        </w:rPr>
        <w:tab/>
      </w:r>
      <w:r w:rsidR="00CF6968" w:rsidRPr="00F83DA8">
        <w:rPr>
          <w:color w:val="000000" w:themeColor="text1"/>
        </w:rPr>
        <w:t>For greater certainty, where Malaysia has more than one entry in this List</w:t>
      </w:r>
      <w:r w:rsidR="006E576A">
        <w:rPr>
          <w:color w:val="000000" w:themeColor="text1"/>
        </w:rPr>
        <w:t xml:space="preserve"> B</w:t>
      </w:r>
      <w:r w:rsidR="00CF6968" w:rsidRPr="00F83DA8">
        <w:rPr>
          <w:color w:val="000000" w:themeColor="text1"/>
        </w:rPr>
        <w:t xml:space="preserve"> that could apply to a measure, each entry is to be read independently, and is without prejudice to the application of any other entry to the measure. </w:t>
      </w:r>
    </w:p>
    <w:p w14:paraId="16B6A600" w14:textId="77777777" w:rsidR="00CF6968" w:rsidRPr="00F83DA8" w:rsidRDefault="00CF6968" w:rsidP="00267405">
      <w:pPr>
        <w:pStyle w:val="NumberedList"/>
        <w:numPr>
          <w:ilvl w:val="0"/>
          <w:numId w:val="0"/>
        </w:numPr>
        <w:snapToGrid w:val="0"/>
        <w:spacing w:before="0"/>
        <w:ind w:left="540" w:hanging="540"/>
        <w:rPr>
          <w:color w:val="000000" w:themeColor="text1"/>
        </w:rPr>
      </w:pPr>
    </w:p>
    <w:p w14:paraId="780B04EB" w14:textId="7CE49564" w:rsidR="00CF6968" w:rsidRPr="00F83DA8" w:rsidRDefault="00267405" w:rsidP="00267405">
      <w:pPr>
        <w:pStyle w:val="NumberedList"/>
        <w:numPr>
          <w:ilvl w:val="0"/>
          <w:numId w:val="0"/>
        </w:numPr>
        <w:snapToGrid w:val="0"/>
        <w:spacing w:before="0"/>
        <w:rPr>
          <w:color w:val="000000" w:themeColor="text1"/>
        </w:rPr>
      </w:pPr>
      <w:r>
        <w:rPr>
          <w:color w:val="000000" w:themeColor="text1"/>
        </w:rPr>
        <w:t>5.</w:t>
      </w:r>
      <w:r>
        <w:rPr>
          <w:color w:val="000000" w:themeColor="text1"/>
        </w:rPr>
        <w:tab/>
      </w:r>
      <w:r w:rsidR="00CF6968" w:rsidRPr="00F83DA8">
        <w:rPr>
          <w:color w:val="000000" w:themeColor="text1"/>
        </w:rPr>
        <w:t>The Schedules of other Parties shall not be used to interpret Malaysia’s commitments or obligations under Chapter 11 (Investment)</w:t>
      </w:r>
      <w:r w:rsidR="00075DFF">
        <w:rPr>
          <w:color w:val="000000" w:themeColor="text1"/>
        </w:rPr>
        <w:t>.</w:t>
      </w:r>
      <w:r w:rsidR="00CF6968" w:rsidRPr="00F83DA8">
        <w:rPr>
          <w:color w:val="000000" w:themeColor="text1"/>
        </w:rPr>
        <w:t xml:space="preserve"> </w:t>
      </w:r>
    </w:p>
    <w:p w14:paraId="59C8B10B" w14:textId="77777777" w:rsidR="00CF6968" w:rsidRPr="00F83DA8" w:rsidRDefault="00CF6968" w:rsidP="00267405">
      <w:pPr>
        <w:pStyle w:val="NumberedList"/>
        <w:numPr>
          <w:ilvl w:val="0"/>
          <w:numId w:val="0"/>
        </w:numPr>
        <w:snapToGrid w:val="0"/>
        <w:spacing w:before="0"/>
        <w:ind w:left="540" w:hanging="540"/>
        <w:rPr>
          <w:color w:val="000000" w:themeColor="text1"/>
        </w:rPr>
      </w:pPr>
    </w:p>
    <w:p w14:paraId="033CCEA3" w14:textId="255886B0" w:rsidR="00CF6968" w:rsidRPr="00F83DA8" w:rsidRDefault="00267405" w:rsidP="00267405">
      <w:pPr>
        <w:pStyle w:val="NumberedList"/>
        <w:numPr>
          <w:ilvl w:val="0"/>
          <w:numId w:val="0"/>
        </w:numPr>
        <w:snapToGrid w:val="0"/>
        <w:spacing w:before="0"/>
        <w:rPr>
          <w:color w:val="000000" w:themeColor="text1"/>
        </w:rPr>
      </w:pPr>
      <w:r>
        <w:rPr>
          <w:color w:val="000000" w:themeColor="text1"/>
        </w:rPr>
        <w:t>6.</w:t>
      </w:r>
      <w:r>
        <w:rPr>
          <w:color w:val="000000" w:themeColor="text1"/>
        </w:rPr>
        <w:tab/>
      </w:r>
      <w:r w:rsidR="00CF6968" w:rsidRPr="00F83DA8">
        <w:rPr>
          <w:color w:val="000000" w:themeColor="text1"/>
        </w:rPr>
        <w:t xml:space="preserve">With respect to the entries in this List </w:t>
      </w:r>
      <w:r w:rsidR="006E576A">
        <w:rPr>
          <w:color w:val="000000" w:themeColor="text1"/>
        </w:rPr>
        <w:t xml:space="preserve">B </w:t>
      </w:r>
      <w:r w:rsidR="00CF6968" w:rsidRPr="00F83DA8">
        <w:rPr>
          <w:color w:val="000000" w:themeColor="text1"/>
        </w:rPr>
        <w:t xml:space="preserve">on Most-Favoured-Nation Treatment relating to bilateral or multilateral international agreements, the absence of language </w:t>
      </w:r>
      <w:r w:rsidR="00CF6968" w:rsidRPr="00F83DA8">
        <w:rPr>
          <w:color w:val="000000" w:themeColor="text1"/>
        </w:rPr>
        <w:lastRenderedPageBreak/>
        <w:t xml:space="preserve">regarding the scope of the reservation for differential treatment resulting from an amendment of those bilateral or multilateral international agreements in force or signed after the date of </w:t>
      </w:r>
      <w:r w:rsidR="00CF6968" w:rsidRPr="00075DFF">
        <w:rPr>
          <w:color w:val="000000" w:themeColor="text1"/>
        </w:rPr>
        <w:t>entry into force of th</w:t>
      </w:r>
      <w:r w:rsidR="00C16934" w:rsidRPr="00075DFF">
        <w:rPr>
          <w:color w:val="000000" w:themeColor="text1"/>
        </w:rPr>
        <w:t>e Second Protocol</w:t>
      </w:r>
      <w:r w:rsidR="00CF6968" w:rsidRPr="00075DFF">
        <w:rPr>
          <w:color w:val="000000" w:themeColor="text1"/>
        </w:rPr>
        <w:t xml:space="preserve"> </w:t>
      </w:r>
      <w:r w:rsidR="00CF6968" w:rsidRPr="00F83DA8">
        <w:rPr>
          <w:color w:val="000000" w:themeColor="text1"/>
        </w:rPr>
        <w:t>is without prejudice to Malaysia’s interpretation of the scope of that reservation.</w:t>
      </w:r>
    </w:p>
    <w:p w14:paraId="73A84C8F" w14:textId="77777777" w:rsidR="00CF6968" w:rsidRPr="00F83DA8" w:rsidRDefault="00CF6968" w:rsidP="00CF6968">
      <w:pPr>
        <w:rPr>
          <w:rFonts w:cs="Arial"/>
          <w:color w:val="000000" w:themeColor="text1"/>
          <w:sz w:val="24"/>
          <w:szCs w:val="24"/>
          <w:highlight w:val="lightGray"/>
        </w:rPr>
      </w:pPr>
      <w:r w:rsidRPr="00F83DA8">
        <w:rPr>
          <w:rFonts w:cs="Arial"/>
          <w:color w:val="000000" w:themeColor="text1"/>
          <w:sz w:val="24"/>
          <w:szCs w:val="24"/>
          <w:highlight w:val="lightGray"/>
        </w:rPr>
        <w:br w:type="page"/>
      </w:r>
    </w:p>
    <w:tbl>
      <w:tblPr>
        <w:tblW w:w="4987"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38"/>
        <w:gridCol w:w="2280"/>
        <w:gridCol w:w="304"/>
        <w:gridCol w:w="4537"/>
      </w:tblGrid>
      <w:tr w:rsidR="00F83DA8" w:rsidRPr="00F83DA8" w14:paraId="374FFFAB" w14:textId="77777777" w:rsidTr="00C32073">
        <w:tc>
          <w:tcPr>
            <w:tcW w:w="290" w:type="pct"/>
          </w:tcPr>
          <w:p w14:paraId="54D51B2D" w14:textId="77777777" w:rsidR="00CF6968" w:rsidRPr="00F83DA8" w:rsidRDefault="00CF6968" w:rsidP="0089220B">
            <w:pPr>
              <w:numPr>
                <w:ilvl w:val="0"/>
                <w:numId w:val="28"/>
              </w:numPr>
              <w:spacing w:after="120"/>
              <w:rPr>
                <w:rFonts w:cs="Arial"/>
                <w:snapToGrid w:val="0"/>
                <w:color w:val="000000" w:themeColor="text1"/>
                <w:szCs w:val="20"/>
              </w:rPr>
            </w:pPr>
          </w:p>
        </w:tc>
        <w:tc>
          <w:tcPr>
            <w:tcW w:w="1508" w:type="pct"/>
          </w:tcPr>
          <w:p w14:paraId="0E806145" w14:textId="77777777" w:rsidR="00CF6968" w:rsidRPr="00F83DA8" w:rsidRDefault="00CF6968" w:rsidP="0089220B">
            <w:pPr>
              <w:spacing w:after="120"/>
              <w:rPr>
                <w:rFonts w:cs="Arial"/>
                <w:color w:val="000000" w:themeColor="text1"/>
                <w:szCs w:val="20"/>
              </w:rPr>
            </w:pPr>
            <w:r w:rsidRPr="00F83DA8">
              <w:rPr>
                <w:rFonts w:cs="Arial"/>
                <w:snapToGrid w:val="0"/>
                <w:color w:val="000000" w:themeColor="text1"/>
                <w:szCs w:val="20"/>
              </w:rPr>
              <w:t>Sector</w:t>
            </w:r>
          </w:p>
        </w:tc>
        <w:tc>
          <w:tcPr>
            <w:tcW w:w="201" w:type="pct"/>
          </w:tcPr>
          <w:p w14:paraId="6E205853"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01" w:type="pct"/>
          </w:tcPr>
          <w:p w14:paraId="69E95432" w14:textId="77777777" w:rsidR="00CF6968" w:rsidRPr="00F83DA8" w:rsidRDefault="00CF6968" w:rsidP="0089220B">
            <w:pPr>
              <w:spacing w:after="120"/>
              <w:jc w:val="both"/>
              <w:rPr>
                <w:rFonts w:cs="Arial"/>
                <w:snapToGrid w:val="0"/>
                <w:color w:val="000000" w:themeColor="text1"/>
                <w:szCs w:val="20"/>
              </w:rPr>
            </w:pPr>
            <w:r w:rsidRPr="00F83DA8">
              <w:rPr>
                <w:rFonts w:cs="Arial"/>
                <w:snapToGrid w:val="0"/>
                <w:color w:val="000000" w:themeColor="text1"/>
                <w:szCs w:val="20"/>
              </w:rPr>
              <w:t>Land and real estate</w:t>
            </w:r>
          </w:p>
        </w:tc>
      </w:tr>
      <w:tr w:rsidR="00F83DA8" w:rsidRPr="00F83DA8" w14:paraId="1FADC566" w14:textId="77777777" w:rsidTr="00C32073">
        <w:tc>
          <w:tcPr>
            <w:tcW w:w="290" w:type="pct"/>
          </w:tcPr>
          <w:p w14:paraId="1310267B" w14:textId="77777777" w:rsidR="00CF6968" w:rsidRPr="00F83DA8" w:rsidRDefault="00CF6968" w:rsidP="0089220B">
            <w:pPr>
              <w:spacing w:after="120"/>
              <w:rPr>
                <w:rFonts w:cs="Arial"/>
                <w:color w:val="000000" w:themeColor="text1"/>
                <w:szCs w:val="20"/>
              </w:rPr>
            </w:pPr>
          </w:p>
        </w:tc>
        <w:tc>
          <w:tcPr>
            <w:tcW w:w="1508" w:type="pct"/>
          </w:tcPr>
          <w:p w14:paraId="6DA0EA9D"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Subsector</w:t>
            </w:r>
          </w:p>
        </w:tc>
        <w:tc>
          <w:tcPr>
            <w:tcW w:w="201" w:type="pct"/>
          </w:tcPr>
          <w:p w14:paraId="51557023"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01" w:type="pct"/>
          </w:tcPr>
          <w:p w14:paraId="55BBC628" w14:textId="77777777" w:rsidR="00CF6968" w:rsidRPr="00F83DA8" w:rsidRDefault="00CF6968" w:rsidP="0089220B">
            <w:pPr>
              <w:spacing w:after="120"/>
              <w:jc w:val="both"/>
              <w:rPr>
                <w:rFonts w:cs="Arial"/>
                <w:color w:val="000000" w:themeColor="text1"/>
              </w:rPr>
            </w:pPr>
            <w:r w:rsidRPr="00F83DA8">
              <w:rPr>
                <w:rFonts w:cs="Arial"/>
                <w:color w:val="000000" w:themeColor="text1"/>
              </w:rPr>
              <w:t>-</w:t>
            </w:r>
          </w:p>
        </w:tc>
      </w:tr>
      <w:tr w:rsidR="00F83DA8" w:rsidRPr="00F83DA8" w14:paraId="2BDA8828" w14:textId="77777777" w:rsidTr="00C32073">
        <w:tc>
          <w:tcPr>
            <w:tcW w:w="290" w:type="pct"/>
          </w:tcPr>
          <w:p w14:paraId="687A9DDD" w14:textId="77777777" w:rsidR="00CF6968" w:rsidRPr="00F83DA8" w:rsidRDefault="00CF6968" w:rsidP="0089220B">
            <w:pPr>
              <w:spacing w:after="120"/>
              <w:rPr>
                <w:rFonts w:cs="Arial"/>
                <w:color w:val="000000" w:themeColor="text1"/>
                <w:szCs w:val="20"/>
              </w:rPr>
            </w:pPr>
          </w:p>
        </w:tc>
        <w:tc>
          <w:tcPr>
            <w:tcW w:w="1508" w:type="pct"/>
          </w:tcPr>
          <w:p w14:paraId="43070FE3"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Obligations Concerned</w:t>
            </w:r>
          </w:p>
        </w:tc>
        <w:tc>
          <w:tcPr>
            <w:tcW w:w="201" w:type="pct"/>
          </w:tcPr>
          <w:p w14:paraId="00F940D3"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01" w:type="pct"/>
          </w:tcPr>
          <w:p w14:paraId="75388B75" w14:textId="472252FF" w:rsidR="00CF6968" w:rsidRPr="00F83DA8" w:rsidRDefault="00CF6968" w:rsidP="0089220B">
            <w:pPr>
              <w:pStyle w:val="TOSM"/>
              <w:jc w:val="both"/>
              <w:rPr>
                <w:color w:val="000000" w:themeColor="text1"/>
              </w:rPr>
            </w:pPr>
            <w:r w:rsidRPr="00F83DA8">
              <w:rPr>
                <w:color w:val="000000" w:themeColor="text1"/>
              </w:rPr>
              <w:t>National Treatment</w:t>
            </w:r>
          </w:p>
          <w:p w14:paraId="154AF92D" w14:textId="36B5F8B0" w:rsidR="00CF6968" w:rsidRPr="00F83DA8" w:rsidRDefault="00CF6968" w:rsidP="0089220B">
            <w:pPr>
              <w:pStyle w:val="TOSM"/>
              <w:jc w:val="both"/>
              <w:rPr>
                <w:color w:val="000000" w:themeColor="text1"/>
              </w:rPr>
            </w:pPr>
            <w:r w:rsidRPr="00F83DA8">
              <w:rPr>
                <w:color w:val="000000" w:themeColor="text1"/>
              </w:rPr>
              <w:t>Most-</w:t>
            </w:r>
            <w:proofErr w:type="spellStart"/>
            <w:r w:rsidRPr="00F83DA8">
              <w:rPr>
                <w:color w:val="000000" w:themeColor="text1"/>
              </w:rPr>
              <w:t>Favoured</w:t>
            </w:r>
            <w:proofErr w:type="spellEnd"/>
            <w:r w:rsidRPr="00F83DA8">
              <w:rPr>
                <w:color w:val="000000" w:themeColor="text1"/>
              </w:rPr>
              <w:t xml:space="preserve">-Nation Treatment </w:t>
            </w:r>
          </w:p>
          <w:p w14:paraId="7845E120" w14:textId="551BA585" w:rsidR="00CF6968" w:rsidRPr="00F83DA8" w:rsidRDefault="00CF6968" w:rsidP="0089220B">
            <w:pPr>
              <w:pStyle w:val="TOSM"/>
              <w:jc w:val="both"/>
              <w:rPr>
                <w:color w:val="000000" w:themeColor="text1"/>
              </w:rPr>
            </w:pPr>
            <w:r w:rsidRPr="00F83DA8">
              <w:rPr>
                <w:color w:val="000000" w:themeColor="text1"/>
              </w:rPr>
              <w:t>Prohibition of Performance Requirements</w:t>
            </w:r>
          </w:p>
        </w:tc>
      </w:tr>
      <w:tr w:rsidR="00F83DA8" w:rsidRPr="00F83DA8" w14:paraId="25795981" w14:textId="77777777" w:rsidTr="00C32073">
        <w:tc>
          <w:tcPr>
            <w:tcW w:w="290" w:type="pct"/>
          </w:tcPr>
          <w:p w14:paraId="79A62000" w14:textId="77777777" w:rsidR="00CF6968" w:rsidRPr="00F83DA8" w:rsidRDefault="00CF6968" w:rsidP="0089220B">
            <w:pPr>
              <w:spacing w:after="120"/>
              <w:rPr>
                <w:rFonts w:cs="Arial"/>
                <w:snapToGrid w:val="0"/>
                <w:color w:val="000000" w:themeColor="text1"/>
                <w:szCs w:val="20"/>
              </w:rPr>
            </w:pPr>
          </w:p>
        </w:tc>
        <w:tc>
          <w:tcPr>
            <w:tcW w:w="1508" w:type="pct"/>
          </w:tcPr>
          <w:p w14:paraId="7526860D"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Description</w:t>
            </w:r>
          </w:p>
        </w:tc>
        <w:tc>
          <w:tcPr>
            <w:tcW w:w="201" w:type="pct"/>
          </w:tcPr>
          <w:p w14:paraId="61F189D8"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01" w:type="pct"/>
          </w:tcPr>
          <w:p w14:paraId="0A421DAE" w14:textId="77777777" w:rsidR="00CF6968" w:rsidRPr="00F83DA8" w:rsidRDefault="00CF6968" w:rsidP="0089220B">
            <w:pPr>
              <w:pStyle w:val="TOSM"/>
              <w:jc w:val="both"/>
              <w:rPr>
                <w:color w:val="000000" w:themeColor="text1"/>
              </w:rPr>
            </w:pPr>
            <w:r w:rsidRPr="00F83DA8">
              <w:rPr>
                <w:color w:val="000000" w:themeColor="text1"/>
              </w:rPr>
              <w:t>Acquisitions or dealings of land or activities on land by non-citizens and juridical persons owned by foreign nationals must be approved by the relevant state authority, subject to such conditions and restrictions as may be imposed by that authority.</w:t>
            </w:r>
          </w:p>
        </w:tc>
      </w:tr>
      <w:tr w:rsidR="00F83DA8" w:rsidRPr="00F83DA8" w14:paraId="22A2C950" w14:textId="77777777" w:rsidTr="00C32073">
        <w:tc>
          <w:tcPr>
            <w:tcW w:w="290" w:type="pct"/>
          </w:tcPr>
          <w:p w14:paraId="3B6B73AB" w14:textId="77777777" w:rsidR="00CF6968" w:rsidRPr="00F83DA8" w:rsidRDefault="00CF6968" w:rsidP="0089220B">
            <w:pPr>
              <w:spacing w:after="120"/>
              <w:rPr>
                <w:rFonts w:cs="Arial"/>
                <w:color w:val="000000" w:themeColor="text1"/>
                <w:szCs w:val="20"/>
              </w:rPr>
            </w:pPr>
          </w:p>
        </w:tc>
        <w:tc>
          <w:tcPr>
            <w:tcW w:w="1508" w:type="pct"/>
          </w:tcPr>
          <w:p w14:paraId="24413DBD"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Existing Measures</w:t>
            </w:r>
          </w:p>
        </w:tc>
        <w:tc>
          <w:tcPr>
            <w:tcW w:w="201" w:type="pct"/>
          </w:tcPr>
          <w:p w14:paraId="75EA5499"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w:t>
            </w:r>
          </w:p>
        </w:tc>
        <w:tc>
          <w:tcPr>
            <w:tcW w:w="3001" w:type="pct"/>
          </w:tcPr>
          <w:p w14:paraId="39BC62B9" w14:textId="77777777" w:rsidR="00CF6968" w:rsidRPr="00D0277E" w:rsidRDefault="00CF6968" w:rsidP="0089220B">
            <w:pPr>
              <w:pStyle w:val="TOSM"/>
              <w:jc w:val="both"/>
              <w:rPr>
                <w:i/>
                <w:color w:val="000000" w:themeColor="text1"/>
              </w:rPr>
            </w:pPr>
            <w:r w:rsidRPr="00D0277E">
              <w:rPr>
                <w:i/>
                <w:color w:val="000000" w:themeColor="text1"/>
              </w:rPr>
              <w:t>Federal Constitution</w:t>
            </w:r>
          </w:p>
          <w:p w14:paraId="0B2437D7" w14:textId="77777777" w:rsidR="00CF6968" w:rsidRPr="00F83DA8" w:rsidRDefault="00CF6968" w:rsidP="0089220B">
            <w:pPr>
              <w:pStyle w:val="TOSM"/>
              <w:jc w:val="both"/>
              <w:rPr>
                <w:color w:val="000000" w:themeColor="text1"/>
              </w:rPr>
            </w:pPr>
            <w:r w:rsidRPr="00D0277E">
              <w:rPr>
                <w:i/>
                <w:color w:val="000000" w:themeColor="text1"/>
              </w:rPr>
              <w:t>Land Acquisition Act 1960</w:t>
            </w:r>
            <w:r w:rsidRPr="00F83DA8">
              <w:rPr>
                <w:color w:val="000000" w:themeColor="text1"/>
              </w:rPr>
              <w:t xml:space="preserve"> [Act 486]</w:t>
            </w:r>
          </w:p>
          <w:p w14:paraId="077EE469" w14:textId="77777777" w:rsidR="00CF6968" w:rsidRPr="00F83DA8" w:rsidRDefault="00CF6968" w:rsidP="0089220B">
            <w:pPr>
              <w:pStyle w:val="TOSM"/>
              <w:jc w:val="both"/>
              <w:rPr>
                <w:color w:val="000000" w:themeColor="text1"/>
              </w:rPr>
            </w:pPr>
            <w:r w:rsidRPr="00D0277E">
              <w:rPr>
                <w:i/>
                <w:color w:val="000000" w:themeColor="text1"/>
              </w:rPr>
              <w:t>Land Conservation Act 1960</w:t>
            </w:r>
            <w:r w:rsidRPr="00F83DA8">
              <w:rPr>
                <w:color w:val="000000" w:themeColor="text1"/>
              </w:rPr>
              <w:t xml:space="preserve"> [Act 385]</w:t>
            </w:r>
          </w:p>
          <w:p w14:paraId="2A0D578E" w14:textId="77777777" w:rsidR="00CF6968" w:rsidRPr="00F83DA8" w:rsidRDefault="00CF6968" w:rsidP="0089220B">
            <w:pPr>
              <w:pStyle w:val="TOSM"/>
              <w:jc w:val="both"/>
              <w:rPr>
                <w:color w:val="000000" w:themeColor="text1"/>
              </w:rPr>
            </w:pPr>
            <w:r w:rsidRPr="0027032F">
              <w:rPr>
                <w:i/>
                <w:color w:val="000000" w:themeColor="text1"/>
              </w:rPr>
              <w:t>National Land Code</w:t>
            </w:r>
            <w:r w:rsidRPr="00F83DA8">
              <w:rPr>
                <w:color w:val="000000" w:themeColor="text1"/>
              </w:rPr>
              <w:t xml:space="preserve"> [Act 56 of 1965]</w:t>
            </w:r>
          </w:p>
          <w:p w14:paraId="5CE49A08" w14:textId="77777777" w:rsidR="00CF6968" w:rsidRPr="00F83DA8" w:rsidRDefault="00CF6968" w:rsidP="0089220B">
            <w:pPr>
              <w:pStyle w:val="TOSM"/>
              <w:jc w:val="both"/>
              <w:rPr>
                <w:color w:val="000000" w:themeColor="text1"/>
              </w:rPr>
            </w:pPr>
            <w:r w:rsidRPr="0027032F">
              <w:rPr>
                <w:i/>
                <w:color w:val="000000" w:themeColor="text1"/>
              </w:rPr>
              <w:t>Federal Lands Commissioner Act 1957</w:t>
            </w:r>
            <w:r w:rsidRPr="00F83DA8">
              <w:rPr>
                <w:color w:val="000000" w:themeColor="text1"/>
              </w:rPr>
              <w:t xml:space="preserve"> (Revised 1988) [Act 349]</w:t>
            </w:r>
          </w:p>
          <w:p w14:paraId="48F60EA1" w14:textId="77777777" w:rsidR="00CF6968" w:rsidRPr="00F83DA8" w:rsidRDefault="00CF6968" w:rsidP="0089220B">
            <w:pPr>
              <w:pStyle w:val="TOSM"/>
              <w:jc w:val="both"/>
              <w:rPr>
                <w:color w:val="000000" w:themeColor="text1"/>
              </w:rPr>
            </w:pPr>
            <w:r w:rsidRPr="0027032F">
              <w:rPr>
                <w:i/>
                <w:color w:val="000000" w:themeColor="text1"/>
              </w:rPr>
              <w:t>National Land Code (Penang and Malacca Titles) Act 1963</w:t>
            </w:r>
            <w:r w:rsidRPr="00F83DA8">
              <w:rPr>
                <w:color w:val="000000" w:themeColor="text1"/>
              </w:rPr>
              <w:t xml:space="preserve"> [Act 518]</w:t>
            </w:r>
          </w:p>
          <w:p w14:paraId="229C1BA5" w14:textId="77777777" w:rsidR="00CF6968" w:rsidRPr="00F83DA8" w:rsidRDefault="00CF6968" w:rsidP="0089220B">
            <w:pPr>
              <w:pStyle w:val="TOSM"/>
              <w:jc w:val="both"/>
              <w:rPr>
                <w:color w:val="000000" w:themeColor="text1"/>
              </w:rPr>
            </w:pPr>
            <w:r w:rsidRPr="0027032F">
              <w:rPr>
                <w:i/>
                <w:color w:val="000000" w:themeColor="text1"/>
              </w:rPr>
              <w:t>Strata Titles Act 1985</w:t>
            </w:r>
            <w:r w:rsidRPr="00F83DA8">
              <w:rPr>
                <w:color w:val="000000" w:themeColor="text1"/>
              </w:rPr>
              <w:t xml:space="preserve"> [Act 318]</w:t>
            </w:r>
          </w:p>
          <w:p w14:paraId="59DD44A8" w14:textId="77777777" w:rsidR="00CF6968" w:rsidRPr="00F83DA8" w:rsidRDefault="00CF6968" w:rsidP="0089220B">
            <w:pPr>
              <w:pStyle w:val="TOSM"/>
              <w:jc w:val="both"/>
              <w:rPr>
                <w:color w:val="000000" w:themeColor="text1"/>
              </w:rPr>
            </w:pPr>
            <w:r w:rsidRPr="0027032F">
              <w:rPr>
                <w:i/>
                <w:color w:val="000000" w:themeColor="text1"/>
              </w:rPr>
              <w:t>Strata Management Act 2013</w:t>
            </w:r>
            <w:r w:rsidRPr="00F83DA8">
              <w:rPr>
                <w:color w:val="000000" w:themeColor="text1"/>
              </w:rPr>
              <w:t xml:space="preserve"> [Act 757]</w:t>
            </w:r>
          </w:p>
          <w:p w14:paraId="189FD852" w14:textId="77777777" w:rsidR="00CF6968" w:rsidRPr="00F83DA8" w:rsidRDefault="00CF6968" w:rsidP="0089220B">
            <w:pPr>
              <w:pStyle w:val="TOSM"/>
              <w:jc w:val="both"/>
              <w:rPr>
                <w:color w:val="000000" w:themeColor="text1"/>
              </w:rPr>
            </w:pPr>
            <w:r w:rsidRPr="0027032F">
              <w:rPr>
                <w:i/>
                <w:color w:val="000000" w:themeColor="text1"/>
              </w:rPr>
              <w:t>Federal Lands Commissioner Act 1957</w:t>
            </w:r>
            <w:r w:rsidRPr="00F83DA8">
              <w:rPr>
                <w:color w:val="000000" w:themeColor="text1"/>
              </w:rPr>
              <w:t xml:space="preserve"> (Revised 1988) [Act 349]</w:t>
            </w:r>
          </w:p>
          <w:p w14:paraId="473A7BDC" w14:textId="77777777" w:rsidR="00CF6968" w:rsidRPr="00F83DA8" w:rsidRDefault="00CF6968" w:rsidP="0089220B">
            <w:pPr>
              <w:pStyle w:val="TOSM"/>
              <w:jc w:val="both"/>
              <w:rPr>
                <w:color w:val="000000" w:themeColor="text1"/>
              </w:rPr>
            </w:pPr>
            <w:r w:rsidRPr="0027032F">
              <w:rPr>
                <w:i/>
                <w:color w:val="000000" w:themeColor="text1"/>
              </w:rPr>
              <w:t>Land (Group Settlement Areas) Act 1960</w:t>
            </w:r>
            <w:r w:rsidRPr="00F83DA8">
              <w:rPr>
                <w:color w:val="000000" w:themeColor="text1"/>
              </w:rPr>
              <w:t xml:space="preserve"> [Act 530]</w:t>
            </w:r>
          </w:p>
          <w:p w14:paraId="29AE77FF" w14:textId="39AD663C" w:rsidR="00CF6968" w:rsidRPr="00F83DA8" w:rsidRDefault="00CF6968" w:rsidP="0089220B">
            <w:pPr>
              <w:pStyle w:val="TOSM"/>
              <w:jc w:val="both"/>
              <w:rPr>
                <w:color w:val="000000" w:themeColor="text1"/>
              </w:rPr>
            </w:pPr>
            <w:r w:rsidRPr="0027032F">
              <w:rPr>
                <w:i/>
                <w:color w:val="000000" w:themeColor="text1"/>
              </w:rPr>
              <w:t>Malay Reservations Enactment 1933</w:t>
            </w:r>
            <w:r w:rsidRPr="00F83DA8">
              <w:rPr>
                <w:color w:val="000000" w:themeColor="text1"/>
              </w:rPr>
              <w:t xml:space="preserve"> [F.M.S. Cap</w:t>
            </w:r>
            <w:r w:rsidR="00B27AA4">
              <w:rPr>
                <w:color w:val="000000" w:themeColor="text1"/>
              </w:rPr>
              <w:t>.</w:t>
            </w:r>
            <w:r w:rsidRPr="00F83DA8">
              <w:rPr>
                <w:color w:val="000000" w:themeColor="text1"/>
              </w:rPr>
              <w:t xml:space="preserve"> 142]</w:t>
            </w:r>
          </w:p>
          <w:p w14:paraId="253E39A5" w14:textId="77777777" w:rsidR="00CF6968" w:rsidRPr="00F83DA8" w:rsidRDefault="00CF6968" w:rsidP="0089220B">
            <w:pPr>
              <w:pStyle w:val="TOSM"/>
              <w:jc w:val="both"/>
              <w:rPr>
                <w:color w:val="000000" w:themeColor="text1"/>
              </w:rPr>
            </w:pPr>
            <w:r w:rsidRPr="0027032F">
              <w:rPr>
                <w:i/>
                <w:color w:val="000000" w:themeColor="text1"/>
              </w:rPr>
              <w:t>Malay Reservations Enactment 1930</w:t>
            </w:r>
            <w:r w:rsidRPr="00F83DA8">
              <w:rPr>
                <w:color w:val="000000" w:themeColor="text1"/>
              </w:rPr>
              <w:t xml:space="preserve"> [Enactment 29]</w:t>
            </w:r>
          </w:p>
          <w:p w14:paraId="5F3637C5" w14:textId="77777777" w:rsidR="00CF6968" w:rsidRPr="00F83DA8" w:rsidRDefault="00CF6968" w:rsidP="0089220B">
            <w:pPr>
              <w:pStyle w:val="TOSM"/>
              <w:jc w:val="both"/>
              <w:rPr>
                <w:color w:val="000000" w:themeColor="text1"/>
              </w:rPr>
            </w:pPr>
            <w:r w:rsidRPr="0027032F">
              <w:rPr>
                <w:i/>
                <w:color w:val="000000" w:themeColor="text1"/>
              </w:rPr>
              <w:t>Kelantan Malay Reservations Enactment 1930</w:t>
            </w:r>
            <w:r w:rsidRPr="00F83DA8">
              <w:rPr>
                <w:color w:val="000000" w:themeColor="text1"/>
              </w:rPr>
              <w:t xml:space="preserve"> [No.18 of 1930]</w:t>
            </w:r>
          </w:p>
          <w:p w14:paraId="3E066FAF" w14:textId="77777777" w:rsidR="00CF6968" w:rsidRPr="00F83DA8" w:rsidRDefault="00CF6968" w:rsidP="0089220B">
            <w:pPr>
              <w:pStyle w:val="TOSM"/>
              <w:jc w:val="both"/>
              <w:rPr>
                <w:color w:val="000000" w:themeColor="text1"/>
              </w:rPr>
            </w:pPr>
            <w:r w:rsidRPr="0027032F">
              <w:rPr>
                <w:i/>
                <w:color w:val="000000" w:themeColor="text1"/>
              </w:rPr>
              <w:t>Kelantan Land Settlement Act 1955</w:t>
            </w:r>
            <w:r w:rsidRPr="00F83DA8">
              <w:rPr>
                <w:color w:val="000000" w:themeColor="text1"/>
              </w:rPr>
              <w:t xml:space="preserve"> (Revised 1991) [Act 460]</w:t>
            </w:r>
          </w:p>
          <w:p w14:paraId="17F774BA" w14:textId="7438C62A" w:rsidR="00CF6968" w:rsidRPr="00F83DA8" w:rsidRDefault="00FB0ECF" w:rsidP="0089220B">
            <w:pPr>
              <w:pStyle w:val="TOSM"/>
              <w:jc w:val="both"/>
              <w:rPr>
                <w:color w:val="000000" w:themeColor="text1"/>
              </w:rPr>
            </w:pPr>
            <w:r>
              <w:rPr>
                <w:i/>
                <w:color w:val="000000" w:themeColor="text1"/>
              </w:rPr>
              <w:t>Perlis Malay</w:t>
            </w:r>
            <w:r w:rsidR="00CF6968" w:rsidRPr="0027032F">
              <w:rPr>
                <w:i/>
                <w:color w:val="000000" w:themeColor="text1"/>
              </w:rPr>
              <w:t xml:space="preserve"> Reservations Enactment </w:t>
            </w:r>
            <w:r w:rsidR="00372099">
              <w:rPr>
                <w:i/>
                <w:color w:val="000000" w:themeColor="text1"/>
              </w:rPr>
              <w:t>1935</w:t>
            </w:r>
            <w:r w:rsidR="00CF6968" w:rsidRPr="00F83DA8">
              <w:rPr>
                <w:color w:val="000000" w:themeColor="text1"/>
              </w:rPr>
              <w:t xml:space="preserve"> [No. 7 of 1353]</w:t>
            </w:r>
          </w:p>
          <w:p w14:paraId="0B45C97B" w14:textId="77777777" w:rsidR="00CF6968" w:rsidRPr="00F83DA8" w:rsidRDefault="00CF6968" w:rsidP="0089220B">
            <w:pPr>
              <w:pStyle w:val="TOSM"/>
              <w:jc w:val="both"/>
              <w:rPr>
                <w:color w:val="000000" w:themeColor="text1"/>
              </w:rPr>
            </w:pPr>
            <w:r w:rsidRPr="0027032F">
              <w:rPr>
                <w:i/>
                <w:color w:val="000000" w:themeColor="text1"/>
              </w:rPr>
              <w:t>Perlis Land Settlement Enactment 1966</w:t>
            </w:r>
            <w:r w:rsidRPr="00F83DA8">
              <w:rPr>
                <w:color w:val="000000" w:themeColor="text1"/>
              </w:rPr>
              <w:t xml:space="preserve"> [No. 16 of 1966]</w:t>
            </w:r>
          </w:p>
          <w:p w14:paraId="0F4F3938" w14:textId="77777777" w:rsidR="00CF6968" w:rsidRPr="00F83DA8" w:rsidRDefault="00CF6968" w:rsidP="0089220B">
            <w:pPr>
              <w:pStyle w:val="TOSM"/>
              <w:jc w:val="both"/>
              <w:rPr>
                <w:color w:val="000000" w:themeColor="text1"/>
              </w:rPr>
            </w:pPr>
            <w:r w:rsidRPr="0027032F">
              <w:rPr>
                <w:i/>
                <w:color w:val="000000" w:themeColor="text1"/>
              </w:rPr>
              <w:lastRenderedPageBreak/>
              <w:t>Johore Malay Reservation Enactment 1936</w:t>
            </w:r>
            <w:r w:rsidRPr="00F83DA8">
              <w:rPr>
                <w:color w:val="000000" w:themeColor="text1"/>
              </w:rPr>
              <w:t xml:space="preserve"> [No. 1 of 1936]</w:t>
            </w:r>
          </w:p>
          <w:p w14:paraId="6D52E265" w14:textId="4C7C787A" w:rsidR="00CF6968" w:rsidRPr="00F83DA8" w:rsidRDefault="00CF6968" w:rsidP="0089220B">
            <w:pPr>
              <w:pStyle w:val="TOSM"/>
              <w:jc w:val="both"/>
              <w:rPr>
                <w:color w:val="000000" w:themeColor="text1"/>
              </w:rPr>
            </w:pPr>
            <w:r w:rsidRPr="0027032F">
              <w:rPr>
                <w:i/>
                <w:color w:val="000000" w:themeColor="text1"/>
              </w:rPr>
              <w:t>Terengganu Malay Reservation Enactment 1360</w:t>
            </w:r>
            <w:r w:rsidRPr="00F83DA8">
              <w:rPr>
                <w:color w:val="000000" w:themeColor="text1"/>
              </w:rPr>
              <w:t xml:space="preserve"> [No. 17 of 1360]</w:t>
            </w:r>
          </w:p>
          <w:p w14:paraId="1FC440B8" w14:textId="77777777" w:rsidR="00CF6968" w:rsidRPr="00F83DA8" w:rsidRDefault="00CF6968" w:rsidP="0089220B">
            <w:pPr>
              <w:pStyle w:val="TOSM"/>
              <w:jc w:val="both"/>
              <w:rPr>
                <w:color w:val="000000" w:themeColor="text1"/>
              </w:rPr>
            </w:pPr>
            <w:r w:rsidRPr="0027032F">
              <w:rPr>
                <w:i/>
                <w:color w:val="000000" w:themeColor="text1"/>
              </w:rPr>
              <w:t>Terengganu Settlement Enactment 1356</w:t>
            </w:r>
            <w:r w:rsidRPr="00F83DA8">
              <w:rPr>
                <w:color w:val="000000" w:themeColor="text1"/>
              </w:rPr>
              <w:t xml:space="preserve"> [No. 65 of 1356]</w:t>
            </w:r>
          </w:p>
          <w:p w14:paraId="46F3886B" w14:textId="77777777" w:rsidR="00CF6968" w:rsidRPr="0027032F" w:rsidRDefault="00CF6968" w:rsidP="0089220B">
            <w:pPr>
              <w:pStyle w:val="TOSM"/>
              <w:jc w:val="both"/>
              <w:rPr>
                <w:i/>
                <w:color w:val="000000" w:themeColor="text1"/>
              </w:rPr>
            </w:pPr>
            <w:r w:rsidRPr="0027032F">
              <w:rPr>
                <w:i/>
                <w:color w:val="000000" w:themeColor="text1"/>
              </w:rPr>
              <w:t>Malay Reservations (Selangor) (Amendment) Enactment No.15/1961</w:t>
            </w:r>
          </w:p>
          <w:p w14:paraId="07C545D8" w14:textId="6BC38981" w:rsidR="00CF6968" w:rsidRPr="0027032F" w:rsidRDefault="00CF6968" w:rsidP="0089220B">
            <w:pPr>
              <w:pStyle w:val="TOSM"/>
              <w:jc w:val="both"/>
              <w:rPr>
                <w:i/>
                <w:color w:val="000000" w:themeColor="text1"/>
              </w:rPr>
            </w:pPr>
            <w:r w:rsidRPr="0027032F">
              <w:rPr>
                <w:i/>
                <w:color w:val="000000" w:themeColor="text1"/>
              </w:rPr>
              <w:t>Malay Reservations (Selangor) (Amendment) Enactment No.</w:t>
            </w:r>
            <w:r w:rsidR="0054025A">
              <w:rPr>
                <w:i/>
                <w:color w:val="000000" w:themeColor="text1"/>
              </w:rPr>
              <w:t xml:space="preserve"> </w:t>
            </w:r>
            <w:r w:rsidRPr="0027032F">
              <w:rPr>
                <w:i/>
                <w:color w:val="000000" w:themeColor="text1"/>
              </w:rPr>
              <w:t>7/1985</w:t>
            </w:r>
          </w:p>
          <w:p w14:paraId="36152232" w14:textId="4C37D78D" w:rsidR="00CF6968" w:rsidRPr="00F83DA8" w:rsidRDefault="00CF6968" w:rsidP="0089220B">
            <w:pPr>
              <w:pStyle w:val="TOSM"/>
              <w:jc w:val="both"/>
              <w:rPr>
                <w:color w:val="000000" w:themeColor="text1"/>
              </w:rPr>
            </w:pPr>
            <w:r w:rsidRPr="0027032F">
              <w:rPr>
                <w:i/>
                <w:color w:val="000000" w:themeColor="text1"/>
              </w:rPr>
              <w:t>Customary Land Enactment 1926</w:t>
            </w:r>
            <w:r w:rsidRPr="00F83DA8">
              <w:rPr>
                <w:color w:val="000000" w:themeColor="text1"/>
              </w:rPr>
              <w:t xml:space="preserve"> [Cap</w:t>
            </w:r>
            <w:r w:rsidR="00B27AA4">
              <w:rPr>
                <w:color w:val="000000" w:themeColor="text1"/>
              </w:rPr>
              <w:t>.</w:t>
            </w:r>
            <w:r w:rsidRPr="00F83DA8">
              <w:rPr>
                <w:color w:val="000000" w:themeColor="text1"/>
              </w:rPr>
              <w:t xml:space="preserve"> 215]</w:t>
            </w:r>
          </w:p>
          <w:p w14:paraId="63CDB0E1" w14:textId="77777777" w:rsidR="00CF6968" w:rsidRPr="00F83DA8" w:rsidRDefault="00CF6968" w:rsidP="0089220B">
            <w:pPr>
              <w:pStyle w:val="TOSM"/>
              <w:jc w:val="both"/>
              <w:rPr>
                <w:color w:val="000000" w:themeColor="text1"/>
              </w:rPr>
            </w:pPr>
            <w:r w:rsidRPr="0027032F">
              <w:rPr>
                <w:i/>
                <w:color w:val="000000" w:themeColor="text1"/>
              </w:rPr>
              <w:t>Customary Tenure (</w:t>
            </w:r>
            <w:proofErr w:type="spellStart"/>
            <w:r w:rsidRPr="0027032F">
              <w:rPr>
                <w:i/>
                <w:color w:val="000000" w:themeColor="text1"/>
              </w:rPr>
              <w:t>Lengkongan</w:t>
            </w:r>
            <w:proofErr w:type="spellEnd"/>
            <w:r w:rsidRPr="0027032F">
              <w:rPr>
                <w:i/>
                <w:color w:val="000000" w:themeColor="text1"/>
              </w:rPr>
              <w:t xml:space="preserve"> Land) Enactment 1960</w:t>
            </w:r>
            <w:r w:rsidRPr="00F83DA8">
              <w:rPr>
                <w:color w:val="000000" w:themeColor="text1"/>
              </w:rPr>
              <w:t xml:space="preserve"> [No. 4 of 1960]</w:t>
            </w:r>
          </w:p>
          <w:p w14:paraId="650783F9" w14:textId="77777777" w:rsidR="00CF6968" w:rsidRPr="00F83DA8" w:rsidRDefault="00CF6968" w:rsidP="0089220B">
            <w:pPr>
              <w:pStyle w:val="TOSM"/>
              <w:jc w:val="both"/>
              <w:rPr>
                <w:color w:val="000000" w:themeColor="text1"/>
              </w:rPr>
            </w:pPr>
            <w:proofErr w:type="spellStart"/>
            <w:r w:rsidRPr="0027032F">
              <w:rPr>
                <w:i/>
                <w:color w:val="000000" w:themeColor="text1"/>
              </w:rPr>
              <w:t>Undang</w:t>
            </w:r>
            <w:proofErr w:type="spellEnd"/>
            <w:r w:rsidRPr="0027032F">
              <w:rPr>
                <w:i/>
                <w:color w:val="000000" w:themeColor="text1"/>
              </w:rPr>
              <w:t xml:space="preserve"> of </w:t>
            </w:r>
            <w:proofErr w:type="spellStart"/>
            <w:r w:rsidRPr="0027032F">
              <w:rPr>
                <w:i/>
                <w:color w:val="000000" w:themeColor="text1"/>
              </w:rPr>
              <w:t>Rembau</w:t>
            </w:r>
            <w:proofErr w:type="spellEnd"/>
            <w:r w:rsidRPr="0027032F">
              <w:rPr>
                <w:i/>
                <w:color w:val="000000" w:themeColor="text1"/>
              </w:rPr>
              <w:t xml:space="preserve"> (Lands) Enactment 1949</w:t>
            </w:r>
            <w:r w:rsidRPr="00F83DA8">
              <w:rPr>
                <w:color w:val="000000" w:themeColor="text1"/>
              </w:rPr>
              <w:t xml:space="preserve"> [No. 2 of 1949]</w:t>
            </w:r>
          </w:p>
          <w:p w14:paraId="6C5ED84C" w14:textId="15550834" w:rsidR="00CF6968" w:rsidRPr="00F83DA8" w:rsidRDefault="00671467" w:rsidP="0089220B">
            <w:pPr>
              <w:pStyle w:val="TOSM"/>
              <w:jc w:val="both"/>
              <w:rPr>
                <w:color w:val="000000" w:themeColor="text1"/>
              </w:rPr>
            </w:pPr>
            <w:r>
              <w:rPr>
                <w:i/>
                <w:color w:val="000000" w:themeColor="text1"/>
              </w:rPr>
              <w:t xml:space="preserve">Sabah </w:t>
            </w:r>
            <w:r w:rsidR="00CF6968" w:rsidRPr="0027032F">
              <w:rPr>
                <w:i/>
                <w:color w:val="000000" w:themeColor="text1"/>
              </w:rPr>
              <w:t>Land Ordinance</w:t>
            </w:r>
            <w:r w:rsidR="00CF6968" w:rsidRPr="00F83DA8">
              <w:rPr>
                <w:color w:val="000000" w:themeColor="text1"/>
              </w:rPr>
              <w:t xml:space="preserve"> [Sabah Cap</w:t>
            </w:r>
            <w:r w:rsidR="00B27AA4">
              <w:rPr>
                <w:color w:val="000000" w:themeColor="text1"/>
              </w:rPr>
              <w:t>.</w:t>
            </w:r>
            <w:r w:rsidR="00CF6968" w:rsidRPr="00F83DA8">
              <w:rPr>
                <w:color w:val="000000" w:themeColor="text1"/>
              </w:rPr>
              <w:t xml:space="preserve"> 68]</w:t>
            </w:r>
          </w:p>
          <w:p w14:paraId="0D9CCA95" w14:textId="035C9AD6" w:rsidR="00CF6968" w:rsidRPr="00F83DA8" w:rsidRDefault="00CF6968" w:rsidP="0089220B">
            <w:pPr>
              <w:pStyle w:val="TOSM"/>
              <w:jc w:val="both"/>
              <w:rPr>
                <w:color w:val="000000" w:themeColor="text1"/>
              </w:rPr>
            </w:pPr>
            <w:r w:rsidRPr="0027032F">
              <w:rPr>
                <w:i/>
                <w:color w:val="000000" w:themeColor="text1"/>
              </w:rPr>
              <w:t>Sabah Land Acquisition Ordinance</w:t>
            </w:r>
            <w:r w:rsidRPr="00F83DA8">
              <w:rPr>
                <w:color w:val="000000" w:themeColor="text1"/>
              </w:rPr>
              <w:t xml:space="preserve"> [</w:t>
            </w:r>
            <w:r w:rsidR="0066186B">
              <w:rPr>
                <w:color w:val="000000" w:themeColor="text1"/>
              </w:rPr>
              <w:t xml:space="preserve">Sabah </w:t>
            </w:r>
            <w:r w:rsidRPr="00F83DA8">
              <w:rPr>
                <w:color w:val="000000" w:themeColor="text1"/>
              </w:rPr>
              <w:t>Cap</w:t>
            </w:r>
            <w:r w:rsidR="00B27AA4">
              <w:rPr>
                <w:color w:val="000000" w:themeColor="text1"/>
              </w:rPr>
              <w:t>.</w:t>
            </w:r>
            <w:r w:rsidRPr="00F83DA8">
              <w:rPr>
                <w:color w:val="000000" w:themeColor="text1"/>
              </w:rPr>
              <w:t xml:space="preserve"> 69]</w:t>
            </w:r>
          </w:p>
          <w:p w14:paraId="53146A0E" w14:textId="2A42F5EF" w:rsidR="00CF6968" w:rsidRPr="00F83DA8" w:rsidRDefault="00CF6968" w:rsidP="0089220B">
            <w:pPr>
              <w:pStyle w:val="TOSM"/>
              <w:jc w:val="both"/>
              <w:rPr>
                <w:color w:val="000000" w:themeColor="text1"/>
              </w:rPr>
            </w:pPr>
            <w:r w:rsidRPr="0027032F">
              <w:rPr>
                <w:i/>
                <w:color w:val="000000" w:themeColor="text1"/>
              </w:rPr>
              <w:t>Sarawak Land Code 1958</w:t>
            </w:r>
            <w:r w:rsidRPr="00F83DA8">
              <w:rPr>
                <w:color w:val="000000" w:themeColor="text1"/>
              </w:rPr>
              <w:t xml:space="preserve"> [Chapter 81]</w:t>
            </w:r>
            <w:r w:rsidR="00ED54EA">
              <w:rPr>
                <w:color w:val="000000" w:themeColor="text1"/>
              </w:rPr>
              <w:t xml:space="preserve"> (1958 Edition)</w:t>
            </w:r>
          </w:p>
          <w:p w14:paraId="51357034" w14:textId="77777777" w:rsidR="00CF6968" w:rsidRPr="00F83DA8" w:rsidRDefault="00CF6968" w:rsidP="0089220B">
            <w:pPr>
              <w:pStyle w:val="TOSM"/>
              <w:jc w:val="both"/>
              <w:rPr>
                <w:color w:val="000000" w:themeColor="text1"/>
              </w:rPr>
            </w:pPr>
            <w:r w:rsidRPr="0027032F">
              <w:rPr>
                <w:i/>
                <w:color w:val="000000" w:themeColor="text1"/>
              </w:rPr>
              <w:t>Local Government Act 1976</w:t>
            </w:r>
            <w:r w:rsidRPr="00F83DA8">
              <w:rPr>
                <w:color w:val="000000" w:themeColor="text1"/>
              </w:rPr>
              <w:t xml:space="preserve"> [Act 171]</w:t>
            </w:r>
          </w:p>
          <w:p w14:paraId="0A1E61EC" w14:textId="77777777" w:rsidR="00CF6968" w:rsidRPr="00F83DA8" w:rsidRDefault="00CF6968" w:rsidP="0089220B">
            <w:pPr>
              <w:pStyle w:val="TOSM"/>
              <w:jc w:val="both"/>
              <w:rPr>
                <w:color w:val="000000" w:themeColor="text1"/>
              </w:rPr>
            </w:pPr>
            <w:r w:rsidRPr="0027032F">
              <w:rPr>
                <w:i/>
                <w:color w:val="000000" w:themeColor="text1"/>
              </w:rPr>
              <w:t>Town and Country Planning Act 1976</w:t>
            </w:r>
            <w:r w:rsidRPr="00F83DA8">
              <w:rPr>
                <w:color w:val="000000" w:themeColor="text1"/>
              </w:rPr>
              <w:t xml:space="preserve"> [Act 172]</w:t>
            </w:r>
          </w:p>
          <w:p w14:paraId="4A9F44D8" w14:textId="77777777" w:rsidR="00CF6968" w:rsidRPr="00F83DA8" w:rsidRDefault="00CF6968" w:rsidP="0089220B">
            <w:pPr>
              <w:pStyle w:val="TOSM"/>
              <w:jc w:val="both"/>
              <w:rPr>
                <w:color w:val="000000" w:themeColor="text1"/>
              </w:rPr>
            </w:pPr>
            <w:r w:rsidRPr="0027032F">
              <w:rPr>
                <w:i/>
                <w:color w:val="000000" w:themeColor="text1"/>
              </w:rPr>
              <w:t>Federal Territory (Planning) Act 1982</w:t>
            </w:r>
            <w:r w:rsidRPr="00F83DA8">
              <w:rPr>
                <w:color w:val="000000" w:themeColor="text1"/>
              </w:rPr>
              <w:t xml:space="preserve"> [Act 267]</w:t>
            </w:r>
          </w:p>
          <w:p w14:paraId="5B20EF74" w14:textId="77777777" w:rsidR="00CF6968" w:rsidRPr="00F83DA8" w:rsidRDefault="00CF6968" w:rsidP="0089220B">
            <w:pPr>
              <w:pStyle w:val="TOSM"/>
              <w:jc w:val="both"/>
              <w:rPr>
                <w:color w:val="000000" w:themeColor="text1"/>
              </w:rPr>
            </w:pPr>
            <w:r w:rsidRPr="0027032F">
              <w:rPr>
                <w:i/>
                <w:color w:val="000000" w:themeColor="text1"/>
              </w:rPr>
              <w:t>Federal Capital Act 1960</w:t>
            </w:r>
            <w:r w:rsidRPr="00F83DA8">
              <w:rPr>
                <w:color w:val="000000" w:themeColor="text1"/>
              </w:rPr>
              <w:t xml:space="preserve"> [Act 190]</w:t>
            </w:r>
          </w:p>
          <w:p w14:paraId="198F1EF1" w14:textId="77777777" w:rsidR="00CF6968" w:rsidRPr="00F83DA8" w:rsidRDefault="00CF6968" w:rsidP="0089220B">
            <w:pPr>
              <w:pStyle w:val="TOSM"/>
              <w:jc w:val="both"/>
              <w:rPr>
                <w:color w:val="000000" w:themeColor="text1"/>
              </w:rPr>
            </w:pPr>
            <w:r w:rsidRPr="0027032F">
              <w:rPr>
                <w:i/>
                <w:color w:val="000000" w:themeColor="text1"/>
              </w:rPr>
              <w:t>Street, Drainage and Building Act 1974</w:t>
            </w:r>
            <w:r w:rsidRPr="00F83DA8">
              <w:rPr>
                <w:color w:val="000000" w:themeColor="text1"/>
              </w:rPr>
              <w:t xml:space="preserve"> [Act 133]</w:t>
            </w:r>
          </w:p>
        </w:tc>
      </w:tr>
    </w:tbl>
    <w:p w14:paraId="750C59B0" w14:textId="41B8BA1F" w:rsidR="00CF6968" w:rsidRPr="00F83DA8" w:rsidRDefault="00CF6968" w:rsidP="0089220B">
      <w:pPr>
        <w:spacing w:after="120"/>
        <w:rPr>
          <w:color w:val="000000" w:themeColor="text1"/>
        </w:rPr>
      </w:pPr>
      <w:r w:rsidRPr="00F83DA8">
        <w:rPr>
          <w:color w:val="000000" w:themeColor="text1"/>
        </w:rPr>
        <w:lastRenderedPageBreak/>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2"/>
        <w:gridCol w:w="2269"/>
        <w:gridCol w:w="308"/>
        <w:gridCol w:w="4550"/>
      </w:tblGrid>
      <w:tr w:rsidR="00F83DA8" w:rsidRPr="00F83DA8" w14:paraId="37141EB3" w14:textId="77777777" w:rsidTr="00502987">
        <w:tc>
          <w:tcPr>
            <w:tcW w:w="298" w:type="pct"/>
          </w:tcPr>
          <w:p w14:paraId="3C7CD273" w14:textId="77777777" w:rsidR="00CF6968" w:rsidRPr="00F83DA8" w:rsidRDefault="00CF6968" w:rsidP="0089220B">
            <w:pPr>
              <w:numPr>
                <w:ilvl w:val="0"/>
                <w:numId w:val="5"/>
              </w:numPr>
              <w:spacing w:after="120"/>
              <w:rPr>
                <w:rFonts w:cs="Arial"/>
                <w:snapToGrid w:val="0"/>
                <w:color w:val="000000" w:themeColor="text1"/>
                <w:szCs w:val="20"/>
              </w:rPr>
            </w:pPr>
          </w:p>
        </w:tc>
        <w:tc>
          <w:tcPr>
            <w:tcW w:w="1497" w:type="pct"/>
          </w:tcPr>
          <w:p w14:paraId="1BA24FBC" w14:textId="77777777" w:rsidR="00CF6968" w:rsidRPr="00F83DA8" w:rsidRDefault="00CF6968" w:rsidP="0089220B">
            <w:pPr>
              <w:spacing w:after="120"/>
              <w:rPr>
                <w:rFonts w:cs="Arial"/>
                <w:color w:val="000000" w:themeColor="text1"/>
                <w:szCs w:val="20"/>
              </w:rPr>
            </w:pPr>
            <w:r w:rsidRPr="00F83DA8">
              <w:rPr>
                <w:rFonts w:cs="Arial"/>
                <w:snapToGrid w:val="0"/>
                <w:color w:val="000000" w:themeColor="text1"/>
                <w:szCs w:val="20"/>
              </w:rPr>
              <w:t>Sector</w:t>
            </w:r>
          </w:p>
        </w:tc>
        <w:tc>
          <w:tcPr>
            <w:tcW w:w="203" w:type="pct"/>
          </w:tcPr>
          <w:p w14:paraId="3CD99D7D"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02" w:type="pct"/>
          </w:tcPr>
          <w:p w14:paraId="037B951D" w14:textId="77777777" w:rsidR="00CF6968" w:rsidRPr="00F83DA8" w:rsidRDefault="00CF6968" w:rsidP="0089220B">
            <w:pPr>
              <w:spacing w:after="120"/>
              <w:jc w:val="both"/>
              <w:rPr>
                <w:rFonts w:cs="Arial"/>
                <w:snapToGrid w:val="0"/>
                <w:color w:val="000000" w:themeColor="text1"/>
                <w:szCs w:val="20"/>
              </w:rPr>
            </w:pPr>
            <w:r w:rsidRPr="00F83DA8">
              <w:rPr>
                <w:rFonts w:cs="Arial"/>
                <w:snapToGrid w:val="0"/>
                <w:color w:val="000000" w:themeColor="text1"/>
                <w:szCs w:val="20"/>
              </w:rPr>
              <w:t>All sectors</w:t>
            </w:r>
          </w:p>
        </w:tc>
      </w:tr>
      <w:tr w:rsidR="00F83DA8" w:rsidRPr="00F83DA8" w14:paraId="02D5E9A8" w14:textId="77777777" w:rsidTr="00502987">
        <w:tc>
          <w:tcPr>
            <w:tcW w:w="298" w:type="pct"/>
          </w:tcPr>
          <w:p w14:paraId="19EA9677" w14:textId="77777777" w:rsidR="00CF6968" w:rsidRPr="00F83DA8" w:rsidRDefault="00CF6968" w:rsidP="0089220B">
            <w:pPr>
              <w:spacing w:after="120"/>
              <w:rPr>
                <w:rFonts w:cs="Arial"/>
                <w:color w:val="000000" w:themeColor="text1"/>
                <w:szCs w:val="20"/>
              </w:rPr>
            </w:pPr>
          </w:p>
        </w:tc>
        <w:tc>
          <w:tcPr>
            <w:tcW w:w="1497" w:type="pct"/>
          </w:tcPr>
          <w:p w14:paraId="579B1A1D"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Subsector</w:t>
            </w:r>
          </w:p>
        </w:tc>
        <w:tc>
          <w:tcPr>
            <w:tcW w:w="203" w:type="pct"/>
          </w:tcPr>
          <w:p w14:paraId="74459DED"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02" w:type="pct"/>
          </w:tcPr>
          <w:p w14:paraId="2DC893AC" w14:textId="77777777" w:rsidR="00CF6968" w:rsidRPr="00F83DA8" w:rsidRDefault="00CF6968" w:rsidP="0089220B">
            <w:pPr>
              <w:spacing w:after="120"/>
              <w:jc w:val="both"/>
              <w:rPr>
                <w:rFonts w:cs="Arial"/>
                <w:color w:val="000000" w:themeColor="text1"/>
              </w:rPr>
            </w:pPr>
            <w:r w:rsidRPr="00F83DA8">
              <w:rPr>
                <w:rFonts w:cs="Arial"/>
                <w:color w:val="000000" w:themeColor="text1"/>
              </w:rPr>
              <w:t>-</w:t>
            </w:r>
          </w:p>
        </w:tc>
      </w:tr>
      <w:tr w:rsidR="00F83DA8" w:rsidRPr="00F83DA8" w14:paraId="0F3B8C1C" w14:textId="77777777" w:rsidTr="00502987">
        <w:tc>
          <w:tcPr>
            <w:tcW w:w="298" w:type="pct"/>
          </w:tcPr>
          <w:p w14:paraId="63718009" w14:textId="77777777" w:rsidR="00CF6968" w:rsidRPr="00F83DA8" w:rsidRDefault="00CF6968" w:rsidP="0089220B">
            <w:pPr>
              <w:spacing w:after="120"/>
              <w:rPr>
                <w:rFonts w:cs="Arial"/>
                <w:color w:val="000000" w:themeColor="text1"/>
                <w:szCs w:val="20"/>
              </w:rPr>
            </w:pPr>
          </w:p>
        </w:tc>
        <w:tc>
          <w:tcPr>
            <w:tcW w:w="1497" w:type="pct"/>
          </w:tcPr>
          <w:p w14:paraId="1449C758"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Obligations Concerned</w:t>
            </w:r>
          </w:p>
        </w:tc>
        <w:tc>
          <w:tcPr>
            <w:tcW w:w="203" w:type="pct"/>
          </w:tcPr>
          <w:p w14:paraId="6D713EED"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02" w:type="pct"/>
          </w:tcPr>
          <w:p w14:paraId="399E5F38" w14:textId="0257810E" w:rsidR="0094426F" w:rsidRPr="00F83DA8" w:rsidRDefault="0094426F" w:rsidP="0089220B">
            <w:pPr>
              <w:pStyle w:val="TOSM"/>
              <w:jc w:val="both"/>
              <w:rPr>
                <w:color w:val="000000" w:themeColor="text1"/>
              </w:rPr>
            </w:pPr>
            <w:r w:rsidRPr="00F83DA8">
              <w:rPr>
                <w:color w:val="000000" w:themeColor="text1"/>
              </w:rPr>
              <w:t>National Treatment</w:t>
            </w:r>
          </w:p>
          <w:p w14:paraId="0BB7C409" w14:textId="2515A52B" w:rsidR="0094426F" w:rsidRPr="00F83DA8" w:rsidRDefault="0094426F" w:rsidP="0089220B">
            <w:pPr>
              <w:pStyle w:val="TOSM"/>
              <w:jc w:val="both"/>
              <w:rPr>
                <w:color w:val="000000" w:themeColor="text1"/>
              </w:rPr>
            </w:pPr>
            <w:r w:rsidRPr="00F83DA8">
              <w:rPr>
                <w:color w:val="000000" w:themeColor="text1"/>
              </w:rPr>
              <w:t>Most-</w:t>
            </w:r>
            <w:proofErr w:type="spellStart"/>
            <w:r w:rsidRPr="00F83DA8">
              <w:rPr>
                <w:color w:val="000000" w:themeColor="text1"/>
              </w:rPr>
              <w:t>Favoured</w:t>
            </w:r>
            <w:proofErr w:type="spellEnd"/>
            <w:r w:rsidRPr="00F83DA8">
              <w:rPr>
                <w:color w:val="000000" w:themeColor="text1"/>
              </w:rPr>
              <w:t>-Nation Treatment</w:t>
            </w:r>
          </w:p>
          <w:p w14:paraId="449444AF" w14:textId="25635973" w:rsidR="004F4147" w:rsidRPr="00F83DA8" w:rsidRDefault="004F4147" w:rsidP="0089220B">
            <w:pPr>
              <w:pStyle w:val="TOSM"/>
              <w:jc w:val="both"/>
              <w:rPr>
                <w:color w:val="000000" w:themeColor="text1"/>
              </w:rPr>
            </w:pPr>
            <w:r w:rsidRPr="00F83DA8">
              <w:rPr>
                <w:color w:val="000000" w:themeColor="text1"/>
              </w:rPr>
              <w:t>Senior Management and Board of Directors</w:t>
            </w:r>
          </w:p>
          <w:p w14:paraId="497100E1" w14:textId="75CFD2D1" w:rsidR="00CF6968" w:rsidRPr="00F83DA8" w:rsidRDefault="0094426F" w:rsidP="0089220B">
            <w:pPr>
              <w:pStyle w:val="TOSM"/>
              <w:jc w:val="both"/>
              <w:rPr>
                <w:color w:val="000000" w:themeColor="text1"/>
              </w:rPr>
            </w:pPr>
            <w:r w:rsidRPr="00F83DA8">
              <w:rPr>
                <w:color w:val="000000" w:themeColor="text1"/>
              </w:rPr>
              <w:t>Prohibition of Performance Requirements</w:t>
            </w:r>
            <w:r w:rsidR="00CF6968" w:rsidRPr="00F83DA8">
              <w:rPr>
                <w:color w:val="000000" w:themeColor="text1"/>
              </w:rPr>
              <w:t xml:space="preserve"> </w:t>
            </w:r>
          </w:p>
        </w:tc>
      </w:tr>
      <w:tr w:rsidR="00F83DA8" w:rsidRPr="00F83DA8" w14:paraId="5D73DA76" w14:textId="77777777" w:rsidTr="00502987">
        <w:tc>
          <w:tcPr>
            <w:tcW w:w="298" w:type="pct"/>
          </w:tcPr>
          <w:p w14:paraId="7A7AD5E0" w14:textId="77777777" w:rsidR="00CF6968" w:rsidRPr="00F83DA8" w:rsidRDefault="00CF6968" w:rsidP="0089220B">
            <w:pPr>
              <w:spacing w:after="120"/>
              <w:rPr>
                <w:rFonts w:cs="Arial"/>
                <w:snapToGrid w:val="0"/>
                <w:color w:val="000000" w:themeColor="text1"/>
                <w:szCs w:val="20"/>
              </w:rPr>
            </w:pPr>
          </w:p>
        </w:tc>
        <w:tc>
          <w:tcPr>
            <w:tcW w:w="1497" w:type="pct"/>
          </w:tcPr>
          <w:p w14:paraId="556BEC0F"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Description</w:t>
            </w:r>
          </w:p>
        </w:tc>
        <w:tc>
          <w:tcPr>
            <w:tcW w:w="203" w:type="pct"/>
          </w:tcPr>
          <w:p w14:paraId="284BD4B1"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02" w:type="pct"/>
          </w:tcPr>
          <w:p w14:paraId="002B4A98" w14:textId="77777777" w:rsidR="00CF6968" w:rsidRPr="00F83DA8" w:rsidRDefault="00CF6968" w:rsidP="0089220B">
            <w:pPr>
              <w:pStyle w:val="DM"/>
              <w:spacing w:after="120"/>
              <w:jc w:val="both"/>
              <w:rPr>
                <w:color w:val="000000" w:themeColor="text1"/>
              </w:rPr>
            </w:pPr>
            <w:r w:rsidRPr="00F83DA8">
              <w:rPr>
                <w:color w:val="000000" w:themeColor="text1"/>
              </w:rPr>
              <w:t>Malaysia reserves the right to adopt or maintain any measure affecting the:</w:t>
            </w:r>
          </w:p>
          <w:p w14:paraId="17D956DA" w14:textId="77777777" w:rsidR="00CF6968" w:rsidRPr="00F83DA8" w:rsidRDefault="00CF6968" w:rsidP="0089220B">
            <w:pPr>
              <w:pStyle w:val="DMList1"/>
              <w:ind w:left="517" w:hanging="517"/>
              <w:contextualSpacing w:val="0"/>
              <w:jc w:val="both"/>
              <w:rPr>
                <w:color w:val="000000" w:themeColor="text1"/>
              </w:rPr>
            </w:pPr>
            <w:r w:rsidRPr="00F83DA8">
              <w:rPr>
                <w:color w:val="000000" w:themeColor="text1"/>
              </w:rPr>
              <w:t>(a)</w:t>
            </w:r>
            <w:r w:rsidRPr="00F83DA8">
              <w:rPr>
                <w:color w:val="000000" w:themeColor="text1"/>
              </w:rPr>
              <w:tab/>
              <w:t>full or partial devolvement to the private sector of services provided in the exercise of governmental authority;</w:t>
            </w:r>
          </w:p>
          <w:p w14:paraId="07E5B46E" w14:textId="77777777" w:rsidR="00CF6968" w:rsidRPr="00F83DA8" w:rsidRDefault="00CF6968" w:rsidP="0089220B">
            <w:pPr>
              <w:pStyle w:val="DMList1"/>
              <w:ind w:left="517" w:hanging="517"/>
              <w:contextualSpacing w:val="0"/>
              <w:jc w:val="both"/>
              <w:rPr>
                <w:color w:val="000000" w:themeColor="text1"/>
              </w:rPr>
            </w:pPr>
            <w:r w:rsidRPr="00F83DA8">
              <w:rPr>
                <w:color w:val="000000" w:themeColor="text1"/>
              </w:rPr>
              <w:t>(b)</w:t>
            </w:r>
            <w:r w:rsidRPr="00F83DA8">
              <w:rPr>
                <w:color w:val="000000" w:themeColor="text1"/>
              </w:rPr>
              <w:tab/>
              <w:t>divestment of its equity interests in, or the assets of, a juridical person that is wholly or partially owned by the Government of Malaysia; and</w:t>
            </w:r>
          </w:p>
          <w:p w14:paraId="12478988" w14:textId="77777777" w:rsidR="00CF6968" w:rsidRPr="00F83DA8" w:rsidRDefault="00CF6968" w:rsidP="0089220B">
            <w:pPr>
              <w:pStyle w:val="DMList1"/>
              <w:ind w:left="517" w:hanging="517"/>
              <w:contextualSpacing w:val="0"/>
              <w:jc w:val="both"/>
              <w:rPr>
                <w:color w:val="000000" w:themeColor="text1"/>
              </w:rPr>
            </w:pPr>
            <w:r w:rsidRPr="00F83DA8">
              <w:rPr>
                <w:color w:val="000000" w:themeColor="text1"/>
              </w:rPr>
              <w:t>(c)</w:t>
            </w:r>
            <w:r w:rsidRPr="00F83DA8">
              <w:rPr>
                <w:color w:val="000000" w:themeColor="text1"/>
              </w:rPr>
              <w:tab/>
              <w:t>privatisation of government-owned entities or assets.</w:t>
            </w:r>
          </w:p>
        </w:tc>
      </w:tr>
      <w:tr w:rsidR="00CF6968" w:rsidRPr="00F83DA8" w14:paraId="5BA88017" w14:textId="77777777" w:rsidTr="00502987">
        <w:tc>
          <w:tcPr>
            <w:tcW w:w="298" w:type="pct"/>
          </w:tcPr>
          <w:p w14:paraId="4090CBC5" w14:textId="77777777" w:rsidR="00CF6968" w:rsidRPr="00F83DA8" w:rsidRDefault="00CF6968" w:rsidP="0089220B">
            <w:pPr>
              <w:spacing w:after="120"/>
              <w:rPr>
                <w:rFonts w:cs="Arial"/>
                <w:color w:val="000000" w:themeColor="text1"/>
                <w:szCs w:val="20"/>
              </w:rPr>
            </w:pPr>
          </w:p>
        </w:tc>
        <w:tc>
          <w:tcPr>
            <w:tcW w:w="1497" w:type="pct"/>
          </w:tcPr>
          <w:p w14:paraId="0DE62DFE"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Existing Measures</w:t>
            </w:r>
          </w:p>
        </w:tc>
        <w:tc>
          <w:tcPr>
            <w:tcW w:w="203" w:type="pct"/>
          </w:tcPr>
          <w:p w14:paraId="527F328D"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w:t>
            </w:r>
          </w:p>
        </w:tc>
        <w:tc>
          <w:tcPr>
            <w:tcW w:w="3002" w:type="pct"/>
          </w:tcPr>
          <w:p w14:paraId="74C33DC9" w14:textId="77777777" w:rsidR="00CF6968" w:rsidRPr="00F83DA8" w:rsidRDefault="00CF6968" w:rsidP="0089220B">
            <w:pPr>
              <w:pStyle w:val="TOSM"/>
              <w:jc w:val="both"/>
              <w:rPr>
                <w:color w:val="000000" w:themeColor="text1"/>
              </w:rPr>
            </w:pPr>
            <w:r w:rsidRPr="0027032F">
              <w:rPr>
                <w:i/>
                <w:color w:val="000000" w:themeColor="text1"/>
              </w:rPr>
              <w:t>Minister of Finance (Incorporation) Act 1957</w:t>
            </w:r>
            <w:r w:rsidRPr="00F83DA8">
              <w:rPr>
                <w:color w:val="000000" w:themeColor="text1"/>
              </w:rPr>
              <w:t xml:space="preserve"> [Act 375]</w:t>
            </w:r>
          </w:p>
          <w:p w14:paraId="66BA780A" w14:textId="77777777" w:rsidR="00286E61" w:rsidRPr="00F83DA8" w:rsidRDefault="00286E61" w:rsidP="00286E61">
            <w:pPr>
              <w:pStyle w:val="TOSM"/>
              <w:jc w:val="both"/>
              <w:rPr>
                <w:color w:val="000000" w:themeColor="text1"/>
              </w:rPr>
            </w:pPr>
            <w:r w:rsidRPr="0027032F">
              <w:rPr>
                <w:i/>
                <w:color w:val="000000" w:themeColor="text1"/>
              </w:rPr>
              <w:t>Companies Act 2016</w:t>
            </w:r>
            <w:r w:rsidRPr="00F83DA8">
              <w:rPr>
                <w:color w:val="000000" w:themeColor="text1"/>
              </w:rPr>
              <w:t xml:space="preserve"> [Act 777]</w:t>
            </w:r>
          </w:p>
          <w:p w14:paraId="01263DD0" w14:textId="2E8C9B9D" w:rsidR="00CF6968" w:rsidRPr="00F83DA8" w:rsidRDefault="00CF6968" w:rsidP="0089220B">
            <w:pPr>
              <w:pStyle w:val="TOSM"/>
              <w:jc w:val="both"/>
              <w:rPr>
                <w:color w:val="000000" w:themeColor="text1"/>
              </w:rPr>
            </w:pPr>
            <w:proofErr w:type="spellStart"/>
            <w:r w:rsidRPr="00F83DA8">
              <w:rPr>
                <w:color w:val="000000" w:themeColor="text1"/>
              </w:rPr>
              <w:t>Privatisation</w:t>
            </w:r>
            <w:proofErr w:type="spellEnd"/>
            <w:r w:rsidRPr="00F83DA8">
              <w:rPr>
                <w:color w:val="000000" w:themeColor="text1"/>
              </w:rPr>
              <w:t xml:space="preserve"> Master Plan</w:t>
            </w:r>
          </w:p>
          <w:p w14:paraId="331DF65B" w14:textId="77777777" w:rsidR="00CF6968" w:rsidRPr="00F83DA8" w:rsidRDefault="00CF6968" w:rsidP="0089220B">
            <w:pPr>
              <w:pStyle w:val="TOSM"/>
              <w:jc w:val="both"/>
              <w:rPr>
                <w:color w:val="000000" w:themeColor="text1"/>
              </w:rPr>
            </w:pPr>
            <w:r w:rsidRPr="00F83DA8">
              <w:rPr>
                <w:color w:val="000000" w:themeColor="text1"/>
              </w:rPr>
              <w:t xml:space="preserve">Guidelines on </w:t>
            </w:r>
            <w:proofErr w:type="spellStart"/>
            <w:r w:rsidRPr="00F83DA8">
              <w:rPr>
                <w:color w:val="000000" w:themeColor="text1"/>
              </w:rPr>
              <w:t>Privatisation</w:t>
            </w:r>
            <w:proofErr w:type="spellEnd"/>
          </w:p>
          <w:p w14:paraId="2CE4AC08" w14:textId="77777777" w:rsidR="00CF6968" w:rsidRPr="00F83DA8" w:rsidRDefault="00CF6968" w:rsidP="0089220B">
            <w:pPr>
              <w:pStyle w:val="TOSM"/>
              <w:jc w:val="both"/>
              <w:rPr>
                <w:color w:val="000000" w:themeColor="text1"/>
              </w:rPr>
            </w:pPr>
            <w:r w:rsidRPr="00F83DA8">
              <w:rPr>
                <w:color w:val="000000" w:themeColor="text1"/>
              </w:rPr>
              <w:t>Bursa Listing Requirements</w:t>
            </w:r>
          </w:p>
        </w:tc>
      </w:tr>
    </w:tbl>
    <w:p w14:paraId="3AD92781" w14:textId="77777777" w:rsidR="00CF6968" w:rsidRPr="00F83DA8" w:rsidRDefault="00CF6968" w:rsidP="0089220B">
      <w:pPr>
        <w:pStyle w:val="TOSM"/>
        <w:rPr>
          <w:color w:val="000000" w:themeColor="text1"/>
        </w:rPr>
      </w:pPr>
      <w:r w:rsidRPr="00F83DA8">
        <w:rPr>
          <w:color w:val="000000" w:themeColor="text1"/>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1"/>
        <w:gridCol w:w="2271"/>
        <w:gridCol w:w="308"/>
        <w:gridCol w:w="4549"/>
      </w:tblGrid>
      <w:tr w:rsidR="00F83DA8" w:rsidRPr="00F83DA8" w14:paraId="31719EFA" w14:textId="77777777" w:rsidTr="0094426F">
        <w:tc>
          <w:tcPr>
            <w:tcW w:w="298" w:type="pct"/>
          </w:tcPr>
          <w:p w14:paraId="5CE2D575" w14:textId="77777777" w:rsidR="00CF6968" w:rsidRPr="00F83DA8" w:rsidRDefault="00CF6968" w:rsidP="0089220B">
            <w:pPr>
              <w:numPr>
                <w:ilvl w:val="0"/>
                <w:numId w:val="5"/>
              </w:numPr>
              <w:spacing w:after="120"/>
              <w:rPr>
                <w:rFonts w:cs="Arial"/>
                <w:snapToGrid w:val="0"/>
                <w:color w:val="000000" w:themeColor="text1"/>
                <w:szCs w:val="20"/>
              </w:rPr>
            </w:pPr>
          </w:p>
        </w:tc>
        <w:tc>
          <w:tcPr>
            <w:tcW w:w="1498" w:type="pct"/>
          </w:tcPr>
          <w:p w14:paraId="0523CA3E" w14:textId="77777777" w:rsidR="00CF6968" w:rsidRPr="00F83DA8" w:rsidRDefault="00CF6968" w:rsidP="0089220B">
            <w:pPr>
              <w:spacing w:after="120"/>
              <w:rPr>
                <w:rFonts w:cs="Arial"/>
                <w:color w:val="000000" w:themeColor="text1"/>
                <w:szCs w:val="20"/>
              </w:rPr>
            </w:pPr>
            <w:r w:rsidRPr="00F83DA8">
              <w:rPr>
                <w:rFonts w:cs="Arial"/>
                <w:snapToGrid w:val="0"/>
                <w:color w:val="000000" w:themeColor="text1"/>
                <w:szCs w:val="20"/>
              </w:rPr>
              <w:t>Sector</w:t>
            </w:r>
          </w:p>
        </w:tc>
        <w:tc>
          <w:tcPr>
            <w:tcW w:w="203" w:type="pct"/>
          </w:tcPr>
          <w:p w14:paraId="49124CBE"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01" w:type="pct"/>
          </w:tcPr>
          <w:p w14:paraId="5E16F2E8" w14:textId="77777777" w:rsidR="00CF6968" w:rsidRPr="00F83DA8" w:rsidRDefault="00CF6968" w:rsidP="0089220B">
            <w:pPr>
              <w:spacing w:after="120"/>
              <w:jc w:val="both"/>
              <w:rPr>
                <w:rFonts w:cs="Arial"/>
                <w:snapToGrid w:val="0"/>
                <w:color w:val="000000" w:themeColor="text1"/>
                <w:szCs w:val="20"/>
              </w:rPr>
            </w:pPr>
            <w:r w:rsidRPr="00F83DA8">
              <w:rPr>
                <w:rFonts w:cs="Arial"/>
                <w:snapToGrid w:val="0"/>
                <w:color w:val="000000" w:themeColor="text1"/>
                <w:szCs w:val="20"/>
              </w:rPr>
              <w:t>All sectors</w:t>
            </w:r>
          </w:p>
        </w:tc>
      </w:tr>
      <w:tr w:rsidR="00F83DA8" w:rsidRPr="00F83DA8" w14:paraId="05E247F4" w14:textId="77777777" w:rsidTr="0094426F">
        <w:tc>
          <w:tcPr>
            <w:tcW w:w="298" w:type="pct"/>
          </w:tcPr>
          <w:p w14:paraId="6EEC977D" w14:textId="77777777" w:rsidR="00CF6968" w:rsidRPr="00F83DA8" w:rsidRDefault="00CF6968" w:rsidP="0089220B">
            <w:pPr>
              <w:spacing w:after="120"/>
              <w:rPr>
                <w:rFonts w:cs="Arial"/>
                <w:color w:val="000000" w:themeColor="text1"/>
                <w:szCs w:val="20"/>
              </w:rPr>
            </w:pPr>
          </w:p>
        </w:tc>
        <w:tc>
          <w:tcPr>
            <w:tcW w:w="1498" w:type="pct"/>
          </w:tcPr>
          <w:p w14:paraId="057C78DF"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Subsector</w:t>
            </w:r>
          </w:p>
        </w:tc>
        <w:tc>
          <w:tcPr>
            <w:tcW w:w="203" w:type="pct"/>
          </w:tcPr>
          <w:p w14:paraId="1335AA34"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01" w:type="pct"/>
          </w:tcPr>
          <w:p w14:paraId="0CCF404B" w14:textId="77777777" w:rsidR="00CF6968" w:rsidRPr="00F83DA8" w:rsidRDefault="00CF6968" w:rsidP="0089220B">
            <w:pPr>
              <w:spacing w:after="120"/>
              <w:jc w:val="both"/>
              <w:rPr>
                <w:rFonts w:cs="Arial"/>
                <w:color w:val="000000" w:themeColor="text1"/>
              </w:rPr>
            </w:pPr>
            <w:r w:rsidRPr="00F83DA8">
              <w:rPr>
                <w:rFonts w:cs="Arial"/>
                <w:color w:val="000000" w:themeColor="text1"/>
              </w:rPr>
              <w:t>-</w:t>
            </w:r>
          </w:p>
        </w:tc>
      </w:tr>
      <w:tr w:rsidR="00F83DA8" w:rsidRPr="00F83DA8" w14:paraId="62C4C50A" w14:textId="77777777" w:rsidTr="0094426F">
        <w:tc>
          <w:tcPr>
            <w:tcW w:w="298" w:type="pct"/>
          </w:tcPr>
          <w:p w14:paraId="54EF12C9" w14:textId="77777777" w:rsidR="0094426F" w:rsidRPr="00F83DA8" w:rsidRDefault="0094426F" w:rsidP="0089220B">
            <w:pPr>
              <w:spacing w:after="120"/>
              <w:rPr>
                <w:rFonts w:cs="Arial"/>
                <w:color w:val="000000" w:themeColor="text1"/>
                <w:szCs w:val="20"/>
              </w:rPr>
            </w:pPr>
          </w:p>
        </w:tc>
        <w:tc>
          <w:tcPr>
            <w:tcW w:w="1498" w:type="pct"/>
          </w:tcPr>
          <w:p w14:paraId="72B09D3B" w14:textId="77777777" w:rsidR="0094426F" w:rsidRPr="00F83DA8" w:rsidRDefault="0094426F" w:rsidP="0089220B">
            <w:pPr>
              <w:spacing w:after="120"/>
              <w:rPr>
                <w:rFonts w:cs="Arial"/>
                <w:snapToGrid w:val="0"/>
                <w:color w:val="000000" w:themeColor="text1"/>
                <w:szCs w:val="20"/>
              </w:rPr>
            </w:pPr>
            <w:r w:rsidRPr="00F83DA8">
              <w:rPr>
                <w:rFonts w:cs="Arial"/>
                <w:snapToGrid w:val="0"/>
                <w:color w:val="000000" w:themeColor="text1"/>
                <w:szCs w:val="20"/>
              </w:rPr>
              <w:t>Obligations Concerned</w:t>
            </w:r>
          </w:p>
        </w:tc>
        <w:tc>
          <w:tcPr>
            <w:tcW w:w="203" w:type="pct"/>
          </w:tcPr>
          <w:p w14:paraId="7C8CD611" w14:textId="77777777" w:rsidR="0094426F" w:rsidRPr="00F83DA8" w:rsidRDefault="0094426F"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01" w:type="pct"/>
          </w:tcPr>
          <w:p w14:paraId="12597789" w14:textId="7D12C54D" w:rsidR="0094426F" w:rsidRPr="00F83DA8" w:rsidRDefault="0094426F" w:rsidP="0089220B">
            <w:pPr>
              <w:pStyle w:val="TOSM"/>
              <w:jc w:val="both"/>
              <w:rPr>
                <w:color w:val="000000" w:themeColor="text1"/>
              </w:rPr>
            </w:pPr>
            <w:r w:rsidRPr="00F83DA8">
              <w:rPr>
                <w:color w:val="000000" w:themeColor="text1"/>
              </w:rPr>
              <w:t>National Treatment</w:t>
            </w:r>
          </w:p>
          <w:p w14:paraId="0D4B79B2" w14:textId="75D65B4E" w:rsidR="0094426F" w:rsidRPr="00F83DA8" w:rsidRDefault="0094426F" w:rsidP="0089220B">
            <w:pPr>
              <w:pStyle w:val="TOSM"/>
              <w:jc w:val="both"/>
              <w:rPr>
                <w:color w:val="000000" w:themeColor="text1"/>
              </w:rPr>
            </w:pPr>
            <w:r w:rsidRPr="00F83DA8">
              <w:rPr>
                <w:color w:val="000000" w:themeColor="text1"/>
              </w:rPr>
              <w:t>Most-</w:t>
            </w:r>
            <w:proofErr w:type="spellStart"/>
            <w:r w:rsidRPr="00F83DA8">
              <w:rPr>
                <w:color w:val="000000" w:themeColor="text1"/>
              </w:rPr>
              <w:t>Favoured</w:t>
            </w:r>
            <w:proofErr w:type="spellEnd"/>
            <w:r w:rsidRPr="00F83DA8">
              <w:rPr>
                <w:color w:val="000000" w:themeColor="text1"/>
              </w:rPr>
              <w:t>-Nation Treatment</w:t>
            </w:r>
          </w:p>
          <w:p w14:paraId="33FCD058" w14:textId="5F811747" w:rsidR="00BA67F8" w:rsidRPr="00F83DA8" w:rsidRDefault="00BA67F8" w:rsidP="0089220B">
            <w:pPr>
              <w:pStyle w:val="TOSM"/>
              <w:jc w:val="both"/>
              <w:rPr>
                <w:color w:val="000000" w:themeColor="text1"/>
              </w:rPr>
            </w:pPr>
            <w:r w:rsidRPr="00F83DA8">
              <w:rPr>
                <w:color w:val="000000" w:themeColor="text1"/>
              </w:rPr>
              <w:t>Senior Management and Board of Directors</w:t>
            </w:r>
          </w:p>
          <w:p w14:paraId="79E1B409" w14:textId="47E9DBC7" w:rsidR="0094426F" w:rsidRPr="00F83DA8" w:rsidRDefault="0094426F" w:rsidP="0089220B">
            <w:pPr>
              <w:pStyle w:val="TOSM"/>
              <w:jc w:val="both"/>
              <w:rPr>
                <w:color w:val="000000" w:themeColor="text1"/>
              </w:rPr>
            </w:pPr>
            <w:r w:rsidRPr="00F83DA8">
              <w:rPr>
                <w:color w:val="000000" w:themeColor="text1"/>
              </w:rPr>
              <w:t>Prohibition of Performance Requirements</w:t>
            </w:r>
          </w:p>
        </w:tc>
      </w:tr>
      <w:tr w:rsidR="00F83DA8" w:rsidRPr="00F83DA8" w14:paraId="5A3A9F93" w14:textId="77777777" w:rsidTr="0094426F">
        <w:tc>
          <w:tcPr>
            <w:tcW w:w="298" w:type="pct"/>
          </w:tcPr>
          <w:p w14:paraId="31C7EF91" w14:textId="77777777" w:rsidR="00CF6968" w:rsidRPr="00F83DA8" w:rsidRDefault="00CF6968" w:rsidP="0089220B">
            <w:pPr>
              <w:spacing w:after="120"/>
              <w:rPr>
                <w:rFonts w:cs="Arial"/>
                <w:snapToGrid w:val="0"/>
                <w:color w:val="000000" w:themeColor="text1"/>
                <w:szCs w:val="20"/>
              </w:rPr>
            </w:pPr>
          </w:p>
        </w:tc>
        <w:tc>
          <w:tcPr>
            <w:tcW w:w="1498" w:type="pct"/>
          </w:tcPr>
          <w:p w14:paraId="5E3E6CD5"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Description</w:t>
            </w:r>
          </w:p>
        </w:tc>
        <w:tc>
          <w:tcPr>
            <w:tcW w:w="203" w:type="pct"/>
          </w:tcPr>
          <w:p w14:paraId="1BE21B72"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01" w:type="pct"/>
          </w:tcPr>
          <w:p w14:paraId="4C43A5C0" w14:textId="35508EF0" w:rsidR="00CF6968" w:rsidRPr="00F83DA8" w:rsidRDefault="00CF6968" w:rsidP="0089220B">
            <w:pPr>
              <w:pStyle w:val="TOSM"/>
              <w:jc w:val="both"/>
              <w:rPr>
                <w:color w:val="000000" w:themeColor="text1"/>
              </w:rPr>
            </w:pPr>
            <w:r w:rsidRPr="00F83DA8">
              <w:rPr>
                <w:color w:val="000000" w:themeColor="text1"/>
              </w:rPr>
              <w:t>Malaysia reserves the right to adopt or maintain any measure relating to Bumiputera, Bumiputera status companies, trust companies and institutions, to meet development and social economic policy objectives.</w:t>
            </w:r>
          </w:p>
        </w:tc>
      </w:tr>
      <w:tr w:rsidR="00F83DA8" w:rsidRPr="00F83DA8" w14:paraId="68016F84" w14:textId="77777777" w:rsidTr="0094426F">
        <w:tc>
          <w:tcPr>
            <w:tcW w:w="298" w:type="pct"/>
          </w:tcPr>
          <w:p w14:paraId="1608A8AA" w14:textId="77777777" w:rsidR="00CF6968" w:rsidRPr="00F83DA8" w:rsidRDefault="00CF6968" w:rsidP="0089220B">
            <w:pPr>
              <w:spacing w:after="120"/>
              <w:rPr>
                <w:rFonts w:cs="Arial"/>
                <w:color w:val="000000" w:themeColor="text1"/>
                <w:szCs w:val="20"/>
              </w:rPr>
            </w:pPr>
          </w:p>
        </w:tc>
        <w:tc>
          <w:tcPr>
            <w:tcW w:w="1498" w:type="pct"/>
          </w:tcPr>
          <w:p w14:paraId="653B4890"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Existing Measures</w:t>
            </w:r>
          </w:p>
        </w:tc>
        <w:tc>
          <w:tcPr>
            <w:tcW w:w="203" w:type="pct"/>
          </w:tcPr>
          <w:p w14:paraId="2E5BAF1B"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w:t>
            </w:r>
          </w:p>
        </w:tc>
        <w:tc>
          <w:tcPr>
            <w:tcW w:w="3001" w:type="pct"/>
          </w:tcPr>
          <w:p w14:paraId="0E595CC7" w14:textId="77777777" w:rsidR="00CF6968" w:rsidRPr="0027032F" w:rsidRDefault="00CF6968" w:rsidP="0089220B">
            <w:pPr>
              <w:pStyle w:val="TOSM"/>
              <w:jc w:val="both"/>
              <w:rPr>
                <w:i/>
                <w:color w:val="000000" w:themeColor="text1"/>
              </w:rPr>
            </w:pPr>
            <w:r w:rsidRPr="0027032F">
              <w:rPr>
                <w:i/>
                <w:color w:val="000000" w:themeColor="text1"/>
              </w:rPr>
              <w:t>Federal Constitution</w:t>
            </w:r>
          </w:p>
          <w:p w14:paraId="1548FA17" w14:textId="77777777" w:rsidR="00CF6968" w:rsidRPr="00F83DA8" w:rsidRDefault="00CF6968" w:rsidP="0089220B">
            <w:pPr>
              <w:pStyle w:val="TOSM"/>
              <w:jc w:val="both"/>
              <w:rPr>
                <w:color w:val="000000" w:themeColor="text1"/>
              </w:rPr>
            </w:pPr>
            <w:r w:rsidRPr="00F83DA8">
              <w:rPr>
                <w:color w:val="000000" w:themeColor="text1"/>
              </w:rPr>
              <w:t>Policies and Ministerial Statements</w:t>
            </w:r>
          </w:p>
          <w:p w14:paraId="2BAEF5E2" w14:textId="77777777" w:rsidR="00CF6968" w:rsidRPr="00F83DA8" w:rsidRDefault="00CF6968" w:rsidP="0089220B">
            <w:pPr>
              <w:pStyle w:val="TOSM"/>
              <w:jc w:val="both"/>
              <w:rPr>
                <w:color w:val="000000" w:themeColor="text1"/>
              </w:rPr>
            </w:pPr>
            <w:r w:rsidRPr="00F83DA8">
              <w:rPr>
                <w:color w:val="000000" w:themeColor="text1"/>
              </w:rPr>
              <w:t>Treasury Instructions</w:t>
            </w:r>
          </w:p>
          <w:p w14:paraId="721BBB69" w14:textId="77777777" w:rsidR="00CF6968" w:rsidRPr="00F83DA8" w:rsidRDefault="00CF6968" w:rsidP="0089220B">
            <w:pPr>
              <w:pStyle w:val="TOSM"/>
              <w:jc w:val="both"/>
              <w:rPr>
                <w:color w:val="000000" w:themeColor="text1"/>
              </w:rPr>
            </w:pPr>
            <w:r w:rsidRPr="00F83DA8">
              <w:rPr>
                <w:color w:val="000000" w:themeColor="text1"/>
              </w:rPr>
              <w:t>Treasury Circulars</w:t>
            </w:r>
          </w:p>
          <w:p w14:paraId="2CF1A2F5" w14:textId="77777777" w:rsidR="00CF6968" w:rsidRPr="00F83DA8" w:rsidRDefault="00CF6968" w:rsidP="0089220B">
            <w:pPr>
              <w:pStyle w:val="TOSM"/>
              <w:jc w:val="both"/>
              <w:rPr>
                <w:color w:val="000000" w:themeColor="text1"/>
              </w:rPr>
            </w:pPr>
            <w:r w:rsidRPr="00F83DA8">
              <w:rPr>
                <w:color w:val="000000" w:themeColor="text1"/>
              </w:rPr>
              <w:t>New Economic Policy (NEP)</w:t>
            </w:r>
          </w:p>
          <w:p w14:paraId="4D055590" w14:textId="77777777" w:rsidR="00CF6968" w:rsidRPr="00F83DA8" w:rsidRDefault="00CF6968" w:rsidP="0089220B">
            <w:pPr>
              <w:pStyle w:val="TOSM"/>
              <w:jc w:val="both"/>
              <w:rPr>
                <w:color w:val="000000" w:themeColor="text1"/>
              </w:rPr>
            </w:pPr>
            <w:r w:rsidRPr="00F83DA8">
              <w:rPr>
                <w:color w:val="000000" w:themeColor="text1"/>
              </w:rPr>
              <w:t>National Development Policy (NDP)</w:t>
            </w:r>
          </w:p>
          <w:p w14:paraId="60B056DE" w14:textId="77777777" w:rsidR="00CF6968" w:rsidRPr="00F83DA8" w:rsidRDefault="00CF6968" w:rsidP="0089220B">
            <w:pPr>
              <w:pStyle w:val="TOSM"/>
              <w:jc w:val="both"/>
              <w:rPr>
                <w:color w:val="000000" w:themeColor="text1"/>
              </w:rPr>
            </w:pPr>
            <w:r w:rsidRPr="00F83DA8">
              <w:rPr>
                <w:color w:val="000000" w:themeColor="text1"/>
              </w:rPr>
              <w:t>Bumiputera Development Action 2030 (TBP2030)</w:t>
            </w:r>
          </w:p>
        </w:tc>
      </w:tr>
    </w:tbl>
    <w:p w14:paraId="1A20183C" w14:textId="77777777" w:rsidR="00CF6968" w:rsidRPr="00F83DA8" w:rsidRDefault="00CF6968" w:rsidP="0089220B">
      <w:pPr>
        <w:pStyle w:val="TOSM"/>
        <w:rPr>
          <w:color w:val="000000" w:themeColor="text1"/>
        </w:rPr>
      </w:pPr>
      <w:r w:rsidRPr="00F83DA8">
        <w:rPr>
          <w:color w:val="000000" w:themeColor="text1"/>
        </w:rPr>
        <w:br w:type="page"/>
      </w:r>
    </w:p>
    <w:tbl>
      <w:tblPr>
        <w:tblW w:w="4987"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4"/>
        <w:gridCol w:w="2281"/>
        <w:gridCol w:w="310"/>
        <w:gridCol w:w="4514"/>
      </w:tblGrid>
      <w:tr w:rsidR="00F83DA8" w:rsidRPr="00F83DA8" w14:paraId="0AA4E922" w14:textId="77777777" w:rsidTr="00AE5A82">
        <w:tc>
          <w:tcPr>
            <w:tcW w:w="300" w:type="pct"/>
          </w:tcPr>
          <w:p w14:paraId="4B34458B" w14:textId="77777777" w:rsidR="00CF6968" w:rsidRPr="00F83DA8" w:rsidRDefault="00CF6968" w:rsidP="0089220B">
            <w:pPr>
              <w:numPr>
                <w:ilvl w:val="0"/>
                <w:numId w:val="5"/>
              </w:numPr>
              <w:spacing w:after="120"/>
              <w:rPr>
                <w:rFonts w:cs="Arial"/>
                <w:snapToGrid w:val="0"/>
                <w:color w:val="000000" w:themeColor="text1"/>
                <w:szCs w:val="20"/>
              </w:rPr>
            </w:pPr>
          </w:p>
        </w:tc>
        <w:tc>
          <w:tcPr>
            <w:tcW w:w="1509" w:type="pct"/>
          </w:tcPr>
          <w:p w14:paraId="2F5CCB7A" w14:textId="77777777" w:rsidR="00CF6968" w:rsidRPr="00F83DA8" w:rsidRDefault="00CF6968" w:rsidP="0089220B">
            <w:pPr>
              <w:spacing w:after="120"/>
              <w:rPr>
                <w:rFonts w:cs="Arial"/>
                <w:color w:val="000000" w:themeColor="text1"/>
                <w:szCs w:val="20"/>
              </w:rPr>
            </w:pPr>
            <w:r w:rsidRPr="00F83DA8">
              <w:rPr>
                <w:rFonts w:cs="Arial"/>
                <w:snapToGrid w:val="0"/>
                <w:color w:val="000000" w:themeColor="text1"/>
                <w:szCs w:val="20"/>
              </w:rPr>
              <w:t>Sector</w:t>
            </w:r>
          </w:p>
        </w:tc>
        <w:tc>
          <w:tcPr>
            <w:tcW w:w="205" w:type="pct"/>
          </w:tcPr>
          <w:p w14:paraId="15F6C2F7"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2986" w:type="pct"/>
          </w:tcPr>
          <w:p w14:paraId="36A247B0" w14:textId="77777777" w:rsidR="00CF6968" w:rsidRPr="00F83DA8" w:rsidRDefault="00CF6968" w:rsidP="0089220B">
            <w:pPr>
              <w:spacing w:after="120"/>
              <w:jc w:val="both"/>
              <w:rPr>
                <w:rFonts w:cs="Arial"/>
                <w:snapToGrid w:val="0"/>
                <w:color w:val="000000" w:themeColor="text1"/>
                <w:szCs w:val="20"/>
              </w:rPr>
            </w:pPr>
            <w:r w:rsidRPr="00F83DA8">
              <w:rPr>
                <w:rFonts w:cs="Arial"/>
                <w:snapToGrid w:val="0"/>
                <w:color w:val="000000" w:themeColor="text1"/>
                <w:szCs w:val="20"/>
              </w:rPr>
              <w:t>All sectors</w:t>
            </w:r>
          </w:p>
        </w:tc>
      </w:tr>
      <w:tr w:rsidR="00F83DA8" w:rsidRPr="00F83DA8" w14:paraId="527F14E8" w14:textId="77777777" w:rsidTr="00AE5A82">
        <w:tc>
          <w:tcPr>
            <w:tcW w:w="300" w:type="pct"/>
          </w:tcPr>
          <w:p w14:paraId="739067AF" w14:textId="77777777" w:rsidR="00CF6968" w:rsidRPr="00F83DA8" w:rsidRDefault="00CF6968" w:rsidP="0089220B">
            <w:pPr>
              <w:spacing w:after="120"/>
              <w:rPr>
                <w:rFonts w:cs="Arial"/>
                <w:color w:val="000000" w:themeColor="text1"/>
                <w:szCs w:val="20"/>
              </w:rPr>
            </w:pPr>
          </w:p>
        </w:tc>
        <w:tc>
          <w:tcPr>
            <w:tcW w:w="1509" w:type="pct"/>
          </w:tcPr>
          <w:p w14:paraId="05E69678"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Subsector</w:t>
            </w:r>
          </w:p>
        </w:tc>
        <w:tc>
          <w:tcPr>
            <w:tcW w:w="205" w:type="pct"/>
          </w:tcPr>
          <w:p w14:paraId="7A2730AA"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2986" w:type="pct"/>
          </w:tcPr>
          <w:p w14:paraId="4C82D701" w14:textId="77777777" w:rsidR="00CF6968" w:rsidRPr="00F83DA8" w:rsidRDefault="00CF6968" w:rsidP="0089220B">
            <w:pPr>
              <w:spacing w:after="120"/>
              <w:jc w:val="both"/>
              <w:rPr>
                <w:rFonts w:cs="Arial"/>
                <w:color w:val="000000" w:themeColor="text1"/>
              </w:rPr>
            </w:pPr>
            <w:r w:rsidRPr="00F83DA8">
              <w:rPr>
                <w:rFonts w:cs="Arial"/>
                <w:color w:val="000000" w:themeColor="text1"/>
              </w:rPr>
              <w:t>-</w:t>
            </w:r>
          </w:p>
        </w:tc>
      </w:tr>
      <w:tr w:rsidR="00F83DA8" w:rsidRPr="00F83DA8" w14:paraId="7312C9E4" w14:textId="77777777" w:rsidTr="00AE5A82">
        <w:tc>
          <w:tcPr>
            <w:tcW w:w="300" w:type="pct"/>
          </w:tcPr>
          <w:p w14:paraId="7051F66C" w14:textId="77777777" w:rsidR="00CF6968" w:rsidRPr="00F83DA8" w:rsidRDefault="00CF6968" w:rsidP="0089220B">
            <w:pPr>
              <w:spacing w:after="120"/>
              <w:rPr>
                <w:rFonts w:cs="Arial"/>
                <w:color w:val="000000" w:themeColor="text1"/>
                <w:szCs w:val="20"/>
              </w:rPr>
            </w:pPr>
          </w:p>
        </w:tc>
        <w:tc>
          <w:tcPr>
            <w:tcW w:w="1509" w:type="pct"/>
          </w:tcPr>
          <w:p w14:paraId="13678DE4"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Obligations Concerned</w:t>
            </w:r>
          </w:p>
        </w:tc>
        <w:tc>
          <w:tcPr>
            <w:tcW w:w="205" w:type="pct"/>
          </w:tcPr>
          <w:p w14:paraId="06BB12AA"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2986" w:type="pct"/>
          </w:tcPr>
          <w:p w14:paraId="51C7A506" w14:textId="6F0001E9" w:rsidR="00CF6968" w:rsidRPr="00F83DA8" w:rsidRDefault="00CF6968" w:rsidP="0089220B">
            <w:pPr>
              <w:spacing w:after="120"/>
              <w:jc w:val="both"/>
              <w:rPr>
                <w:rFonts w:cs="Arial"/>
                <w:color w:val="000000" w:themeColor="text1"/>
              </w:rPr>
            </w:pPr>
            <w:r w:rsidRPr="00F83DA8">
              <w:rPr>
                <w:rFonts w:cs="Arial"/>
                <w:color w:val="000000" w:themeColor="text1"/>
              </w:rPr>
              <w:t>National Treatment</w:t>
            </w:r>
          </w:p>
        </w:tc>
      </w:tr>
      <w:tr w:rsidR="00F83DA8" w:rsidRPr="00F83DA8" w14:paraId="2146E7FB" w14:textId="77777777" w:rsidTr="00AE5A82">
        <w:tc>
          <w:tcPr>
            <w:tcW w:w="300" w:type="pct"/>
          </w:tcPr>
          <w:p w14:paraId="32D8338E" w14:textId="77777777" w:rsidR="00CF6968" w:rsidRPr="00F83DA8" w:rsidRDefault="00CF6968" w:rsidP="0089220B">
            <w:pPr>
              <w:spacing w:after="120"/>
              <w:rPr>
                <w:rFonts w:cs="Arial"/>
                <w:snapToGrid w:val="0"/>
                <w:color w:val="000000" w:themeColor="text1"/>
                <w:szCs w:val="20"/>
              </w:rPr>
            </w:pPr>
          </w:p>
        </w:tc>
        <w:tc>
          <w:tcPr>
            <w:tcW w:w="1509" w:type="pct"/>
          </w:tcPr>
          <w:p w14:paraId="2B3E8EA7"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Description</w:t>
            </w:r>
          </w:p>
        </w:tc>
        <w:tc>
          <w:tcPr>
            <w:tcW w:w="205" w:type="pct"/>
          </w:tcPr>
          <w:p w14:paraId="19F35BC3"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2986" w:type="pct"/>
          </w:tcPr>
          <w:p w14:paraId="2813F912" w14:textId="77777777" w:rsidR="00CF6968" w:rsidRPr="00F83DA8" w:rsidRDefault="00CF6968" w:rsidP="0089220B">
            <w:pPr>
              <w:pStyle w:val="DM"/>
              <w:spacing w:after="120"/>
              <w:jc w:val="both"/>
              <w:rPr>
                <w:color w:val="000000" w:themeColor="text1"/>
              </w:rPr>
            </w:pPr>
            <w:r w:rsidRPr="00F83DA8">
              <w:rPr>
                <w:color w:val="000000" w:themeColor="text1"/>
              </w:rPr>
              <w:t>Malaysia reserves the right to adopt or maintain any measure relating to national and state unit trusts. This includes unit trust schemes that are created or operated to pursue public policy objectives relating to Bumiputera or affirmative action for the socially disadvantaged.</w:t>
            </w:r>
          </w:p>
        </w:tc>
      </w:tr>
      <w:tr w:rsidR="00CF6968" w:rsidRPr="00F83DA8" w14:paraId="029EDE87" w14:textId="77777777" w:rsidTr="00AE5A82">
        <w:tc>
          <w:tcPr>
            <w:tcW w:w="300" w:type="pct"/>
          </w:tcPr>
          <w:p w14:paraId="383E43C1" w14:textId="77777777" w:rsidR="00CF6968" w:rsidRPr="00F83DA8" w:rsidRDefault="00CF6968" w:rsidP="0089220B">
            <w:pPr>
              <w:spacing w:after="120"/>
              <w:rPr>
                <w:rFonts w:cs="Arial"/>
                <w:color w:val="000000" w:themeColor="text1"/>
                <w:szCs w:val="20"/>
              </w:rPr>
            </w:pPr>
          </w:p>
        </w:tc>
        <w:tc>
          <w:tcPr>
            <w:tcW w:w="1509" w:type="pct"/>
          </w:tcPr>
          <w:p w14:paraId="47BA0619"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Existing Measures</w:t>
            </w:r>
          </w:p>
        </w:tc>
        <w:tc>
          <w:tcPr>
            <w:tcW w:w="205" w:type="pct"/>
          </w:tcPr>
          <w:p w14:paraId="4688D5C2"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w:t>
            </w:r>
          </w:p>
        </w:tc>
        <w:tc>
          <w:tcPr>
            <w:tcW w:w="2986" w:type="pct"/>
          </w:tcPr>
          <w:p w14:paraId="0A7D43CE" w14:textId="77777777" w:rsidR="00CF6968" w:rsidRPr="00F83DA8" w:rsidRDefault="00CF6968" w:rsidP="0089220B">
            <w:pPr>
              <w:spacing w:after="120"/>
              <w:jc w:val="both"/>
              <w:rPr>
                <w:rFonts w:cs="Arial"/>
                <w:color w:val="000000" w:themeColor="text1"/>
              </w:rPr>
            </w:pPr>
            <w:r w:rsidRPr="00F83DA8">
              <w:rPr>
                <w:rFonts w:cs="Arial"/>
                <w:color w:val="000000" w:themeColor="text1"/>
              </w:rPr>
              <w:t>-</w:t>
            </w:r>
          </w:p>
        </w:tc>
      </w:tr>
    </w:tbl>
    <w:p w14:paraId="23CB865C" w14:textId="77777777" w:rsidR="00CF6968" w:rsidRPr="00F83DA8" w:rsidRDefault="00CF6968" w:rsidP="0089220B">
      <w:pPr>
        <w:spacing w:after="120"/>
        <w:rPr>
          <w:rFonts w:cs="Arial"/>
          <w:color w:val="000000" w:themeColor="text1"/>
          <w:szCs w:val="20"/>
        </w:rPr>
      </w:pPr>
    </w:p>
    <w:p w14:paraId="51EE3C6F" w14:textId="77777777" w:rsidR="00CF6968" w:rsidRPr="00F83DA8" w:rsidRDefault="00CF6968" w:rsidP="0089220B">
      <w:pPr>
        <w:pStyle w:val="TOSM"/>
        <w:rPr>
          <w:color w:val="000000" w:themeColor="text1"/>
        </w:rPr>
      </w:pPr>
      <w:r w:rsidRPr="00F83DA8">
        <w:rPr>
          <w:color w:val="000000" w:themeColor="text1"/>
        </w:rPr>
        <w:br w:type="page"/>
      </w:r>
    </w:p>
    <w:tbl>
      <w:tblPr>
        <w:tblW w:w="4987"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4"/>
        <w:gridCol w:w="2281"/>
        <w:gridCol w:w="310"/>
        <w:gridCol w:w="4514"/>
      </w:tblGrid>
      <w:tr w:rsidR="00F83DA8" w:rsidRPr="00F83DA8" w14:paraId="1407F921" w14:textId="77777777" w:rsidTr="00AE5A82">
        <w:tc>
          <w:tcPr>
            <w:tcW w:w="300" w:type="pct"/>
          </w:tcPr>
          <w:p w14:paraId="4EE94C2C" w14:textId="77777777" w:rsidR="00CF6968" w:rsidRPr="00F83DA8" w:rsidRDefault="00CF6968" w:rsidP="0089220B">
            <w:pPr>
              <w:numPr>
                <w:ilvl w:val="0"/>
                <w:numId w:val="5"/>
              </w:numPr>
              <w:spacing w:after="120"/>
              <w:rPr>
                <w:rFonts w:cs="Arial"/>
                <w:snapToGrid w:val="0"/>
                <w:color w:val="000000" w:themeColor="text1"/>
                <w:szCs w:val="20"/>
              </w:rPr>
            </w:pPr>
          </w:p>
        </w:tc>
        <w:tc>
          <w:tcPr>
            <w:tcW w:w="1509" w:type="pct"/>
          </w:tcPr>
          <w:p w14:paraId="671C0DF9" w14:textId="77777777" w:rsidR="00CF6968" w:rsidRPr="00F83DA8" w:rsidRDefault="00CF6968" w:rsidP="0089220B">
            <w:pPr>
              <w:spacing w:after="120"/>
              <w:rPr>
                <w:rFonts w:cs="Arial"/>
                <w:color w:val="000000" w:themeColor="text1"/>
                <w:szCs w:val="20"/>
              </w:rPr>
            </w:pPr>
            <w:r w:rsidRPr="00F83DA8">
              <w:rPr>
                <w:rFonts w:cs="Arial"/>
                <w:snapToGrid w:val="0"/>
                <w:color w:val="000000" w:themeColor="text1"/>
                <w:szCs w:val="20"/>
              </w:rPr>
              <w:t>Sector</w:t>
            </w:r>
          </w:p>
        </w:tc>
        <w:tc>
          <w:tcPr>
            <w:tcW w:w="205" w:type="pct"/>
          </w:tcPr>
          <w:p w14:paraId="3A50E911"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2986" w:type="pct"/>
          </w:tcPr>
          <w:p w14:paraId="4D0A0253" w14:textId="77777777" w:rsidR="00CF6968" w:rsidRPr="00F83DA8" w:rsidRDefault="00CF6968" w:rsidP="0089220B">
            <w:pPr>
              <w:spacing w:after="120"/>
              <w:jc w:val="both"/>
              <w:rPr>
                <w:rFonts w:cs="Arial"/>
                <w:snapToGrid w:val="0"/>
                <w:color w:val="000000" w:themeColor="text1"/>
                <w:szCs w:val="20"/>
              </w:rPr>
            </w:pPr>
            <w:r w:rsidRPr="00F83DA8">
              <w:rPr>
                <w:rFonts w:cs="Arial"/>
                <w:snapToGrid w:val="0"/>
                <w:color w:val="000000" w:themeColor="text1"/>
                <w:szCs w:val="20"/>
              </w:rPr>
              <w:t>Mining and quarrying</w:t>
            </w:r>
          </w:p>
        </w:tc>
      </w:tr>
      <w:tr w:rsidR="00F83DA8" w:rsidRPr="00F83DA8" w14:paraId="7E712996" w14:textId="77777777" w:rsidTr="00AE5A82">
        <w:tc>
          <w:tcPr>
            <w:tcW w:w="300" w:type="pct"/>
          </w:tcPr>
          <w:p w14:paraId="10ED2BB3" w14:textId="77777777" w:rsidR="00CF6968" w:rsidRPr="00F83DA8" w:rsidRDefault="00CF6968" w:rsidP="0089220B">
            <w:pPr>
              <w:spacing w:after="120"/>
              <w:rPr>
                <w:rFonts w:cs="Arial"/>
                <w:snapToGrid w:val="0"/>
                <w:color w:val="000000" w:themeColor="text1"/>
                <w:szCs w:val="20"/>
              </w:rPr>
            </w:pPr>
          </w:p>
        </w:tc>
        <w:tc>
          <w:tcPr>
            <w:tcW w:w="1509" w:type="pct"/>
          </w:tcPr>
          <w:p w14:paraId="75B23B28"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Subsector</w:t>
            </w:r>
          </w:p>
        </w:tc>
        <w:tc>
          <w:tcPr>
            <w:tcW w:w="205" w:type="pct"/>
          </w:tcPr>
          <w:p w14:paraId="51945229"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2986" w:type="pct"/>
          </w:tcPr>
          <w:p w14:paraId="4220C6A3" w14:textId="77777777" w:rsidR="00CF6968" w:rsidRPr="00F83DA8" w:rsidRDefault="00CF6968" w:rsidP="0089220B">
            <w:pPr>
              <w:spacing w:after="120"/>
              <w:jc w:val="both"/>
              <w:rPr>
                <w:rFonts w:cs="Arial"/>
                <w:snapToGrid w:val="0"/>
                <w:color w:val="000000" w:themeColor="text1"/>
                <w:szCs w:val="20"/>
              </w:rPr>
            </w:pPr>
            <w:r w:rsidRPr="00F83DA8">
              <w:rPr>
                <w:rFonts w:cs="Arial"/>
                <w:snapToGrid w:val="0"/>
                <w:color w:val="000000" w:themeColor="text1"/>
                <w:szCs w:val="20"/>
              </w:rPr>
              <w:t>Oil and Gas</w:t>
            </w:r>
          </w:p>
        </w:tc>
      </w:tr>
      <w:tr w:rsidR="00F83DA8" w:rsidRPr="00F83DA8" w14:paraId="07713B31" w14:textId="77777777" w:rsidTr="00AE5A82">
        <w:tc>
          <w:tcPr>
            <w:tcW w:w="300" w:type="pct"/>
          </w:tcPr>
          <w:p w14:paraId="56555F8B" w14:textId="77777777" w:rsidR="0094426F" w:rsidRPr="00F83DA8" w:rsidRDefault="0094426F" w:rsidP="0089220B">
            <w:pPr>
              <w:spacing w:after="120"/>
              <w:rPr>
                <w:rFonts w:cs="Arial"/>
                <w:color w:val="000000" w:themeColor="text1"/>
                <w:szCs w:val="20"/>
              </w:rPr>
            </w:pPr>
          </w:p>
        </w:tc>
        <w:tc>
          <w:tcPr>
            <w:tcW w:w="1509" w:type="pct"/>
          </w:tcPr>
          <w:p w14:paraId="243F41AC" w14:textId="77777777" w:rsidR="0094426F" w:rsidRPr="00F83DA8" w:rsidRDefault="0094426F" w:rsidP="0089220B">
            <w:pPr>
              <w:spacing w:after="120"/>
              <w:rPr>
                <w:rFonts w:cs="Arial"/>
                <w:snapToGrid w:val="0"/>
                <w:color w:val="000000" w:themeColor="text1"/>
                <w:szCs w:val="20"/>
              </w:rPr>
            </w:pPr>
            <w:r w:rsidRPr="00F83DA8">
              <w:rPr>
                <w:rFonts w:cs="Arial"/>
                <w:snapToGrid w:val="0"/>
                <w:color w:val="000000" w:themeColor="text1"/>
                <w:szCs w:val="20"/>
              </w:rPr>
              <w:t>Obligations Concerned</w:t>
            </w:r>
          </w:p>
        </w:tc>
        <w:tc>
          <w:tcPr>
            <w:tcW w:w="205" w:type="pct"/>
          </w:tcPr>
          <w:p w14:paraId="29C725B9" w14:textId="77777777" w:rsidR="0094426F" w:rsidRPr="00F83DA8" w:rsidRDefault="0094426F"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2986" w:type="pct"/>
          </w:tcPr>
          <w:p w14:paraId="232088C4" w14:textId="16121B7F" w:rsidR="0094426F" w:rsidRPr="00F83DA8" w:rsidRDefault="0094426F" w:rsidP="0089220B">
            <w:pPr>
              <w:pStyle w:val="TOSM"/>
              <w:jc w:val="both"/>
              <w:rPr>
                <w:color w:val="000000" w:themeColor="text1"/>
              </w:rPr>
            </w:pPr>
            <w:r w:rsidRPr="00F83DA8">
              <w:rPr>
                <w:color w:val="000000" w:themeColor="text1"/>
              </w:rPr>
              <w:t>National Treatment</w:t>
            </w:r>
          </w:p>
          <w:p w14:paraId="322B8505" w14:textId="189398E5" w:rsidR="0094426F" w:rsidRPr="00F83DA8" w:rsidRDefault="0094426F" w:rsidP="0089220B">
            <w:pPr>
              <w:pStyle w:val="TOSM"/>
              <w:jc w:val="both"/>
              <w:rPr>
                <w:color w:val="000000" w:themeColor="text1"/>
              </w:rPr>
            </w:pPr>
            <w:r w:rsidRPr="00F83DA8">
              <w:rPr>
                <w:color w:val="000000" w:themeColor="text1"/>
              </w:rPr>
              <w:t>Most-</w:t>
            </w:r>
            <w:proofErr w:type="spellStart"/>
            <w:r w:rsidRPr="00F83DA8">
              <w:rPr>
                <w:color w:val="000000" w:themeColor="text1"/>
              </w:rPr>
              <w:t>Favoured</w:t>
            </w:r>
            <w:proofErr w:type="spellEnd"/>
            <w:r w:rsidRPr="00F83DA8">
              <w:rPr>
                <w:color w:val="000000" w:themeColor="text1"/>
              </w:rPr>
              <w:t>-Nation Treatment</w:t>
            </w:r>
          </w:p>
          <w:p w14:paraId="1DCC2280" w14:textId="09759EEF" w:rsidR="00C50486" w:rsidRPr="00F83DA8" w:rsidRDefault="00C50486" w:rsidP="0089220B">
            <w:pPr>
              <w:pStyle w:val="TOSM"/>
              <w:jc w:val="both"/>
              <w:rPr>
                <w:color w:val="000000" w:themeColor="text1"/>
              </w:rPr>
            </w:pPr>
            <w:r w:rsidRPr="00F83DA8">
              <w:rPr>
                <w:color w:val="000000" w:themeColor="text1"/>
              </w:rPr>
              <w:t>Senior Management and Board of Directors</w:t>
            </w:r>
          </w:p>
          <w:p w14:paraId="59A0C34D" w14:textId="71A12E04" w:rsidR="0094426F" w:rsidRPr="00F83DA8" w:rsidRDefault="0094426F" w:rsidP="0089220B">
            <w:pPr>
              <w:pStyle w:val="TOSM"/>
              <w:jc w:val="both"/>
              <w:rPr>
                <w:color w:val="000000" w:themeColor="text1"/>
              </w:rPr>
            </w:pPr>
            <w:r w:rsidRPr="00F83DA8">
              <w:rPr>
                <w:color w:val="000000" w:themeColor="text1"/>
              </w:rPr>
              <w:t>Prohibition of Performance Requirements</w:t>
            </w:r>
          </w:p>
        </w:tc>
      </w:tr>
      <w:tr w:rsidR="00F83DA8" w:rsidRPr="00F83DA8" w14:paraId="1B228755" w14:textId="77777777" w:rsidTr="00AE5A82">
        <w:tc>
          <w:tcPr>
            <w:tcW w:w="300" w:type="pct"/>
          </w:tcPr>
          <w:p w14:paraId="1DF86E97" w14:textId="77777777" w:rsidR="00CF6968" w:rsidRPr="00F83DA8" w:rsidRDefault="00CF6968" w:rsidP="0089220B">
            <w:pPr>
              <w:spacing w:after="120"/>
              <w:rPr>
                <w:rFonts w:cs="Arial"/>
                <w:snapToGrid w:val="0"/>
                <w:color w:val="000000" w:themeColor="text1"/>
                <w:szCs w:val="20"/>
              </w:rPr>
            </w:pPr>
          </w:p>
        </w:tc>
        <w:tc>
          <w:tcPr>
            <w:tcW w:w="1509" w:type="pct"/>
          </w:tcPr>
          <w:p w14:paraId="5EB75BA3"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Description</w:t>
            </w:r>
          </w:p>
        </w:tc>
        <w:tc>
          <w:tcPr>
            <w:tcW w:w="205" w:type="pct"/>
          </w:tcPr>
          <w:p w14:paraId="3B4372AD"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2986" w:type="pct"/>
          </w:tcPr>
          <w:p w14:paraId="2593375B" w14:textId="3F20922E" w:rsidR="00CF6968" w:rsidRPr="00F83DA8" w:rsidRDefault="00CF6968" w:rsidP="0089220B">
            <w:pPr>
              <w:pStyle w:val="DM"/>
              <w:spacing w:after="120"/>
              <w:jc w:val="both"/>
              <w:rPr>
                <w:color w:val="000000" w:themeColor="text1"/>
              </w:rPr>
            </w:pPr>
            <w:r w:rsidRPr="00F83DA8">
              <w:rPr>
                <w:color w:val="000000" w:themeColor="text1"/>
              </w:rPr>
              <w:t xml:space="preserve">Petroliam Nasional </w:t>
            </w:r>
            <w:proofErr w:type="spellStart"/>
            <w:r w:rsidRPr="00F83DA8">
              <w:rPr>
                <w:color w:val="000000" w:themeColor="text1"/>
              </w:rPr>
              <w:t>Berhad</w:t>
            </w:r>
            <w:proofErr w:type="spellEnd"/>
            <w:r w:rsidRPr="00F83DA8">
              <w:rPr>
                <w:color w:val="000000" w:themeColor="text1"/>
              </w:rPr>
              <w:t xml:space="preserve"> (PETRONAS) and its successor are vested with the entire ownership in, and the exclusive rights, powers, liberties and privileges, which shall be irrevocable, in exploring, exploiting, winning and obtaining petroleum, whether onshore or offshore of Malaysia.</w:t>
            </w:r>
          </w:p>
          <w:p w14:paraId="1BBF761A" w14:textId="77777777" w:rsidR="00CF6968" w:rsidRPr="00F83DA8" w:rsidRDefault="00CF6968" w:rsidP="0089220B">
            <w:pPr>
              <w:pStyle w:val="DM"/>
              <w:spacing w:after="120"/>
              <w:jc w:val="both"/>
              <w:rPr>
                <w:color w:val="000000" w:themeColor="text1"/>
              </w:rPr>
            </w:pPr>
            <w:r w:rsidRPr="00F83DA8">
              <w:rPr>
                <w:color w:val="000000" w:themeColor="text1"/>
              </w:rPr>
              <w:t>PETRONAS and its successor reserve the right to adopt or maintain any measure relating to the oil and gas upstream industry including related activities.</w:t>
            </w:r>
          </w:p>
        </w:tc>
      </w:tr>
      <w:tr w:rsidR="00CF6968" w:rsidRPr="00F83DA8" w14:paraId="762CC71E" w14:textId="77777777" w:rsidTr="00AE5A82">
        <w:tc>
          <w:tcPr>
            <w:tcW w:w="300" w:type="pct"/>
          </w:tcPr>
          <w:p w14:paraId="16AE9116" w14:textId="77777777" w:rsidR="00CF6968" w:rsidRPr="00F83DA8" w:rsidRDefault="00CF6968" w:rsidP="0089220B">
            <w:pPr>
              <w:spacing w:after="120"/>
              <w:rPr>
                <w:rFonts w:cs="Arial"/>
                <w:color w:val="000000" w:themeColor="text1"/>
                <w:szCs w:val="20"/>
              </w:rPr>
            </w:pPr>
          </w:p>
        </w:tc>
        <w:tc>
          <w:tcPr>
            <w:tcW w:w="1509" w:type="pct"/>
          </w:tcPr>
          <w:p w14:paraId="4200BE3A"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Existing Measures</w:t>
            </w:r>
          </w:p>
        </w:tc>
        <w:tc>
          <w:tcPr>
            <w:tcW w:w="205" w:type="pct"/>
          </w:tcPr>
          <w:p w14:paraId="318E8A9E"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w:t>
            </w:r>
          </w:p>
        </w:tc>
        <w:tc>
          <w:tcPr>
            <w:tcW w:w="2986" w:type="pct"/>
          </w:tcPr>
          <w:p w14:paraId="4468972E" w14:textId="77777777" w:rsidR="00CF6968" w:rsidRPr="00F83DA8" w:rsidRDefault="00CF6968" w:rsidP="0089220B">
            <w:pPr>
              <w:pStyle w:val="TOSM"/>
              <w:jc w:val="both"/>
              <w:rPr>
                <w:color w:val="000000" w:themeColor="text1"/>
              </w:rPr>
            </w:pPr>
            <w:r w:rsidRPr="0027032F">
              <w:rPr>
                <w:i/>
                <w:color w:val="000000" w:themeColor="text1"/>
              </w:rPr>
              <w:t>Petroleum Development Act 1974</w:t>
            </w:r>
            <w:r w:rsidRPr="00F83DA8">
              <w:rPr>
                <w:color w:val="000000" w:themeColor="text1"/>
              </w:rPr>
              <w:t xml:space="preserve"> [Act 144]</w:t>
            </w:r>
          </w:p>
          <w:p w14:paraId="7B7C99FF" w14:textId="77777777" w:rsidR="00CF6968" w:rsidRPr="00F83DA8" w:rsidRDefault="00CF6968" w:rsidP="0089220B">
            <w:pPr>
              <w:pStyle w:val="TOSM"/>
              <w:jc w:val="both"/>
              <w:rPr>
                <w:color w:val="000000" w:themeColor="text1"/>
              </w:rPr>
            </w:pPr>
            <w:r w:rsidRPr="00F83DA8">
              <w:rPr>
                <w:color w:val="000000" w:themeColor="text1"/>
              </w:rPr>
              <w:t>Other Implementing Measures</w:t>
            </w:r>
          </w:p>
        </w:tc>
      </w:tr>
    </w:tbl>
    <w:p w14:paraId="2EDFB0ED" w14:textId="77777777" w:rsidR="00CF6968" w:rsidRPr="00F83DA8" w:rsidRDefault="00CF6968" w:rsidP="0089220B">
      <w:pPr>
        <w:spacing w:after="120"/>
        <w:rPr>
          <w:rFonts w:cs="Arial"/>
          <w:color w:val="000000" w:themeColor="text1"/>
          <w:szCs w:val="20"/>
        </w:rPr>
      </w:pPr>
    </w:p>
    <w:p w14:paraId="569344A5" w14:textId="77777777" w:rsidR="00CF6968" w:rsidRPr="00F83DA8" w:rsidRDefault="00CF6968" w:rsidP="0089220B">
      <w:pPr>
        <w:pStyle w:val="TOSM"/>
        <w:rPr>
          <w:color w:val="000000" w:themeColor="text1"/>
        </w:rPr>
      </w:pPr>
      <w:r w:rsidRPr="00F83DA8">
        <w:rPr>
          <w:color w:val="000000" w:themeColor="text1"/>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1"/>
        <w:gridCol w:w="2271"/>
        <w:gridCol w:w="308"/>
        <w:gridCol w:w="4549"/>
      </w:tblGrid>
      <w:tr w:rsidR="00F83DA8" w:rsidRPr="00F83DA8" w14:paraId="6F2E7166" w14:textId="77777777" w:rsidTr="00267405">
        <w:tc>
          <w:tcPr>
            <w:tcW w:w="298" w:type="pct"/>
            <w:shd w:val="clear" w:color="auto" w:fill="auto"/>
          </w:tcPr>
          <w:p w14:paraId="7BFBA3DE" w14:textId="77777777" w:rsidR="00CF6968" w:rsidRPr="00F83DA8" w:rsidRDefault="00CF6968" w:rsidP="0089220B">
            <w:pPr>
              <w:numPr>
                <w:ilvl w:val="0"/>
                <w:numId w:val="5"/>
              </w:numPr>
              <w:spacing w:after="120"/>
              <w:rPr>
                <w:rFonts w:cs="Arial"/>
                <w:snapToGrid w:val="0"/>
                <w:color w:val="000000" w:themeColor="text1"/>
                <w:szCs w:val="20"/>
              </w:rPr>
            </w:pPr>
            <w:bookmarkStart w:id="0" w:name="_Hlk97449557"/>
            <w:bookmarkStart w:id="1" w:name="_Hlk109827536"/>
          </w:p>
        </w:tc>
        <w:tc>
          <w:tcPr>
            <w:tcW w:w="1498" w:type="pct"/>
            <w:shd w:val="clear" w:color="auto" w:fill="auto"/>
          </w:tcPr>
          <w:p w14:paraId="7FCA6824" w14:textId="77777777" w:rsidR="00CF6968" w:rsidRPr="00F83DA8" w:rsidRDefault="00CF6968" w:rsidP="0089220B">
            <w:pPr>
              <w:spacing w:after="120"/>
              <w:rPr>
                <w:rFonts w:cs="Arial"/>
                <w:color w:val="000000" w:themeColor="text1"/>
                <w:szCs w:val="20"/>
              </w:rPr>
            </w:pPr>
            <w:r w:rsidRPr="00F83DA8">
              <w:rPr>
                <w:rFonts w:cs="Arial"/>
                <w:snapToGrid w:val="0"/>
                <w:color w:val="000000" w:themeColor="text1"/>
                <w:szCs w:val="20"/>
              </w:rPr>
              <w:t>Sector</w:t>
            </w:r>
          </w:p>
        </w:tc>
        <w:tc>
          <w:tcPr>
            <w:tcW w:w="203" w:type="pct"/>
            <w:shd w:val="clear" w:color="auto" w:fill="auto"/>
          </w:tcPr>
          <w:p w14:paraId="130A2DE2"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01" w:type="pct"/>
            <w:shd w:val="clear" w:color="auto" w:fill="auto"/>
          </w:tcPr>
          <w:p w14:paraId="088EF3DF"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All sectors</w:t>
            </w:r>
          </w:p>
        </w:tc>
      </w:tr>
      <w:tr w:rsidR="00F83DA8" w:rsidRPr="00F83DA8" w14:paraId="109D940F" w14:textId="77777777" w:rsidTr="00267405">
        <w:tc>
          <w:tcPr>
            <w:tcW w:w="298" w:type="pct"/>
            <w:shd w:val="clear" w:color="auto" w:fill="auto"/>
          </w:tcPr>
          <w:p w14:paraId="63C14984" w14:textId="77777777" w:rsidR="00CF6968" w:rsidRPr="00F83DA8" w:rsidRDefault="00CF6968" w:rsidP="0089220B">
            <w:pPr>
              <w:spacing w:after="120"/>
              <w:rPr>
                <w:rFonts w:cs="Arial"/>
                <w:color w:val="000000" w:themeColor="text1"/>
                <w:szCs w:val="20"/>
              </w:rPr>
            </w:pPr>
          </w:p>
        </w:tc>
        <w:tc>
          <w:tcPr>
            <w:tcW w:w="1498" w:type="pct"/>
            <w:shd w:val="clear" w:color="auto" w:fill="auto"/>
          </w:tcPr>
          <w:p w14:paraId="092E49B6"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Subsector</w:t>
            </w:r>
          </w:p>
        </w:tc>
        <w:tc>
          <w:tcPr>
            <w:tcW w:w="203" w:type="pct"/>
            <w:shd w:val="clear" w:color="auto" w:fill="auto"/>
          </w:tcPr>
          <w:p w14:paraId="4FCE8F27"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01" w:type="pct"/>
            <w:shd w:val="clear" w:color="auto" w:fill="auto"/>
          </w:tcPr>
          <w:p w14:paraId="4256A24F" w14:textId="77777777" w:rsidR="00CF6968" w:rsidRPr="00F83DA8" w:rsidRDefault="00CF6968" w:rsidP="0089220B">
            <w:pPr>
              <w:spacing w:after="120"/>
              <w:rPr>
                <w:rFonts w:cs="Arial"/>
                <w:color w:val="000000" w:themeColor="text1"/>
              </w:rPr>
            </w:pPr>
            <w:r w:rsidRPr="00F83DA8">
              <w:rPr>
                <w:rFonts w:cs="Arial"/>
                <w:color w:val="000000" w:themeColor="text1"/>
              </w:rPr>
              <w:t>-</w:t>
            </w:r>
          </w:p>
        </w:tc>
      </w:tr>
      <w:tr w:rsidR="00F83DA8" w:rsidRPr="00F83DA8" w14:paraId="0F7C9FC1" w14:textId="77777777" w:rsidTr="00267405">
        <w:tc>
          <w:tcPr>
            <w:tcW w:w="298" w:type="pct"/>
            <w:shd w:val="clear" w:color="auto" w:fill="auto"/>
          </w:tcPr>
          <w:p w14:paraId="0845B162" w14:textId="77777777" w:rsidR="00CF6968" w:rsidRPr="00F83DA8" w:rsidRDefault="00CF6968" w:rsidP="0089220B">
            <w:pPr>
              <w:spacing w:after="120"/>
              <w:rPr>
                <w:rFonts w:cs="Arial"/>
                <w:color w:val="000000" w:themeColor="text1"/>
                <w:szCs w:val="20"/>
              </w:rPr>
            </w:pPr>
          </w:p>
        </w:tc>
        <w:tc>
          <w:tcPr>
            <w:tcW w:w="1498" w:type="pct"/>
            <w:shd w:val="clear" w:color="auto" w:fill="auto"/>
          </w:tcPr>
          <w:p w14:paraId="74B2BD56"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Obligations Concerned</w:t>
            </w:r>
          </w:p>
        </w:tc>
        <w:tc>
          <w:tcPr>
            <w:tcW w:w="203" w:type="pct"/>
            <w:shd w:val="clear" w:color="auto" w:fill="auto"/>
          </w:tcPr>
          <w:p w14:paraId="08168A0D"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01" w:type="pct"/>
            <w:shd w:val="clear" w:color="auto" w:fill="auto"/>
          </w:tcPr>
          <w:p w14:paraId="63BAC74C" w14:textId="1945B6F2" w:rsidR="00CF6968" w:rsidRPr="00F83DA8" w:rsidRDefault="00CF6968" w:rsidP="0089220B">
            <w:pPr>
              <w:spacing w:after="120"/>
              <w:rPr>
                <w:rFonts w:cs="Arial"/>
                <w:color w:val="000000" w:themeColor="text1"/>
              </w:rPr>
            </w:pPr>
            <w:r w:rsidRPr="00F83DA8">
              <w:rPr>
                <w:rFonts w:cs="Arial"/>
                <w:color w:val="000000" w:themeColor="text1"/>
              </w:rPr>
              <w:t>Most-</w:t>
            </w:r>
            <w:proofErr w:type="spellStart"/>
            <w:r w:rsidRPr="00F83DA8">
              <w:rPr>
                <w:rFonts w:cs="Arial"/>
                <w:color w:val="000000" w:themeColor="text1"/>
              </w:rPr>
              <w:t>Favoured</w:t>
            </w:r>
            <w:proofErr w:type="spellEnd"/>
            <w:r w:rsidRPr="00F83DA8">
              <w:rPr>
                <w:rFonts w:cs="Arial"/>
                <w:color w:val="000000" w:themeColor="text1"/>
              </w:rPr>
              <w:t>-Nation Treatment</w:t>
            </w:r>
          </w:p>
        </w:tc>
      </w:tr>
      <w:tr w:rsidR="00F83DA8" w:rsidRPr="00F83DA8" w14:paraId="0D667C95" w14:textId="77777777" w:rsidTr="00267405">
        <w:trPr>
          <w:trHeight w:val="2650"/>
        </w:trPr>
        <w:tc>
          <w:tcPr>
            <w:tcW w:w="298" w:type="pct"/>
            <w:shd w:val="clear" w:color="auto" w:fill="auto"/>
          </w:tcPr>
          <w:p w14:paraId="3B096D3B" w14:textId="77777777" w:rsidR="00CF6968" w:rsidRPr="00F83DA8" w:rsidRDefault="00CF6968" w:rsidP="0089220B">
            <w:pPr>
              <w:spacing w:after="120"/>
              <w:rPr>
                <w:rFonts w:cs="Arial"/>
                <w:snapToGrid w:val="0"/>
                <w:color w:val="000000" w:themeColor="text1"/>
                <w:szCs w:val="20"/>
              </w:rPr>
            </w:pPr>
          </w:p>
        </w:tc>
        <w:tc>
          <w:tcPr>
            <w:tcW w:w="1498" w:type="pct"/>
            <w:shd w:val="clear" w:color="auto" w:fill="auto"/>
          </w:tcPr>
          <w:p w14:paraId="73B03A29"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Description</w:t>
            </w:r>
          </w:p>
        </w:tc>
        <w:tc>
          <w:tcPr>
            <w:tcW w:w="203" w:type="pct"/>
            <w:shd w:val="clear" w:color="auto" w:fill="auto"/>
          </w:tcPr>
          <w:p w14:paraId="4AB42CE8"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01" w:type="pct"/>
            <w:shd w:val="clear" w:color="auto" w:fill="auto"/>
          </w:tcPr>
          <w:p w14:paraId="7D2B9D6A" w14:textId="2D2C8E2F" w:rsidR="00CF6968" w:rsidRPr="00F83DA8" w:rsidRDefault="00CF6968" w:rsidP="0089220B">
            <w:pPr>
              <w:pStyle w:val="DM"/>
              <w:spacing w:after="120"/>
              <w:jc w:val="both"/>
              <w:rPr>
                <w:color w:val="000000" w:themeColor="text1"/>
              </w:rPr>
            </w:pPr>
            <w:r w:rsidRPr="00F83DA8">
              <w:rPr>
                <w:color w:val="000000" w:themeColor="text1"/>
              </w:rPr>
              <w:t xml:space="preserve">Malaysia reserves the right to adopt or maintain any measure that accords more favourable treatment to any investor under any bilateral or multilateral international agreement in force or signed prior to the date of entry into force of </w:t>
            </w:r>
            <w:r w:rsidR="00AE7E56">
              <w:rPr>
                <w:color w:val="000000" w:themeColor="text1"/>
              </w:rPr>
              <w:t>the Second Protocol</w:t>
            </w:r>
            <w:r w:rsidR="003538AE">
              <w:rPr>
                <w:color w:val="000000" w:themeColor="text1"/>
              </w:rPr>
              <w:t>.</w:t>
            </w:r>
            <w:r w:rsidRPr="00F83DA8">
              <w:rPr>
                <w:rStyle w:val="FootnoteReference"/>
                <w:color w:val="000000" w:themeColor="text1"/>
              </w:rPr>
              <w:footnoteReference w:id="3"/>
            </w:r>
            <w:r w:rsidRPr="00F83DA8">
              <w:rPr>
                <w:rStyle w:val="FootnoteReference"/>
                <w:color w:val="000000" w:themeColor="text1"/>
              </w:rPr>
              <w:t xml:space="preserve"> </w:t>
            </w:r>
          </w:p>
          <w:p w14:paraId="0D42E33F" w14:textId="7D16AC69" w:rsidR="00CF6968" w:rsidRPr="00F83DA8" w:rsidRDefault="00CF6968" w:rsidP="0089220B">
            <w:pPr>
              <w:pStyle w:val="DM"/>
              <w:spacing w:after="120"/>
              <w:jc w:val="both"/>
              <w:rPr>
                <w:color w:val="000000" w:themeColor="text1"/>
              </w:rPr>
            </w:pPr>
            <w:r w:rsidRPr="00F83DA8">
              <w:rPr>
                <w:color w:val="000000" w:themeColor="text1"/>
              </w:rPr>
              <w:t>Malaysia reserves the right to adopt or maintain any measure that accords differential treatment to Member States of ASEAN under any ASEAN agreement open to participation by any Member State of ASEAN, in force or signed after the date of entry into force of</w:t>
            </w:r>
            <w:r w:rsidR="0054025A">
              <w:rPr>
                <w:color w:val="000000" w:themeColor="text1"/>
              </w:rPr>
              <w:t xml:space="preserve"> </w:t>
            </w:r>
            <w:r w:rsidR="00AE7E56">
              <w:rPr>
                <w:color w:val="000000" w:themeColor="text1"/>
              </w:rPr>
              <w:t>the Second Protocol</w:t>
            </w:r>
            <w:r w:rsidRPr="00F83DA8">
              <w:rPr>
                <w:color w:val="000000" w:themeColor="text1"/>
              </w:rPr>
              <w:t>.</w:t>
            </w:r>
          </w:p>
          <w:p w14:paraId="5A14A58D" w14:textId="7F8F07D6" w:rsidR="00CF6968" w:rsidRPr="00F83DA8" w:rsidRDefault="00CF6968" w:rsidP="0089220B">
            <w:pPr>
              <w:pStyle w:val="DM"/>
              <w:spacing w:after="120"/>
              <w:jc w:val="both"/>
              <w:rPr>
                <w:color w:val="000000" w:themeColor="text1"/>
              </w:rPr>
            </w:pPr>
            <w:r w:rsidRPr="00F83DA8">
              <w:rPr>
                <w:color w:val="000000" w:themeColor="text1"/>
              </w:rPr>
              <w:t xml:space="preserve">With regard to the sectors listed below, Malaysia reserves the right to adopt or maintain any measures relating to investment that accords rights, preferences and differential treatment to countries under any international agreement in force or signed after the date of entry into force of </w:t>
            </w:r>
            <w:r w:rsidR="00AE7E56">
              <w:rPr>
                <w:color w:val="000000" w:themeColor="text1"/>
              </w:rPr>
              <w:t>the Second Protocol</w:t>
            </w:r>
            <w:r w:rsidRPr="00F83DA8">
              <w:rPr>
                <w:color w:val="000000" w:themeColor="text1"/>
              </w:rPr>
              <w:t>:</w:t>
            </w:r>
          </w:p>
          <w:p w14:paraId="651FFEDE" w14:textId="77777777" w:rsidR="00CF6968" w:rsidRPr="00F83DA8" w:rsidRDefault="00CF6968" w:rsidP="0089220B">
            <w:pPr>
              <w:pStyle w:val="TOSM"/>
              <w:numPr>
                <w:ilvl w:val="0"/>
                <w:numId w:val="27"/>
              </w:numPr>
              <w:ind w:hanging="720"/>
              <w:rPr>
                <w:color w:val="000000" w:themeColor="text1"/>
              </w:rPr>
            </w:pPr>
            <w:r w:rsidRPr="00F83DA8">
              <w:rPr>
                <w:color w:val="000000" w:themeColor="text1"/>
              </w:rPr>
              <w:t>Aviation Matters;</w:t>
            </w:r>
          </w:p>
          <w:p w14:paraId="17817307" w14:textId="77777777" w:rsidR="00CF6968" w:rsidRPr="00F83DA8" w:rsidRDefault="00CF6968" w:rsidP="0089220B">
            <w:pPr>
              <w:pStyle w:val="TOSM"/>
              <w:numPr>
                <w:ilvl w:val="0"/>
                <w:numId w:val="27"/>
              </w:numPr>
              <w:ind w:hanging="720"/>
              <w:rPr>
                <w:color w:val="000000" w:themeColor="text1"/>
              </w:rPr>
            </w:pPr>
            <w:r w:rsidRPr="00F83DA8">
              <w:rPr>
                <w:color w:val="000000" w:themeColor="text1"/>
              </w:rPr>
              <w:t>Maritime and Port;</w:t>
            </w:r>
          </w:p>
          <w:p w14:paraId="5C2687FE" w14:textId="77777777" w:rsidR="00CF6968" w:rsidRPr="00F83DA8" w:rsidRDefault="00CF6968" w:rsidP="0089220B">
            <w:pPr>
              <w:pStyle w:val="TOSM"/>
              <w:numPr>
                <w:ilvl w:val="0"/>
                <w:numId w:val="27"/>
              </w:numPr>
              <w:ind w:hanging="720"/>
              <w:rPr>
                <w:color w:val="000000" w:themeColor="text1"/>
              </w:rPr>
            </w:pPr>
            <w:r w:rsidRPr="00F83DA8">
              <w:rPr>
                <w:color w:val="000000" w:themeColor="text1"/>
              </w:rPr>
              <w:t>Broadcasting;</w:t>
            </w:r>
          </w:p>
          <w:p w14:paraId="4D3BFACE" w14:textId="77777777" w:rsidR="00CF6968" w:rsidRPr="00F83DA8" w:rsidRDefault="00CF6968" w:rsidP="0089220B">
            <w:pPr>
              <w:pStyle w:val="TOSM"/>
              <w:numPr>
                <w:ilvl w:val="0"/>
                <w:numId w:val="27"/>
              </w:numPr>
              <w:ind w:hanging="720"/>
              <w:rPr>
                <w:color w:val="000000" w:themeColor="text1"/>
              </w:rPr>
            </w:pPr>
            <w:r w:rsidRPr="00F83DA8">
              <w:rPr>
                <w:color w:val="000000" w:themeColor="text1"/>
              </w:rPr>
              <w:t xml:space="preserve">Space Transportation; </w:t>
            </w:r>
          </w:p>
          <w:p w14:paraId="1111A162" w14:textId="77777777" w:rsidR="00CF6968" w:rsidRPr="00F83DA8" w:rsidRDefault="00CF6968" w:rsidP="0089220B">
            <w:pPr>
              <w:pStyle w:val="TOSM"/>
              <w:numPr>
                <w:ilvl w:val="0"/>
                <w:numId w:val="27"/>
              </w:numPr>
              <w:ind w:hanging="720"/>
              <w:rPr>
                <w:color w:val="000000" w:themeColor="text1"/>
              </w:rPr>
            </w:pPr>
            <w:r w:rsidRPr="00F83DA8">
              <w:rPr>
                <w:color w:val="000000" w:themeColor="text1"/>
              </w:rPr>
              <w:t>Fisheries; and</w:t>
            </w:r>
          </w:p>
          <w:p w14:paraId="6C68D955" w14:textId="77777777" w:rsidR="00CF6968" w:rsidRPr="00F83DA8" w:rsidRDefault="00CF6968" w:rsidP="0089220B">
            <w:pPr>
              <w:pStyle w:val="TOSM"/>
              <w:numPr>
                <w:ilvl w:val="0"/>
                <w:numId w:val="27"/>
              </w:numPr>
              <w:ind w:hanging="720"/>
              <w:rPr>
                <w:color w:val="000000" w:themeColor="text1"/>
              </w:rPr>
            </w:pPr>
            <w:r w:rsidRPr="00F83DA8">
              <w:rPr>
                <w:color w:val="000000" w:themeColor="text1"/>
              </w:rPr>
              <w:t>Financial Services.</w:t>
            </w:r>
          </w:p>
        </w:tc>
      </w:tr>
      <w:tr w:rsidR="00CF6968" w:rsidRPr="00F83DA8" w14:paraId="0D399C4D" w14:textId="77777777" w:rsidTr="00267405">
        <w:tc>
          <w:tcPr>
            <w:tcW w:w="298" w:type="pct"/>
            <w:shd w:val="clear" w:color="auto" w:fill="auto"/>
          </w:tcPr>
          <w:p w14:paraId="2FC6066B" w14:textId="77777777" w:rsidR="00CF6968" w:rsidRPr="00F83DA8" w:rsidRDefault="00CF6968" w:rsidP="0089220B">
            <w:pPr>
              <w:spacing w:after="120"/>
              <w:rPr>
                <w:rFonts w:cs="Arial"/>
                <w:color w:val="000000" w:themeColor="text1"/>
                <w:szCs w:val="20"/>
              </w:rPr>
            </w:pPr>
          </w:p>
        </w:tc>
        <w:tc>
          <w:tcPr>
            <w:tcW w:w="1498" w:type="pct"/>
            <w:shd w:val="clear" w:color="auto" w:fill="auto"/>
          </w:tcPr>
          <w:p w14:paraId="5AF109BE"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Existing Measures</w:t>
            </w:r>
          </w:p>
        </w:tc>
        <w:tc>
          <w:tcPr>
            <w:tcW w:w="203" w:type="pct"/>
            <w:shd w:val="clear" w:color="auto" w:fill="auto"/>
          </w:tcPr>
          <w:p w14:paraId="6C0F93D0"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w:t>
            </w:r>
          </w:p>
        </w:tc>
        <w:tc>
          <w:tcPr>
            <w:tcW w:w="3001" w:type="pct"/>
            <w:shd w:val="clear" w:color="auto" w:fill="auto"/>
          </w:tcPr>
          <w:p w14:paraId="2CA691F1" w14:textId="77777777" w:rsidR="00CF6968" w:rsidRPr="00F83DA8" w:rsidRDefault="00CF6968" w:rsidP="0089220B">
            <w:pPr>
              <w:spacing w:after="120"/>
              <w:rPr>
                <w:rFonts w:cs="Arial"/>
                <w:color w:val="000000" w:themeColor="text1"/>
              </w:rPr>
            </w:pPr>
            <w:r w:rsidRPr="00F83DA8">
              <w:rPr>
                <w:rFonts w:cs="Arial"/>
                <w:color w:val="000000" w:themeColor="text1"/>
              </w:rPr>
              <w:t>-</w:t>
            </w:r>
          </w:p>
        </w:tc>
      </w:tr>
      <w:bookmarkEnd w:id="0"/>
    </w:tbl>
    <w:p w14:paraId="762DEFF7" w14:textId="77777777" w:rsidR="00CF6968" w:rsidRPr="00F83DA8" w:rsidRDefault="00CF6968" w:rsidP="0089220B">
      <w:pPr>
        <w:spacing w:after="120"/>
        <w:rPr>
          <w:rFonts w:cs="Arial"/>
          <w:color w:val="000000" w:themeColor="text1"/>
          <w:szCs w:val="20"/>
        </w:rPr>
      </w:pPr>
    </w:p>
    <w:p w14:paraId="5B5BC732" w14:textId="77777777" w:rsidR="00CF6968" w:rsidRPr="00F83DA8" w:rsidRDefault="00CF6968" w:rsidP="0089220B">
      <w:pPr>
        <w:pStyle w:val="TOSM"/>
        <w:rPr>
          <w:color w:val="000000" w:themeColor="text1"/>
        </w:rPr>
      </w:pPr>
      <w:r w:rsidRPr="00F83DA8">
        <w:rPr>
          <w:color w:val="000000" w:themeColor="text1"/>
        </w:rPr>
        <w:br w:type="page"/>
      </w:r>
    </w:p>
    <w:bookmarkEnd w:id="1"/>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309"/>
        <w:gridCol w:w="2321"/>
        <w:gridCol w:w="309"/>
        <w:gridCol w:w="4640"/>
      </w:tblGrid>
      <w:tr w:rsidR="00F83DA8" w:rsidRPr="00F83DA8" w14:paraId="144221E5" w14:textId="77777777" w:rsidTr="00267405">
        <w:tc>
          <w:tcPr>
            <w:tcW w:w="204" w:type="pct"/>
          </w:tcPr>
          <w:p w14:paraId="702FC45B" w14:textId="77777777" w:rsidR="00CF6968" w:rsidRPr="00F83DA8" w:rsidRDefault="00CF6968" w:rsidP="0089220B">
            <w:pPr>
              <w:numPr>
                <w:ilvl w:val="0"/>
                <w:numId w:val="5"/>
              </w:numPr>
              <w:spacing w:after="120"/>
              <w:rPr>
                <w:rFonts w:cs="Arial"/>
                <w:snapToGrid w:val="0"/>
                <w:color w:val="000000" w:themeColor="text1"/>
                <w:szCs w:val="20"/>
              </w:rPr>
            </w:pPr>
          </w:p>
        </w:tc>
        <w:tc>
          <w:tcPr>
            <w:tcW w:w="1531" w:type="pct"/>
          </w:tcPr>
          <w:p w14:paraId="738CC593" w14:textId="77777777" w:rsidR="00CF6968" w:rsidRPr="00F83DA8" w:rsidRDefault="00CF6968" w:rsidP="0089220B">
            <w:pPr>
              <w:spacing w:after="120"/>
              <w:rPr>
                <w:rFonts w:cs="Arial"/>
                <w:color w:val="000000" w:themeColor="text1"/>
                <w:szCs w:val="20"/>
              </w:rPr>
            </w:pPr>
            <w:r w:rsidRPr="00F83DA8">
              <w:rPr>
                <w:rFonts w:cs="Arial"/>
                <w:snapToGrid w:val="0"/>
                <w:color w:val="000000" w:themeColor="text1"/>
                <w:szCs w:val="20"/>
              </w:rPr>
              <w:t>Sector</w:t>
            </w:r>
          </w:p>
        </w:tc>
        <w:tc>
          <w:tcPr>
            <w:tcW w:w="204" w:type="pct"/>
          </w:tcPr>
          <w:p w14:paraId="7A84959B"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61" w:type="pct"/>
          </w:tcPr>
          <w:p w14:paraId="4B6C493A" w14:textId="77777777" w:rsidR="00CF6968" w:rsidRPr="00F83DA8" w:rsidRDefault="00CF6968" w:rsidP="0089220B">
            <w:pPr>
              <w:spacing w:after="120"/>
              <w:jc w:val="both"/>
              <w:rPr>
                <w:rFonts w:cs="Arial"/>
                <w:snapToGrid w:val="0"/>
                <w:color w:val="000000" w:themeColor="text1"/>
                <w:szCs w:val="20"/>
              </w:rPr>
            </w:pPr>
            <w:r w:rsidRPr="00F83DA8">
              <w:rPr>
                <w:rFonts w:cs="Arial"/>
                <w:snapToGrid w:val="0"/>
                <w:color w:val="000000" w:themeColor="text1"/>
                <w:szCs w:val="20"/>
              </w:rPr>
              <w:t>Explosives, weapons, ammunitions, as well as military-related equipment or devices, and similar products</w:t>
            </w:r>
          </w:p>
        </w:tc>
      </w:tr>
      <w:tr w:rsidR="00F83DA8" w:rsidRPr="00F83DA8" w14:paraId="7B708554" w14:textId="77777777" w:rsidTr="00267405">
        <w:tc>
          <w:tcPr>
            <w:tcW w:w="204" w:type="pct"/>
          </w:tcPr>
          <w:p w14:paraId="481B1047" w14:textId="77777777" w:rsidR="00CF6968" w:rsidRPr="00F83DA8" w:rsidRDefault="00CF6968" w:rsidP="0089220B">
            <w:pPr>
              <w:spacing w:after="120"/>
              <w:rPr>
                <w:rFonts w:cs="Arial"/>
                <w:snapToGrid w:val="0"/>
                <w:color w:val="000000" w:themeColor="text1"/>
                <w:szCs w:val="20"/>
              </w:rPr>
            </w:pPr>
          </w:p>
        </w:tc>
        <w:tc>
          <w:tcPr>
            <w:tcW w:w="1531" w:type="pct"/>
          </w:tcPr>
          <w:p w14:paraId="514C5593"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Subsector</w:t>
            </w:r>
          </w:p>
        </w:tc>
        <w:tc>
          <w:tcPr>
            <w:tcW w:w="204" w:type="pct"/>
          </w:tcPr>
          <w:p w14:paraId="787BC3D0"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61" w:type="pct"/>
          </w:tcPr>
          <w:p w14:paraId="3F13F37B" w14:textId="77777777" w:rsidR="00CF6968" w:rsidRPr="00F83DA8" w:rsidRDefault="00CF6968" w:rsidP="0089220B">
            <w:pPr>
              <w:spacing w:after="120"/>
              <w:jc w:val="both"/>
              <w:rPr>
                <w:rFonts w:cs="Arial"/>
                <w:snapToGrid w:val="0"/>
                <w:color w:val="000000" w:themeColor="text1"/>
                <w:szCs w:val="20"/>
              </w:rPr>
            </w:pPr>
            <w:r w:rsidRPr="00F83DA8">
              <w:rPr>
                <w:rFonts w:cs="Arial"/>
                <w:snapToGrid w:val="0"/>
                <w:color w:val="000000" w:themeColor="text1"/>
                <w:szCs w:val="20"/>
              </w:rPr>
              <w:t>-</w:t>
            </w:r>
          </w:p>
        </w:tc>
      </w:tr>
      <w:tr w:rsidR="00F83DA8" w:rsidRPr="00F83DA8" w14:paraId="79062EAC" w14:textId="77777777" w:rsidTr="00267405">
        <w:tc>
          <w:tcPr>
            <w:tcW w:w="204" w:type="pct"/>
          </w:tcPr>
          <w:p w14:paraId="26B7EAF1" w14:textId="77777777" w:rsidR="00CF6968" w:rsidRPr="00F83DA8" w:rsidRDefault="00CF6968" w:rsidP="0089220B">
            <w:pPr>
              <w:spacing w:after="120"/>
              <w:rPr>
                <w:rFonts w:cs="Arial"/>
                <w:color w:val="000000" w:themeColor="text1"/>
                <w:szCs w:val="20"/>
              </w:rPr>
            </w:pPr>
          </w:p>
        </w:tc>
        <w:tc>
          <w:tcPr>
            <w:tcW w:w="1531" w:type="pct"/>
          </w:tcPr>
          <w:p w14:paraId="78BCEA1A"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Obligations Concerned</w:t>
            </w:r>
          </w:p>
        </w:tc>
        <w:tc>
          <w:tcPr>
            <w:tcW w:w="204" w:type="pct"/>
          </w:tcPr>
          <w:p w14:paraId="026DDD63"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61" w:type="pct"/>
          </w:tcPr>
          <w:p w14:paraId="512EFC5A" w14:textId="2CE29E2D" w:rsidR="0094426F" w:rsidRPr="00F83DA8" w:rsidRDefault="0094426F" w:rsidP="0089220B">
            <w:pPr>
              <w:pStyle w:val="TOSM"/>
              <w:jc w:val="both"/>
              <w:rPr>
                <w:color w:val="000000" w:themeColor="text1"/>
              </w:rPr>
            </w:pPr>
            <w:r w:rsidRPr="00F83DA8">
              <w:rPr>
                <w:color w:val="000000" w:themeColor="text1"/>
              </w:rPr>
              <w:t>National Treatment</w:t>
            </w:r>
          </w:p>
          <w:p w14:paraId="1293F21F" w14:textId="4B544F06" w:rsidR="0094426F" w:rsidRPr="00F83DA8" w:rsidRDefault="0094426F" w:rsidP="0089220B">
            <w:pPr>
              <w:pStyle w:val="TOSM"/>
              <w:jc w:val="both"/>
              <w:rPr>
                <w:color w:val="000000" w:themeColor="text1"/>
              </w:rPr>
            </w:pPr>
            <w:r w:rsidRPr="00F83DA8">
              <w:rPr>
                <w:color w:val="000000" w:themeColor="text1"/>
              </w:rPr>
              <w:t>Most-</w:t>
            </w:r>
            <w:proofErr w:type="spellStart"/>
            <w:r w:rsidRPr="00F83DA8">
              <w:rPr>
                <w:color w:val="000000" w:themeColor="text1"/>
              </w:rPr>
              <w:t>Favoured</w:t>
            </w:r>
            <w:proofErr w:type="spellEnd"/>
            <w:r w:rsidRPr="00F83DA8">
              <w:rPr>
                <w:color w:val="000000" w:themeColor="text1"/>
              </w:rPr>
              <w:t xml:space="preserve">-Nation Treatment </w:t>
            </w:r>
          </w:p>
          <w:p w14:paraId="335C8FB9" w14:textId="657E6539" w:rsidR="00946C38" w:rsidRPr="00F83DA8" w:rsidRDefault="00946C38" w:rsidP="0089220B">
            <w:pPr>
              <w:pStyle w:val="TOSM"/>
              <w:jc w:val="both"/>
              <w:rPr>
                <w:color w:val="000000" w:themeColor="text1"/>
              </w:rPr>
            </w:pPr>
            <w:r w:rsidRPr="00F83DA8">
              <w:rPr>
                <w:color w:val="000000" w:themeColor="text1"/>
              </w:rPr>
              <w:t xml:space="preserve">Senior Management and Board of Directors </w:t>
            </w:r>
          </w:p>
          <w:p w14:paraId="29FA0E5F" w14:textId="4370AE9F" w:rsidR="00CF6968" w:rsidRPr="00F83DA8" w:rsidRDefault="0094426F" w:rsidP="0089220B">
            <w:pPr>
              <w:pStyle w:val="TOSM"/>
              <w:jc w:val="both"/>
              <w:rPr>
                <w:color w:val="000000" w:themeColor="text1"/>
              </w:rPr>
            </w:pPr>
            <w:r w:rsidRPr="00F83DA8">
              <w:rPr>
                <w:color w:val="000000" w:themeColor="text1"/>
              </w:rPr>
              <w:t xml:space="preserve">Prohibition of Performance Requirements </w:t>
            </w:r>
          </w:p>
        </w:tc>
      </w:tr>
      <w:tr w:rsidR="00F83DA8" w:rsidRPr="00F83DA8" w14:paraId="25C5F085" w14:textId="77777777" w:rsidTr="00267405">
        <w:trPr>
          <w:trHeight w:val="435"/>
        </w:trPr>
        <w:tc>
          <w:tcPr>
            <w:tcW w:w="204" w:type="pct"/>
          </w:tcPr>
          <w:p w14:paraId="7D39665B" w14:textId="77777777" w:rsidR="00CF6968" w:rsidRPr="00F83DA8" w:rsidRDefault="00CF6968" w:rsidP="0089220B">
            <w:pPr>
              <w:spacing w:after="120"/>
              <w:rPr>
                <w:rFonts w:cs="Arial"/>
                <w:snapToGrid w:val="0"/>
                <w:color w:val="000000" w:themeColor="text1"/>
                <w:szCs w:val="20"/>
              </w:rPr>
            </w:pPr>
          </w:p>
        </w:tc>
        <w:tc>
          <w:tcPr>
            <w:tcW w:w="1531" w:type="pct"/>
          </w:tcPr>
          <w:p w14:paraId="1E18A43A" w14:textId="77777777" w:rsidR="00CF6968" w:rsidRPr="00F83DA8" w:rsidRDefault="00CF6968" w:rsidP="0089220B">
            <w:pPr>
              <w:spacing w:after="120"/>
              <w:rPr>
                <w:rFonts w:cs="Arial"/>
                <w:snapToGrid w:val="0"/>
                <w:color w:val="000000" w:themeColor="text1"/>
                <w:szCs w:val="20"/>
              </w:rPr>
            </w:pPr>
            <w:r w:rsidRPr="00F83DA8">
              <w:rPr>
                <w:rFonts w:cs="Arial"/>
                <w:color w:val="000000" w:themeColor="text1"/>
                <w:szCs w:val="20"/>
              </w:rPr>
              <w:t>Description</w:t>
            </w:r>
          </w:p>
        </w:tc>
        <w:tc>
          <w:tcPr>
            <w:tcW w:w="204" w:type="pct"/>
          </w:tcPr>
          <w:p w14:paraId="3260FF97"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61" w:type="pct"/>
          </w:tcPr>
          <w:p w14:paraId="4E3A1860" w14:textId="77777777" w:rsidR="00CF6968" w:rsidRPr="00F83DA8" w:rsidRDefault="00CF6968" w:rsidP="0089220B">
            <w:pPr>
              <w:pStyle w:val="DM"/>
              <w:spacing w:after="120"/>
              <w:jc w:val="both"/>
              <w:rPr>
                <w:color w:val="000000" w:themeColor="text1"/>
              </w:rPr>
            </w:pPr>
            <w:r w:rsidRPr="00F83DA8">
              <w:rPr>
                <w:color w:val="000000" w:themeColor="text1"/>
              </w:rPr>
              <w:t>Malaysia reserves the right to adopt or maintain any measure affecting the arms and explosives sector.</w:t>
            </w:r>
          </w:p>
        </w:tc>
      </w:tr>
      <w:tr w:rsidR="00F83DA8" w:rsidRPr="00F83DA8" w14:paraId="1D1BBF69" w14:textId="77777777" w:rsidTr="00267405">
        <w:tc>
          <w:tcPr>
            <w:tcW w:w="204" w:type="pct"/>
          </w:tcPr>
          <w:p w14:paraId="35A8E965" w14:textId="77777777" w:rsidR="00CF6968" w:rsidRPr="00F83DA8" w:rsidRDefault="00CF6968" w:rsidP="0089220B">
            <w:pPr>
              <w:spacing w:after="120"/>
              <w:rPr>
                <w:rFonts w:cs="Arial"/>
                <w:color w:val="000000" w:themeColor="text1"/>
                <w:szCs w:val="20"/>
              </w:rPr>
            </w:pPr>
          </w:p>
        </w:tc>
        <w:tc>
          <w:tcPr>
            <w:tcW w:w="1531" w:type="pct"/>
          </w:tcPr>
          <w:p w14:paraId="2C0EA1AF"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Existing Measures</w:t>
            </w:r>
          </w:p>
        </w:tc>
        <w:tc>
          <w:tcPr>
            <w:tcW w:w="204" w:type="pct"/>
          </w:tcPr>
          <w:p w14:paraId="485D6FD2"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w:t>
            </w:r>
          </w:p>
        </w:tc>
        <w:tc>
          <w:tcPr>
            <w:tcW w:w="3061" w:type="pct"/>
          </w:tcPr>
          <w:p w14:paraId="43979C70" w14:textId="77777777" w:rsidR="00CF6968" w:rsidRPr="00F83DA8" w:rsidRDefault="00CF6968" w:rsidP="0089220B">
            <w:pPr>
              <w:pStyle w:val="TOSM"/>
              <w:jc w:val="both"/>
              <w:rPr>
                <w:color w:val="000000" w:themeColor="text1"/>
              </w:rPr>
            </w:pPr>
            <w:r w:rsidRPr="0027032F">
              <w:rPr>
                <w:i/>
                <w:color w:val="000000" w:themeColor="text1"/>
              </w:rPr>
              <w:t>Industrial Co-ordination Act 1975</w:t>
            </w:r>
            <w:r w:rsidRPr="00F83DA8">
              <w:rPr>
                <w:color w:val="000000" w:themeColor="text1"/>
              </w:rPr>
              <w:t xml:space="preserve"> [Act 156]</w:t>
            </w:r>
          </w:p>
          <w:p w14:paraId="2A5943AA" w14:textId="77777777" w:rsidR="00CF6968" w:rsidRPr="00F83DA8" w:rsidRDefault="00CF6968" w:rsidP="0089220B">
            <w:pPr>
              <w:pStyle w:val="TOSM"/>
              <w:jc w:val="both"/>
              <w:rPr>
                <w:color w:val="000000" w:themeColor="text1"/>
              </w:rPr>
            </w:pPr>
            <w:r w:rsidRPr="0027032F">
              <w:rPr>
                <w:i/>
                <w:color w:val="000000" w:themeColor="text1"/>
              </w:rPr>
              <w:t>Explosives Act 1957</w:t>
            </w:r>
            <w:r w:rsidRPr="00F83DA8">
              <w:rPr>
                <w:color w:val="000000" w:themeColor="text1"/>
              </w:rPr>
              <w:t xml:space="preserve"> [Act 207]</w:t>
            </w:r>
          </w:p>
          <w:p w14:paraId="3D859578" w14:textId="77777777" w:rsidR="00CF6968" w:rsidRPr="00F83DA8" w:rsidRDefault="00CF6968" w:rsidP="0089220B">
            <w:pPr>
              <w:pStyle w:val="TOSM"/>
              <w:jc w:val="both"/>
              <w:rPr>
                <w:color w:val="000000" w:themeColor="text1"/>
              </w:rPr>
            </w:pPr>
            <w:r w:rsidRPr="0027032F">
              <w:rPr>
                <w:i/>
                <w:color w:val="000000" w:themeColor="text1"/>
              </w:rPr>
              <w:t>Arms Act 1960</w:t>
            </w:r>
            <w:r w:rsidRPr="00F83DA8">
              <w:rPr>
                <w:color w:val="000000" w:themeColor="text1"/>
              </w:rPr>
              <w:t xml:space="preserve"> [Act 206]</w:t>
            </w:r>
          </w:p>
          <w:p w14:paraId="48C3E5B9" w14:textId="77777777" w:rsidR="00CF6968" w:rsidRPr="00F83DA8" w:rsidRDefault="00CF6968" w:rsidP="0089220B">
            <w:pPr>
              <w:pStyle w:val="TOSM"/>
              <w:jc w:val="both"/>
              <w:rPr>
                <w:color w:val="000000" w:themeColor="text1"/>
                <w:lang w:val="en-GB" w:eastAsia="en-GB"/>
              </w:rPr>
            </w:pPr>
            <w:r w:rsidRPr="0027032F">
              <w:rPr>
                <w:i/>
                <w:color w:val="000000" w:themeColor="text1"/>
                <w:lang w:val="en-GB" w:eastAsia="en-GB"/>
              </w:rPr>
              <w:t>Chemical Weapons Convention Act 2005</w:t>
            </w:r>
            <w:r w:rsidRPr="00F83DA8">
              <w:rPr>
                <w:color w:val="000000" w:themeColor="text1"/>
                <w:lang w:val="en-GB" w:eastAsia="en-GB"/>
              </w:rPr>
              <w:t xml:space="preserve"> [Act 641]</w:t>
            </w:r>
          </w:p>
          <w:p w14:paraId="1E50CED7" w14:textId="77777777" w:rsidR="00CF6968" w:rsidRPr="00F83DA8" w:rsidRDefault="00CF6968" w:rsidP="0089220B">
            <w:pPr>
              <w:pStyle w:val="TOSM"/>
              <w:jc w:val="both"/>
              <w:rPr>
                <w:color w:val="000000" w:themeColor="text1"/>
              </w:rPr>
            </w:pPr>
            <w:r w:rsidRPr="0027032F">
              <w:rPr>
                <w:i/>
                <w:color w:val="000000" w:themeColor="text1"/>
                <w:lang w:val="en-GB" w:eastAsia="en-GB"/>
              </w:rPr>
              <w:t>Strategic Trade Act 2010</w:t>
            </w:r>
            <w:r w:rsidRPr="00F83DA8">
              <w:rPr>
                <w:color w:val="000000" w:themeColor="text1"/>
                <w:lang w:val="en-GB" w:eastAsia="en-GB"/>
              </w:rPr>
              <w:t xml:space="preserve"> [Act 708]</w:t>
            </w:r>
          </w:p>
        </w:tc>
      </w:tr>
    </w:tbl>
    <w:p w14:paraId="4C8AE68D" w14:textId="77777777" w:rsidR="00CF6968" w:rsidRPr="00F83DA8" w:rsidRDefault="00CF6968" w:rsidP="0089220B">
      <w:pPr>
        <w:pStyle w:val="TOSM"/>
        <w:rPr>
          <w:color w:val="000000" w:themeColor="text1"/>
        </w:rPr>
      </w:pPr>
      <w:r w:rsidRPr="00F83DA8">
        <w:rPr>
          <w:color w:val="000000" w:themeColor="text1"/>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0"/>
        <w:gridCol w:w="2269"/>
        <w:gridCol w:w="308"/>
        <w:gridCol w:w="4552"/>
      </w:tblGrid>
      <w:tr w:rsidR="00F83DA8" w:rsidRPr="00F83DA8" w14:paraId="74AD72DB" w14:textId="77777777" w:rsidTr="00502987">
        <w:tc>
          <w:tcPr>
            <w:tcW w:w="297" w:type="pct"/>
            <w:shd w:val="clear" w:color="auto" w:fill="auto"/>
          </w:tcPr>
          <w:p w14:paraId="411E55A1" w14:textId="77777777" w:rsidR="00CF6968" w:rsidRPr="00F83DA8" w:rsidRDefault="00CF6968" w:rsidP="0089220B">
            <w:pPr>
              <w:numPr>
                <w:ilvl w:val="0"/>
                <w:numId w:val="5"/>
              </w:numPr>
              <w:spacing w:after="120"/>
              <w:rPr>
                <w:rFonts w:cs="Arial"/>
                <w:snapToGrid w:val="0"/>
                <w:color w:val="000000" w:themeColor="text1"/>
                <w:szCs w:val="20"/>
              </w:rPr>
            </w:pPr>
          </w:p>
        </w:tc>
        <w:tc>
          <w:tcPr>
            <w:tcW w:w="1497" w:type="pct"/>
            <w:shd w:val="clear" w:color="auto" w:fill="auto"/>
          </w:tcPr>
          <w:p w14:paraId="43C7E6A4" w14:textId="77777777" w:rsidR="00CF6968" w:rsidRPr="00F83DA8" w:rsidRDefault="00CF6968" w:rsidP="0089220B">
            <w:pPr>
              <w:spacing w:after="120"/>
              <w:rPr>
                <w:rFonts w:cs="Arial"/>
                <w:color w:val="000000" w:themeColor="text1"/>
                <w:szCs w:val="20"/>
              </w:rPr>
            </w:pPr>
            <w:r w:rsidRPr="00F83DA8">
              <w:rPr>
                <w:rFonts w:cs="Arial"/>
                <w:snapToGrid w:val="0"/>
                <w:color w:val="000000" w:themeColor="text1"/>
                <w:szCs w:val="20"/>
              </w:rPr>
              <w:t xml:space="preserve">Sector </w:t>
            </w:r>
          </w:p>
        </w:tc>
        <w:tc>
          <w:tcPr>
            <w:tcW w:w="203" w:type="pct"/>
            <w:shd w:val="clear" w:color="auto" w:fill="auto"/>
          </w:tcPr>
          <w:p w14:paraId="66E803A8"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03" w:type="pct"/>
            <w:shd w:val="clear" w:color="auto" w:fill="auto"/>
          </w:tcPr>
          <w:p w14:paraId="6DE13B51" w14:textId="77777777" w:rsidR="00CF6968" w:rsidRPr="00F83DA8" w:rsidRDefault="00CF6968" w:rsidP="0089220B">
            <w:pPr>
              <w:spacing w:after="120"/>
              <w:jc w:val="both"/>
              <w:rPr>
                <w:rFonts w:cs="Arial"/>
                <w:snapToGrid w:val="0"/>
                <w:color w:val="000000" w:themeColor="text1"/>
                <w:szCs w:val="20"/>
              </w:rPr>
            </w:pPr>
            <w:r w:rsidRPr="00F83DA8">
              <w:rPr>
                <w:rFonts w:cs="Arial"/>
                <w:snapToGrid w:val="0"/>
                <w:color w:val="000000" w:themeColor="text1"/>
                <w:szCs w:val="20"/>
              </w:rPr>
              <w:t xml:space="preserve">Gaming, betting and gambling </w:t>
            </w:r>
          </w:p>
        </w:tc>
      </w:tr>
      <w:tr w:rsidR="00F83DA8" w:rsidRPr="00F83DA8" w14:paraId="04BD070B" w14:textId="77777777" w:rsidTr="00502987">
        <w:tc>
          <w:tcPr>
            <w:tcW w:w="297" w:type="pct"/>
            <w:shd w:val="clear" w:color="auto" w:fill="auto"/>
          </w:tcPr>
          <w:p w14:paraId="3D1C3312" w14:textId="77777777" w:rsidR="00CF6968" w:rsidRPr="00F83DA8" w:rsidRDefault="00CF6968" w:rsidP="0089220B">
            <w:pPr>
              <w:spacing w:after="120"/>
              <w:rPr>
                <w:rFonts w:cs="Arial"/>
                <w:color w:val="000000" w:themeColor="text1"/>
                <w:szCs w:val="20"/>
              </w:rPr>
            </w:pPr>
          </w:p>
        </w:tc>
        <w:tc>
          <w:tcPr>
            <w:tcW w:w="1497" w:type="pct"/>
            <w:shd w:val="clear" w:color="auto" w:fill="auto"/>
          </w:tcPr>
          <w:p w14:paraId="7DE00896"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Subsector</w:t>
            </w:r>
          </w:p>
        </w:tc>
        <w:tc>
          <w:tcPr>
            <w:tcW w:w="203" w:type="pct"/>
            <w:shd w:val="clear" w:color="auto" w:fill="auto"/>
          </w:tcPr>
          <w:p w14:paraId="16B65489"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03" w:type="pct"/>
            <w:shd w:val="clear" w:color="auto" w:fill="auto"/>
          </w:tcPr>
          <w:p w14:paraId="6BD5D0ED" w14:textId="77777777" w:rsidR="00CF6968" w:rsidRPr="00F83DA8" w:rsidRDefault="00CF6968" w:rsidP="0089220B">
            <w:pPr>
              <w:spacing w:after="120"/>
              <w:rPr>
                <w:rFonts w:cs="Arial"/>
                <w:color w:val="000000" w:themeColor="text1"/>
              </w:rPr>
            </w:pPr>
            <w:r w:rsidRPr="00F83DA8">
              <w:rPr>
                <w:rFonts w:cs="Arial"/>
                <w:color w:val="000000" w:themeColor="text1"/>
              </w:rPr>
              <w:t>-</w:t>
            </w:r>
          </w:p>
        </w:tc>
      </w:tr>
      <w:tr w:rsidR="00F83DA8" w:rsidRPr="00F83DA8" w14:paraId="0008423F" w14:textId="77777777" w:rsidTr="00502987">
        <w:tc>
          <w:tcPr>
            <w:tcW w:w="297" w:type="pct"/>
            <w:shd w:val="clear" w:color="auto" w:fill="auto"/>
          </w:tcPr>
          <w:p w14:paraId="62C3D6AF" w14:textId="77777777" w:rsidR="00CF6968" w:rsidRPr="00F83DA8" w:rsidRDefault="00CF6968" w:rsidP="0089220B">
            <w:pPr>
              <w:spacing w:after="120"/>
              <w:rPr>
                <w:rFonts w:cs="Arial"/>
                <w:color w:val="000000" w:themeColor="text1"/>
                <w:szCs w:val="20"/>
              </w:rPr>
            </w:pPr>
          </w:p>
        </w:tc>
        <w:tc>
          <w:tcPr>
            <w:tcW w:w="1497" w:type="pct"/>
            <w:shd w:val="clear" w:color="auto" w:fill="auto"/>
          </w:tcPr>
          <w:p w14:paraId="0E0FDF6E"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Obligations Concerned</w:t>
            </w:r>
          </w:p>
        </w:tc>
        <w:tc>
          <w:tcPr>
            <w:tcW w:w="203" w:type="pct"/>
            <w:shd w:val="clear" w:color="auto" w:fill="auto"/>
          </w:tcPr>
          <w:p w14:paraId="11FB2900"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03" w:type="pct"/>
            <w:shd w:val="clear" w:color="auto" w:fill="auto"/>
          </w:tcPr>
          <w:p w14:paraId="6FE240A0" w14:textId="77FDFE5C" w:rsidR="0094426F" w:rsidRPr="00F83DA8" w:rsidRDefault="0094426F" w:rsidP="0089220B">
            <w:pPr>
              <w:pStyle w:val="TOSM"/>
              <w:jc w:val="both"/>
              <w:rPr>
                <w:color w:val="000000" w:themeColor="text1"/>
              </w:rPr>
            </w:pPr>
            <w:r w:rsidRPr="00F83DA8">
              <w:rPr>
                <w:color w:val="000000" w:themeColor="text1"/>
              </w:rPr>
              <w:t xml:space="preserve">National Treatment </w:t>
            </w:r>
          </w:p>
          <w:p w14:paraId="55D63C80" w14:textId="1C8051CA" w:rsidR="0094426F" w:rsidRPr="00F83DA8" w:rsidRDefault="0094426F" w:rsidP="0089220B">
            <w:pPr>
              <w:pStyle w:val="TOSM"/>
              <w:jc w:val="both"/>
              <w:rPr>
                <w:color w:val="000000" w:themeColor="text1"/>
              </w:rPr>
            </w:pPr>
            <w:r w:rsidRPr="00F83DA8">
              <w:rPr>
                <w:color w:val="000000" w:themeColor="text1"/>
              </w:rPr>
              <w:t>Most-</w:t>
            </w:r>
            <w:proofErr w:type="spellStart"/>
            <w:r w:rsidRPr="00F83DA8">
              <w:rPr>
                <w:color w:val="000000" w:themeColor="text1"/>
              </w:rPr>
              <w:t>Favoured</w:t>
            </w:r>
            <w:proofErr w:type="spellEnd"/>
            <w:r w:rsidRPr="00F83DA8">
              <w:rPr>
                <w:color w:val="000000" w:themeColor="text1"/>
              </w:rPr>
              <w:t xml:space="preserve">-Nation Treatment </w:t>
            </w:r>
          </w:p>
          <w:p w14:paraId="558C85C5" w14:textId="511280FA" w:rsidR="00946C38" w:rsidRPr="00F83DA8" w:rsidRDefault="00946C38" w:rsidP="0089220B">
            <w:pPr>
              <w:pStyle w:val="TOSM"/>
              <w:jc w:val="both"/>
              <w:rPr>
                <w:color w:val="000000" w:themeColor="text1"/>
              </w:rPr>
            </w:pPr>
            <w:r w:rsidRPr="00F83DA8">
              <w:rPr>
                <w:color w:val="000000" w:themeColor="text1"/>
              </w:rPr>
              <w:t xml:space="preserve">Senior Management and Board of Directors </w:t>
            </w:r>
          </w:p>
          <w:p w14:paraId="228C6B97" w14:textId="431CA7DC" w:rsidR="00CF6968" w:rsidRPr="00F83DA8" w:rsidRDefault="0094426F" w:rsidP="0089220B">
            <w:pPr>
              <w:pStyle w:val="TOSM"/>
              <w:jc w:val="both"/>
              <w:rPr>
                <w:color w:val="000000" w:themeColor="text1"/>
              </w:rPr>
            </w:pPr>
            <w:r w:rsidRPr="00F83DA8">
              <w:rPr>
                <w:color w:val="000000" w:themeColor="text1"/>
              </w:rPr>
              <w:t xml:space="preserve">Prohibition of Performance Requirements </w:t>
            </w:r>
          </w:p>
        </w:tc>
      </w:tr>
      <w:tr w:rsidR="00F83DA8" w:rsidRPr="00F83DA8" w14:paraId="10F9312E" w14:textId="77777777" w:rsidTr="00502987">
        <w:tc>
          <w:tcPr>
            <w:tcW w:w="297" w:type="pct"/>
            <w:shd w:val="clear" w:color="auto" w:fill="auto"/>
          </w:tcPr>
          <w:p w14:paraId="57E21BD0" w14:textId="77777777" w:rsidR="00CF6968" w:rsidRPr="00F83DA8" w:rsidRDefault="00CF6968" w:rsidP="0089220B">
            <w:pPr>
              <w:spacing w:after="120"/>
              <w:rPr>
                <w:rFonts w:cs="Arial"/>
                <w:snapToGrid w:val="0"/>
                <w:color w:val="000000" w:themeColor="text1"/>
                <w:szCs w:val="20"/>
              </w:rPr>
            </w:pPr>
          </w:p>
        </w:tc>
        <w:tc>
          <w:tcPr>
            <w:tcW w:w="1497" w:type="pct"/>
            <w:shd w:val="clear" w:color="auto" w:fill="auto"/>
          </w:tcPr>
          <w:p w14:paraId="1851EBDC"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Description</w:t>
            </w:r>
          </w:p>
        </w:tc>
        <w:tc>
          <w:tcPr>
            <w:tcW w:w="203" w:type="pct"/>
            <w:shd w:val="clear" w:color="auto" w:fill="auto"/>
          </w:tcPr>
          <w:p w14:paraId="19D20A40"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03" w:type="pct"/>
            <w:shd w:val="clear" w:color="auto" w:fill="auto"/>
          </w:tcPr>
          <w:p w14:paraId="29DFFCFD" w14:textId="77777777" w:rsidR="00CF6968" w:rsidRPr="00F83DA8" w:rsidRDefault="00CF6968" w:rsidP="0089220B">
            <w:pPr>
              <w:pStyle w:val="TOSM"/>
              <w:jc w:val="both"/>
              <w:rPr>
                <w:color w:val="000000" w:themeColor="text1"/>
              </w:rPr>
            </w:pPr>
            <w:r w:rsidRPr="00F83DA8">
              <w:rPr>
                <w:color w:val="000000" w:themeColor="text1"/>
              </w:rPr>
              <w:t>Malaysia reserves the right to adopt or maintain any measure relating to the provision of gaming, betting and gambling.</w:t>
            </w:r>
          </w:p>
        </w:tc>
      </w:tr>
      <w:tr w:rsidR="00CF6968" w:rsidRPr="00F83DA8" w14:paraId="71DCA94D" w14:textId="77777777" w:rsidTr="00502987">
        <w:tc>
          <w:tcPr>
            <w:tcW w:w="297" w:type="pct"/>
            <w:shd w:val="clear" w:color="auto" w:fill="auto"/>
          </w:tcPr>
          <w:p w14:paraId="42E07F30" w14:textId="77777777" w:rsidR="00CF6968" w:rsidRPr="00F83DA8" w:rsidRDefault="00CF6968" w:rsidP="0089220B">
            <w:pPr>
              <w:spacing w:after="120"/>
              <w:rPr>
                <w:rFonts w:cs="Arial"/>
                <w:color w:val="000000" w:themeColor="text1"/>
                <w:szCs w:val="20"/>
              </w:rPr>
            </w:pPr>
          </w:p>
        </w:tc>
        <w:tc>
          <w:tcPr>
            <w:tcW w:w="1497" w:type="pct"/>
            <w:shd w:val="clear" w:color="auto" w:fill="auto"/>
          </w:tcPr>
          <w:p w14:paraId="397C273C"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Existing Measures</w:t>
            </w:r>
          </w:p>
        </w:tc>
        <w:tc>
          <w:tcPr>
            <w:tcW w:w="203" w:type="pct"/>
            <w:shd w:val="clear" w:color="auto" w:fill="auto"/>
          </w:tcPr>
          <w:p w14:paraId="6AF9F79F"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w:t>
            </w:r>
          </w:p>
        </w:tc>
        <w:tc>
          <w:tcPr>
            <w:tcW w:w="3003" w:type="pct"/>
            <w:shd w:val="clear" w:color="auto" w:fill="auto"/>
          </w:tcPr>
          <w:p w14:paraId="129D6BE7" w14:textId="77777777" w:rsidR="00CF6968" w:rsidRPr="00F83DA8" w:rsidRDefault="00CF6968" w:rsidP="0089220B">
            <w:pPr>
              <w:pStyle w:val="TOSM"/>
              <w:jc w:val="both"/>
              <w:rPr>
                <w:color w:val="000000" w:themeColor="text1"/>
              </w:rPr>
            </w:pPr>
            <w:r w:rsidRPr="0027032F">
              <w:rPr>
                <w:i/>
                <w:color w:val="000000" w:themeColor="text1"/>
              </w:rPr>
              <w:t>Lotteries Act 1952</w:t>
            </w:r>
            <w:r w:rsidRPr="00F83DA8">
              <w:rPr>
                <w:color w:val="000000" w:themeColor="text1"/>
              </w:rPr>
              <w:t xml:space="preserve"> [Act 288]</w:t>
            </w:r>
          </w:p>
          <w:p w14:paraId="3C412801" w14:textId="77777777" w:rsidR="00CF6968" w:rsidRPr="00F83DA8" w:rsidRDefault="00CF6968" w:rsidP="0089220B">
            <w:pPr>
              <w:pStyle w:val="TOSM"/>
              <w:jc w:val="both"/>
              <w:rPr>
                <w:color w:val="000000" w:themeColor="text1"/>
              </w:rPr>
            </w:pPr>
            <w:r w:rsidRPr="0027032F">
              <w:rPr>
                <w:i/>
                <w:color w:val="000000" w:themeColor="text1"/>
              </w:rPr>
              <w:t>Common Gaming Houses Act 1953</w:t>
            </w:r>
            <w:r w:rsidRPr="00F83DA8">
              <w:rPr>
                <w:color w:val="000000" w:themeColor="text1"/>
              </w:rPr>
              <w:t xml:space="preserve"> [Act 289]</w:t>
            </w:r>
          </w:p>
          <w:p w14:paraId="2AA872D9" w14:textId="77777777" w:rsidR="00CF6968" w:rsidRPr="00F83DA8" w:rsidRDefault="00CF6968" w:rsidP="0089220B">
            <w:pPr>
              <w:pStyle w:val="TOSM"/>
              <w:jc w:val="both"/>
              <w:rPr>
                <w:color w:val="000000" w:themeColor="text1"/>
              </w:rPr>
            </w:pPr>
            <w:r w:rsidRPr="0027032F">
              <w:rPr>
                <w:i/>
                <w:color w:val="000000" w:themeColor="text1"/>
              </w:rPr>
              <w:t>Pool Betting Act 1967 (Revised 2018)</w:t>
            </w:r>
            <w:r w:rsidRPr="00F83DA8">
              <w:rPr>
                <w:color w:val="000000" w:themeColor="text1"/>
              </w:rPr>
              <w:t xml:space="preserve"> [Act 809]</w:t>
            </w:r>
            <w:r w:rsidRPr="00F83DA8">
              <w:rPr>
                <w:snapToGrid/>
                <w:color w:val="000000" w:themeColor="text1"/>
              </w:rPr>
              <w:t xml:space="preserve"> </w:t>
            </w:r>
          </w:p>
          <w:p w14:paraId="1B4AC96C" w14:textId="77777777" w:rsidR="00CF6968" w:rsidRPr="00F83DA8" w:rsidRDefault="00CF6968" w:rsidP="0089220B">
            <w:pPr>
              <w:pStyle w:val="TOSM"/>
              <w:jc w:val="both"/>
              <w:rPr>
                <w:color w:val="000000" w:themeColor="text1"/>
              </w:rPr>
            </w:pPr>
            <w:r w:rsidRPr="0027032F">
              <w:rPr>
                <w:i/>
                <w:color w:val="000000" w:themeColor="text1"/>
              </w:rPr>
              <w:t>Betting Act 1953</w:t>
            </w:r>
            <w:r w:rsidRPr="00F83DA8">
              <w:rPr>
                <w:color w:val="000000" w:themeColor="text1"/>
              </w:rPr>
              <w:t xml:space="preserve"> [Act 495]</w:t>
            </w:r>
          </w:p>
          <w:p w14:paraId="1F1DFEDE" w14:textId="77777777" w:rsidR="00CF6968" w:rsidRPr="00F83DA8" w:rsidRDefault="00CF6968" w:rsidP="0089220B">
            <w:pPr>
              <w:pStyle w:val="TOSM"/>
              <w:jc w:val="both"/>
              <w:rPr>
                <w:color w:val="000000" w:themeColor="text1"/>
              </w:rPr>
            </w:pPr>
            <w:r w:rsidRPr="0027032F">
              <w:rPr>
                <w:i/>
                <w:color w:val="000000" w:themeColor="text1"/>
              </w:rPr>
              <w:t>Racing (</w:t>
            </w:r>
            <w:proofErr w:type="spellStart"/>
            <w:r w:rsidRPr="0027032F">
              <w:rPr>
                <w:i/>
                <w:color w:val="000000" w:themeColor="text1"/>
              </w:rPr>
              <w:t>Totalisator</w:t>
            </w:r>
            <w:proofErr w:type="spellEnd"/>
            <w:r w:rsidRPr="0027032F">
              <w:rPr>
                <w:i/>
                <w:color w:val="000000" w:themeColor="text1"/>
              </w:rPr>
              <w:t xml:space="preserve"> Board) Act 1961</w:t>
            </w:r>
            <w:r w:rsidRPr="00F83DA8">
              <w:rPr>
                <w:color w:val="000000" w:themeColor="text1"/>
              </w:rPr>
              <w:t xml:space="preserve"> [Act 494]</w:t>
            </w:r>
          </w:p>
          <w:p w14:paraId="5CC73AD3" w14:textId="77777777" w:rsidR="00CF6968" w:rsidRPr="00F83DA8" w:rsidRDefault="00CF6968" w:rsidP="0089220B">
            <w:pPr>
              <w:pStyle w:val="TOSM"/>
              <w:jc w:val="both"/>
              <w:rPr>
                <w:color w:val="000000" w:themeColor="text1"/>
              </w:rPr>
            </w:pPr>
            <w:r w:rsidRPr="0027032F">
              <w:rPr>
                <w:i/>
                <w:color w:val="000000" w:themeColor="text1"/>
              </w:rPr>
              <w:t>Racing Club (Public Sweepstakes) Act 1965</w:t>
            </w:r>
            <w:r w:rsidRPr="00F83DA8">
              <w:rPr>
                <w:color w:val="000000" w:themeColor="text1"/>
              </w:rPr>
              <w:t xml:space="preserve"> [Act 404]</w:t>
            </w:r>
          </w:p>
          <w:p w14:paraId="6228A8FC" w14:textId="77777777" w:rsidR="00CF6968" w:rsidRPr="00F83DA8" w:rsidRDefault="00CF6968" w:rsidP="0089220B">
            <w:pPr>
              <w:pStyle w:val="TOSM"/>
              <w:jc w:val="both"/>
              <w:rPr>
                <w:color w:val="000000" w:themeColor="text1"/>
              </w:rPr>
            </w:pPr>
            <w:r w:rsidRPr="0027032F">
              <w:rPr>
                <w:i/>
                <w:color w:val="000000" w:themeColor="text1"/>
              </w:rPr>
              <w:t xml:space="preserve">Industrial Co-ordination Act 1975 </w:t>
            </w:r>
            <w:r w:rsidRPr="00F83DA8">
              <w:rPr>
                <w:color w:val="000000" w:themeColor="text1"/>
              </w:rPr>
              <w:t>[Act 156]</w:t>
            </w:r>
          </w:p>
          <w:p w14:paraId="4CE7C0CF" w14:textId="77777777" w:rsidR="00CF6968" w:rsidRPr="00F83DA8" w:rsidRDefault="00CF6968" w:rsidP="0089220B">
            <w:pPr>
              <w:pStyle w:val="TOSM"/>
              <w:jc w:val="both"/>
              <w:rPr>
                <w:color w:val="000000" w:themeColor="text1"/>
              </w:rPr>
            </w:pPr>
            <w:r w:rsidRPr="00F83DA8">
              <w:rPr>
                <w:color w:val="000000" w:themeColor="text1"/>
              </w:rPr>
              <w:t>Customs Prohibition of Imports and Exports Orders</w:t>
            </w:r>
          </w:p>
        </w:tc>
      </w:tr>
    </w:tbl>
    <w:p w14:paraId="7B9C78D1" w14:textId="77777777" w:rsidR="00CF6968" w:rsidRPr="00F83DA8" w:rsidRDefault="00CF6968" w:rsidP="0089220B">
      <w:pPr>
        <w:pStyle w:val="TOSM"/>
        <w:rPr>
          <w:color w:val="000000" w:themeColor="text1"/>
        </w:rPr>
      </w:pPr>
      <w:r w:rsidRPr="00F83DA8">
        <w:rPr>
          <w:color w:val="000000" w:themeColor="text1"/>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1"/>
        <w:gridCol w:w="2271"/>
        <w:gridCol w:w="308"/>
        <w:gridCol w:w="4549"/>
      </w:tblGrid>
      <w:tr w:rsidR="00F83DA8" w:rsidRPr="00F83DA8" w14:paraId="4282A2E9" w14:textId="77777777" w:rsidTr="00267405">
        <w:tc>
          <w:tcPr>
            <w:tcW w:w="298" w:type="pct"/>
          </w:tcPr>
          <w:p w14:paraId="2A08D775" w14:textId="77777777" w:rsidR="00CF6968" w:rsidRPr="00F83DA8" w:rsidRDefault="00CF6968" w:rsidP="0089220B">
            <w:pPr>
              <w:numPr>
                <w:ilvl w:val="0"/>
                <w:numId w:val="5"/>
              </w:numPr>
              <w:spacing w:after="120"/>
              <w:rPr>
                <w:rFonts w:cs="Arial"/>
                <w:snapToGrid w:val="0"/>
                <w:color w:val="000000" w:themeColor="text1"/>
                <w:szCs w:val="20"/>
              </w:rPr>
            </w:pPr>
          </w:p>
        </w:tc>
        <w:tc>
          <w:tcPr>
            <w:tcW w:w="1498" w:type="pct"/>
          </w:tcPr>
          <w:p w14:paraId="303E6764" w14:textId="77777777" w:rsidR="00CF6968" w:rsidRPr="00F83DA8" w:rsidRDefault="00CF6968" w:rsidP="0089220B">
            <w:pPr>
              <w:spacing w:after="120"/>
              <w:rPr>
                <w:rFonts w:cs="Arial"/>
                <w:color w:val="000000" w:themeColor="text1"/>
                <w:szCs w:val="20"/>
              </w:rPr>
            </w:pPr>
            <w:r w:rsidRPr="00F83DA8">
              <w:rPr>
                <w:rFonts w:cs="Arial"/>
                <w:snapToGrid w:val="0"/>
                <w:color w:val="000000" w:themeColor="text1"/>
                <w:szCs w:val="20"/>
              </w:rPr>
              <w:t>Sector</w:t>
            </w:r>
          </w:p>
        </w:tc>
        <w:tc>
          <w:tcPr>
            <w:tcW w:w="203" w:type="pct"/>
          </w:tcPr>
          <w:p w14:paraId="65113088"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01" w:type="pct"/>
          </w:tcPr>
          <w:p w14:paraId="5F7FBD00" w14:textId="77777777" w:rsidR="00CF6968" w:rsidRPr="00F83DA8" w:rsidRDefault="00CF6968" w:rsidP="0089220B">
            <w:pPr>
              <w:spacing w:after="120"/>
              <w:jc w:val="both"/>
              <w:rPr>
                <w:rFonts w:cs="Arial"/>
                <w:snapToGrid w:val="0"/>
                <w:color w:val="000000" w:themeColor="text1"/>
                <w:szCs w:val="20"/>
              </w:rPr>
            </w:pPr>
            <w:r w:rsidRPr="00F83DA8">
              <w:rPr>
                <w:rFonts w:cs="Arial"/>
                <w:snapToGrid w:val="0"/>
                <w:color w:val="000000" w:themeColor="text1"/>
                <w:szCs w:val="20"/>
              </w:rPr>
              <w:t>Application of atomic energy for nuclear power generation including nuclear fuel cycle and electric power generation and fuel cycle; and electric power plants based on fossil fuel or materials</w:t>
            </w:r>
          </w:p>
        </w:tc>
      </w:tr>
      <w:tr w:rsidR="00F83DA8" w:rsidRPr="00F83DA8" w14:paraId="585ED601" w14:textId="77777777" w:rsidTr="00267405">
        <w:tc>
          <w:tcPr>
            <w:tcW w:w="298" w:type="pct"/>
          </w:tcPr>
          <w:p w14:paraId="28B08C6D" w14:textId="77777777" w:rsidR="00CF6968" w:rsidRPr="00F83DA8" w:rsidRDefault="00CF6968" w:rsidP="0089220B">
            <w:pPr>
              <w:spacing w:after="120"/>
              <w:rPr>
                <w:rFonts w:cs="Arial"/>
                <w:color w:val="000000" w:themeColor="text1"/>
                <w:szCs w:val="20"/>
              </w:rPr>
            </w:pPr>
          </w:p>
        </w:tc>
        <w:tc>
          <w:tcPr>
            <w:tcW w:w="1498" w:type="pct"/>
          </w:tcPr>
          <w:p w14:paraId="18080BE4"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Subsector</w:t>
            </w:r>
          </w:p>
        </w:tc>
        <w:tc>
          <w:tcPr>
            <w:tcW w:w="203" w:type="pct"/>
          </w:tcPr>
          <w:p w14:paraId="07BCD896"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01" w:type="pct"/>
          </w:tcPr>
          <w:p w14:paraId="72CDB327" w14:textId="77777777" w:rsidR="00CF6968" w:rsidRPr="00F83DA8" w:rsidRDefault="00CF6968" w:rsidP="0089220B">
            <w:pPr>
              <w:spacing w:after="120"/>
              <w:rPr>
                <w:rFonts w:cs="Arial"/>
                <w:color w:val="000000" w:themeColor="text1"/>
              </w:rPr>
            </w:pPr>
            <w:r w:rsidRPr="00F83DA8">
              <w:rPr>
                <w:rFonts w:cs="Arial"/>
                <w:color w:val="000000" w:themeColor="text1"/>
              </w:rPr>
              <w:t>-</w:t>
            </w:r>
          </w:p>
        </w:tc>
      </w:tr>
      <w:tr w:rsidR="00F83DA8" w:rsidRPr="00F83DA8" w14:paraId="71E4B3DB" w14:textId="77777777" w:rsidTr="00267405">
        <w:tc>
          <w:tcPr>
            <w:tcW w:w="298" w:type="pct"/>
          </w:tcPr>
          <w:p w14:paraId="4944C180" w14:textId="77777777" w:rsidR="00CF6968" w:rsidRPr="00F83DA8" w:rsidRDefault="00CF6968" w:rsidP="0089220B">
            <w:pPr>
              <w:spacing w:after="120"/>
              <w:rPr>
                <w:rFonts w:cs="Arial"/>
                <w:color w:val="000000" w:themeColor="text1"/>
                <w:szCs w:val="20"/>
              </w:rPr>
            </w:pPr>
          </w:p>
        </w:tc>
        <w:tc>
          <w:tcPr>
            <w:tcW w:w="1498" w:type="pct"/>
          </w:tcPr>
          <w:p w14:paraId="6DC01CDF"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Obligations Concerned</w:t>
            </w:r>
          </w:p>
        </w:tc>
        <w:tc>
          <w:tcPr>
            <w:tcW w:w="203" w:type="pct"/>
          </w:tcPr>
          <w:p w14:paraId="7E207AE3"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01" w:type="pct"/>
          </w:tcPr>
          <w:p w14:paraId="447B9ED3" w14:textId="71DDECB2" w:rsidR="0094426F" w:rsidRPr="00F83DA8" w:rsidRDefault="0094426F" w:rsidP="0089220B">
            <w:pPr>
              <w:pStyle w:val="TOSM"/>
              <w:jc w:val="both"/>
              <w:rPr>
                <w:color w:val="000000" w:themeColor="text1"/>
              </w:rPr>
            </w:pPr>
            <w:r w:rsidRPr="00F83DA8">
              <w:rPr>
                <w:color w:val="000000" w:themeColor="text1"/>
              </w:rPr>
              <w:t xml:space="preserve">National Treatment </w:t>
            </w:r>
          </w:p>
          <w:p w14:paraId="5588E921" w14:textId="487089FB" w:rsidR="0094426F" w:rsidRPr="00F83DA8" w:rsidRDefault="0094426F" w:rsidP="0089220B">
            <w:pPr>
              <w:pStyle w:val="TOSM"/>
              <w:jc w:val="both"/>
              <w:rPr>
                <w:color w:val="000000" w:themeColor="text1"/>
              </w:rPr>
            </w:pPr>
            <w:r w:rsidRPr="00F83DA8">
              <w:rPr>
                <w:color w:val="000000" w:themeColor="text1"/>
              </w:rPr>
              <w:t>Most-</w:t>
            </w:r>
            <w:proofErr w:type="spellStart"/>
            <w:r w:rsidRPr="00F83DA8">
              <w:rPr>
                <w:color w:val="000000" w:themeColor="text1"/>
              </w:rPr>
              <w:t>Favoured</w:t>
            </w:r>
            <w:proofErr w:type="spellEnd"/>
            <w:r w:rsidRPr="00F83DA8">
              <w:rPr>
                <w:color w:val="000000" w:themeColor="text1"/>
              </w:rPr>
              <w:t xml:space="preserve">-Nation Treatment </w:t>
            </w:r>
          </w:p>
          <w:p w14:paraId="4A64E5A2" w14:textId="52747AAA" w:rsidR="00946C38" w:rsidRPr="00F83DA8" w:rsidRDefault="00946C38" w:rsidP="0089220B">
            <w:pPr>
              <w:pStyle w:val="TOSM"/>
              <w:jc w:val="both"/>
              <w:rPr>
                <w:color w:val="000000" w:themeColor="text1"/>
              </w:rPr>
            </w:pPr>
            <w:r w:rsidRPr="00F83DA8">
              <w:rPr>
                <w:color w:val="000000" w:themeColor="text1"/>
              </w:rPr>
              <w:t xml:space="preserve">Senior Management and Board of Directors </w:t>
            </w:r>
          </w:p>
          <w:p w14:paraId="083B9C38" w14:textId="26B7A4CC" w:rsidR="00CF6968" w:rsidRPr="00F83DA8" w:rsidRDefault="0094426F" w:rsidP="0089220B">
            <w:pPr>
              <w:pStyle w:val="TOSM"/>
              <w:jc w:val="both"/>
              <w:rPr>
                <w:color w:val="000000" w:themeColor="text1"/>
              </w:rPr>
            </w:pPr>
            <w:r w:rsidRPr="00F83DA8">
              <w:rPr>
                <w:color w:val="000000" w:themeColor="text1"/>
              </w:rPr>
              <w:t xml:space="preserve">Prohibition of Performance Requirements </w:t>
            </w:r>
          </w:p>
        </w:tc>
      </w:tr>
      <w:tr w:rsidR="00F83DA8" w:rsidRPr="00F83DA8" w14:paraId="6D2C8570" w14:textId="77777777" w:rsidTr="00267405">
        <w:trPr>
          <w:trHeight w:val="932"/>
        </w:trPr>
        <w:tc>
          <w:tcPr>
            <w:tcW w:w="298" w:type="pct"/>
          </w:tcPr>
          <w:p w14:paraId="6DD4DC81" w14:textId="77777777" w:rsidR="00CF6968" w:rsidRPr="00F83DA8" w:rsidRDefault="00CF6968" w:rsidP="0089220B">
            <w:pPr>
              <w:spacing w:after="120"/>
              <w:rPr>
                <w:rFonts w:cs="Arial"/>
                <w:snapToGrid w:val="0"/>
                <w:color w:val="000000" w:themeColor="text1"/>
                <w:szCs w:val="20"/>
              </w:rPr>
            </w:pPr>
          </w:p>
        </w:tc>
        <w:tc>
          <w:tcPr>
            <w:tcW w:w="1498" w:type="pct"/>
          </w:tcPr>
          <w:p w14:paraId="1A1C3C1F"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Description</w:t>
            </w:r>
          </w:p>
        </w:tc>
        <w:tc>
          <w:tcPr>
            <w:tcW w:w="203" w:type="pct"/>
          </w:tcPr>
          <w:p w14:paraId="483B4375"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01" w:type="pct"/>
          </w:tcPr>
          <w:p w14:paraId="2497C34F" w14:textId="77777777" w:rsidR="00CF6968" w:rsidRPr="00F83DA8" w:rsidRDefault="00CF6968" w:rsidP="0089220B">
            <w:pPr>
              <w:pStyle w:val="DM"/>
              <w:spacing w:after="120"/>
              <w:jc w:val="both"/>
              <w:rPr>
                <w:color w:val="000000" w:themeColor="text1"/>
              </w:rPr>
            </w:pPr>
            <w:r w:rsidRPr="00F83DA8">
              <w:rPr>
                <w:color w:val="000000" w:themeColor="text1"/>
              </w:rPr>
              <w:t>Malaysia reserves the right to adopt or maintain any measure relating to application of atomic energy for nuclear power generation including nuclear fuel cycle and electric power generation and fuel cycle; and electric power plants based on fossil fuel or materials.</w:t>
            </w:r>
          </w:p>
        </w:tc>
      </w:tr>
      <w:tr w:rsidR="00CF6968" w:rsidRPr="00F83DA8" w14:paraId="7CFB0F22" w14:textId="77777777" w:rsidTr="00267405">
        <w:tc>
          <w:tcPr>
            <w:tcW w:w="298" w:type="pct"/>
          </w:tcPr>
          <w:p w14:paraId="60080E6D" w14:textId="77777777" w:rsidR="00CF6968" w:rsidRPr="00F83DA8" w:rsidRDefault="00CF6968" w:rsidP="0089220B">
            <w:pPr>
              <w:spacing w:after="120"/>
              <w:rPr>
                <w:rFonts w:cs="Arial"/>
                <w:color w:val="000000" w:themeColor="text1"/>
                <w:szCs w:val="20"/>
              </w:rPr>
            </w:pPr>
          </w:p>
        </w:tc>
        <w:tc>
          <w:tcPr>
            <w:tcW w:w="1498" w:type="pct"/>
          </w:tcPr>
          <w:p w14:paraId="301E4570"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Existing Measures</w:t>
            </w:r>
          </w:p>
        </w:tc>
        <w:tc>
          <w:tcPr>
            <w:tcW w:w="203" w:type="pct"/>
          </w:tcPr>
          <w:p w14:paraId="145AAB5D"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w:t>
            </w:r>
          </w:p>
        </w:tc>
        <w:tc>
          <w:tcPr>
            <w:tcW w:w="3001" w:type="pct"/>
          </w:tcPr>
          <w:p w14:paraId="756CC1CF" w14:textId="77777777" w:rsidR="00CF6968" w:rsidRPr="00F83DA8" w:rsidRDefault="00CF6968" w:rsidP="0089220B">
            <w:pPr>
              <w:pStyle w:val="TOSM"/>
              <w:jc w:val="both"/>
              <w:rPr>
                <w:color w:val="000000" w:themeColor="text1"/>
              </w:rPr>
            </w:pPr>
            <w:r w:rsidRPr="0027032F">
              <w:rPr>
                <w:i/>
                <w:color w:val="000000" w:themeColor="text1"/>
              </w:rPr>
              <w:t>Atomic Energy Licensing Act 1984</w:t>
            </w:r>
            <w:r w:rsidRPr="00F83DA8">
              <w:rPr>
                <w:color w:val="000000" w:themeColor="text1"/>
              </w:rPr>
              <w:t xml:space="preserve"> [Act 304]</w:t>
            </w:r>
          </w:p>
          <w:p w14:paraId="685416C9" w14:textId="77777777" w:rsidR="00CF6968" w:rsidRPr="00F83DA8" w:rsidRDefault="00CF6968" w:rsidP="0089220B">
            <w:pPr>
              <w:pStyle w:val="TOSM"/>
              <w:jc w:val="both"/>
              <w:rPr>
                <w:color w:val="000000" w:themeColor="text1"/>
              </w:rPr>
            </w:pPr>
            <w:r w:rsidRPr="0027032F">
              <w:rPr>
                <w:i/>
                <w:color w:val="000000" w:themeColor="text1"/>
              </w:rPr>
              <w:t>Electricity Supply Act 1990</w:t>
            </w:r>
            <w:r w:rsidRPr="00F83DA8">
              <w:rPr>
                <w:color w:val="000000" w:themeColor="text1"/>
              </w:rPr>
              <w:t xml:space="preserve"> [Act 447]</w:t>
            </w:r>
          </w:p>
        </w:tc>
      </w:tr>
    </w:tbl>
    <w:p w14:paraId="4A62D055" w14:textId="77777777" w:rsidR="00CF6968" w:rsidRPr="00F83DA8" w:rsidRDefault="00CF6968" w:rsidP="0089220B">
      <w:pPr>
        <w:pStyle w:val="TOSM"/>
        <w:rPr>
          <w:color w:val="000000" w:themeColor="text1"/>
        </w:rPr>
      </w:pPr>
      <w:r w:rsidRPr="00F83DA8">
        <w:rPr>
          <w:color w:val="000000" w:themeColor="text1"/>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151"/>
        <w:gridCol w:w="308"/>
        <w:gridCol w:w="4667"/>
      </w:tblGrid>
      <w:tr w:rsidR="00F83DA8" w:rsidRPr="00F83DA8" w14:paraId="0A61FB98" w14:textId="77777777" w:rsidTr="00502987">
        <w:tc>
          <w:tcPr>
            <w:tcW w:w="299" w:type="pct"/>
          </w:tcPr>
          <w:p w14:paraId="4C27C3A5" w14:textId="77777777" w:rsidR="00CF6968" w:rsidRPr="00F83DA8" w:rsidRDefault="00CF6968" w:rsidP="0089220B">
            <w:pPr>
              <w:numPr>
                <w:ilvl w:val="0"/>
                <w:numId w:val="5"/>
              </w:numPr>
              <w:spacing w:after="120"/>
              <w:rPr>
                <w:rFonts w:cs="Arial"/>
                <w:snapToGrid w:val="0"/>
                <w:color w:val="000000" w:themeColor="text1"/>
                <w:szCs w:val="20"/>
              </w:rPr>
            </w:pPr>
          </w:p>
        </w:tc>
        <w:tc>
          <w:tcPr>
            <w:tcW w:w="1419" w:type="pct"/>
          </w:tcPr>
          <w:p w14:paraId="2C895CC5" w14:textId="77777777" w:rsidR="00CF6968" w:rsidRPr="00F83DA8" w:rsidRDefault="00CF6968" w:rsidP="0089220B">
            <w:pPr>
              <w:spacing w:after="120"/>
              <w:rPr>
                <w:rFonts w:cs="Arial"/>
                <w:color w:val="000000" w:themeColor="text1"/>
                <w:szCs w:val="20"/>
              </w:rPr>
            </w:pPr>
            <w:r w:rsidRPr="00F83DA8">
              <w:rPr>
                <w:rFonts w:cs="Arial"/>
                <w:snapToGrid w:val="0"/>
                <w:color w:val="000000" w:themeColor="text1"/>
                <w:szCs w:val="20"/>
              </w:rPr>
              <w:t>Sector</w:t>
            </w:r>
          </w:p>
        </w:tc>
        <w:tc>
          <w:tcPr>
            <w:tcW w:w="203" w:type="pct"/>
          </w:tcPr>
          <w:p w14:paraId="2CB8C483"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79" w:type="pct"/>
          </w:tcPr>
          <w:p w14:paraId="4757B25A" w14:textId="77777777" w:rsidR="00CF6968" w:rsidRPr="00F83DA8" w:rsidRDefault="00CF6968" w:rsidP="0089220B">
            <w:pPr>
              <w:spacing w:after="120"/>
              <w:jc w:val="both"/>
              <w:rPr>
                <w:rFonts w:cs="Arial"/>
                <w:snapToGrid w:val="0"/>
                <w:color w:val="000000" w:themeColor="text1"/>
                <w:szCs w:val="20"/>
              </w:rPr>
            </w:pPr>
            <w:r w:rsidRPr="00F83DA8">
              <w:rPr>
                <w:rFonts w:cs="Arial"/>
                <w:snapToGrid w:val="0"/>
                <w:color w:val="000000" w:themeColor="text1"/>
                <w:szCs w:val="20"/>
              </w:rPr>
              <w:t xml:space="preserve">Manufacturing and services incidental to manufacturing </w:t>
            </w:r>
          </w:p>
        </w:tc>
      </w:tr>
      <w:tr w:rsidR="00F83DA8" w:rsidRPr="00F83DA8" w14:paraId="5C8519C6" w14:textId="77777777" w:rsidTr="00502987">
        <w:tc>
          <w:tcPr>
            <w:tcW w:w="299" w:type="pct"/>
          </w:tcPr>
          <w:p w14:paraId="6BFDA1F9" w14:textId="77777777" w:rsidR="00CF6968" w:rsidRPr="00F83DA8" w:rsidRDefault="00CF6968" w:rsidP="0089220B">
            <w:pPr>
              <w:spacing w:after="120"/>
              <w:rPr>
                <w:rFonts w:cs="Arial"/>
                <w:color w:val="000000" w:themeColor="text1"/>
                <w:szCs w:val="20"/>
              </w:rPr>
            </w:pPr>
          </w:p>
        </w:tc>
        <w:tc>
          <w:tcPr>
            <w:tcW w:w="1419" w:type="pct"/>
          </w:tcPr>
          <w:p w14:paraId="7C3BD0A7"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Subsector</w:t>
            </w:r>
          </w:p>
        </w:tc>
        <w:tc>
          <w:tcPr>
            <w:tcW w:w="203" w:type="pct"/>
          </w:tcPr>
          <w:p w14:paraId="1DC098F8"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79" w:type="pct"/>
          </w:tcPr>
          <w:p w14:paraId="00B93724" w14:textId="77777777" w:rsidR="00CF6968" w:rsidRPr="00F83DA8" w:rsidRDefault="00CF6968" w:rsidP="0089220B">
            <w:pPr>
              <w:spacing w:after="120"/>
              <w:rPr>
                <w:rFonts w:cs="Arial"/>
                <w:color w:val="000000" w:themeColor="text1"/>
              </w:rPr>
            </w:pPr>
            <w:r w:rsidRPr="00F83DA8">
              <w:rPr>
                <w:rFonts w:cs="Arial"/>
                <w:color w:val="000000" w:themeColor="text1"/>
              </w:rPr>
              <w:t>-</w:t>
            </w:r>
          </w:p>
        </w:tc>
      </w:tr>
      <w:tr w:rsidR="00F83DA8" w:rsidRPr="00F83DA8" w14:paraId="228B3C3B" w14:textId="77777777" w:rsidTr="00502987">
        <w:tc>
          <w:tcPr>
            <w:tcW w:w="299" w:type="pct"/>
          </w:tcPr>
          <w:p w14:paraId="793A9586" w14:textId="77777777" w:rsidR="00CF6968" w:rsidRPr="00F83DA8" w:rsidRDefault="00CF6968" w:rsidP="0089220B">
            <w:pPr>
              <w:spacing w:after="120"/>
              <w:rPr>
                <w:rFonts w:cs="Arial"/>
                <w:color w:val="000000" w:themeColor="text1"/>
                <w:szCs w:val="20"/>
              </w:rPr>
            </w:pPr>
          </w:p>
        </w:tc>
        <w:tc>
          <w:tcPr>
            <w:tcW w:w="1419" w:type="pct"/>
          </w:tcPr>
          <w:p w14:paraId="57871DC1"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Obligations Concerned</w:t>
            </w:r>
          </w:p>
        </w:tc>
        <w:tc>
          <w:tcPr>
            <w:tcW w:w="203" w:type="pct"/>
          </w:tcPr>
          <w:p w14:paraId="758D5A7D"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79" w:type="pct"/>
          </w:tcPr>
          <w:p w14:paraId="42A84BD1" w14:textId="739ED8F0" w:rsidR="0094426F" w:rsidRPr="00F83DA8" w:rsidRDefault="0094426F" w:rsidP="0089220B">
            <w:pPr>
              <w:pStyle w:val="TOSM"/>
              <w:jc w:val="both"/>
              <w:rPr>
                <w:color w:val="000000" w:themeColor="text1"/>
              </w:rPr>
            </w:pPr>
            <w:r w:rsidRPr="00F83DA8">
              <w:rPr>
                <w:color w:val="000000" w:themeColor="text1"/>
              </w:rPr>
              <w:t xml:space="preserve">National Treatment </w:t>
            </w:r>
          </w:p>
          <w:p w14:paraId="4D715B67" w14:textId="72836A61" w:rsidR="0094426F" w:rsidRPr="00F83DA8" w:rsidRDefault="0094426F" w:rsidP="0089220B">
            <w:pPr>
              <w:pStyle w:val="TOSM"/>
              <w:jc w:val="both"/>
              <w:rPr>
                <w:color w:val="000000" w:themeColor="text1"/>
              </w:rPr>
            </w:pPr>
            <w:r w:rsidRPr="00F83DA8">
              <w:rPr>
                <w:color w:val="000000" w:themeColor="text1"/>
              </w:rPr>
              <w:t>Most-</w:t>
            </w:r>
            <w:proofErr w:type="spellStart"/>
            <w:r w:rsidRPr="00F83DA8">
              <w:rPr>
                <w:color w:val="000000" w:themeColor="text1"/>
              </w:rPr>
              <w:t>Favoured</w:t>
            </w:r>
            <w:proofErr w:type="spellEnd"/>
            <w:r w:rsidRPr="00F83DA8">
              <w:rPr>
                <w:color w:val="000000" w:themeColor="text1"/>
              </w:rPr>
              <w:t xml:space="preserve">-Nation Treatment </w:t>
            </w:r>
          </w:p>
          <w:p w14:paraId="55DC9275" w14:textId="299E12C9" w:rsidR="00FF2EF5" w:rsidRPr="00F83DA8" w:rsidRDefault="00FF2EF5" w:rsidP="0089220B">
            <w:pPr>
              <w:pStyle w:val="TOSM"/>
              <w:jc w:val="both"/>
              <w:rPr>
                <w:color w:val="000000" w:themeColor="text1"/>
              </w:rPr>
            </w:pPr>
            <w:r w:rsidRPr="00F83DA8">
              <w:rPr>
                <w:color w:val="000000" w:themeColor="text1"/>
              </w:rPr>
              <w:t xml:space="preserve">Senior Management and Board of Directors </w:t>
            </w:r>
          </w:p>
          <w:p w14:paraId="28B77EE1" w14:textId="7B4DAA76" w:rsidR="00CF6968" w:rsidRPr="00F83DA8" w:rsidRDefault="0094426F" w:rsidP="0089220B">
            <w:pPr>
              <w:pStyle w:val="TOSM"/>
              <w:jc w:val="both"/>
              <w:rPr>
                <w:color w:val="000000" w:themeColor="text1"/>
              </w:rPr>
            </w:pPr>
            <w:r w:rsidRPr="00F83DA8">
              <w:rPr>
                <w:color w:val="000000" w:themeColor="text1"/>
              </w:rPr>
              <w:t>Prohibition of Performance Requirements</w:t>
            </w:r>
          </w:p>
        </w:tc>
      </w:tr>
      <w:tr w:rsidR="00F83DA8" w:rsidRPr="00F83DA8" w14:paraId="58253519" w14:textId="77777777" w:rsidTr="00502987">
        <w:tc>
          <w:tcPr>
            <w:tcW w:w="299" w:type="pct"/>
          </w:tcPr>
          <w:p w14:paraId="529269A4" w14:textId="77777777" w:rsidR="00CF6968" w:rsidRPr="00F83DA8" w:rsidRDefault="00CF6968" w:rsidP="0089220B">
            <w:pPr>
              <w:spacing w:after="120"/>
              <w:rPr>
                <w:rFonts w:cs="Arial"/>
                <w:snapToGrid w:val="0"/>
                <w:color w:val="000000" w:themeColor="text1"/>
                <w:szCs w:val="20"/>
              </w:rPr>
            </w:pPr>
          </w:p>
        </w:tc>
        <w:tc>
          <w:tcPr>
            <w:tcW w:w="1419" w:type="pct"/>
          </w:tcPr>
          <w:p w14:paraId="55EB99FC"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Description</w:t>
            </w:r>
          </w:p>
        </w:tc>
        <w:tc>
          <w:tcPr>
            <w:tcW w:w="203" w:type="pct"/>
          </w:tcPr>
          <w:p w14:paraId="4A7F377B"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79" w:type="pct"/>
          </w:tcPr>
          <w:p w14:paraId="0D8048D9" w14:textId="77777777" w:rsidR="00CF6968" w:rsidRPr="00F83DA8" w:rsidRDefault="00CF6968" w:rsidP="0089220B">
            <w:pPr>
              <w:pStyle w:val="DM"/>
              <w:spacing w:after="120"/>
              <w:jc w:val="both"/>
              <w:rPr>
                <w:color w:val="000000" w:themeColor="text1"/>
              </w:rPr>
            </w:pPr>
            <w:r w:rsidRPr="00F83DA8">
              <w:rPr>
                <w:color w:val="000000" w:themeColor="text1"/>
              </w:rPr>
              <w:t>Malaysia reserves the right to adopt or maintain any measure relating to the manufacture of, and services incidental to manufacturing of:</w:t>
            </w:r>
          </w:p>
          <w:p w14:paraId="0D77542C" w14:textId="77777777" w:rsidR="00CF6968" w:rsidRPr="00F83DA8" w:rsidRDefault="00CF6968" w:rsidP="0089220B">
            <w:pPr>
              <w:pStyle w:val="TOSM"/>
              <w:ind w:left="538" w:hanging="538"/>
              <w:jc w:val="both"/>
              <w:rPr>
                <w:color w:val="000000" w:themeColor="text1"/>
              </w:rPr>
            </w:pPr>
            <w:r w:rsidRPr="00F83DA8">
              <w:rPr>
                <w:color w:val="000000" w:themeColor="text1"/>
              </w:rPr>
              <w:t>(a)</w:t>
            </w:r>
            <w:r w:rsidRPr="00F83DA8">
              <w:rPr>
                <w:color w:val="000000" w:themeColor="text1"/>
              </w:rPr>
              <w:tab/>
              <w:t>rice;</w:t>
            </w:r>
          </w:p>
          <w:p w14:paraId="35E4DD53" w14:textId="77777777" w:rsidR="00CF6968" w:rsidRPr="00F83DA8" w:rsidRDefault="00CF6968" w:rsidP="0089220B">
            <w:pPr>
              <w:pStyle w:val="TOSM"/>
              <w:ind w:left="538" w:hanging="538"/>
              <w:jc w:val="both"/>
              <w:rPr>
                <w:color w:val="000000" w:themeColor="text1"/>
              </w:rPr>
            </w:pPr>
            <w:r w:rsidRPr="00F83DA8">
              <w:rPr>
                <w:color w:val="000000" w:themeColor="text1"/>
              </w:rPr>
              <w:t>(b)</w:t>
            </w:r>
            <w:r w:rsidRPr="00F83DA8">
              <w:rPr>
                <w:color w:val="000000" w:themeColor="text1"/>
              </w:rPr>
              <w:tab/>
              <w:t>sugar;</w:t>
            </w:r>
          </w:p>
          <w:p w14:paraId="280B7B9E" w14:textId="77777777" w:rsidR="00CF6968" w:rsidRPr="00F83DA8" w:rsidRDefault="00CF6968" w:rsidP="0089220B">
            <w:pPr>
              <w:pStyle w:val="TOSM"/>
              <w:ind w:left="538" w:hanging="538"/>
              <w:jc w:val="both"/>
              <w:rPr>
                <w:color w:val="000000" w:themeColor="text1"/>
              </w:rPr>
            </w:pPr>
            <w:r w:rsidRPr="00F83DA8">
              <w:rPr>
                <w:color w:val="000000" w:themeColor="text1"/>
              </w:rPr>
              <w:t>(c)</w:t>
            </w:r>
            <w:r w:rsidRPr="00F83DA8">
              <w:rPr>
                <w:color w:val="000000" w:themeColor="text1"/>
              </w:rPr>
              <w:tab/>
              <w:t>flour;</w:t>
            </w:r>
          </w:p>
          <w:p w14:paraId="5B92144B" w14:textId="77777777" w:rsidR="00CF6968" w:rsidRPr="00F83DA8" w:rsidRDefault="00CF6968" w:rsidP="0089220B">
            <w:pPr>
              <w:pStyle w:val="TOSM"/>
              <w:ind w:left="538" w:hanging="538"/>
              <w:jc w:val="both"/>
              <w:rPr>
                <w:color w:val="000000" w:themeColor="text1"/>
              </w:rPr>
            </w:pPr>
            <w:r w:rsidRPr="00F83DA8">
              <w:rPr>
                <w:color w:val="000000" w:themeColor="text1"/>
              </w:rPr>
              <w:t>(d)</w:t>
            </w:r>
            <w:r w:rsidRPr="00F83DA8">
              <w:rPr>
                <w:color w:val="000000" w:themeColor="text1"/>
              </w:rPr>
              <w:tab/>
              <w:t>liquor and alcoholic beverages;</w:t>
            </w:r>
          </w:p>
          <w:p w14:paraId="0E216E6C" w14:textId="77777777" w:rsidR="00CF6968" w:rsidRPr="00F83DA8" w:rsidRDefault="00CF6968" w:rsidP="0089220B">
            <w:pPr>
              <w:pStyle w:val="TOSM"/>
              <w:ind w:left="538" w:hanging="538"/>
              <w:jc w:val="both"/>
              <w:rPr>
                <w:color w:val="000000" w:themeColor="text1"/>
              </w:rPr>
            </w:pPr>
            <w:r w:rsidRPr="00F83DA8">
              <w:rPr>
                <w:color w:val="000000" w:themeColor="text1"/>
              </w:rPr>
              <w:t>(e)</w:t>
            </w:r>
            <w:r w:rsidRPr="00F83DA8">
              <w:rPr>
                <w:color w:val="000000" w:themeColor="text1"/>
              </w:rPr>
              <w:tab/>
              <w:t xml:space="preserve">tobacco, manufactured tobacco substitutes, cigarettes products, including e-cigarettes, similar apparatus or devices, and components and liquids used for e-cigarettes, similar apparatus or devices; </w:t>
            </w:r>
          </w:p>
          <w:p w14:paraId="3395CB4D" w14:textId="77777777" w:rsidR="00CF6968" w:rsidRPr="00F83DA8" w:rsidRDefault="00CF6968" w:rsidP="0089220B">
            <w:pPr>
              <w:pStyle w:val="TOSM"/>
              <w:ind w:left="538" w:hanging="538"/>
              <w:jc w:val="both"/>
              <w:rPr>
                <w:color w:val="000000" w:themeColor="text1"/>
              </w:rPr>
            </w:pPr>
            <w:r w:rsidRPr="00F83DA8">
              <w:rPr>
                <w:color w:val="000000" w:themeColor="text1"/>
              </w:rPr>
              <w:t>(f)</w:t>
            </w:r>
            <w:r w:rsidRPr="00F83DA8">
              <w:rPr>
                <w:color w:val="000000" w:themeColor="text1"/>
              </w:rPr>
              <w:tab/>
            </w:r>
            <w:r w:rsidRPr="00F83DA8">
              <w:rPr>
                <w:color w:val="000000" w:themeColor="text1"/>
                <w:shd w:val="clear" w:color="auto" w:fill="FFFFFF" w:themeFill="background1"/>
              </w:rPr>
              <w:t>fabrics and apparels of batik;</w:t>
            </w:r>
            <w:r w:rsidRPr="00F83DA8">
              <w:rPr>
                <w:color w:val="000000" w:themeColor="text1"/>
                <w:shd w:val="clear" w:color="auto" w:fill="9CC2E5" w:themeFill="accent1" w:themeFillTint="99"/>
              </w:rPr>
              <w:t xml:space="preserve"> </w:t>
            </w:r>
          </w:p>
          <w:p w14:paraId="14A506F1" w14:textId="77777777" w:rsidR="00CF6968" w:rsidRPr="00F83DA8" w:rsidRDefault="00CF6968" w:rsidP="0089220B">
            <w:pPr>
              <w:pStyle w:val="TOSM"/>
              <w:ind w:left="538" w:hanging="538"/>
              <w:jc w:val="both"/>
              <w:rPr>
                <w:color w:val="000000" w:themeColor="text1"/>
              </w:rPr>
            </w:pPr>
            <w:r w:rsidRPr="00F83DA8">
              <w:rPr>
                <w:color w:val="000000" w:themeColor="text1"/>
              </w:rPr>
              <w:t>(g)</w:t>
            </w:r>
            <w:r w:rsidRPr="00F83DA8">
              <w:rPr>
                <w:color w:val="000000" w:themeColor="text1"/>
              </w:rPr>
              <w:tab/>
            </w:r>
            <w:r w:rsidRPr="00F83DA8">
              <w:rPr>
                <w:color w:val="000000" w:themeColor="text1"/>
                <w:shd w:val="clear" w:color="auto" w:fill="FFFFFF" w:themeFill="background1"/>
              </w:rPr>
              <w:t>glass and glassware products;</w:t>
            </w:r>
          </w:p>
          <w:p w14:paraId="1A080759" w14:textId="77777777" w:rsidR="00CF6968" w:rsidRPr="00F83DA8" w:rsidRDefault="00CF6968" w:rsidP="0089220B">
            <w:pPr>
              <w:pStyle w:val="TOSM"/>
              <w:shd w:val="clear" w:color="auto" w:fill="FFFFFF" w:themeFill="background1"/>
              <w:ind w:left="538" w:hanging="538"/>
              <w:jc w:val="both"/>
              <w:rPr>
                <w:color w:val="000000" w:themeColor="text1"/>
              </w:rPr>
            </w:pPr>
            <w:r w:rsidRPr="00F83DA8">
              <w:rPr>
                <w:color w:val="000000" w:themeColor="text1"/>
              </w:rPr>
              <w:t>(h)</w:t>
            </w:r>
            <w:r w:rsidRPr="00F83DA8">
              <w:rPr>
                <w:color w:val="000000" w:themeColor="text1"/>
              </w:rPr>
              <w:tab/>
            </w:r>
            <w:r w:rsidRPr="00F83DA8">
              <w:rPr>
                <w:color w:val="000000" w:themeColor="text1"/>
                <w:shd w:val="clear" w:color="auto" w:fill="FFFFFF" w:themeFill="background1"/>
              </w:rPr>
              <w:t>biodiesel;</w:t>
            </w:r>
            <w:r w:rsidRPr="00F83DA8">
              <w:rPr>
                <w:color w:val="000000" w:themeColor="text1"/>
                <w:shd w:val="clear" w:color="auto" w:fill="9CC2E5" w:themeFill="accent1" w:themeFillTint="99"/>
              </w:rPr>
              <w:t xml:space="preserve"> </w:t>
            </w:r>
          </w:p>
          <w:p w14:paraId="410E92DC" w14:textId="77777777" w:rsidR="00CF6968" w:rsidRPr="00F83DA8" w:rsidRDefault="00CF6968" w:rsidP="0089220B">
            <w:pPr>
              <w:pStyle w:val="TOSM"/>
              <w:shd w:val="clear" w:color="auto" w:fill="FFFFFF" w:themeFill="background1"/>
              <w:ind w:left="538" w:hanging="538"/>
              <w:jc w:val="both"/>
              <w:rPr>
                <w:strike/>
                <w:color w:val="000000" w:themeColor="text1"/>
              </w:rPr>
            </w:pPr>
            <w:r w:rsidRPr="00F83DA8">
              <w:rPr>
                <w:color w:val="000000" w:themeColor="text1"/>
              </w:rPr>
              <w:t>(</w:t>
            </w:r>
            <w:proofErr w:type="spellStart"/>
            <w:r w:rsidRPr="00F83DA8">
              <w:rPr>
                <w:color w:val="000000" w:themeColor="text1"/>
              </w:rPr>
              <w:t>i</w:t>
            </w:r>
            <w:proofErr w:type="spellEnd"/>
            <w:r w:rsidRPr="00F83DA8">
              <w:rPr>
                <w:color w:val="000000" w:themeColor="text1"/>
              </w:rPr>
              <w:t>)</w:t>
            </w:r>
            <w:r w:rsidRPr="00F83DA8">
              <w:rPr>
                <w:color w:val="000000" w:themeColor="text1"/>
              </w:rPr>
              <w:tab/>
            </w:r>
            <w:r w:rsidRPr="00F83DA8">
              <w:rPr>
                <w:color w:val="000000" w:themeColor="text1"/>
                <w:shd w:val="clear" w:color="auto" w:fill="FFFFFF" w:themeFill="background1"/>
              </w:rPr>
              <w:t>machinery and mechanical appliances or part thereof, including power generating machinery and machinery for a specific industry</w:t>
            </w:r>
            <w:r w:rsidRPr="00F83DA8">
              <w:rPr>
                <w:color w:val="000000" w:themeColor="text1"/>
              </w:rPr>
              <w:t>;</w:t>
            </w:r>
          </w:p>
          <w:p w14:paraId="6724DE3B" w14:textId="319007DE" w:rsidR="00CF6968" w:rsidRPr="00F83DA8" w:rsidRDefault="00CF6968" w:rsidP="0089220B">
            <w:pPr>
              <w:pStyle w:val="TOSM"/>
              <w:ind w:left="538" w:hanging="538"/>
              <w:jc w:val="both"/>
              <w:rPr>
                <w:color w:val="000000" w:themeColor="text1"/>
              </w:rPr>
            </w:pPr>
            <w:r w:rsidRPr="00F83DA8">
              <w:rPr>
                <w:color w:val="000000" w:themeColor="text1"/>
              </w:rPr>
              <w:t>(j)</w:t>
            </w:r>
            <w:r w:rsidRPr="00F83DA8">
              <w:rPr>
                <w:color w:val="000000" w:themeColor="text1"/>
              </w:rPr>
              <w:tab/>
              <w:t xml:space="preserve">motor vehicles including motorcycles and scooters, passenger cars and commercial vehicles; </w:t>
            </w:r>
          </w:p>
          <w:p w14:paraId="0C6E753F" w14:textId="77777777" w:rsidR="00CF6968" w:rsidRPr="00F83DA8" w:rsidRDefault="00CF6968" w:rsidP="0089220B">
            <w:pPr>
              <w:pStyle w:val="TOSM"/>
              <w:ind w:left="538" w:hanging="538"/>
              <w:jc w:val="both"/>
              <w:rPr>
                <w:color w:val="000000" w:themeColor="text1"/>
              </w:rPr>
            </w:pPr>
            <w:r w:rsidRPr="00F83DA8">
              <w:rPr>
                <w:color w:val="000000" w:themeColor="text1"/>
              </w:rPr>
              <w:t>(k)</w:t>
            </w:r>
            <w:r w:rsidRPr="00F83DA8">
              <w:rPr>
                <w:color w:val="000000" w:themeColor="text1"/>
              </w:rPr>
              <w:tab/>
              <w:t>base metals and articles of base metal industry or products; and</w:t>
            </w:r>
          </w:p>
          <w:p w14:paraId="0494B660" w14:textId="77777777" w:rsidR="00CF6968" w:rsidRPr="00F83DA8" w:rsidRDefault="00CF6968" w:rsidP="0089220B">
            <w:pPr>
              <w:pStyle w:val="TOSM"/>
              <w:ind w:left="538" w:hanging="538"/>
              <w:jc w:val="both"/>
              <w:rPr>
                <w:color w:val="000000" w:themeColor="text1"/>
              </w:rPr>
            </w:pPr>
            <w:r w:rsidRPr="00F83DA8">
              <w:rPr>
                <w:color w:val="000000" w:themeColor="text1"/>
              </w:rPr>
              <w:t>(l)</w:t>
            </w:r>
            <w:r w:rsidRPr="00F83DA8">
              <w:rPr>
                <w:color w:val="000000" w:themeColor="text1"/>
              </w:rPr>
              <w:tab/>
              <w:t>cement and cement products.</w:t>
            </w:r>
          </w:p>
        </w:tc>
      </w:tr>
      <w:tr w:rsidR="00F83DA8" w:rsidRPr="00F83DA8" w14:paraId="43525160" w14:textId="77777777" w:rsidTr="00502987">
        <w:tc>
          <w:tcPr>
            <w:tcW w:w="299" w:type="pct"/>
          </w:tcPr>
          <w:p w14:paraId="2672F113" w14:textId="77777777" w:rsidR="00CF6968" w:rsidRPr="00F83DA8" w:rsidRDefault="00CF6968" w:rsidP="0089220B">
            <w:pPr>
              <w:spacing w:after="120"/>
              <w:rPr>
                <w:rFonts w:cs="Arial"/>
                <w:color w:val="000000" w:themeColor="text1"/>
                <w:szCs w:val="20"/>
              </w:rPr>
            </w:pPr>
          </w:p>
        </w:tc>
        <w:tc>
          <w:tcPr>
            <w:tcW w:w="1419" w:type="pct"/>
          </w:tcPr>
          <w:p w14:paraId="22973C72"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Existing Measures</w:t>
            </w:r>
          </w:p>
        </w:tc>
        <w:tc>
          <w:tcPr>
            <w:tcW w:w="203" w:type="pct"/>
          </w:tcPr>
          <w:p w14:paraId="1EF6B363"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w:t>
            </w:r>
          </w:p>
        </w:tc>
        <w:tc>
          <w:tcPr>
            <w:tcW w:w="3079" w:type="pct"/>
          </w:tcPr>
          <w:p w14:paraId="794CABDC" w14:textId="77777777" w:rsidR="00CF6968" w:rsidRPr="00F83DA8" w:rsidRDefault="00CF6968" w:rsidP="0089220B">
            <w:pPr>
              <w:pStyle w:val="TOSM"/>
              <w:jc w:val="both"/>
              <w:rPr>
                <w:color w:val="000000" w:themeColor="text1"/>
              </w:rPr>
            </w:pPr>
            <w:r w:rsidRPr="0027032F">
              <w:rPr>
                <w:i/>
                <w:color w:val="000000" w:themeColor="text1"/>
              </w:rPr>
              <w:t>Excise Act 1976</w:t>
            </w:r>
            <w:r w:rsidRPr="00F83DA8">
              <w:rPr>
                <w:color w:val="000000" w:themeColor="text1"/>
              </w:rPr>
              <w:t xml:space="preserve"> [Act 176]</w:t>
            </w:r>
          </w:p>
          <w:p w14:paraId="0D6A2165" w14:textId="77777777" w:rsidR="00CF6968" w:rsidRPr="00F83DA8" w:rsidRDefault="00CF6968" w:rsidP="0089220B">
            <w:pPr>
              <w:pStyle w:val="TOSM"/>
              <w:jc w:val="both"/>
              <w:rPr>
                <w:color w:val="000000" w:themeColor="text1"/>
              </w:rPr>
            </w:pPr>
            <w:r w:rsidRPr="0027032F">
              <w:rPr>
                <w:i/>
                <w:color w:val="000000" w:themeColor="text1"/>
              </w:rPr>
              <w:t>Free Zones Act 1990</w:t>
            </w:r>
            <w:r w:rsidRPr="00F83DA8">
              <w:rPr>
                <w:color w:val="000000" w:themeColor="text1"/>
              </w:rPr>
              <w:t xml:space="preserve"> [Act 438]</w:t>
            </w:r>
          </w:p>
          <w:p w14:paraId="3B8FC694" w14:textId="77777777" w:rsidR="00CF6968" w:rsidRPr="00F83DA8" w:rsidRDefault="00CF6968" w:rsidP="0089220B">
            <w:pPr>
              <w:pStyle w:val="TOSM"/>
              <w:jc w:val="both"/>
              <w:rPr>
                <w:color w:val="000000" w:themeColor="text1"/>
              </w:rPr>
            </w:pPr>
            <w:r w:rsidRPr="0027032F">
              <w:rPr>
                <w:i/>
                <w:color w:val="000000" w:themeColor="text1"/>
              </w:rPr>
              <w:t>Industrial Co-ordination Act 1975</w:t>
            </w:r>
            <w:r w:rsidRPr="00F83DA8">
              <w:rPr>
                <w:color w:val="000000" w:themeColor="text1"/>
              </w:rPr>
              <w:t xml:space="preserve"> [Act 156]</w:t>
            </w:r>
          </w:p>
          <w:p w14:paraId="15C20006" w14:textId="77777777" w:rsidR="00CF6968" w:rsidRPr="00F83DA8" w:rsidRDefault="00CF6968" w:rsidP="0089220B">
            <w:pPr>
              <w:pStyle w:val="TOSM"/>
              <w:jc w:val="both"/>
              <w:rPr>
                <w:color w:val="000000" w:themeColor="text1"/>
              </w:rPr>
            </w:pPr>
            <w:r w:rsidRPr="00F83DA8">
              <w:rPr>
                <w:color w:val="000000" w:themeColor="text1"/>
              </w:rPr>
              <w:t>Policies and Ministerial Statements</w:t>
            </w:r>
          </w:p>
          <w:p w14:paraId="4E879B01" w14:textId="77777777" w:rsidR="00CF6968" w:rsidRPr="00F83DA8" w:rsidRDefault="00CF6968" w:rsidP="0089220B">
            <w:pPr>
              <w:pStyle w:val="TOSM"/>
              <w:jc w:val="both"/>
              <w:rPr>
                <w:color w:val="000000" w:themeColor="text1"/>
              </w:rPr>
            </w:pPr>
            <w:r w:rsidRPr="00F83DA8">
              <w:rPr>
                <w:color w:val="000000" w:themeColor="text1"/>
              </w:rPr>
              <w:t>Administrative Guidelines</w:t>
            </w:r>
          </w:p>
        </w:tc>
      </w:tr>
      <w:tr w:rsidR="00F83DA8" w:rsidRPr="00F83DA8" w14:paraId="34E84F71" w14:textId="77777777" w:rsidTr="00502987">
        <w:tc>
          <w:tcPr>
            <w:tcW w:w="299" w:type="pct"/>
          </w:tcPr>
          <w:p w14:paraId="0C2A7D80" w14:textId="77777777" w:rsidR="00CF6968" w:rsidRPr="00F83DA8" w:rsidRDefault="00CF6968" w:rsidP="0089220B">
            <w:pPr>
              <w:numPr>
                <w:ilvl w:val="0"/>
                <w:numId w:val="5"/>
              </w:numPr>
              <w:spacing w:after="120"/>
              <w:rPr>
                <w:rFonts w:cs="Arial"/>
                <w:snapToGrid w:val="0"/>
                <w:color w:val="000000" w:themeColor="text1"/>
                <w:szCs w:val="20"/>
              </w:rPr>
            </w:pPr>
          </w:p>
        </w:tc>
        <w:tc>
          <w:tcPr>
            <w:tcW w:w="1419" w:type="pct"/>
          </w:tcPr>
          <w:p w14:paraId="551D49DA" w14:textId="77777777" w:rsidR="00CF6968" w:rsidRPr="00F83DA8" w:rsidRDefault="00CF6968" w:rsidP="0089220B">
            <w:pPr>
              <w:spacing w:after="120"/>
              <w:rPr>
                <w:rFonts w:cs="Arial"/>
                <w:color w:val="000000" w:themeColor="text1"/>
                <w:szCs w:val="20"/>
              </w:rPr>
            </w:pPr>
            <w:r w:rsidRPr="00F83DA8">
              <w:rPr>
                <w:rFonts w:cs="Arial"/>
                <w:snapToGrid w:val="0"/>
                <w:color w:val="000000" w:themeColor="text1"/>
                <w:szCs w:val="20"/>
              </w:rPr>
              <w:t>Sector</w:t>
            </w:r>
          </w:p>
        </w:tc>
        <w:tc>
          <w:tcPr>
            <w:tcW w:w="203" w:type="pct"/>
          </w:tcPr>
          <w:p w14:paraId="5FA70C6E"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79" w:type="pct"/>
          </w:tcPr>
          <w:p w14:paraId="2694C8CE" w14:textId="77777777" w:rsidR="00CF6968" w:rsidRPr="00F83DA8" w:rsidRDefault="00CF6968" w:rsidP="0089220B">
            <w:pPr>
              <w:spacing w:after="120"/>
              <w:jc w:val="both"/>
              <w:rPr>
                <w:rFonts w:cs="Arial"/>
                <w:snapToGrid w:val="0"/>
                <w:color w:val="000000" w:themeColor="text1"/>
                <w:szCs w:val="20"/>
              </w:rPr>
            </w:pPr>
            <w:r w:rsidRPr="00F83DA8">
              <w:rPr>
                <w:rFonts w:cs="Arial"/>
                <w:snapToGrid w:val="0"/>
                <w:color w:val="000000" w:themeColor="text1"/>
                <w:szCs w:val="20"/>
              </w:rPr>
              <w:t>All sectors</w:t>
            </w:r>
          </w:p>
        </w:tc>
      </w:tr>
      <w:tr w:rsidR="00F83DA8" w:rsidRPr="00F83DA8" w14:paraId="163264B0" w14:textId="77777777" w:rsidTr="00502987">
        <w:tc>
          <w:tcPr>
            <w:tcW w:w="299" w:type="pct"/>
          </w:tcPr>
          <w:p w14:paraId="4F3C7C44" w14:textId="77777777" w:rsidR="00CF6968" w:rsidRPr="00F83DA8" w:rsidRDefault="00CF6968" w:rsidP="0089220B">
            <w:pPr>
              <w:spacing w:after="120"/>
              <w:rPr>
                <w:rFonts w:cs="Arial"/>
                <w:color w:val="000000" w:themeColor="text1"/>
                <w:szCs w:val="20"/>
              </w:rPr>
            </w:pPr>
          </w:p>
        </w:tc>
        <w:tc>
          <w:tcPr>
            <w:tcW w:w="1419" w:type="pct"/>
          </w:tcPr>
          <w:p w14:paraId="5E780ADA"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Subsector</w:t>
            </w:r>
          </w:p>
        </w:tc>
        <w:tc>
          <w:tcPr>
            <w:tcW w:w="203" w:type="pct"/>
          </w:tcPr>
          <w:p w14:paraId="3E453858"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79" w:type="pct"/>
          </w:tcPr>
          <w:p w14:paraId="008F5812" w14:textId="77777777" w:rsidR="00CF6968" w:rsidRPr="00F83DA8" w:rsidRDefault="00CF6968" w:rsidP="0089220B">
            <w:pPr>
              <w:spacing w:after="120"/>
              <w:rPr>
                <w:rFonts w:cs="Arial"/>
                <w:color w:val="000000" w:themeColor="text1"/>
              </w:rPr>
            </w:pPr>
            <w:r w:rsidRPr="00F83DA8">
              <w:rPr>
                <w:rFonts w:cs="Arial"/>
                <w:color w:val="000000" w:themeColor="text1"/>
              </w:rPr>
              <w:t>-</w:t>
            </w:r>
          </w:p>
        </w:tc>
      </w:tr>
      <w:tr w:rsidR="00F83DA8" w:rsidRPr="00F83DA8" w14:paraId="12542FA1" w14:textId="77777777" w:rsidTr="00502987">
        <w:tc>
          <w:tcPr>
            <w:tcW w:w="299" w:type="pct"/>
          </w:tcPr>
          <w:p w14:paraId="264D659E" w14:textId="77777777" w:rsidR="00CF6968" w:rsidRPr="00F83DA8" w:rsidRDefault="00CF6968" w:rsidP="0089220B">
            <w:pPr>
              <w:spacing w:after="120"/>
              <w:rPr>
                <w:rFonts w:cs="Arial"/>
                <w:color w:val="000000" w:themeColor="text1"/>
                <w:szCs w:val="20"/>
              </w:rPr>
            </w:pPr>
          </w:p>
        </w:tc>
        <w:tc>
          <w:tcPr>
            <w:tcW w:w="1419" w:type="pct"/>
          </w:tcPr>
          <w:p w14:paraId="02402DCA"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Obligations Concerned</w:t>
            </w:r>
          </w:p>
        </w:tc>
        <w:tc>
          <w:tcPr>
            <w:tcW w:w="203" w:type="pct"/>
          </w:tcPr>
          <w:p w14:paraId="73294FDF"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79" w:type="pct"/>
          </w:tcPr>
          <w:p w14:paraId="12EA0A07" w14:textId="4BD51EC9" w:rsidR="00CF6968" w:rsidRPr="00F83DA8" w:rsidRDefault="00CF6968" w:rsidP="0089220B">
            <w:pPr>
              <w:pStyle w:val="TOSM"/>
              <w:jc w:val="both"/>
              <w:rPr>
                <w:color w:val="000000" w:themeColor="text1"/>
              </w:rPr>
            </w:pPr>
            <w:r w:rsidRPr="00F83DA8">
              <w:rPr>
                <w:color w:val="000000" w:themeColor="text1"/>
              </w:rPr>
              <w:t xml:space="preserve">National Treatment </w:t>
            </w:r>
          </w:p>
          <w:p w14:paraId="378F5F9F" w14:textId="19B2F373" w:rsidR="00CF6968" w:rsidRPr="00F83DA8" w:rsidRDefault="00CF6968" w:rsidP="0089220B">
            <w:pPr>
              <w:pStyle w:val="TOSM"/>
              <w:jc w:val="both"/>
              <w:rPr>
                <w:color w:val="000000" w:themeColor="text1"/>
              </w:rPr>
            </w:pPr>
            <w:r w:rsidRPr="00F83DA8">
              <w:rPr>
                <w:color w:val="000000" w:themeColor="text1"/>
              </w:rPr>
              <w:t>Most-</w:t>
            </w:r>
            <w:proofErr w:type="spellStart"/>
            <w:r w:rsidRPr="00F83DA8">
              <w:rPr>
                <w:color w:val="000000" w:themeColor="text1"/>
              </w:rPr>
              <w:t>Favoured</w:t>
            </w:r>
            <w:proofErr w:type="spellEnd"/>
            <w:r w:rsidRPr="00F83DA8">
              <w:rPr>
                <w:color w:val="000000" w:themeColor="text1"/>
              </w:rPr>
              <w:t xml:space="preserve">-Nation Treatment </w:t>
            </w:r>
          </w:p>
        </w:tc>
      </w:tr>
      <w:tr w:rsidR="00F83DA8" w:rsidRPr="00F83DA8" w14:paraId="3B1803CC" w14:textId="77777777" w:rsidTr="00502987">
        <w:tc>
          <w:tcPr>
            <w:tcW w:w="299" w:type="pct"/>
          </w:tcPr>
          <w:p w14:paraId="42B3F74C" w14:textId="77777777" w:rsidR="00CF6968" w:rsidRPr="00F83DA8" w:rsidRDefault="00CF6968" w:rsidP="0089220B">
            <w:pPr>
              <w:spacing w:after="120"/>
              <w:rPr>
                <w:rFonts w:cs="Arial"/>
                <w:snapToGrid w:val="0"/>
                <w:color w:val="000000" w:themeColor="text1"/>
                <w:szCs w:val="20"/>
              </w:rPr>
            </w:pPr>
          </w:p>
        </w:tc>
        <w:tc>
          <w:tcPr>
            <w:tcW w:w="1419" w:type="pct"/>
          </w:tcPr>
          <w:p w14:paraId="0D230736"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Description</w:t>
            </w:r>
          </w:p>
        </w:tc>
        <w:tc>
          <w:tcPr>
            <w:tcW w:w="203" w:type="pct"/>
          </w:tcPr>
          <w:p w14:paraId="13D86BFA"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79" w:type="pct"/>
          </w:tcPr>
          <w:p w14:paraId="70B302A0" w14:textId="77777777" w:rsidR="00CF6968" w:rsidRPr="00F83DA8" w:rsidRDefault="00CF6968" w:rsidP="0089220B">
            <w:pPr>
              <w:pStyle w:val="DM"/>
              <w:spacing w:after="120"/>
              <w:jc w:val="both"/>
              <w:rPr>
                <w:color w:val="000000" w:themeColor="text1"/>
              </w:rPr>
            </w:pPr>
            <w:r w:rsidRPr="00F83DA8">
              <w:rPr>
                <w:color w:val="000000" w:themeColor="text1"/>
              </w:rPr>
              <w:t>Malaysia reserves the right to adopt or maintain any measure related to the non-internationalisation of the Ringgit which includes:</w:t>
            </w:r>
          </w:p>
          <w:p w14:paraId="1E78A5CB" w14:textId="77777777" w:rsidR="00CF6968" w:rsidRPr="00F83DA8" w:rsidRDefault="00CF6968" w:rsidP="0089220B">
            <w:pPr>
              <w:pStyle w:val="TOSM"/>
              <w:ind w:left="538" w:hanging="538"/>
              <w:jc w:val="both"/>
              <w:rPr>
                <w:color w:val="000000" w:themeColor="text1"/>
              </w:rPr>
            </w:pPr>
            <w:r w:rsidRPr="00F83DA8">
              <w:rPr>
                <w:color w:val="000000" w:themeColor="text1"/>
              </w:rPr>
              <w:t>(a)</w:t>
            </w:r>
            <w:r w:rsidRPr="00F83DA8">
              <w:rPr>
                <w:color w:val="000000" w:themeColor="text1"/>
              </w:rPr>
              <w:tab/>
              <w:t>the requirement for international settlement to be made in foreign currency;</w:t>
            </w:r>
          </w:p>
          <w:p w14:paraId="157D255B" w14:textId="77777777" w:rsidR="00CF6968" w:rsidRPr="00F83DA8" w:rsidRDefault="00CF6968" w:rsidP="0089220B">
            <w:pPr>
              <w:pStyle w:val="TOSM"/>
              <w:ind w:left="538" w:hanging="538"/>
              <w:jc w:val="both"/>
              <w:rPr>
                <w:color w:val="000000" w:themeColor="text1"/>
              </w:rPr>
            </w:pPr>
            <w:r w:rsidRPr="00F83DA8">
              <w:rPr>
                <w:color w:val="000000" w:themeColor="text1"/>
              </w:rPr>
              <w:t>(b)</w:t>
            </w:r>
            <w:r w:rsidRPr="00F83DA8">
              <w:rPr>
                <w:color w:val="000000" w:themeColor="text1"/>
              </w:rPr>
              <w:tab/>
              <w:t>limitation on the access to Ringgit financing by non-residents for use outside Malaysia; and</w:t>
            </w:r>
          </w:p>
          <w:p w14:paraId="7D0EC7E8" w14:textId="77777777" w:rsidR="00CF6968" w:rsidRPr="00F83DA8" w:rsidRDefault="00CF6968" w:rsidP="0089220B">
            <w:pPr>
              <w:pStyle w:val="TOSM"/>
              <w:ind w:left="538" w:hanging="538"/>
              <w:jc w:val="both"/>
              <w:rPr>
                <w:color w:val="000000" w:themeColor="text1"/>
              </w:rPr>
            </w:pPr>
            <w:r w:rsidRPr="00F83DA8">
              <w:rPr>
                <w:color w:val="000000" w:themeColor="text1"/>
              </w:rPr>
              <w:t>(c)</w:t>
            </w:r>
            <w:r w:rsidRPr="00F83DA8">
              <w:rPr>
                <w:color w:val="000000" w:themeColor="text1"/>
              </w:rPr>
              <w:tab/>
              <w:t>limitation on the use of the Ringgit in Malaysia by non-residents.</w:t>
            </w:r>
          </w:p>
        </w:tc>
      </w:tr>
      <w:tr w:rsidR="00CF6968" w:rsidRPr="00F83DA8" w14:paraId="3DCCC5DF" w14:textId="77777777" w:rsidTr="00502987">
        <w:tc>
          <w:tcPr>
            <w:tcW w:w="299" w:type="pct"/>
          </w:tcPr>
          <w:p w14:paraId="23566DF8" w14:textId="77777777" w:rsidR="00CF6968" w:rsidRPr="00F83DA8" w:rsidRDefault="00CF6968" w:rsidP="0089220B">
            <w:pPr>
              <w:spacing w:after="120"/>
              <w:rPr>
                <w:rFonts w:cs="Arial"/>
                <w:color w:val="000000" w:themeColor="text1"/>
                <w:szCs w:val="20"/>
              </w:rPr>
            </w:pPr>
          </w:p>
        </w:tc>
        <w:tc>
          <w:tcPr>
            <w:tcW w:w="1419" w:type="pct"/>
          </w:tcPr>
          <w:p w14:paraId="45C59A29"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Existing Measures</w:t>
            </w:r>
          </w:p>
        </w:tc>
        <w:tc>
          <w:tcPr>
            <w:tcW w:w="203" w:type="pct"/>
          </w:tcPr>
          <w:p w14:paraId="48B7F348"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w:t>
            </w:r>
          </w:p>
        </w:tc>
        <w:tc>
          <w:tcPr>
            <w:tcW w:w="3079" w:type="pct"/>
          </w:tcPr>
          <w:p w14:paraId="53FCE992" w14:textId="77777777" w:rsidR="00CF6968" w:rsidRPr="00F83DA8" w:rsidRDefault="00CF6968" w:rsidP="0089220B">
            <w:pPr>
              <w:pStyle w:val="TOSM"/>
              <w:jc w:val="both"/>
              <w:rPr>
                <w:color w:val="000000" w:themeColor="text1"/>
              </w:rPr>
            </w:pPr>
            <w:r w:rsidRPr="0027032F">
              <w:rPr>
                <w:i/>
                <w:color w:val="000000" w:themeColor="text1"/>
              </w:rPr>
              <w:t>Central Bank of Malaysia Act 2009</w:t>
            </w:r>
            <w:r w:rsidRPr="00F83DA8">
              <w:rPr>
                <w:color w:val="000000" w:themeColor="text1"/>
              </w:rPr>
              <w:t xml:space="preserve"> [Act 701]</w:t>
            </w:r>
          </w:p>
          <w:p w14:paraId="28996CC4" w14:textId="77777777" w:rsidR="00CF6968" w:rsidRPr="00F83DA8" w:rsidRDefault="00CF6968" w:rsidP="0089220B">
            <w:pPr>
              <w:pStyle w:val="TOSM"/>
              <w:jc w:val="both"/>
              <w:rPr>
                <w:color w:val="000000" w:themeColor="text1"/>
              </w:rPr>
            </w:pPr>
            <w:r w:rsidRPr="0027032F">
              <w:rPr>
                <w:i/>
                <w:color w:val="000000" w:themeColor="text1"/>
              </w:rPr>
              <w:t>Financial Services Act 2013</w:t>
            </w:r>
            <w:r w:rsidRPr="00F83DA8">
              <w:rPr>
                <w:color w:val="000000" w:themeColor="text1"/>
              </w:rPr>
              <w:t xml:space="preserve"> [Act 758]</w:t>
            </w:r>
          </w:p>
          <w:p w14:paraId="20EE762B" w14:textId="77777777" w:rsidR="00CF6968" w:rsidRPr="00F83DA8" w:rsidRDefault="00CF6968" w:rsidP="0089220B">
            <w:pPr>
              <w:pStyle w:val="TOSM"/>
              <w:jc w:val="both"/>
              <w:rPr>
                <w:color w:val="000000" w:themeColor="text1"/>
              </w:rPr>
            </w:pPr>
            <w:r w:rsidRPr="0027032F">
              <w:rPr>
                <w:i/>
                <w:color w:val="000000" w:themeColor="text1"/>
              </w:rPr>
              <w:t>Islamic Financial Services Act 2013</w:t>
            </w:r>
            <w:r w:rsidRPr="00F83DA8">
              <w:rPr>
                <w:color w:val="000000" w:themeColor="text1"/>
              </w:rPr>
              <w:t xml:space="preserve"> [Act 759]</w:t>
            </w:r>
          </w:p>
          <w:p w14:paraId="773816BA" w14:textId="453D9214" w:rsidR="00CF6968" w:rsidRPr="00F83DA8" w:rsidRDefault="00CF6968" w:rsidP="0089220B">
            <w:pPr>
              <w:pStyle w:val="TOSM"/>
              <w:jc w:val="both"/>
              <w:rPr>
                <w:color w:val="000000" w:themeColor="text1"/>
              </w:rPr>
            </w:pPr>
            <w:r w:rsidRPr="00F83DA8">
              <w:rPr>
                <w:color w:val="000000" w:themeColor="text1"/>
              </w:rPr>
              <w:t xml:space="preserve">Foreign Exchange </w:t>
            </w:r>
            <w:r w:rsidR="008A747D">
              <w:rPr>
                <w:color w:val="000000" w:themeColor="text1"/>
              </w:rPr>
              <w:t xml:space="preserve">Policy </w:t>
            </w:r>
            <w:r w:rsidRPr="00F83DA8">
              <w:rPr>
                <w:color w:val="000000" w:themeColor="text1"/>
              </w:rPr>
              <w:t>Notices</w:t>
            </w:r>
          </w:p>
        </w:tc>
      </w:tr>
    </w:tbl>
    <w:p w14:paraId="0665E838" w14:textId="77777777" w:rsidR="00CF6968" w:rsidRPr="00F83DA8" w:rsidRDefault="00CF6968" w:rsidP="0089220B">
      <w:pPr>
        <w:pStyle w:val="TOSM"/>
        <w:rPr>
          <w:color w:val="000000" w:themeColor="text1"/>
        </w:rPr>
      </w:pPr>
      <w:r w:rsidRPr="00F83DA8">
        <w:rPr>
          <w:color w:val="000000" w:themeColor="text1"/>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151"/>
        <w:gridCol w:w="308"/>
        <w:gridCol w:w="4667"/>
      </w:tblGrid>
      <w:tr w:rsidR="00F83DA8" w:rsidRPr="00F83DA8" w14:paraId="5E27E424" w14:textId="77777777" w:rsidTr="00502987">
        <w:tc>
          <w:tcPr>
            <w:tcW w:w="299" w:type="pct"/>
          </w:tcPr>
          <w:p w14:paraId="6B296860" w14:textId="77777777" w:rsidR="00CF6968" w:rsidRPr="00F83DA8" w:rsidRDefault="00CF6968" w:rsidP="0089220B">
            <w:pPr>
              <w:numPr>
                <w:ilvl w:val="0"/>
                <w:numId w:val="5"/>
              </w:numPr>
              <w:spacing w:after="120"/>
              <w:rPr>
                <w:rFonts w:cs="Arial"/>
                <w:snapToGrid w:val="0"/>
                <w:color w:val="000000" w:themeColor="text1"/>
                <w:szCs w:val="20"/>
              </w:rPr>
            </w:pPr>
          </w:p>
        </w:tc>
        <w:tc>
          <w:tcPr>
            <w:tcW w:w="1419" w:type="pct"/>
          </w:tcPr>
          <w:p w14:paraId="2E9621F0" w14:textId="77777777" w:rsidR="00CF6968" w:rsidRPr="00F83DA8" w:rsidRDefault="00CF6968" w:rsidP="0089220B">
            <w:pPr>
              <w:spacing w:after="120"/>
              <w:rPr>
                <w:rFonts w:cs="Arial"/>
                <w:color w:val="000000" w:themeColor="text1"/>
                <w:szCs w:val="20"/>
              </w:rPr>
            </w:pPr>
            <w:r w:rsidRPr="00F83DA8">
              <w:rPr>
                <w:rFonts w:cs="Arial"/>
                <w:snapToGrid w:val="0"/>
                <w:color w:val="000000" w:themeColor="text1"/>
                <w:szCs w:val="20"/>
              </w:rPr>
              <w:t>Sector</w:t>
            </w:r>
          </w:p>
        </w:tc>
        <w:tc>
          <w:tcPr>
            <w:tcW w:w="203" w:type="pct"/>
          </w:tcPr>
          <w:p w14:paraId="50A0BFCA"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79" w:type="pct"/>
          </w:tcPr>
          <w:p w14:paraId="41EA8CC9" w14:textId="77777777" w:rsidR="00CF6968" w:rsidRPr="00F83DA8" w:rsidRDefault="00CF6968" w:rsidP="0089220B">
            <w:pPr>
              <w:spacing w:after="120"/>
              <w:jc w:val="both"/>
              <w:rPr>
                <w:rFonts w:cs="Arial"/>
                <w:snapToGrid w:val="0"/>
                <w:color w:val="000000" w:themeColor="text1"/>
                <w:szCs w:val="20"/>
              </w:rPr>
            </w:pPr>
            <w:r w:rsidRPr="00F83DA8">
              <w:rPr>
                <w:rFonts w:cs="Arial"/>
                <w:snapToGrid w:val="0"/>
                <w:color w:val="000000" w:themeColor="text1"/>
              </w:rPr>
              <w:t>Utilities in relation to gas supply, power generation, power distribution, power transmission including for renewable energy</w:t>
            </w:r>
          </w:p>
        </w:tc>
      </w:tr>
      <w:tr w:rsidR="00F83DA8" w:rsidRPr="00F83DA8" w14:paraId="0392E598" w14:textId="77777777" w:rsidTr="00502987">
        <w:tc>
          <w:tcPr>
            <w:tcW w:w="299" w:type="pct"/>
          </w:tcPr>
          <w:p w14:paraId="3B683336" w14:textId="77777777" w:rsidR="00CF6968" w:rsidRPr="00F83DA8" w:rsidRDefault="00CF6968" w:rsidP="0089220B">
            <w:pPr>
              <w:spacing w:after="120"/>
              <w:rPr>
                <w:rFonts w:cs="Arial"/>
                <w:color w:val="000000" w:themeColor="text1"/>
                <w:szCs w:val="20"/>
              </w:rPr>
            </w:pPr>
          </w:p>
        </w:tc>
        <w:tc>
          <w:tcPr>
            <w:tcW w:w="1419" w:type="pct"/>
          </w:tcPr>
          <w:p w14:paraId="27817B4E"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Subsector</w:t>
            </w:r>
          </w:p>
        </w:tc>
        <w:tc>
          <w:tcPr>
            <w:tcW w:w="203" w:type="pct"/>
          </w:tcPr>
          <w:p w14:paraId="2D642D43"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79" w:type="pct"/>
          </w:tcPr>
          <w:p w14:paraId="77293994" w14:textId="77777777" w:rsidR="00CF6968" w:rsidRPr="00F83DA8" w:rsidRDefault="00CF6968" w:rsidP="0089220B">
            <w:pPr>
              <w:spacing w:after="120"/>
              <w:rPr>
                <w:rFonts w:cs="Arial"/>
                <w:color w:val="000000" w:themeColor="text1"/>
              </w:rPr>
            </w:pPr>
            <w:r w:rsidRPr="00F83DA8">
              <w:rPr>
                <w:rFonts w:cs="Arial"/>
                <w:color w:val="000000" w:themeColor="text1"/>
              </w:rPr>
              <w:t>-</w:t>
            </w:r>
          </w:p>
        </w:tc>
      </w:tr>
      <w:tr w:rsidR="00F83DA8" w:rsidRPr="00F83DA8" w14:paraId="77F78729" w14:textId="77777777" w:rsidTr="00502987">
        <w:tc>
          <w:tcPr>
            <w:tcW w:w="299" w:type="pct"/>
          </w:tcPr>
          <w:p w14:paraId="357EB164" w14:textId="77777777" w:rsidR="0094426F" w:rsidRPr="00F83DA8" w:rsidRDefault="0094426F" w:rsidP="0089220B">
            <w:pPr>
              <w:spacing w:after="120"/>
              <w:rPr>
                <w:rFonts w:cs="Arial"/>
                <w:color w:val="000000" w:themeColor="text1"/>
                <w:szCs w:val="20"/>
              </w:rPr>
            </w:pPr>
          </w:p>
        </w:tc>
        <w:tc>
          <w:tcPr>
            <w:tcW w:w="1419" w:type="pct"/>
          </w:tcPr>
          <w:p w14:paraId="58681382" w14:textId="77777777" w:rsidR="0094426F" w:rsidRPr="00F83DA8" w:rsidRDefault="0094426F" w:rsidP="0089220B">
            <w:pPr>
              <w:spacing w:after="120"/>
              <w:rPr>
                <w:rFonts w:cs="Arial"/>
                <w:snapToGrid w:val="0"/>
                <w:color w:val="000000" w:themeColor="text1"/>
                <w:szCs w:val="20"/>
              </w:rPr>
            </w:pPr>
            <w:r w:rsidRPr="00F83DA8">
              <w:rPr>
                <w:rFonts w:cs="Arial"/>
                <w:snapToGrid w:val="0"/>
                <w:color w:val="000000" w:themeColor="text1"/>
                <w:szCs w:val="20"/>
              </w:rPr>
              <w:t>Obligations Concerned</w:t>
            </w:r>
          </w:p>
        </w:tc>
        <w:tc>
          <w:tcPr>
            <w:tcW w:w="203" w:type="pct"/>
          </w:tcPr>
          <w:p w14:paraId="2BC13553" w14:textId="77777777" w:rsidR="0094426F" w:rsidRPr="00F83DA8" w:rsidRDefault="0094426F"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79" w:type="pct"/>
          </w:tcPr>
          <w:p w14:paraId="16124DE7" w14:textId="4307ECFD" w:rsidR="0094426F" w:rsidRPr="00F83DA8" w:rsidRDefault="0094426F" w:rsidP="0089220B">
            <w:pPr>
              <w:pStyle w:val="TOSM"/>
              <w:jc w:val="both"/>
              <w:rPr>
                <w:color w:val="000000" w:themeColor="text1"/>
              </w:rPr>
            </w:pPr>
            <w:r w:rsidRPr="00F83DA8">
              <w:rPr>
                <w:color w:val="000000" w:themeColor="text1"/>
              </w:rPr>
              <w:t xml:space="preserve">National Treatment </w:t>
            </w:r>
          </w:p>
          <w:p w14:paraId="57435C13" w14:textId="2AF8B250" w:rsidR="0094426F" w:rsidRPr="00F83DA8" w:rsidRDefault="0094426F" w:rsidP="0089220B">
            <w:pPr>
              <w:pStyle w:val="TOSM"/>
              <w:jc w:val="both"/>
              <w:rPr>
                <w:color w:val="000000" w:themeColor="text1"/>
              </w:rPr>
            </w:pPr>
            <w:r w:rsidRPr="00F83DA8">
              <w:rPr>
                <w:color w:val="000000" w:themeColor="text1"/>
              </w:rPr>
              <w:t>Most-</w:t>
            </w:r>
            <w:proofErr w:type="spellStart"/>
            <w:r w:rsidRPr="00F83DA8">
              <w:rPr>
                <w:color w:val="000000" w:themeColor="text1"/>
              </w:rPr>
              <w:t>Favoured</w:t>
            </w:r>
            <w:proofErr w:type="spellEnd"/>
            <w:r w:rsidRPr="00F83DA8">
              <w:rPr>
                <w:color w:val="000000" w:themeColor="text1"/>
              </w:rPr>
              <w:t xml:space="preserve">-Nation Treatment </w:t>
            </w:r>
          </w:p>
          <w:p w14:paraId="49199C55" w14:textId="37447EFF" w:rsidR="00FE5FB1" w:rsidRPr="00F83DA8" w:rsidRDefault="00FE5FB1" w:rsidP="0089220B">
            <w:pPr>
              <w:pStyle w:val="TOSM"/>
              <w:jc w:val="both"/>
              <w:rPr>
                <w:color w:val="000000" w:themeColor="text1"/>
              </w:rPr>
            </w:pPr>
            <w:r w:rsidRPr="00F83DA8">
              <w:rPr>
                <w:color w:val="000000" w:themeColor="text1"/>
              </w:rPr>
              <w:t xml:space="preserve">Senior Management and Board of Directors </w:t>
            </w:r>
          </w:p>
          <w:p w14:paraId="6655785D" w14:textId="7C7E15CF" w:rsidR="0094426F" w:rsidRPr="00F83DA8" w:rsidRDefault="0094426F" w:rsidP="0089220B">
            <w:pPr>
              <w:pStyle w:val="TOSM"/>
              <w:jc w:val="both"/>
              <w:rPr>
                <w:color w:val="000000" w:themeColor="text1"/>
              </w:rPr>
            </w:pPr>
            <w:r w:rsidRPr="00F83DA8">
              <w:rPr>
                <w:color w:val="000000" w:themeColor="text1"/>
              </w:rPr>
              <w:t>Prohibition of Performance Requirements</w:t>
            </w:r>
          </w:p>
        </w:tc>
      </w:tr>
      <w:tr w:rsidR="00F83DA8" w:rsidRPr="00F83DA8" w14:paraId="35896039" w14:textId="77777777" w:rsidTr="00502987">
        <w:tc>
          <w:tcPr>
            <w:tcW w:w="299" w:type="pct"/>
          </w:tcPr>
          <w:p w14:paraId="6E092801" w14:textId="77777777" w:rsidR="00CF6968" w:rsidRPr="00F83DA8" w:rsidRDefault="00CF6968" w:rsidP="0089220B">
            <w:pPr>
              <w:spacing w:after="120"/>
              <w:rPr>
                <w:rFonts w:cs="Arial"/>
                <w:snapToGrid w:val="0"/>
                <w:color w:val="000000" w:themeColor="text1"/>
                <w:szCs w:val="20"/>
              </w:rPr>
            </w:pPr>
          </w:p>
        </w:tc>
        <w:tc>
          <w:tcPr>
            <w:tcW w:w="1419" w:type="pct"/>
          </w:tcPr>
          <w:p w14:paraId="70508ECB"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Description</w:t>
            </w:r>
          </w:p>
        </w:tc>
        <w:tc>
          <w:tcPr>
            <w:tcW w:w="203" w:type="pct"/>
          </w:tcPr>
          <w:p w14:paraId="5D82F941"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79" w:type="pct"/>
          </w:tcPr>
          <w:p w14:paraId="04A12808" w14:textId="77777777" w:rsidR="00CF6968" w:rsidRPr="00F83DA8" w:rsidRDefault="00CF6968" w:rsidP="0089220B">
            <w:pPr>
              <w:spacing w:after="120"/>
              <w:jc w:val="both"/>
              <w:rPr>
                <w:color w:val="000000" w:themeColor="text1"/>
              </w:rPr>
            </w:pPr>
            <w:r w:rsidRPr="00F83DA8">
              <w:rPr>
                <w:color w:val="000000" w:themeColor="text1"/>
                <w:shd w:val="clear" w:color="auto" w:fill="FFFFFF"/>
              </w:rPr>
              <w:t>Malaysia reserves the right to adopt or maintain any measure relating to utilities in relation to gas supply, power generation, power distribution, power transmission including for renewable energy.</w:t>
            </w:r>
          </w:p>
        </w:tc>
      </w:tr>
      <w:tr w:rsidR="00F83DA8" w:rsidRPr="00F83DA8" w14:paraId="65DC2658" w14:textId="77777777" w:rsidTr="00502987">
        <w:tc>
          <w:tcPr>
            <w:tcW w:w="299" w:type="pct"/>
          </w:tcPr>
          <w:p w14:paraId="723D2FB7" w14:textId="77777777" w:rsidR="00CF6968" w:rsidRPr="00F83DA8" w:rsidRDefault="00CF6968" w:rsidP="0089220B">
            <w:pPr>
              <w:spacing w:after="120"/>
              <w:rPr>
                <w:rFonts w:cs="Arial"/>
                <w:color w:val="000000" w:themeColor="text1"/>
                <w:szCs w:val="20"/>
              </w:rPr>
            </w:pPr>
          </w:p>
        </w:tc>
        <w:tc>
          <w:tcPr>
            <w:tcW w:w="1419" w:type="pct"/>
          </w:tcPr>
          <w:p w14:paraId="305C647C"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Existing Measures</w:t>
            </w:r>
          </w:p>
        </w:tc>
        <w:tc>
          <w:tcPr>
            <w:tcW w:w="203" w:type="pct"/>
          </w:tcPr>
          <w:p w14:paraId="6387BD31"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w:t>
            </w:r>
          </w:p>
        </w:tc>
        <w:tc>
          <w:tcPr>
            <w:tcW w:w="3079" w:type="pct"/>
          </w:tcPr>
          <w:p w14:paraId="4FC3B86A" w14:textId="77777777" w:rsidR="00CF6968" w:rsidRPr="00F83DA8" w:rsidRDefault="00CF6968" w:rsidP="0089220B">
            <w:pPr>
              <w:pStyle w:val="TOSM"/>
              <w:jc w:val="both"/>
              <w:rPr>
                <w:color w:val="000000" w:themeColor="text1"/>
              </w:rPr>
            </w:pPr>
            <w:r w:rsidRPr="0027032F">
              <w:rPr>
                <w:i/>
                <w:color w:val="000000" w:themeColor="text1"/>
              </w:rPr>
              <w:t>Electricity Supply Act 1990</w:t>
            </w:r>
            <w:r w:rsidRPr="00F83DA8">
              <w:rPr>
                <w:color w:val="000000" w:themeColor="text1"/>
              </w:rPr>
              <w:t xml:space="preserve"> [Act 447]</w:t>
            </w:r>
          </w:p>
          <w:p w14:paraId="228692A0" w14:textId="11CF97CB" w:rsidR="00CF6968" w:rsidRPr="00F83DA8" w:rsidRDefault="00CF6968" w:rsidP="0089220B">
            <w:pPr>
              <w:pStyle w:val="TOSM"/>
              <w:jc w:val="both"/>
              <w:rPr>
                <w:color w:val="000000" w:themeColor="text1"/>
              </w:rPr>
            </w:pPr>
            <w:r w:rsidRPr="0027032F">
              <w:rPr>
                <w:i/>
                <w:color w:val="000000" w:themeColor="text1"/>
              </w:rPr>
              <w:t>Gas Supply Act 1993</w:t>
            </w:r>
            <w:r w:rsidRPr="00F83DA8">
              <w:rPr>
                <w:color w:val="000000" w:themeColor="text1"/>
              </w:rPr>
              <w:t xml:space="preserve"> [Act 501] </w:t>
            </w:r>
          </w:p>
          <w:p w14:paraId="1FB3CEFB" w14:textId="77777777" w:rsidR="00CF6968" w:rsidRPr="00F83DA8" w:rsidRDefault="00CF6968" w:rsidP="0089220B">
            <w:pPr>
              <w:pStyle w:val="TOSM"/>
              <w:jc w:val="both"/>
              <w:rPr>
                <w:color w:val="000000" w:themeColor="text1"/>
              </w:rPr>
            </w:pPr>
            <w:r w:rsidRPr="0027032F">
              <w:rPr>
                <w:i/>
                <w:color w:val="000000" w:themeColor="text1"/>
              </w:rPr>
              <w:t>Renewable Energy Act 2011</w:t>
            </w:r>
            <w:r w:rsidRPr="00F83DA8">
              <w:rPr>
                <w:color w:val="000000" w:themeColor="text1"/>
              </w:rPr>
              <w:t xml:space="preserve"> [Act 725]</w:t>
            </w:r>
          </w:p>
          <w:p w14:paraId="50183844" w14:textId="671D4016" w:rsidR="00CF6968" w:rsidRPr="00F83DA8" w:rsidRDefault="006B6EE0" w:rsidP="0089220B">
            <w:pPr>
              <w:pStyle w:val="TOSM"/>
              <w:jc w:val="both"/>
              <w:rPr>
                <w:color w:val="000000" w:themeColor="text1"/>
              </w:rPr>
            </w:pPr>
            <w:r>
              <w:rPr>
                <w:i/>
                <w:color w:val="000000" w:themeColor="text1"/>
              </w:rPr>
              <w:t xml:space="preserve">Sarawak </w:t>
            </w:r>
            <w:r w:rsidR="00CF6968" w:rsidRPr="0027032F">
              <w:rPr>
                <w:i/>
                <w:color w:val="000000" w:themeColor="text1"/>
              </w:rPr>
              <w:t xml:space="preserve">Electricity Ordinance </w:t>
            </w:r>
            <w:r w:rsidR="00CF6968" w:rsidRPr="00F83DA8">
              <w:rPr>
                <w:color w:val="000000" w:themeColor="text1"/>
              </w:rPr>
              <w:t>[C</w:t>
            </w:r>
            <w:r>
              <w:rPr>
                <w:color w:val="000000" w:themeColor="text1"/>
              </w:rPr>
              <w:t>hapter</w:t>
            </w:r>
            <w:r w:rsidR="00CF6968" w:rsidRPr="00F83DA8">
              <w:rPr>
                <w:color w:val="000000" w:themeColor="text1"/>
              </w:rPr>
              <w:t xml:space="preserve"> 50] </w:t>
            </w:r>
          </w:p>
          <w:p w14:paraId="4C3374AD" w14:textId="77777777" w:rsidR="00CF6968" w:rsidRPr="00F83DA8" w:rsidRDefault="00CF6968" w:rsidP="0089220B">
            <w:pPr>
              <w:pStyle w:val="TOSM"/>
              <w:jc w:val="both"/>
              <w:rPr>
                <w:color w:val="000000" w:themeColor="text1"/>
              </w:rPr>
            </w:pPr>
            <w:r w:rsidRPr="0027032F">
              <w:rPr>
                <w:i/>
                <w:color w:val="000000" w:themeColor="text1"/>
              </w:rPr>
              <w:t>Environmental Quality Act 1974</w:t>
            </w:r>
            <w:r w:rsidRPr="00F83DA8">
              <w:rPr>
                <w:color w:val="000000" w:themeColor="text1"/>
              </w:rPr>
              <w:t xml:space="preserve"> [Act 127]</w:t>
            </w:r>
          </w:p>
          <w:p w14:paraId="48EF8ECC" w14:textId="5381C1AB" w:rsidR="00286E61" w:rsidRPr="0027032F" w:rsidRDefault="00286E61" w:rsidP="0027032F">
            <w:pPr>
              <w:pStyle w:val="TOSM"/>
              <w:rPr>
                <w:color w:val="000000" w:themeColor="text1"/>
                <w:lang w:val="en-MY"/>
              </w:rPr>
            </w:pPr>
            <w:r>
              <w:rPr>
                <w:color w:val="000000" w:themeColor="text1"/>
                <w:lang w:val="en-MY"/>
              </w:rPr>
              <w:t xml:space="preserve">New Economic Policy (NEP) </w:t>
            </w:r>
          </w:p>
          <w:p w14:paraId="6D0FE0DE" w14:textId="2B53CD16" w:rsidR="00CF6968" w:rsidRPr="00F83DA8" w:rsidRDefault="00CF6968" w:rsidP="0089220B">
            <w:pPr>
              <w:pStyle w:val="TOSM"/>
              <w:jc w:val="both"/>
              <w:rPr>
                <w:color w:val="000000" w:themeColor="text1"/>
              </w:rPr>
            </w:pPr>
            <w:r w:rsidRPr="00F83DA8">
              <w:rPr>
                <w:color w:val="000000" w:themeColor="text1"/>
              </w:rPr>
              <w:t>Green Technology Master Plan Malaysia 2017-2030</w:t>
            </w:r>
          </w:p>
          <w:p w14:paraId="1532A48E" w14:textId="77777777" w:rsidR="00CF6968" w:rsidRPr="00F83DA8" w:rsidRDefault="00CF6968" w:rsidP="0089220B">
            <w:pPr>
              <w:pStyle w:val="TOSM"/>
              <w:rPr>
                <w:color w:val="000000" w:themeColor="text1"/>
                <w:lang w:val="en-MY"/>
              </w:rPr>
            </w:pPr>
            <w:r w:rsidRPr="00F83DA8">
              <w:rPr>
                <w:color w:val="000000" w:themeColor="text1"/>
                <w:lang w:val="en-MY"/>
              </w:rPr>
              <w:t>National Energy Efficiency Action Plan (NEEAP) 2015</w:t>
            </w:r>
          </w:p>
          <w:p w14:paraId="52DF9175" w14:textId="77777777" w:rsidR="00CF6968" w:rsidRPr="00F83DA8" w:rsidRDefault="00CF6968" w:rsidP="0089220B">
            <w:pPr>
              <w:pStyle w:val="TOSM"/>
              <w:jc w:val="both"/>
              <w:rPr>
                <w:color w:val="000000" w:themeColor="text1"/>
              </w:rPr>
            </w:pPr>
            <w:r w:rsidRPr="00F83DA8">
              <w:rPr>
                <w:color w:val="000000" w:themeColor="text1"/>
                <w:lang w:val="en-MY"/>
              </w:rPr>
              <w:t>National Renewable Energy Policy and Action Plan (NREPAP) 2009</w:t>
            </w:r>
          </w:p>
        </w:tc>
      </w:tr>
    </w:tbl>
    <w:p w14:paraId="49B7ECF0" w14:textId="77777777" w:rsidR="00CF6968" w:rsidRPr="00F83DA8" w:rsidRDefault="00CF6968" w:rsidP="0089220B">
      <w:pPr>
        <w:pStyle w:val="TOSM"/>
        <w:rPr>
          <w:color w:val="000000" w:themeColor="text1"/>
        </w:rPr>
      </w:pPr>
      <w:r w:rsidRPr="00F83DA8">
        <w:rPr>
          <w:color w:val="000000" w:themeColor="text1"/>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1"/>
        <w:gridCol w:w="2271"/>
        <w:gridCol w:w="308"/>
        <w:gridCol w:w="4549"/>
      </w:tblGrid>
      <w:tr w:rsidR="00F83DA8" w:rsidRPr="00F83DA8" w14:paraId="4212CACD" w14:textId="77777777" w:rsidTr="00267405">
        <w:tc>
          <w:tcPr>
            <w:tcW w:w="298" w:type="pct"/>
          </w:tcPr>
          <w:p w14:paraId="79827691" w14:textId="77777777" w:rsidR="00CF6968" w:rsidRPr="00F83DA8" w:rsidRDefault="00CF6968" w:rsidP="0089220B">
            <w:pPr>
              <w:numPr>
                <w:ilvl w:val="0"/>
                <w:numId w:val="5"/>
              </w:numPr>
              <w:spacing w:after="120"/>
              <w:rPr>
                <w:rFonts w:cs="Arial"/>
                <w:snapToGrid w:val="0"/>
                <w:color w:val="000000" w:themeColor="text1"/>
                <w:szCs w:val="20"/>
              </w:rPr>
            </w:pPr>
          </w:p>
        </w:tc>
        <w:tc>
          <w:tcPr>
            <w:tcW w:w="1498" w:type="pct"/>
          </w:tcPr>
          <w:p w14:paraId="1D0B83D3" w14:textId="77777777" w:rsidR="00CF6968" w:rsidRPr="00F83DA8" w:rsidRDefault="00CF6968" w:rsidP="0089220B">
            <w:pPr>
              <w:spacing w:after="120"/>
              <w:rPr>
                <w:rFonts w:cs="Arial"/>
                <w:color w:val="000000" w:themeColor="text1"/>
                <w:szCs w:val="20"/>
              </w:rPr>
            </w:pPr>
            <w:r w:rsidRPr="00F83DA8">
              <w:rPr>
                <w:rFonts w:cs="Arial"/>
                <w:snapToGrid w:val="0"/>
                <w:color w:val="000000" w:themeColor="text1"/>
                <w:szCs w:val="20"/>
              </w:rPr>
              <w:t>Sector</w:t>
            </w:r>
          </w:p>
        </w:tc>
        <w:tc>
          <w:tcPr>
            <w:tcW w:w="203" w:type="pct"/>
          </w:tcPr>
          <w:p w14:paraId="5DCD05E6"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01" w:type="pct"/>
          </w:tcPr>
          <w:p w14:paraId="1D683700"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All sectors</w:t>
            </w:r>
          </w:p>
        </w:tc>
      </w:tr>
      <w:tr w:rsidR="00F83DA8" w:rsidRPr="00F83DA8" w14:paraId="38B3DE96" w14:textId="77777777" w:rsidTr="00267405">
        <w:tc>
          <w:tcPr>
            <w:tcW w:w="298" w:type="pct"/>
          </w:tcPr>
          <w:p w14:paraId="65FADF1B" w14:textId="77777777" w:rsidR="00CF6968" w:rsidRPr="00F83DA8" w:rsidRDefault="00CF6968" w:rsidP="0089220B">
            <w:pPr>
              <w:spacing w:after="120"/>
              <w:rPr>
                <w:rFonts w:cs="Arial"/>
                <w:color w:val="000000" w:themeColor="text1"/>
                <w:szCs w:val="20"/>
              </w:rPr>
            </w:pPr>
          </w:p>
        </w:tc>
        <w:tc>
          <w:tcPr>
            <w:tcW w:w="1498" w:type="pct"/>
          </w:tcPr>
          <w:p w14:paraId="644DF755"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Subsector</w:t>
            </w:r>
          </w:p>
        </w:tc>
        <w:tc>
          <w:tcPr>
            <w:tcW w:w="203" w:type="pct"/>
          </w:tcPr>
          <w:p w14:paraId="1E1660A2"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01" w:type="pct"/>
          </w:tcPr>
          <w:p w14:paraId="5B85D7C7" w14:textId="77777777" w:rsidR="00CF6968" w:rsidRPr="00F83DA8" w:rsidRDefault="00CF6968" w:rsidP="0089220B">
            <w:pPr>
              <w:spacing w:after="120"/>
              <w:rPr>
                <w:rFonts w:cs="Arial"/>
                <w:color w:val="000000" w:themeColor="text1"/>
              </w:rPr>
            </w:pPr>
            <w:r w:rsidRPr="00F83DA8">
              <w:rPr>
                <w:rFonts w:cs="Arial"/>
                <w:color w:val="000000" w:themeColor="text1"/>
              </w:rPr>
              <w:t>-</w:t>
            </w:r>
          </w:p>
        </w:tc>
      </w:tr>
      <w:tr w:rsidR="00F83DA8" w:rsidRPr="00F83DA8" w14:paraId="622C1532" w14:textId="77777777" w:rsidTr="00267405">
        <w:tc>
          <w:tcPr>
            <w:tcW w:w="298" w:type="pct"/>
          </w:tcPr>
          <w:p w14:paraId="676EEC8B" w14:textId="77777777" w:rsidR="00CF6968" w:rsidRPr="00F83DA8" w:rsidRDefault="00CF6968" w:rsidP="0089220B">
            <w:pPr>
              <w:spacing w:after="120"/>
              <w:rPr>
                <w:rFonts w:cs="Arial"/>
                <w:color w:val="000000" w:themeColor="text1"/>
                <w:szCs w:val="20"/>
              </w:rPr>
            </w:pPr>
          </w:p>
        </w:tc>
        <w:tc>
          <w:tcPr>
            <w:tcW w:w="1498" w:type="pct"/>
          </w:tcPr>
          <w:p w14:paraId="25757859"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Obligations Concerned</w:t>
            </w:r>
          </w:p>
        </w:tc>
        <w:tc>
          <w:tcPr>
            <w:tcW w:w="203" w:type="pct"/>
          </w:tcPr>
          <w:p w14:paraId="2696BEBB"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01" w:type="pct"/>
          </w:tcPr>
          <w:p w14:paraId="001FE1F5" w14:textId="5ED751FC" w:rsidR="00CF6968" w:rsidRPr="00F83DA8" w:rsidRDefault="00CF6968" w:rsidP="0089220B">
            <w:pPr>
              <w:spacing w:after="120"/>
              <w:rPr>
                <w:rFonts w:cs="Arial"/>
                <w:color w:val="000000" w:themeColor="text1"/>
              </w:rPr>
            </w:pPr>
            <w:r w:rsidRPr="00F83DA8">
              <w:rPr>
                <w:rFonts w:cs="Arial"/>
                <w:color w:val="000000" w:themeColor="text1"/>
              </w:rPr>
              <w:t xml:space="preserve">National Treatment </w:t>
            </w:r>
          </w:p>
        </w:tc>
      </w:tr>
      <w:tr w:rsidR="00F83DA8" w:rsidRPr="00F83DA8" w14:paraId="359937B6" w14:textId="77777777" w:rsidTr="00267405">
        <w:trPr>
          <w:trHeight w:val="1021"/>
        </w:trPr>
        <w:tc>
          <w:tcPr>
            <w:tcW w:w="298" w:type="pct"/>
          </w:tcPr>
          <w:p w14:paraId="50360AE9" w14:textId="77777777" w:rsidR="00CF6968" w:rsidRPr="00F83DA8" w:rsidRDefault="00CF6968" w:rsidP="0089220B">
            <w:pPr>
              <w:spacing w:after="120"/>
              <w:rPr>
                <w:rFonts w:cs="Arial"/>
                <w:snapToGrid w:val="0"/>
                <w:color w:val="000000" w:themeColor="text1"/>
                <w:szCs w:val="20"/>
              </w:rPr>
            </w:pPr>
          </w:p>
        </w:tc>
        <w:tc>
          <w:tcPr>
            <w:tcW w:w="1498" w:type="pct"/>
          </w:tcPr>
          <w:p w14:paraId="444D7C83"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Description</w:t>
            </w:r>
          </w:p>
        </w:tc>
        <w:tc>
          <w:tcPr>
            <w:tcW w:w="203" w:type="pct"/>
          </w:tcPr>
          <w:p w14:paraId="6BAE8EB2"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01" w:type="pct"/>
          </w:tcPr>
          <w:p w14:paraId="22A52C17" w14:textId="4F6F4FA8" w:rsidR="00CF6968" w:rsidRPr="00F83DA8" w:rsidRDefault="00CF6968" w:rsidP="0089220B">
            <w:pPr>
              <w:pStyle w:val="TOSM"/>
              <w:jc w:val="both"/>
              <w:rPr>
                <w:color w:val="000000" w:themeColor="text1"/>
              </w:rPr>
            </w:pPr>
            <w:r w:rsidRPr="00F83DA8">
              <w:rPr>
                <w:color w:val="000000" w:themeColor="text1"/>
              </w:rPr>
              <w:t>Where the constitution of a company imposes a prescribed foreign shareholding limit, the company may restrict certain entitlements with respect to shares that have exceeded the prescribed limit</w:t>
            </w:r>
            <w:r w:rsidRPr="00F83DA8">
              <w:rPr>
                <w:color w:val="000000" w:themeColor="text1"/>
                <w:vertAlign w:val="superscript"/>
              </w:rPr>
              <w:footnoteReference w:id="4"/>
            </w:r>
            <w:r w:rsidRPr="00F83DA8">
              <w:rPr>
                <w:color w:val="000000" w:themeColor="text1"/>
              </w:rPr>
              <w:t xml:space="preserve"> (excess shares).</w:t>
            </w:r>
          </w:p>
        </w:tc>
      </w:tr>
      <w:tr w:rsidR="00CF6968" w:rsidRPr="00F83DA8" w14:paraId="2651EC6D" w14:textId="77777777" w:rsidTr="00267405">
        <w:tc>
          <w:tcPr>
            <w:tcW w:w="298" w:type="pct"/>
          </w:tcPr>
          <w:p w14:paraId="51FB1449" w14:textId="77777777" w:rsidR="00CF6968" w:rsidRPr="00F83DA8" w:rsidRDefault="00CF6968" w:rsidP="0089220B">
            <w:pPr>
              <w:spacing w:after="120"/>
              <w:rPr>
                <w:rFonts w:cs="Arial"/>
                <w:color w:val="000000" w:themeColor="text1"/>
                <w:szCs w:val="20"/>
              </w:rPr>
            </w:pPr>
          </w:p>
        </w:tc>
        <w:tc>
          <w:tcPr>
            <w:tcW w:w="1498" w:type="pct"/>
          </w:tcPr>
          <w:p w14:paraId="28462630"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Existing Measures</w:t>
            </w:r>
          </w:p>
        </w:tc>
        <w:tc>
          <w:tcPr>
            <w:tcW w:w="203" w:type="pct"/>
          </w:tcPr>
          <w:p w14:paraId="2633C7F8"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w:t>
            </w:r>
          </w:p>
        </w:tc>
        <w:tc>
          <w:tcPr>
            <w:tcW w:w="3001" w:type="pct"/>
          </w:tcPr>
          <w:p w14:paraId="2B8B4857" w14:textId="77777777" w:rsidR="00CF6968" w:rsidRPr="00F83DA8" w:rsidRDefault="00CF6968" w:rsidP="0089220B">
            <w:pPr>
              <w:pStyle w:val="TOSM"/>
              <w:jc w:val="both"/>
              <w:rPr>
                <w:color w:val="000000" w:themeColor="text1"/>
              </w:rPr>
            </w:pPr>
            <w:r w:rsidRPr="0027032F">
              <w:rPr>
                <w:i/>
                <w:color w:val="000000" w:themeColor="text1"/>
              </w:rPr>
              <w:t>Companies Act 2016</w:t>
            </w:r>
            <w:r w:rsidRPr="00F83DA8">
              <w:rPr>
                <w:color w:val="000000" w:themeColor="text1"/>
              </w:rPr>
              <w:t xml:space="preserve"> [Act 777]</w:t>
            </w:r>
          </w:p>
          <w:p w14:paraId="196303E1" w14:textId="77777777" w:rsidR="00CF6968" w:rsidRPr="00F83DA8" w:rsidRDefault="00CF6968" w:rsidP="0089220B">
            <w:pPr>
              <w:pStyle w:val="TOSM"/>
              <w:jc w:val="both"/>
              <w:rPr>
                <w:color w:val="000000" w:themeColor="text1"/>
              </w:rPr>
            </w:pPr>
            <w:r w:rsidRPr="0027032F">
              <w:rPr>
                <w:i/>
                <w:color w:val="000000" w:themeColor="text1"/>
              </w:rPr>
              <w:t xml:space="preserve">Securities Industry (Central Depositories) Act 1991 </w:t>
            </w:r>
            <w:r w:rsidRPr="00F83DA8">
              <w:rPr>
                <w:color w:val="000000" w:themeColor="text1"/>
              </w:rPr>
              <w:t>[Act 453]</w:t>
            </w:r>
          </w:p>
          <w:p w14:paraId="06989327" w14:textId="77777777" w:rsidR="00CF6968" w:rsidRPr="00F83DA8" w:rsidRDefault="00CF6968" w:rsidP="0089220B">
            <w:pPr>
              <w:pStyle w:val="TOSM"/>
              <w:jc w:val="both"/>
              <w:rPr>
                <w:color w:val="000000" w:themeColor="text1"/>
              </w:rPr>
            </w:pPr>
            <w:r w:rsidRPr="0027032F">
              <w:rPr>
                <w:i/>
                <w:color w:val="000000" w:themeColor="text1"/>
              </w:rPr>
              <w:t>Securities Industry (Central Depositories) (Foreign Ownership) Regulations 1996</w:t>
            </w:r>
            <w:r w:rsidRPr="00F83DA8">
              <w:rPr>
                <w:color w:val="000000" w:themeColor="text1"/>
              </w:rPr>
              <w:t xml:space="preserve"> [P.U.(A) 513/96]</w:t>
            </w:r>
          </w:p>
        </w:tc>
      </w:tr>
    </w:tbl>
    <w:p w14:paraId="6D968C7F" w14:textId="77777777" w:rsidR="00CF6968" w:rsidRPr="00F83DA8" w:rsidRDefault="00CF6968" w:rsidP="0089220B">
      <w:pPr>
        <w:pStyle w:val="TOSM"/>
        <w:rPr>
          <w:color w:val="000000" w:themeColor="text1"/>
        </w:rPr>
      </w:pPr>
      <w:r w:rsidRPr="00F83DA8">
        <w:rPr>
          <w:color w:val="000000" w:themeColor="text1"/>
        </w:rPr>
        <w:br w:type="page"/>
      </w:r>
    </w:p>
    <w:tbl>
      <w:tblPr>
        <w:tblW w:w="4948"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1"/>
        <w:gridCol w:w="2282"/>
        <w:gridCol w:w="309"/>
        <w:gridCol w:w="4458"/>
      </w:tblGrid>
      <w:tr w:rsidR="00F83DA8" w:rsidRPr="00F83DA8" w14:paraId="232EEC58" w14:textId="77777777" w:rsidTr="00267405">
        <w:tc>
          <w:tcPr>
            <w:tcW w:w="301" w:type="pct"/>
          </w:tcPr>
          <w:p w14:paraId="5AD5F6DA" w14:textId="77777777" w:rsidR="00CF6968" w:rsidRPr="00F83DA8" w:rsidRDefault="00CF6968" w:rsidP="0089220B">
            <w:pPr>
              <w:numPr>
                <w:ilvl w:val="0"/>
                <w:numId w:val="5"/>
              </w:numPr>
              <w:spacing w:after="120"/>
              <w:rPr>
                <w:rFonts w:cs="Arial"/>
                <w:snapToGrid w:val="0"/>
                <w:color w:val="000000" w:themeColor="text1"/>
                <w:szCs w:val="20"/>
              </w:rPr>
            </w:pPr>
          </w:p>
        </w:tc>
        <w:tc>
          <w:tcPr>
            <w:tcW w:w="1521" w:type="pct"/>
          </w:tcPr>
          <w:p w14:paraId="5D6BF265" w14:textId="77777777" w:rsidR="00CF6968" w:rsidRPr="00F83DA8" w:rsidRDefault="00CF6968" w:rsidP="0089220B">
            <w:pPr>
              <w:spacing w:after="120"/>
              <w:rPr>
                <w:rFonts w:cs="Arial"/>
                <w:color w:val="000000" w:themeColor="text1"/>
                <w:szCs w:val="20"/>
              </w:rPr>
            </w:pPr>
            <w:r w:rsidRPr="00F83DA8">
              <w:rPr>
                <w:rFonts w:cs="Arial"/>
                <w:snapToGrid w:val="0"/>
                <w:color w:val="000000" w:themeColor="text1"/>
                <w:szCs w:val="20"/>
              </w:rPr>
              <w:t>Sector</w:t>
            </w:r>
          </w:p>
        </w:tc>
        <w:tc>
          <w:tcPr>
            <w:tcW w:w="206" w:type="pct"/>
          </w:tcPr>
          <w:p w14:paraId="113EE76F"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2971" w:type="pct"/>
          </w:tcPr>
          <w:p w14:paraId="35413F87" w14:textId="77777777" w:rsidR="00CF6968" w:rsidRPr="00F83DA8" w:rsidRDefault="00CF6968" w:rsidP="0089220B">
            <w:pPr>
              <w:spacing w:after="120"/>
              <w:jc w:val="both"/>
              <w:rPr>
                <w:rFonts w:cs="Arial"/>
                <w:snapToGrid w:val="0"/>
                <w:color w:val="000000" w:themeColor="text1"/>
                <w:szCs w:val="20"/>
              </w:rPr>
            </w:pPr>
            <w:r w:rsidRPr="00F83DA8">
              <w:rPr>
                <w:rFonts w:cs="Arial"/>
                <w:snapToGrid w:val="0"/>
                <w:color w:val="000000" w:themeColor="text1"/>
                <w:szCs w:val="20"/>
              </w:rPr>
              <w:t>All sectors</w:t>
            </w:r>
          </w:p>
        </w:tc>
      </w:tr>
      <w:tr w:rsidR="00F83DA8" w:rsidRPr="00F83DA8" w14:paraId="3DF929A4" w14:textId="77777777" w:rsidTr="00267405">
        <w:tc>
          <w:tcPr>
            <w:tcW w:w="301" w:type="pct"/>
          </w:tcPr>
          <w:p w14:paraId="5A2DBEB0" w14:textId="77777777" w:rsidR="00CF6968" w:rsidRPr="00F83DA8" w:rsidRDefault="00CF6968" w:rsidP="0089220B">
            <w:pPr>
              <w:spacing w:after="120"/>
              <w:rPr>
                <w:rFonts w:cs="Arial"/>
                <w:color w:val="000000" w:themeColor="text1"/>
                <w:szCs w:val="20"/>
              </w:rPr>
            </w:pPr>
          </w:p>
        </w:tc>
        <w:tc>
          <w:tcPr>
            <w:tcW w:w="1521" w:type="pct"/>
          </w:tcPr>
          <w:p w14:paraId="27F95429"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Subsector</w:t>
            </w:r>
          </w:p>
        </w:tc>
        <w:tc>
          <w:tcPr>
            <w:tcW w:w="206" w:type="pct"/>
          </w:tcPr>
          <w:p w14:paraId="231E63CA"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2971" w:type="pct"/>
          </w:tcPr>
          <w:p w14:paraId="5FE70D61" w14:textId="77777777" w:rsidR="00CF6968" w:rsidRPr="00F83DA8" w:rsidRDefault="00CF6968" w:rsidP="0089220B">
            <w:pPr>
              <w:spacing w:after="120"/>
              <w:rPr>
                <w:rFonts w:cs="Arial"/>
                <w:color w:val="000000" w:themeColor="text1"/>
              </w:rPr>
            </w:pPr>
            <w:r w:rsidRPr="00F83DA8">
              <w:rPr>
                <w:rFonts w:cs="Arial"/>
                <w:color w:val="000000" w:themeColor="text1"/>
              </w:rPr>
              <w:t>-</w:t>
            </w:r>
          </w:p>
        </w:tc>
      </w:tr>
      <w:tr w:rsidR="00F83DA8" w:rsidRPr="00F83DA8" w14:paraId="077EF197" w14:textId="77777777" w:rsidTr="00267405">
        <w:tc>
          <w:tcPr>
            <w:tcW w:w="301" w:type="pct"/>
          </w:tcPr>
          <w:p w14:paraId="1ABF4588" w14:textId="77777777" w:rsidR="0094426F" w:rsidRPr="00F83DA8" w:rsidRDefault="0094426F" w:rsidP="0089220B">
            <w:pPr>
              <w:spacing w:after="120"/>
              <w:rPr>
                <w:rFonts w:cs="Arial"/>
                <w:color w:val="000000" w:themeColor="text1"/>
                <w:szCs w:val="20"/>
              </w:rPr>
            </w:pPr>
          </w:p>
        </w:tc>
        <w:tc>
          <w:tcPr>
            <w:tcW w:w="1521" w:type="pct"/>
          </w:tcPr>
          <w:p w14:paraId="36DB3ACA" w14:textId="77777777" w:rsidR="0094426F" w:rsidRPr="00F83DA8" w:rsidRDefault="0094426F" w:rsidP="0089220B">
            <w:pPr>
              <w:spacing w:after="120"/>
              <w:rPr>
                <w:rFonts w:cs="Arial"/>
                <w:snapToGrid w:val="0"/>
                <w:color w:val="000000" w:themeColor="text1"/>
                <w:szCs w:val="20"/>
              </w:rPr>
            </w:pPr>
            <w:r w:rsidRPr="00F83DA8">
              <w:rPr>
                <w:rFonts w:cs="Arial"/>
                <w:snapToGrid w:val="0"/>
                <w:color w:val="000000" w:themeColor="text1"/>
                <w:szCs w:val="20"/>
              </w:rPr>
              <w:t>Obligations Concerned</w:t>
            </w:r>
          </w:p>
        </w:tc>
        <w:tc>
          <w:tcPr>
            <w:tcW w:w="206" w:type="pct"/>
          </w:tcPr>
          <w:p w14:paraId="136B1CB2" w14:textId="77777777" w:rsidR="0094426F" w:rsidRPr="00F83DA8" w:rsidRDefault="0094426F"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2971" w:type="pct"/>
          </w:tcPr>
          <w:p w14:paraId="0F388CD1" w14:textId="53C7342E" w:rsidR="0094426F" w:rsidRPr="00F83DA8" w:rsidRDefault="0094426F" w:rsidP="0089220B">
            <w:pPr>
              <w:pStyle w:val="TOSM"/>
              <w:jc w:val="both"/>
              <w:rPr>
                <w:strike/>
                <w:color w:val="000000" w:themeColor="text1"/>
              </w:rPr>
            </w:pPr>
            <w:r w:rsidRPr="00F83DA8">
              <w:rPr>
                <w:color w:val="000000" w:themeColor="text1"/>
              </w:rPr>
              <w:t xml:space="preserve">National Treatment </w:t>
            </w:r>
          </w:p>
        </w:tc>
      </w:tr>
      <w:tr w:rsidR="00F83DA8" w:rsidRPr="00F83DA8" w14:paraId="6CA4B926" w14:textId="77777777" w:rsidTr="00267405">
        <w:tc>
          <w:tcPr>
            <w:tcW w:w="301" w:type="pct"/>
          </w:tcPr>
          <w:p w14:paraId="2C06E228" w14:textId="77777777" w:rsidR="00CF6968" w:rsidRPr="00F83DA8" w:rsidRDefault="00CF6968" w:rsidP="0089220B">
            <w:pPr>
              <w:spacing w:after="120"/>
              <w:rPr>
                <w:rFonts w:cs="Arial"/>
                <w:snapToGrid w:val="0"/>
                <w:color w:val="000000" w:themeColor="text1"/>
                <w:szCs w:val="20"/>
              </w:rPr>
            </w:pPr>
          </w:p>
        </w:tc>
        <w:tc>
          <w:tcPr>
            <w:tcW w:w="1521" w:type="pct"/>
          </w:tcPr>
          <w:p w14:paraId="1F1EEA21"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Description</w:t>
            </w:r>
          </w:p>
        </w:tc>
        <w:tc>
          <w:tcPr>
            <w:tcW w:w="206" w:type="pct"/>
          </w:tcPr>
          <w:p w14:paraId="0008C66A"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2971" w:type="pct"/>
          </w:tcPr>
          <w:p w14:paraId="6BB07C7D" w14:textId="77777777" w:rsidR="00CF6968" w:rsidRPr="00F83DA8" w:rsidRDefault="00CF6968" w:rsidP="0089220B">
            <w:pPr>
              <w:pStyle w:val="TOSM"/>
              <w:jc w:val="both"/>
              <w:rPr>
                <w:color w:val="000000" w:themeColor="text1"/>
              </w:rPr>
            </w:pPr>
            <w:r w:rsidRPr="00F83DA8">
              <w:rPr>
                <w:color w:val="000000" w:themeColor="text1"/>
              </w:rPr>
              <w:t>Malaysia reserves the right to adopt or maintain any measure with respect to securities to be listed or listed on a stock exchange, and any matter relating to the acquisition of interests or take-overs and mergers.</w:t>
            </w:r>
          </w:p>
        </w:tc>
      </w:tr>
      <w:tr w:rsidR="00CF6968" w:rsidRPr="00F83DA8" w14:paraId="14B7B44F" w14:textId="77777777" w:rsidTr="00267405">
        <w:tc>
          <w:tcPr>
            <w:tcW w:w="301" w:type="pct"/>
          </w:tcPr>
          <w:p w14:paraId="065FEA75" w14:textId="77777777" w:rsidR="00CF6968" w:rsidRPr="00F83DA8" w:rsidRDefault="00CF6968" w:rsidP="0089220B">
            <w:pPr>
              <w:spacing w:after="120"/>
              <w:rPr>
                <w:rFonts w:cs="Arial"/>
                <w:color w:val="000000" w:themeColor="text1"/>
                <w:szCs w:val="20"/>
              </w:rPr>
            </w:pPr>
          </w:p>
        </w:tc>
        <w:tc>
          <w:tcPr>
            <w:tcW w:w="1521" w:type="pct"/>
          </w:tcPr>
          <w:p w14:paraId="28B24387"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Existing Measures</w:t>
            </w:r>
          </w:p>
        </w:tc>
        <w:tc>
          <w:tcPr>
            <w:tcW w:w="206" w:type="pct"/>
          </w:tcPr>
          <w:p w14:paraId="59D54E49"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w:t>
            </w:r>
          </w:p>
        </w:tc>
        <w:tc>
          <w:tcPr>
            <w:tcW w:w="2971" w:type="pct"/>
          </w:tcPr>
          <w:p w14:paraId="672921DB" w14:textId="77777777" w:rsidR="00CF6968" w:rsidRPr="00F83DA8" w:rsidRDefault="00CF6968" w:rsidP="0089220B">
            <w:pPr>
              <w:pStyle w:val="TOSM"/>
              <w:jc w:val="both"/>
              <w:rPr>
                <w:color w:val="000000" w:themeColor="text1"/>
              </w:rPr>
            </w:pPr>
            <w:r w:rsidRPr="0027032F">
              <w:rPr>
                <w:i/>
                <w:color w:val="000000" w:themeColor="text1"/>
              </w:rPr>
              <w:t>Capital Market and Services Act 2007</w:t>
            </w:r>
            <w:r w:rsidRPr="00F83DA8">
              <w:rPr>
                <w:color w:val="000000" w:themeColor="text1"/>
              </w:rPr>
              <w:t xml:space="preserve"> [Act 671]</w:t>
            </w:r>
          </w:p>
          <w:p w14:paraId="3004B882" w14:textId="77777777" w:rsidR="00CF6968" w:rsidRPr="00F83DA8" w:rsidRDefault="00CF6968" w:rsidP="0089220B">
            <w:pPr>
              <w:pStyle w:val="TOSM"/>
              <w:jc w:val="both"/>
              <w:rPr>
                <w:color w:val="000000" w:themeColor="text1"/>
              </w:rPr>
            </w:pPr>
            <w:r w:rsidRPr="0027032F">
              <w:rPr>
                <w:i/>
                <w:color w:val="000000" w:themeColor="text1"/>
              </w:rPr>
              <w:t>Companies Act 2016</w:t>
            </w:r>
            <w:r w:rsidRPr="00F83DA8">
              <w:rPr>
                <w:color w:val="000000" w:themeColor="text1"/>
              </w:rPr>
              <w:t xml:space="preserve"> [Act 777]</w:t>
            </w:r>
          </w:p>
          <w:p w14:paraId="390D0174" w14:textId="77777777" w:rsidR="00CF6968" w:rsidRPr="00F83DA8" w:rsidRDefault="00CF6968" w:rsidP="0089220B">
            <w:pPr>
              <w:pStyle w:val="TOSM"/>
              <w:jc w:val="both"/>
              <w:rPr>
                <w:color w:val="000000" w:themeColor="text1"/>
              </w:rPr>
            </w:pPr>
            <w:r w:rsidRPr="0027032F">
              <w:rPr>
                <w:i/>
                <w:color w:val="000000" w:themeColor="text1"/>
              </w:rPr>
              <w:t>Financial Services Act 2013</w:t>
            </w:r>
            <w:r w:rsidRPr="00F83DA8">
              <w:rPr>
                <w:color w:val="000000" w:themeColor="text1"/>
              </w:rPr>
              <w:t xml:space="preserve"> [Act 758]</w:t>
            </w:r>
          </w:p>
          <w:p w14:paraId="391C383C" w14:textId="77777777" w:rsidR="00CF6968" w:rsidRDefault="00CF6968" w:rsidP="0089220B">
            <w:pPr>
              <w:pStyle w:val="TOSM"/>
              <w:jc w:val="both"/>
              <w:rPr>
                <w:color w:val="000000" w:themeColor="text1"/>
              </w:rPr>
            </w:pPr>
            <w:r w:rsidRPr="0027032F">
              <w:rPr>
                <w:i/>
                <w:color w:val="000000" w:themeColor="text1"/>
              </w:rPr>
              <w:t>Islamic Financial Services Act 2013</w:t>
            </w:r>
            <w:r w:rsidRPr="00F83DA8">
              <w:rPr>
                <w:color w:val="000000" w:themeColor="text1"/>
              </w:rPr>
              <w:t xml:space="preserve"> [Act 759]</w:t>
            </w:r>
          </w:p>
          <w:p w14:paraId="6F13C010" w14:textId="77777777" w:rsidR="00D45277" w:rsidRPr="00F83DA8" w:rsidRDefault="00D45277" w:rsidP="00D45277">
            <w:pPr>
              <w:pStyle w:val="TOSM"/>
              <w:jc w:val="both"/>
              <w:rPr>
                <w:color w:val="000000" w:themeColor="text1"/>
              </w:rPr>
            </w:pPr>
            <w:r w:rsidRPr="00F83DA8">
              <w:rPr>
                <w:color w:val="000000" w:themeColor="text1"/>
              </w:rPr>
              <w:t>The Malaysian Code on Take-overs and Mergers 2016</w:t>
            </w:r>
          </w:p>
          <w:p w14:paraId="42FD9130" w14:textId="54075A33" w:rsidR="00D45277" w:rsidRPr="00F83DA8" w:rsidRDefault="00D45277" w:rsidP="0089220B">
            <w:pPr>
              <w:pStyle w:val="TOSM"/>
              <w:jc w:val="both"/>
              <w:rPr>
                <w:color w:val="000000" w:themeColor="text1"/>
              </w:rPr>
            </w:pPr>
          </w:p>
        </w:tc>
      </w:tr>
    </w:tbl>
    <w:p w14:paraId="4885BB6A" w14:textId="77777777" w:rsidR="00CF6968" w:rsidRPr="00F83DA8" w:rsidRDefault="00CF6968" w:rsidP="0089220B">
      <w:pPr>
        <w:pStyle w:val="TOSM"/>
        <w:rPr>
          <w:color w:val="000000" w:themeColor="text1"/>
        </w:rPr>
      </w:pPr>
      <w:r w:rsidRPr="00F83DA8">
        <w:rPr>
          <w:color w:val="000000" w:themeColor="text1"/>
        </w:rPr>
        <w:br w:type="page"/>
      </w:r>
    </w:p>
    <w:tbl>
      <w:tblPr>
        <w:tblW w:w="4948"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1"/>
        <w:gridCol w:w="2282"/>
        <w:gridCol w:w="309"/>
        <w:gridCol w:w="4458"/>
      </w:tblGrid>
      <w:tr w:rsidR="00F83DA8" w:rsidRPr="00F83DA8" w14:paraId="1784FDCB" w14:textId="77777777" w:rsidTr="00267405">
        <w:tc>
          <w:tcPr>
            <w:tcW w:w="301" w:type="pct"/>
          </w:tcPr>
          <w:p w14:paraId="6A89BB1B" w14:textId="77777777" w:rsidR="00CF6968" w:rsidRPr="00F83DA8" w:rsidRDefault="00CF6968" w:rsidP="0089220B">
            <w:pPr>
              <w:numPr>
                <w:ilvl w:val="0"/>
                <w:numId w:val="5"/>
              </w:numPr>
              <w:spacing w:after="120"/>
              <w:rPr>
                <w:rFonts w:cs="Arial"/>
                <w:snapToGrid w:val="0"/>
                <w:color w:val="000000" w:themeColor="text1"/>
                <w:szCs w:val="20"/>
              </w:rPr>
            </w:pPr>
          </w:p>
        </w:tc>
        <w:tc>
          <w:tcPr>
            <w:tcW w:w="1521" w:type="pct"/>
          </w:tcPr>
          <w:p w14:paraId="40DBD8B2" w14:textId="77777777" w:rsidR="00CF6968" w:rsidRPr="00F83DA8" w:rsidRDefault="00CF6968" w:rsidP="0089220B">
            <w:pPr>
              <w:spacing w:after="120"/>
              <w:rPr>
                <w:rFonts w:cs="Arial"/>
                <w:color w:val="000000" w:themeColor="text1"/>
                <w:szCs w:val="20"/>
              </w:rPr>
            </w:pPr>
            <w:r w:rsidRPr="00F83DA8">
              <w:rPr>
                <w:rFonts w:cs="Arial"/>
                <w:snapToGrid w:val="0"/>
                <w:color w:val="000000" w:themeColor="text1"/>
                <w:szCs w:val="20"/>
              </w:rPr>
              <w:t>Sector</w:t>
            </w:r>
          </w:p>
        </w:tc>
        <w:tc>
          <w:tcPr>
            <w:tcW w:w="206" w:type="pct"/>
          </w:tcPr>
          <w:p w14:paraId="4D14EEFE"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2971" w:type="pct"/>
          </w:tcPr>
          <w:p w14:paraId="3721674E" w14:textId="77777777" w:rsidR="00CF6968" w:rsidRPr="00F83DA8" w:rsidRDefault="00CF6968" w:rsidP="0089220B">
            <w:pPr>
              <w:spacing w:after="120"/>
              <w:jc w:val="both"/>
              <w:rPr>
                <w:rFonts w:cs="Arial"/>
                <w:snapToGrid w:val="0"/>
                <w:color w:val="000000" w:themeColor="text1"/>
                <w:szCs w:val="20"/>
              </w:rPr>
            </w:pPr>
            <w:r w:rsidRPr="00F83DA8">
              <w:rPr>
                <w:rFonts w:cs="Arial"/>
                <w:snapToGrid w:val="0"/>
                <w:color w:val="000000" w:themeColor="text1"/>
                <w:szCs w:val="20"/>
              </w:rPr>
              <w:t>All sectors</w:t>
            </w:r>
          </w:p>
        </w:tc>
      </w:tr>
      <w:tr w:rsidR="00F83DA8" w:rsidRPr="00F83DA8" w14:paraId="5F0609E7" w14:textId="77777777" w:rsidTr="00267405">
        <w:tc>
          <w:tcPr>
            <w:tcW w:w="301" w:type="pct"/>
          </w:tcPr>
          <w:p w14:paraId="64092225" w14:textId="77777777" w:rsidR="00CF6968" w:rsidRPr="00F83DA8" w:rsidRDefault="00CF6968" w:rsidP="0089220B">
            <w:pPr>
              <w:spacing w:after="120"/>
              <w:rPr>
                <w:rFonts w:cs="Arial"/>
                <w:color w:val="000000" w:themeColor="text1"/>
                <w:szCs w:val="20"/>
              </w:rPr>
            </w:pPr>
          </w:p>
        </w:tc>
        <w:tc>
          <w:tcPr>
            <w:tcW w:w="1521" w:type="pct"/>
          </w:tcPr>
          <w:p w14:paraId="4D6FD7A2"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Subsector</w:t>
            </w:r>
          </w:p>
        </w:tc>
        <w:tc>
          <w:tcPr>
            <w:tcW w:w="206" w:type="pct"/>
          </w:tcPr>
          <w:p w14:paraId="56B034CC"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2971" w:type="pct"/>
          </w:tcPr>
          <w:p w14:paraId="40E652DF" w14:textId="77777777" w:rsidR="00CF6968" w:rsidRPr="00F83DA8" w:rsidRDefault="00CF6968" w:rsidP="0089220B">
            <w:pPr>
              <w:spacing w:after="120"/>
              <w:rPr>
                <w:rFonts w:cs="Arial"/>
                <w:color w:val="000000" w:themeColor="text1"/>
              </w:rPr>
            </w:pPr>
            <w:r w:rsidRPr="00F83DA8">
              <w:rPr>
                <w:rFonts w:cs="Arial"/>
                <w:color w:val="000000" w:themeColor="text1"/>
              </w:rPr>
              <w:t>-</w:t>
            </w:r>
          </w:p>
        </w:tc>
      </w:tr>
      <w:tr w:rsidR="00F83DA8" w:rsidRPr="00F83DA8" w14:paraId="00FA165E" w14:textId="77777777" w:rsidTr="00267405">
        <w:tc>
          <w:tcPr>
            <w:tcW w:w="301" w:type="pct"/>
          </w:tcPr>
          <w:p w14:paraId="05B6DB68" w14:textId="77777777" w:rsidR="00CF6968" w:rsidRPr="00F83DA8" w:rsidRDefault="00CF6968" w:rsidP="0089220B">
            <w:pPr>
              <w:spacing w:after="120"/>
              <w:rPr>
                <w:rFonts w:cs="Arial"/>
                <w:color w:val="000000" w:themeColor="text1"/>
                <w:szCs w:val="20"/>
              </w:rPr>
            </w:pPr>
          </w:p>
        </w:tc>
        <w:tc>
          <w:tcPr>
            <w:tcW w:w="1521" w:type="pct"/>
          </w:tcPr>
          <w:p w14:paraId="530BDB41"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Obligations Concerned</w:t>
            </w:r>
          </w:p>
        </w:tc>
        <w:tc>
          <w:tcPr>
            <w:tcW w:w="206" w:type="pct"/>
          </w:tcPr>
          <w:p w14:paraId="08E7287B"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2971" w:type="pct"/>
          </w:tcPr>
          <w:p w14:paraId="27089E53" w14:textId="100FE977" w:rsidR="00CF6968" w:rsidRPr="00F83DA8" w:rsidRDefault="00CF6968" w:rsidP="0089220B">
            <w:pPr>
              <w:pStyle w:val="TOSM"/>
              <w:jc w:val="both"/>
              <w:rPr>
                <w:color w:val="000000" w:themeColor="text1"/>
              </w:rPr>
            </w:pPr>
            <w:r w:rsidRPr="00F83DA8">
              <w:rPr>
                <w:color w:val="000000" w:themeColor="text1"/>
              </w:rPr>
              <w:t xml:space="preserve">National Treatment </w:t>
            </w:r>
          </w:p>
          <w:p w14:paraId="435EC0F6" w14:textId="77777777" w:rsidR="00D45277" w:rsidRDefault="00CF6968" w:rsidP="0089220B">
            <w:pPr>
              <w:pStyle w:val="TOSM"/>
              <w:jc w:val="both"/>
              <w:rPr>
                <w:color w:val="000000" w:themeColor="text1"/>
              </w:rPr>
            </w:pPr>
            <w:r w:rsidRPr="00F83DA8">
              <w:rPr>
                <w:color w:val="000000" w:themeColor="text1"/>
              </w:rPr>
              <w:t>Most-</w:t>
            </w:r>
            <w:proofErr w:type="spellStart"/>
            <w:r w:rsidRPr="00F83DA8">
              <w:rPr>
                <w:color w:val="000000" w:themeColor="text1"/>
              </w:rPr>
              <w:t>Favoured</w:t>
            </w:r>
            <w:proofErr w:type="spellEnd"/>
            <w:r w:rsidRPr="00F83DA8">
              <w:rPr>
                <w:color w:val="000000" w:themeColor="text1"/>
              </w:rPr>
              <w:t xml:space="preserve">-Nation Treatment </w:t>
            </w:r>
          </w:p>
          <w:p w14:paraId="13641158" w14:textId="63BC2184" w:rsidR="00CF6968" w:rsidRPr="00F83DA8" w:rsidRDefault="00CF6968" w:rsidP="0089220B">
            <w:pPr>
              <w:pStyle w:val="TOSM"/>
              <w:jc w:val="both"/>
              <w:rPr>
                <w:color w:val="000000" w:themeColor="text1"/>
              </w:rPr>
            </w:pPr>
            <w:r w:rsidRPr="00F83DA8">
              <w:rPr>
                <w:color w:val="000000" w:themeColor="text1"/>
              </w:rPr>
              <w:t xml:space="preserve">Senior Management and Board of Directors </w:t>
            </w:r>
          </w:p>
        </w:tc>
      </w:tr>
      <w:tr w:rsidR="00F83DA8" w:rsidRPr="00F83DA8" w14:paraId="7F357A4D" w14:textId="77777777" w:rsidTr="00267405">
        <w:tc>
          <w:tcPr>
            <w:tcW w:w="301" w:type="pct"/>
          </w:tcPr>
          <w:p w14:paraId="1538CCDF" w14:textId="77777777" w:rsidR="00CF6968" w:rsidRPr="00F83DA8" w:rsidRDefault="00CF6968" w:rsidP="0089220B">
            <w:pPr>
              <w:spacing w:after="120"/>
              <w:rPr>
                <w:rFonts w:cs="Arial"/>
                <w:snapToGrid w:val="0"/>
                <w:color w:val="000000" w:themeColor="text1"/>
                <w:szCs w:val="20"/>
              </w:rPr>
            </w:pPr>
          </w:p>
        </w:tc>
        <w:tc>
          <w:tcPr>
            <w:tcW w:w="1521" w:type="pct"/>
          </w:tcPr>
          <w:p w14:paraId="3F184DBF"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Description</w:t>
            </w:r>
          </w:p>
        </w:tc>
        <w:tc>
          <w:tcPr>
            <w:tcW w:w="206" w:type="pct"/>
          </w:tcPr>
          <w:p w14:paraId="226B6959"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2971" w:type="pct"/>
          </w:tcPr>
          <w:p w14:paraId="0DB54C1C" w14:textId="77777777" w:rsidR="00CF6968" w:rsidRPr="00F83DA8" w:rsidRDefault="00CF6968" w:rsidP="0089220B">
            <w:pPr>
              <w:pStyle w:val="TOSM"/>
              <w:jc w:val="both"/>
              <w:rPr>
                <w:color w:val="000000" w:themeColor="text1"/>
              </w:rPr>
            </w:pPr>
            <w:r w:rsidRPr="00F83DA8">
              <w:rPr>
                <w:color w:val="000000" w:themeColor="text1"/>
              </w:rPr>
              <w:t>Malaysia reserves the right to adopt or maintain any measure relating to employment of expatriates.</w:t>
            </w:r>
          </w:p>
        </w:tc>
      </w:tr>
      <w:tr w:rsidR="00CF6968" w:rsidRPr="00F83DA8" w14:paraId="0215A730" w14:textId="77777777" w:rsidTr="00267405">
        <w:tc>
          <w:tcPr>
            <w:tcW w:w="301" w:type="pct"/>
          </w:tcPr>
          <w:p w14:paraId="41A1DBA7" w14:textId="77777777" w:rsidR="00CF6968" w:rsidRPr="00F83DA8" w:rsidRDefault="00CF6968" w:rsidP="0089220B">
            <w:pPr>
              <w:spacing w:after="120"/>
              <w:rPr>
                <w:rFonts w:cs="Arial"/>
                <w:color w:val="000000" w:themeColor="text1"/>
                <w:szCs w:val="20"/>
              </w:rPr>
            </w:pPr>
          </w:p>
        </w:tc>
        <w:tc>
          <w:tcPr>
            <w:tcW w:w="1521" w:type="pct"/>
          </w:tcPr>
          <w:p w14:paraId="79745CEC"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Existing Measures</w:t>
            </w:r>
          </w:p>
        </w:tc>
        <w:tc>
          <w:tcPr>
            <w:tcW w:w="206" w:type="pct"/>
          </w:tcPr>
          <w:p w14:paraId="001DBFFA"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w:t>
            </w:r>
          </w:p>
        </w:tc>
        <w:tc>
          <w:tcPr>
            <w:tcW w:w="2971" w:type="pct"/>
          </w:tcPr>
          <w:p w14:paraId="105A7F36" w14:textId="77777777" w:rsidR="00CF6968" w:rsidRPr="00F83DA8" w:rsidRDefault="00CF6968" w:rsidP="0089220B">
            <w:pPr>
              <w:pStyle w:val="TOSM"/>
              <w:jc w:val="both"/>
              <w:rPr>
                <w:color w:val="000000" w:themeColor="text1"/>
              </w:rPr>
            </w:pPr>
            <w:r w:rsidRPr="0027032F">
              <w:rPr>
                <w:i/>
                <w:color w:val="000000" w:themeColor="text1"/>
              </w:rPr>
              <w:t>Immigration Act 1959/63</w:t>
            </w:r>
            <w:r w:rsidRPr="00F83DA8">
              <w:rPr>
                <w:color w:val="000000" w:themeColor="text1"/>
              </w:rPr>
              <w:t xml:space="preserve"> [Act 155]</w:t>
            </w:r>
          </w:p>
          <w:p w14:paraId="7ACF0698" w14:textId="77777777" w:rsidR="00CF6968" w:rsidRPr="00F83DA8" w:rsidRDefault="00CF6968" w:rsidP="0089220B">
            <w:pPr>
              <w:pStyle w:val="TOSM"/>
              <w:jc w:val="both"/>
              <w:rPr>
                <w:color w:val="000000" w:themeColor="text1"/>
              </w:rPr>
            </w:pPr>
            <w:r w:rsidRPr="0027032F">
              <w:rPr>
                <w:i/>
                <w:color w:val="000000" w:themeColor="text1"/>
              </w:rPr>
              <w:t xml:space="preserve">Employment (Restriction) Act 1968 (Revised 2017) </w:t>
            </w:r>
            <w:r w:rsidRPr="00F83DA8">
              <w:rPr>
                <w:color w:val="000000" w:themeColor="text1"/>
              </w:rPr>
              <w:t>[Act 796]</w:t>
            </w:r>
          </w:p>
          <w:p w14:paraId="733CE477" w14:textId="77777777" w:rsidR="00CF6968" w:rsidRPr="00F83DA8" w:rsidRDefault="00CF6968" w:rsidP="0089220B">
            <w:pPr>
              <w:pStyle w:val="TOSM"/>
              <w:jc w:val="both"/>
              <w:rPr>
                <w:color w:val="000000" w:themeColor="text1"/>
              </w:rPr>
            </w:pPr>
            <w:r w:rsidRPr="00F83DA8">
              <w:rPr>
                <w:color w:val="000000" w:themeColor="text1"/>
              </w:rPr>
              <w:t>Policies and Ministerial Statements</w:t>
            </w:r>
          </w:p>
        </w:tc>
      </w:tr>
    </w:tbl>
    <w:p w14:paraId="1F80FF2E" w14:textId="77777777" w:rsidR="00CF6968" w:rsidRPr="00F83DA8" w:rsidRDefault="00CF6968" w:rsidP="0089220B">
      <w:pPr>
        <w:pStyle w:val="TOSM"/>
        <w:rPr>
          <w:color w:val="000000" w:themeColor="text1"/>
        </w:rPr>
      </w:pPr>
      <w:r w:rsidRPr="00F83DA8">
        <w:rPr>
          <w:color w:val="000000" w:themeColor="text1"/>
        </w:rPr>
        <w:br w:type="page"/>
      </w:r>
    </w:p>
    <w:tbl>
      <w:tblPr>
        <w:tblW w:w="4948"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6"/>
        <w:gridCol w:w="2163"/>
        <w:gridCol w:w="309"/>
        <w:gridCol w:w="4572"/>
      </w:tblGrid>
      <w:tr w:rsidR="00F83DA8" w:rsidRPr="00F83DA8" w14:paraId="2005F680" w14:textId="77777777" w:rsidTr="00502987">
        <w:tc>
          <w:tcPr>
            <w:tcW w:w="304" w:type="pct"/>
          </w:tcPr>
          <w:p w14:paraId="1874D6C0" w14:textId="77777777" w:rsidR="00CF6968" w:rsidRPr="00F83DA8" w:rsidRDefault="00CF6968" w:rsidP="0089220B">
            <w:pPr>
              <w:numPr>
                <w:ilvl w:val="0"/>
                <w:numId w:val="5"/>
              </w:numPr>
              <w:spacing w:after="120"/>
              <w:rPr>
                <w:rFonts w:cs="Arial"/>
                <w:snapToGrid w:val="0"/>
                <w:color w:val="000000" w:themeColor="text1"/>
                <w:szCs w:val="20"/>
              </w:rPr>
            </w:pPr>
          </w:p>
        </w:tc>
        <w:tc>
          <w:tcPr>
            <w:tcW w:w="1442" w:type="pct"/>
          </w:tcPr>
          <w:p w14:paraId="555F5160" w14:textId="77777777" w:rsidR="00CF6968" w:rsidRPr="00F83DA8" w:rsidRDefault="00CF6968" w:rsidP="0089220B">
            <w:pPr>
              <w:spacing w:after="120"/>
              <w:rPr>
                <w:rFonts w:cs="Arial"/>
                <w:color w:val="000000" w:themeColor="text1"/>
                <w:szCs w:val="20"/>
              </w:rPr>
            </w:pPr>
            <w:r w:rsidRPr="00F83DA8">
              <w:rPr>
                <w:rFonts w:cs="Arial"/>
                <w:snapToGrid w:val="0"/>
                <w:color w:val="000000" w:themeColor="text1"/>
                <w:szCs w:val="20"/>
              </w:rPr>
              <w:t>Sector</w:t>
            </w:r>
          </w:p>
        </w:tc>
        <w:tc>
          <w:tcPr>
            <w:tcW w:w="206" w:type="pct"/>
          </w:tcPr>
          <w:p w14:paraId="44C1B09C"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48" w:type="pct"/>
          </w:tcPr>
          <w:p w14:paraId="55A11741" w14:textId="77777777" w:rsidR="00CF6968" w:rsidRPr="00F83DA8" w:rsidRDefault="00CF6968" w:rsidP="0089220B">
            <w:pPr>
              <w:spacing w:after="120"/>
              <w:jc w:val="both"/>
              <w:rPr>
                <w:rFonts w:cs="Arial"/>
                <w:snapToGrid w:val="0"/>
                <w:color w:val="000000" w:themeColor="text1"/>
                <w:szCs w:val="20"/>
              </w:rPr>
            </w:pPr>
            <w:r w:rsidRPr="00F83DA8">
              <w:rPr>
                <w:rFonts w:cs="Arial"/>
                <w:snapToGrid w:val="0"/>
                <w:color w:val="000000" w:themeColor="text1"/>
                <w:szCs w:val="20"/>
              </w:rPr>
              <w:t>All sectors</w:t>
            </w:r>
          </w:p>
        </w:tc>
      </w:tr>
      <w:tr w:rsidR="00F83DA8" w:rsidRPr="00F83DA8" w14:paraId="6554B757" w14:textId="77777777" w:rsidTr="00502987">
        <w:tc>
          <w:tcPr>
            <w:tcW w:w="304" w:type="pct"/>
          </w:tcPr>
          <w:p w14:paraId="1FCE56D5" w14:textId="77777777" w:rsidR="00CF6968" w:rsidRPr="00F83DA8" w:rsidRDefault="00CF6968" w:rsidP="0089220B">
            <w:pPr>
              <w:spacing w:after="120"/>
              <w:rPr>
                <w:rFonts w:cs="Arial"/>
                <w:color w:val="000000" w:themeColor="text1"/>
                <w:szCs w:val="20"/>
              </w:rPr>
            </w:pPr>
          </w:p>
        </w:tc>
        <w:tc>
          <w:tcPr>
            <w:tcW w:w="1442" w:type="pct"/>
          </w:tcPr>
          <w:p w14:paraId="49E5E40C"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Subsector</w:t>
            </w:r>
          </w:p>
        </w:tc>
        <w:tc>
          <w:tcPr>
            <w:tcW w:w="206" w:type="pct"/>
          </w:tcPr>
          <w:p w14:paraId="136A82D1"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48" w:type="pct"/>
          </w:tcPr>
          <w:p w14:paraId="78295953" w14:textId="77777777" w:rsidR="00CF6968" w:rsidRPr="00F83DA8" w:rsidRDefault="00CF6968" w:rsidP="0089220B">
            <w:pPr>
              <w:spacing w:after="120"/>
              <w:rPr>
                <w:rFonts w:cs="Arial"/>
                <w:color w:val="000000" w:themeColor="text1"/>
              </w:rPr>
            </w:pPr>
            <w:r w:rsidRPr="00F83DA8">
              <w:rPr>
                <w:rFonts w:cs="Arial"/>
                <w:color w:val="000000" w:themeColor="text1"/>
              </w:rPr>
              <w:t>-</w:t>
            </w:r>
          </w:p>
        </w:tc>
      </w:tr>
      <w:tr w:rsidR="00F83DA8" w:rsidRPr="00F83DA8" w14:paraId="78A0FF6C" w14:textId="77777777" w:rsidTr="00502987">
        <w:tc>
          <w:tcPr>
            <w:tcW w:w="304" w:type="pct"/>
          </w:tcPr>
          <w:p w14:paraId="7E0A7DE9" w14:textId="77777777" w:rsidR="0094426F" w:rsidRPr="00F83DA8" w:rsidRDefault="0094426F" w:rsidP="0089220B">
            <w:pPr>
              <w:spacing w:after="120"/>
              <w:rPr>
                <w:rFonts w:cs="Arial"/>
                <w:color w:val="000000" w:themeColor="text1"/>
                <w:szCs w:val="20"/>
              </w:rPr>
            </w:pPr>
          </w:p>
        </w:tc>
        <w:tc>
          <w:tcPr>
            <w:tcW w:w="1442" w:type="pct"/>
          </w:tcPr>
          <w:p w14:paraId="738D56C4" w14:textId="77777777" w:rsidR="0094426F" w:rsidRPr="00F83DA8" w:rsidRDefault="0094426F" w:rsidP="0089220B">
            <w:pPr>
              <w:spacing w:after="120"/>
              <w:rPr>
                <w:rFonts w:cs="Arial"/>
                <w:snapToGrid w:val="0"/>
                <w:color w:val="000000" w:themeColor="text1"/>
                <w:szCs w:val="20"/>
              </w:rPr>
            </w:pPr>
            <w:r w:rsidRPr="00F83DA8">
              <w:rPr>
                <w:rFonts w:cs="Arial"/>
                <w:snapToGrid w:val="0"/>
                <w:color w:val="000000" w:themeColor="text1"/>
                <w:szCs w:val="20"/>
              </w:rPr>
              <w:t>Obligations Concerned</w:t>
            </w:r>
          </w:p>
        </w:tc>
        <w:tc>
          <w:tcPr>
            <w:tcW w:w="206" w:type="pct"/>
          </w:tcPr>
          <w:p w14:paraId="1046989D" w14:textId="77777777" w:rsidR="0094426F" w:rsidRPr="00F83DA8" w:rsidRDefault="0094426F"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48" w:type="pct"/>
          </w:tcPr>
          <w:p w14:paraId="3EA660F7" w14:textId="73513B76" w:rsidR="0094426F" w:rsidRPr="00F83DA8" w:rsidRDefault="0094426F" w:rsidP="0089220B">
            <w:pPr>
              <w:pStyle w:val="TOSM"/>
              <w:jc w:val="both"/>
              <w:rPr>
                <w:color w:val="000000" w:themeColor="text1"/>
              </w:rPr>
            </w:pPr>
            <w:r w:rsidRPr="00F83DA8">
              <w:rPr>
                <w:color w:val="000000" w:themeColor="text1"/>
              </w:rPr>
              <w:t xml:space="preserve">National Treatment </w:t>
            </w:r>
          </w:p>
          <w:p w14:paraId="0FE2B10F" w14:textId="222E1330" w:rsidR="0094426F" w:rsidRPr="00F83DA8" w:rsidRDefault="0094426F" w:rsidP="0089220B">
            <w:pPr>
              <w:pStyle w:val="TOSM"/>
              <w:jc w:val="both"/>
              <w:rPr>
                <w:color w:val="000000" w:themeColor="text1"/>
              </w:rPr>
            </w:pPr>
            <w:r w:rsidRPr="00F83DA8">
              <w:rPr>
                <w:color w:val="000000" w:themeColor="text1"/>
              </w:rPr>
              <w:t>Most-</w:t>
            </w:r>
            <w:proofErr w:type="spellStart"/>
            <w:r w:rsidRPr="00F83DA8">
              <w:rPr>
                <w:color w:val="000000" w:themeColor="text1"/>
              </w:rPr>
              <w:t>Favoured</w:t>
            </w:r>
            <w:proofErr w:type="spellEnd"/>
            <w:r w:rsidRPr="00F83DA8">
              <w:rPr>
                <w:color w:val="000000" w:themeColor="text1"/>
              </w:rPr>
              <w:t xml:space="preserve">-Nation Treatment </w:t>
            </w:r>
          </w:p>
          <w:p w14:paraId="1F201003" w14:textId="44728C13" w:rsidR="00F96E6C" w:rsidRPr="00F83DA8" w:rsidRDefault="00F96E6C" w:rsidP="0089220B">
            <w:pPr>
              <w:pStyle w:val="TOSM"/>
              <w:jc w:val="both"/>
              <w:rPr>
                <w:color w:val="000000" w:themeColor="text1"/>
              </w:rPr>
            </w:pPr>
            <w:r w:rsidRPr="00F83DA8">
              <w:rPr>
                <w:color w:val="000000" w:themeColor="text1"/>
              </w:rPr>
              <w:t xml:space="preserve">Senior Management and Board of Directors </w:t>
            </w:r>
          </w:p>
          <w:p w14:paraId="4F6BE0EF" w14:textId="003DFF76" w:rsidR="0094426F" w:rsidRPr="00F83DA8" w:rsidRDefault="0094426F" w:rsidP="0089220B">
            <w:pPr>
              <w:pStyle w:val="TOSM"/>
              <w:jc w:val="both"/>
              <w:rPr>
                <w:color w:val="000000" w:themeColor="text1"/>
              </w:rPr>
            </w:pPr>
            <w:r w:rsidRPr="00F83DA8">
              <w:rPr>
                <w:color w:val="000000" w:themeColor="text1"/>
              </w:rPr>
              <w:t xml:space="preserve">Prohibition of Performance Requirements </w:t>
            </w:r>
          </w:p>
        </w:tc>
      </w:tr>
      <w:tr w:rsidR="00F83DA8" w:rsidRPr="00F83DA8" w14:paraId="4BE8786C" w14:textId="77777777" w:rsidTr="00502987">
        <w:tc>
          <w:tcPr>
            <w:tcW w:w="304" w:type="pct"/>
          </w:tcPr>
          <w:p w14:paraId="5373C0D4" w14:textId="77777777" w:rsidR="00CF6968" w:rsidRPr="00F83DA8" w:rsidRDefault="00CF6968" w:rsidP="0089220B">
            <w:pPr>
              <w:spacing w:after="120"/>
              <w:rPr>
                <w:rFonts w:cs="Arial"/>
                <w:snapToGrid w:val="0"/>
                <w:color w:val="000000" w:themeColor="text1"/>
                <w:szCs w:val="20"/>
              </w:rPr>
            </w:pPr>
          </w:p>
        </w:tc>
        <w:tc>
          <w:tcPr>
            <w:tcW w:w="1442" w:type="pct"/>
          </w:tcPr>
          <w:p w14:paraId="1AB962C1"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Description</w:t>
            </w:r>
          </w:p>
        </w:tc>
        <w:tc>
          <w:tcPr>
            <w:tcW w:w="206" w:type="pct"/>
          </w:tcPr>
          <w:p w14:paraId="550E4281"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48" w:type="pct"/>
          </w:tcPr>
          <w:p w14:paraId="1F1A3824" w14:textId="77777777" w:rsidR="00CF6968" w:rsidRPr="00F83DA8" w:rsidRDefault="00CF6968" w:rsidP="0089220B">
            <w:pPr>
              <w:pStyle w:val="DM"/>
              <w:spacing w:after="120"/>
              <w:jc w:val="both"/>
              <w:rPr>
                <w:strike/>
                <w:color w:val="000000" w:themeColor="text1"/>
              </w:rPr>
            </w:pPr>
            <w:r w:rsidRPr="00F83DA8">
              <w:rPr>
                <w:color w:val="000000" w:themeColor="text1"/>
              </w:rPr>
              <w:t>Malaysia reserves the right to adopt or maintain any measure relating to activities restricted to designated juridical persons</w:t>
            </w:r>
            <w:r w:rsidRPr="00F83DA8">
              <w:rPr>
                <w:rStyle w:val="FootnoteReference"/>
                <w:color w:val="000000" w:themeColor="text1"/>
              </w:rPr>
              <w:footnoteReference w:id="5"/>
            </w:r>
            <w:r w:rsidRPr="00F83DA8">
              <w:rPr>
                <w:color w:val="000000" w:themeColor="text1"/>
              </w:rPr>
              <w:t xml:space="preserve"> where such activities are liberalised to those other than the designated juridical persons, or in the event where such designated juridical persons no longer operate on a non-commercial basis.</w:t>
            </w:r>
          </w:p>
        </w:tc>
      </w:tr>
      <w:tr w:rsidR="00CF6968" w:rsidRPr="00F83DA8" w14:paraId="1D2E07DA" w14:textId="77777777" w:rsidTr="00502987">
        <w:tc>
          <w:tcPr>
            <w:tcW w:w="304" w:type="pct"/>
          </w:tcPr>
          <w:p w14:paraId="30609BAE" w14:textId="77777777" w:rsidR="00CF6968" w:rsidRPr="00F83DA8" w:rsidRDefault="00CF6968" w:rsidP="0089220B">
            <w:pPr>
              <w:spacing w:after="120"/>
              <w:rPr>
                <w:rFonts w:cs="Arial"/>
                <w:color w:val="000000" w:themeColor="text1"/>
                <w:szCs w:val="20"/>
              </w:rPr>
            </w:pPr>
          </w:p>
        </w:tc>
        <w:tc>
          <w:tcPr>
            <w:tcW w:w="1442" w:type="pct"/>
          </w:tcPr>
          <w:p w14:paraId="054130E4"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Existing Measures</w:t>
            </w:r>
          </w:p>
        </w:tc>
        <w:tc>
          <w:tcPr>
            <w:tcW w:w="206" w:type="pct"/>
          </w:tcPr>
          <w:p w14:paraId="30FD43AA"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w:t>
            </w:r>
          </w:p>
        </w:tc>
        <w:tc>
          <w:tcPr>
            <w:tcW w:w="3048" w:type="pct"/>
          </w:tcPr>
          <w:p w14:paraId="7F19AA5E" w14:textId="77777777" w:rsidR="00CF6968" w:rsidRPr="00F83DA8" w:rsidRDefault="00CF6968" w:rsidP="0089220B">
            <w:pPr>
              <w:pStyle w:val="TOSM"/>
              <w:jc w:val="both"/>
              <w:rPr>
                <w:color w:val="000000" w:themeColor="text1"/>
              </w:rPr>
            </w:pPr>
            <w:r w:rsidRPr="0027032F">
              <w:rPr>
                <w:i/>
                <w:color w:val="000000" w:themeColor="text1"/>
              </w:rPr>
              <w:t>Industrial Co-ordination Act 1975</w:t>
            </w:r>
            <w:r w:rsidRPr="00F83DA8">
              <w:rPr>
                <w:color w:val="000000" w:themeColor="text1"/>
              </w:rPr>
              <w:t xml:space="preserve"> [Act 156]</w:t>
            </w:r>
          </w:p>
          <w:p w14:paraId="16A9E1A5" w14:textId="77777777" w:rsidR="00CF6968" w:rsidRPr="00F83DA8" w:rsidRDefault="00CF6968" w:rsidP="0089220B">
            <w:pPr>
              <w:pStyle w:val="TOSM"/>
              <w:jc w:val="both"/>
              <w:rPr>
                <w:color w:val="000000" w:themeColor="text1"/>
              </w:rPr>
            </w:pPr>
            <w:r w:rsidRPr="00F83DA8">
              <w:rPr>
                <w:color w:val="000000" w:themeColor="text1"/>
              </w:rPr>
              <w:t>Policies and Ministerial Statements</w:t>
            </w:r>
          </w:p>
          <w:p w14:paraId="0E423669" w14:textId="77777777" w:rsidR="00CF6968" w:rsidRPr="00F83DA8" w:rsidRDefault="00CF6968" w:rsidP="0089220B">
            <w:pPr>
              <w:pStyle w:val="TOSM"/>
              <w:jc w:val="both"/>
              <w:rPr>
                <w:color w:val="000000" w:themeColor="text1"/>
              </w:rPr>
            </w:pPr>
            <w:r w:rsidRPr="00F83DA8">
              <w:rPr>
                <w:color w:val="000000" w:themeColor="text1"/>
              </w:rPr>
              <w:t>Administrative Guidelines</w:t>
            </w:r>
          </w:p>
        </w:tc>
      </w:tr>
    </w:tbl>
    <w:p w14:paraId="09F00865" w14:textId="77777777" w:rsidR="00CF6968" w:rsidRPr="00F83DA8" w:rsidRDefault="00CF6968" w:rsidP="0089220B">
      <w:pPr>
        <w:spacing w:after="120"/>
        <w:rPr>
          <w:rFonts w:cs="Arial"/>
          <w:color w:val="000000" w:themeColor="text1"/>
          <w:szCs w:val="20"/>
        </w:rPr>
      </w:pPr>
    </w:p>
    <w:p w14:paraId="587EC822" w14:textId="77777777" w:rsidR="00CF6968" w:rsidRPr="00F83DA8" w:rsidRDefault="00CF6968" w:rsidP="0089220B">
      <w:pPr>
        <w:pStyle w:val="TOSM"/>
        <w:rPr>
          <w:color w:val="000000" w:themeColor="text1"/>
        </w:rPr>
      </w:pPr>
      <w:r w:rsidRPr="00F83DA8">
        <w:rPr>
          <w:color w:val="000000" w:themeColor="text1"/>
        </w:rPr>
        <w:br w:type="page"/>
      </w:r>
    </w:p>
    <w:p w14:paraId="12D09818" w14:textId="77777777" w:rsidR="00CF6968" w:rsidRPr="00F83DA8" w:rsidRDefault="00CF6968" w:rsidP="0089220B">
      <w:pPr>
        <w:pStyle w:val="TOSM"/>
        <w:rPr>
          <w:color w:val="000000" w:themeColor="text1"/>
        </w:rPr>
      </w:pPr>
    </w:p>
    <w:tbl>
      <w:tblPr>
        <w:tblW w:w="4948"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5"/>
        <w:gridCol w:w="2042"/>
        <w:gridCol w:w="311"/>
        <w:gridCol w:w="4692"/>
      </w:tblGrid>
      <w:tr w:rsidR="00F83DA8" w:rsidRPr="00F83DA8" w14:paraId="4CD55EFD" w14:textId="77777777" w:rsidTr="0094426F">
        <w:tc>
          <w:tcPr>
            <w:tcW w:w="304" w:type="pct"/>
          </w:tcPr>
          <w:p w14:paraId="67679F17" w14:textId="77777777" w:rsidR="00CF6968" w:rsidRPr="00F83DA8" w:rsidRDefault="00CF6968" w:rsidP="0089220B">
            <w:pPr>
              <w:numPr>
                <w:ilvl w:val="0"/>
                <w:numId w:val="5"/>
              </w:numPr>
              <w:spacing w:after="120"/>
              <w:rPr>
                <w:rFonts w:cs="Arial"/>
                <w:snapToGrid w:val="0"/>
                <w:color w:val="000000" w:themeColor="text1"/>
                <w:szCs w:val="20"/>
              </w:rPr>
            </w:pPr>
          </w:p>
        </w:tc>
        <w:tc>
          <w:tcPr>
            <w:tcW w:w="1361" w:type="pct"/>
          </w:tcPr>
          <w:p w14:paraId="0D4F3569" w14:textId="77777777" w:rsidR="00CF6968" w:rsidRPr="00F83DA8" w:rsidRDefault="00CF6968" w:rsidP="0089220B">
            <w:pPr>
              <w:spacing w:after="120"/>
              <w:rPr>
                <w:rFonts w:cs="Arial"/>
                <w:color w:val="000000" w:themeColor="text1"/>
                <w:szCs w:val="20"/>
              </w:rPr>
            </w:pPr>
            <w:r w:rsidRPr="00F83DA8">
              <w:rPr>
                <w:rFonts w:cs="Arial"/>
                <w:snapToGrid w:val="0"/>
                <w:color w:val="000000" w:themeColor="text1"/>
                <w:szCs w:val="20"/>
              </w:rPr>
              <w:t>Sector</w:t>
            </w:r>
          </w:p>
        </w:tc>
        <w:tc>
          <w:tcPr>
            <w:tcW w:w="207" w:type="pct"/>
          </w:tcPr>
          <w:p w14:paraId="32C0C0E1"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129" w:type="pct"/>
          </w:tcPr>
          <w:p w14:paraId="27B4595F" w14:textId="77777777" w:rsidR="00CF6968" w:rsidRPr="00F83DA8" w:rsidRDefault="00CF6968" w:rsidP="0089220B">
            <w:pPr>
              <w:spacing w:after="120"/>
              <w:jc w:val="both"/>
              <w:rPr>
                <w:rFonts w:cs="Arial"/>
                <w:snapToGrid w:val="0"/>
                <w:color w:val="000000" w:themeColor="text1"/>
                <w:szCs w:val="20"/>
              </w:rPr>
            </w:pPr>
            <w:r w:rsidRPr="00F83DA8">
              <w:rPr>
                <w:rFonts w:cs="Arial"/>
                <w:snapToGrid w:val="0"/>
                <w:color w:val="000000" w:themeColor="text1"/>
                <w:szCs w:val="20"/>
              </w:rPr>
              <w:t>All sectors</w:t>
            </w:r>
          </w:p>
        </w:tc>
      </w:tr>
      <w:tr w:rsidR="00F83DA8" w:rsidRPr="00F83DA8" w14:paraId="61095B43" w14:textId="77777777" w:rsidTr="0094426F">
        <w:tc>
          <w:tcPr>
            <w:tcW w:w="304" w:type="pct"/>
          </w:tcPr>
          <w:p w14:paraId="30A9E2B5" w14:textId="77777777" w:rsidR="00CF6968" w:rsidRPr="00F83DA8" w:rsidRDefault="00CF6968" w:rsidP="0089220B">
            <w:pPr>
              <w:spacing w:after="120"/>
              <w:rPr>
                <w:rFonts w:cs="Arial"/>
                <w:color w:val="000000" w:themeColor="text1"/>
                <w:szCs w:val="20"/>
              </w:rPr>
            </w:pPr>
          </w:p>
        </w:tc>
        <w:tc>
          <w:tcPr>
            <w:tcW w:w="1361" w:type="pct"/>
          </w:tcPr>
          <w:p w14:paraId="006B0895"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Subsector</w:t>
            </w:r>
          </w:p>
        </w:tc>
        <w:tc>
          <w:tcPr>
            <w:tcW w:w="207" w:type="pct"/>
          </w:tcPr>
          <w:p w14:paraId="2534F2E7"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129" w:type="pct"/>
          </w:tcPr>
          <w:p w14:paraId="7B57594A" w14:textId="77777777" w:rsidR="00CF6968" w:rsidRPr="00F83DA8" w:rsidRDefault="00CF6968" w:rsidP="0089220B">
            <w:pPr>
              <w:spacing w:after="120"/>
              <w:rPr>
                <w:rFonts w:cs="Arial"/>
                <w:color w:val="000000" w:themeColor="text1"/>
              </w:rPr>
            </w:pPr>
            <w:r w:rsidRPr="00F83DA8">
              <w:rPr>
                <w:rFonts w:cs="Arial"/>
                <w:color w:val="000000" w:themeColor="text1"/>
              </w:rPr>
              <w:t>-</w:t>
            </w:r>
          </w:p>
        </w:tc>
      </w:tr>
      <w:tr w:rsidR="00F83DA8" w:rsidRPr="00F83DA8" w14:paraId="78F04C1B" w14:textId="77777777" w:rsidTr="0094426F">
        <w:tc>
          <w:tcPr>
            <w:tcW w:w="304" w:type="pct"/>
          </w:tcPr>
          <w:p w14:paraId="3EFF06CF" w14:textId="77777777" w:rsidR="0094426F" w:rsidRPr="00F83DA8" w:rsidRDefault="0094426F" w:rsidP="0089220B">
            <w:pPr>
              <w:spacing w:after="120"/>
              <w:rPr>
                <w:rFonts w:cs="Arial"/>
                <w:color w:val="000000" w:themeColor="text1"/>
                <w:szCs w:val="20"/>
              </w:rPr>
            </w:pPr>
          </w:p>
        </w:tc>
        <w:tc>
          <w:tcPr>
            <w:tcW w:w="1361" w:type="pct"/>
          </w:tcPr>
          <w:p w14:paraId="58B51B80" w14:textId="77777777" w:rsidR="0094426F" w:rsidRPr="00F83DA8" w:rsidRDefault="0094426F" w:rsidP="0089220B">
            <w:pPr>
              <w:spacing w:after="120"/>
              <w:rPr>
                <w:rFonts w:cs="Arial"/>
                <w:snapToGrid w:val="0"/>
                <w:color w:val="000000" w:themeColor="text1"/>
                <w:szCs w:val="20"/>
              </w:rPr>
            </w:pPr>
            <w:r w:rsidRPr="00F83DA8">
              <w:rPr>
                <w:rFonts w:cs="Arial"/>
                <w:snapToGrid w:val="0"/>
                <w:color w:val="000000" w:themeColor="text1"/>
                <w:szCs w:val="20"/>
              </w:rPr>
              <w:t>Obligations Concerned</w:t>
            </w:r>
          </w:p>
        </w:tc>
        <w:tc>
          <w:tcPr>
            <w:tcW w:w="207" w:type="pct"/>
          </w:tcPr>
          <w:p w14:paraId="36ECD158" w14:textId="77777777" w:rsidR="0094426F" w:rsidRPr="00F83DA8" w:rsidRDefault="0094426F"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129" w:type="pct"/>
          </w:tcPr>
          <w:p w14:paraId="32D8C821" w14:textId="71469016" w:rsidR="0094426F" w:rsidRPr="00F83DA8" w:rsidRDefault="0094426F" w:rsidP="0089220B">
            <w:pPr>
              <w:pStyle w:val="TOSM"/>
              <w:jc w:val="both"/>
              <w:rPr>
                <w:color w:val="000000" w:themeColor="text1"/>
              </w:rPr>
            </w:pPr>
            <w:r w:rsidRPr="00F83DA8">
              <w:rPr>
                <w:color w:val="000000" w:themeColor="text1"/>
              </w:rPr>
              <w:t xml:space="preserve">National Treatment </w:t>
            </w:r>
          </w:p>
          <w:p w14:paraId="4182643E" w14:textId="23F0F625" w:rsidR="0094426F" w:rsidRPr="00F83DA8" w:rsidRDefault="0094426F" w:rsidP="0089220B">
            <w:pPr>
              <w:pStyle w:val="TOSM"/>
              <w:jc w:val="both"/>
              <w:rPr>
                <w:color w:val="000000" w:themeColor="text1"/>
              </w:rPr>
            </w:pPr>
            <w:r w:rsidRPr="00F83DA8">
              <w:rPr>
                <w:color w:val="000000" w:themeColor="text1"/>
              </w:rPr>
              <w:t>Most-</w:t>
            </w:r>
            <w:proofErr w:type="spellStart"/>
            <w:r w:rsidRPr="00F83DA8">
              <w:rPr>
                <w:color w:val="000000" w:themeColor="text1"/>
              </w:rPr>
              <w:t>Favoured</w:t>
            </w:r>
            <w:proofErr w:type="spellEnd"/>
            <w:r w:rsidRPr="00F83DA8">
              <w:rPr>
                <w:color w:val="000000" w:themeColor="text1"/>
              </w:rPr>
              <w:t xml:space="preserve">-Nation Treatment </w:t>
            </w:r>
          </w:p>
          <w:p w14:paraId="68B15465" w14:textId="7B527527" w:rsidR="00F96E6C" w:rsidRPr="00F83DA8" w:rsidRDefault="00F96E6C" w:rsidP="0089220B">
            <w:pPr>
              <w:pStyle w:val="TOSM"/>
              <w:jc w:val="both"/>
              <w:rPr>
                <w:color w:val="000000" w:themeColor="text1"/>
              </w:rPr>
            </w:pPr>
            <w:r w:rsidRPr="00F83DA8">
              <w:rPr>
                <w:color w:val="000000" w:themeColor="text1"/>
              </w:rPr>
              <w:t xml:space="preserve">Senior Management and Board of Directors </w:t>
            </w:r>
          </w:p>
          <w:p w14:paraId="6E70D034" w14:textId="0E9471DD" w:rsidR="0094426F" w:rsidRPr="00F83DA8" w:rsidRDefault="0094426F" w:rsidP="0089220B">
            <w:pPr>
              <w:pStyle w:val="TOSM"/>
              <w:jc w:val="both"/>
              <w:rPr>
                <w:color w:val="000000" w:themeColor="text1"/>
              </w:rPr>
            </w:pPr>
            <w:r w:rsidRPr="00F83DA8">
              <w:rPr>
                <w:color w:val="000000" w:themeColor="text1"/>
              </w:rPr>
              <w:t xml:space="preserve">Prohibition of Performance Requirements </w:t>
            </w:r>
          </w:p>
        </w:tc>
      </w:tr>
      <w:tr w:rsidR="00F83DA8" w:rsidRPr="00F83DA8" w14:paraId="531ECC82" w14:textId="77777777" w:rsidTr="0094426F">
        <w:tc>
          <w:tcPr>
            <w:tcW w:w="304" w:type="pct"/>
          </w:tcPr>
          <w:p w14:paraId="35A49355" w14:textId="77777777" w:rsidR="00CF6968" w:rsidRPr="00F83DA8" w:rsidRDefault="00CF6968" w:rsidP="0089220B">
            <w:pPr>
              <w:spacing w:after="120"/>
              <w:rPr>
                <w:rFonts w:cs="Arial"/>
                <w:snapToGrid w:val="0"/>
                <w:color w:val="000000" w:themeColor="text1"/>
                <w:szCs w:val="20"/>
              </w:rPr>
            </w:pPr>
          </w:p>
        </w:tc>
        <w:tc>
          <w:tcPr>
            <w:tcW w:w="1361" w:type="pct"/>
          </w:tcPr>
          <w:p w14:paraId="05B4F089"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Description</w:t>
            </w:r>
          </w:p>
        </w:tc>
        <w:tc>
          <w:tcPr>
            <w:tcW w:w="207" w:type="pct"/>
          </w:tcPr>
          <w:p w14:paraId="097C6448"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129" w:type="pct"/>
          </w:tcPr>
          <w:p w14:paraId="041FCD97" w14:textId="313ADCBA" w:rsidR="00CF6968" w:rsidRPr="00F83DA8" w:rsidRDefault="00CF6968" w:rsidP="0089220B">
            <w:pPr>
              <w:pStyle w:val="TOSM"/>
              <w:jc w:val="both"/>
              <w:rPr>
                <w:color w:val="000000" w:themeColor="text1"/>
              </w:rPr>
            </w:pPr>
            <w:r w:rsidRPr="00F83DA8">
              <w:rPr>
                <w:color w:val="000000" w:themeColor="text1"/>
              </w:rPr>
              <w:t xml:space="preserve">Malaysia reserves the right to adopt or maintain any measure affecting the issuance of a license or permit. This may include conditions imposed, numerical limitations and non-issuance of </w:t>
            </w:r>
            <w:proofErr w:type="spellStart"/>
            <w:r w:rsidRPr="00F83DA8">
              <w:rPr>
                <w:color w:val="000000" w:themeColor="text1"/>
              </w:rPr>
              <w:t>licences</w:t>
            </w:r>
            <w:proofErr w:type="spellEnd"/>
            <w:r w:rsidRPr="00F83DA8">
              <w:rPr>
                <w:color w:val="000000" w:themeColor="text1"/>
              </w:rPr>
              <w:t>.</w:t>
            </w:r>
          </w:p>
        </w:tc>
      </w:tr>
      <w:tr w:rsidR="00CF6968" w:rsidRPr="00F83DA8" w14:paraId="2DD16EFE" w14:textId="77777777" w:rsidTr="0094426F">
        <w:tc>
          <w:tcPr>
            <w:tcW w:w="304" w:type="pct"/>
          </w:tcPr>
          <w:p w14:paraId="5F9868F9" w14:textId="77777777" w:rsidR="00CF6968" w:rsidRPr="00F83DA8" w:rsidRDefault="00CF6968" w:rsidP="0089220B">
            <w:pPr>
              <w:spacing w:after="120"/>
              <w:rPr>
                <w:rFonts w:cs="Arial"/>
                <w:color w:val="000000" w:themeColor="text1"/>
                <w:szCs w:val="20"/>
              </w:rPr>
            </w:pPr>
          </w:p>
        </w:tc>
        <w:tc>
          <w:tcPr>
            <w:tcW w:w="1361" w:type="pct"/>
          </w:tcPr>
          <w:p w14:paraId="74FFF8D0"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Existing Measures</w:t>
            </w:r>
          </w:p>
        </w:tc>
        <w:tc>
          <w:tcPr>
            <w:tcW w:w="207" w:type="pct"/>
          </w:tcPr>
          <w:p w14:paraId="1AF93408"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w:t>
            </w:r>
          </w:p>
        </w:tc>
        <w:tc>
          <w:tcPr>
            <w:tcW w:w="3129" w:type="pct"/>
          </w:tcPr>
          <w:p w14:paraId="780E7898" w14:textId="77777777" w:rsidR="00CF6968" w:rsidRPr="00F83DA8" w:rsidRDefault="00CF6968" w:rsidP="0089220B">
            <w:pPr>
              <w:pStyle w:val="TOSM"/>
              <w:jc w:val="both"/>
              <w:rPr>
                <w:color w:val="000000" w:themeColor="text1"/>
              </w:rPr>
            </w:pPr>
            <w:r w:rsidRPr="0027032F">
              <w:rPr>
                <w:i/>
                <w:color w:val="000000" w:themeColor="text1"/>
              </w:rPr>
              <w:t>Industrial Co-ordination Act 1975</w:t>
            </w:r>
            <w:r w:rsidRPr="00F83DA8">
              <w:rPr>
                <w:color w:val="000000" w:themeColor="text1"/>
              </w:rPr>
              <w:t xml:space="preserve"> [Act 156]</w:t>
            </w:r>
          </w:p>
          <w:p w14:paraId="5E354DBD" w14:textId="77777777" w:rsidR="00CF6968" w:rsidRPr="00F83DA8" w:rsidRDefault="00CF6968" w:rsidP="0089220B">
            <w:pPr>
              <w:pStyle w:val="TOSM"/>
              <w:jc w:val="both"/>
              <w:rPr>
                <w:color w:val="000000" w:themeColor="text1"/>
              </w:rPr>
            </w:pPr>
            <w:r w:rsidRPr="0027032F">
              <w:rPr>
                <w:i/>
                <w:color w:val="000000" w:themeColor="text1"/>
              </w:rPr>
              <w:t>Petroleum Development Act 1974</w:t>
            </w:r>
            <w:r w:rsidRPr="00F83DA8">
              <w:rPr>
                <w:color w:val="000000" w:themeColor="text1"/>
              </w:rPr>
              <w:t xml:space="preserve"> [Act 144]</w:t>
            </w:r>
          </w:p>
          <w:p w14:paraId="3DF42281" w14:textId="70621F41" w:rsidR="00CF6968" w:rsidRPr="0027032F" w:rsidRDefault="00CF6968" w:rsidP="0089220B">
            <w:pPr>
              <w:pStyle w:val="TOSM"/>
              <w:jc w:val="both"/>
              <w:rPr>
                <w:i/>
                <w:color w:val="000000" w:themeColor="text1"/>
              </w:rPr>
            </w:pPr>
            <w:r w:rsidRPr="0027032F">
              <w:rPr>
                <w:i/>
                <w:color w:val="000000" w:themeColor="text1"/>
              </w:rPr>
              <w:t>Customs Act 1967</w:t>
            </w:r>
            <w:r w:rsidR="00D45277">
              <w:rPr>
                <w:i/>
                <w:color w:val="000000" w:themeColor="text1"/>
              </w:rPr>
              <w:t xml:space="preserve"> (Revised 1980) </w:t>
            </w:r>
            <w:r w:rsidR="00D45277" w:rsidRPr="0027032F">
              <w:rPr>
                <w:color w:val="000000" w:themeColor="text1"/>
              </w:rPr>
              <w:t>[Act 235]</w:t>
            </w:r>
          </w:p>
          <w:p w14:paraId="59DC7658" w14:textId="77777777" w:rsidR="00CF6968" w:rsidRPr="00F83DA8" w:rsidRDefault="00CF6968" w:rsidP="0089220B">
            <w:pPr>
              <w:pStyle w:val="TOSM"/>
              <w:jc w:val="both"/>
              <w:rPr>
                <w:color w:val="000000" w:themeColor="text1"/>
              </w:rPr>
            </w:pPr>
            <w:r w:rsidRPr="00F83DA8">
              <w:rPr>
                <w:color w:val="000000" w:themeColor="text1"/>
              </w:rPr>
              <w:t>Customs Prohibition of Imports and Exports Orders</w:t>
            </w:r>
          </w:p>
          <w:p w14:paraId="1EACC33B" w14:textId="0AF35466" w:rsidR="00D45277" w:rsidRDefault="00D45277" w:rsidP="00D45277">
            <w:pPr>
              <w:pStyle w:val="TOSM"/>
              <w:jc w:val="both"/>
              <w:rPr>
                <w:color w:val="000000" w:themeColor="text1"/>
              </w:rPr>
            </w:pPr>
            <w:r w:rsidRPr="00F83DA8">
              <w:rPr>
                <w:color w:val="000000" w:themeColor="text1"/>
              </w:rPr>
              <w:t>Policies and Ministerial Statements</w:t>
            </w:r>
          </w:p>
          <w:p w14:paraId="79B4F2BE" w14:textId="036BEE1C" w:rsidR="00CF6968" w:rsidRPr="00F83DA8" w:rsidRDefault="00CF6968" w:rsidP="0089220B">
            <w:pPr>
              <w:pStyle w:val="TOSM"/>
              <w:jc w:val="both"/>
              <w:rPr>
                <w:color w:val="000000" w:themeColor="text1"/>
              </w:rPr>
            </w:pPr>
            <w:r w:rsidRPr="00F83DA8">
              <w:rPr>
                <w:color w:val="000000" w:themeColor="text1"/>
              </w:rPr>
              <w:t>Administrative Guidelines</w:t>
            </w:r>
            <w:r w:rsidR="00D45277" w:rsidRPr="00F83DA8">
              <w:rPr>
                <w:color w:val="000000" w:themeColor="text1"/>
              </w:rPr>
              <w:t xml:space="preserve"> </w:t>
            </w:r>
          </w:p>
        </w:tc>
      </w:tr>
    </w:tbl>
    <w:p w14:paraId="30F23840" w14:textId="77777777" w:rsidR="00CF6968" w:rsidRPr="00F83DA8" w:rsidRDefault="00CF6968" w:rsidP="0089220B">
      <w:pPr>
        <w:pStyle w:val="TOSM"/>
        <w:rPr>
          <w:color w:val="000000" w:themeColor="text1"/>
        </w:rPr>
      </w:pPr>
      <w:r w:rsidRPr="00F83DA8">
        <w:rPr>
          <w:color w:val="000000" w:themeColor="text1"/>
        </w:rPr>
        <w:br w:type="page"/>
      </w:r>
    </w:p>
    <w:tbl>
      <w:tblPr>
        <w:tblW w:w="4948"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1"/>
        <w:gridCol w:w="1925"/>
        <w:gridCol w:w="306"/>
        <w:gridCol w:w="4818"/>
      </w:tblGrid>
      <w:tr w:rsidR="00F83DA8" w:rsidRPr="00F83DA8" w14:paraId="60960A29" w14:textId="77777777" w:rsidTr="00267405">
        <w:tc>
          <w:tcPr>
            <w:tcW w:w="301" w:type="pct"/>
          </w:tcPr>
          <w:p w14:paraId="4C16BBFB" w14:textId="77777777" w:rsidR="00CF6968" w:rsidRPr="00F83DA8" w:rsidRDefault="00CF6968" w:rsidP="0089220B">
            <w:pPr>
              <w:numPr>
                <w:ilvl w:val="0"/>
                <w:numId w:val="5"/>
              </w:numPr>
              <w:spacing w:after="120"/>
              <w:rPr>
                <w:rFonts w:cs="Arial"/>
                <w:snapToGrid w:val="0"/>
                <w:color w:val="000000" w:themeColor="text1"/>
                <w:szCs w:val="20"/>
              </w:rPr>
            </w:pPr>
          </w:p>
        </w:tc>
        <w:tc>
          <w:tcPr>
            <w:tcW w:w="1283" w:type="pct"/>
          </w:tcPr>
          <w:p w14:paraId="1F367203" w14:textId="77777777" w:rsidR="00CF6968" w:rsidRPr="00F83DA8" w:rsidRDefault="00CF6968" w:rsidP="0089220B">
            <w:pPr>
              <w:spacing w:after="120"/>
              <w:rPr>
                <w:rFonts w:cs="Arial"/>
                <w:color w:val="000000" w:themeColor="text1"/>
                <w:szCs w:val="20"/>
              </w:rPr>
            </w:pPr>
            <w:r w:rsidRPr="00F83DA8">
              <w:rPr>
                <w:rFonts w:cs="Arial"/>
                <w:snapToGrid w:val="0"/>
                <w:color w:val="000000" w:themeColor="text1"/>
                <w:szCs w:val="20"/>
              </w:rPr>
              <w:t>Sector</w:t>
            </w:r>
          </w:p>
        </w:tc>
        <w:tc>
          <w:tcPr>
            <w:tcW w:w="204" w:type="pct"/>
          </w:tcPr>
          <w:p w14:paraId="06C0B12A"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211" w:type="pct"/>
          </w:tcPr>
          <w:p w14:paraId="29594418" w14:textId="77777777" w:rsidR="00CF6968" w:rsidRPr="00F83DA8" w:rsidRDefault="00CF6968" w:rsidP="0089220B">
            <w:pPr>
              <w:spacing w:after="120"/>
              <w:jc w:val="both"/>
              <w:rPr>
                <w:rFonts w:cs="Arial"/>
                <w:snapToGrid w:val="0"/>
                <w:color w:val="000000" w:themeColor="text1"/>
                <w:szCs w:val="20"/>
              </w:rPr>
            </w:pPr>
            <w:r w:rsidRPr="00F83DA8">
              <w:rPr>
                <w:rFonts w:cs="Arial"/>
                <w:snapToGrid w:val="0"/>
                <w:color w:val="000000" w:themeColor="text1"/>
                <w:szCs w:val="20"/>
              </w:rPr>
              <w:t>All sectors</w:t>
            </w:r>
          </w:p>
        </w:tc>
      </w:tr>
      <w:tr w:rsidR="00F83DA8" w:rsidRPr="00F83DA8" w14:paraId="3E0871A2" w14:textId="77777777" w:rsidTr="00267405">
        <w:tc>
          <w:tcPr>
            <w:tcW w:w="301" w:type="pct"/>
          </w:tcPr>
          <w:p w14:paraId="77109EA2" w14:textId="77777777" w:rsidR="00CF6968" w:rsidRPr="00F83DA8" w:rsidRDefault="00CF6968" w:rsidP="0089220B">
            <w:pPr>
              <w:spacing w:after="120"/>
              <w:rPr>
                <w:rFonts w:cs="Arial"/>
                <w:color w:val="000000" w:themeColor="text1"/>
                <w:szCs w:val="20"/>
              </w:rPr>
            </w:pPr>
          </w:p>
        </w:tc>
        <w:tc>
          <w:tcPr>
            <w:tcW w:w="1283" w:type="pct"/>
          </w:tcPr>
          <w:p w14:paraId="53A2A197"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Subsector</w:t>
            </w:r>
          </w:p>
        </w:tc>
        <w:tc>
          <w:tcPr>
            <w:tcW w:w="204" w:type="pct"/>
          </w:tcPr>
          <w:p w14:paraId="211DF7B2"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211" w:type="pct"/>
          </w:tcPr>
          <w:p w14:paraId="15B43957" w14:textId="77777777" w:rsidR="00CF6968" w:rsidRPr="00F83DA8" w:rsidRDefault="00CF6968" w:rsidP="0089220B">
            <w:pPr>
              <w:spacing w:after="120"/>
              <w:rPr>
                <w:rFonts w:cs="Arial"/>
                <w:color w:val="000000" w:themeColor="text1"/>
              </w:rPr>
            </w:pPr>
            <w:r w:rsidRPr="00F83DA8">
              <w:rPr>
                <w:rFonts w:cs="Arial"/>
                <w:color w:val="000000" w:themeColor="text1"/>
              </w:rPr>
              <w:t>-</w:t>
            </w:r>
          </w:p>
        </w:tc>
      </w:tr>
      <w:tr w:rsidR="00F83DA8" w:rsidRPr="00F83DA8" w14:paraId="33BBD8D8" w14:textId="77777777" w:rsidTr="00267405">
        <w:tc>
          <w:tcPr>
            <w:tcW w:w="301" w:type="pct"/>
          </w:tcPr>
          <w:p w14:paraId="64FC2213" w14:textId="77777777" w:rsidR="0094426F" w:rsidRPr="00F83DA8" w:rsidRDefault="0094426F" w:rsidP="0089220B">
            <w:pPr>
              <w:spacing w:after="120"/>
              <w:rPr>
                <w:rFonts w:cs="Arial"/>
                <w:color w:val="000000" w:themeColor="text1"/>
                <w:szCs w:val="20"/>
              </w:rPr>
            </w:pPr>
          </w:p>
        </w:tc>
        <w:tc>
          <w:tcPr>
            <w:tcW w:w="1283" w:type="pct"/>
          </w:tcPr>
          <w:p w14:paraId="37B42505" w14:textId="77777777" w:rsidR="0094426F" w:rsidRPr="00F83DA8" w:rsidRDefault="0094426F" w:rsidP="0089220B">
            <w:pPr>
              <w:spacing w:after="120"/>
              <w:rPr>
                <w:rFonts w:cs="Arial"/>
                <w:snapToGrid w:val="0"/>
                <w:color w:val="000000" w:themeColor="text1"/>
                <w:szCs w:val="20"/>
              </w:rPr>
            </w:pPr>
            <w:r w:rsidRPr="00F83DA8">
              <w:rPr>
                <w:rFonts w:cs="Arial"/>
                <w:snapToGrid w:val="0"/>
                <w:color w:val="000000" w:themeColor="text1"/>
                <w:szCs w:val="20"/>
              </w:rPr>
              <w:t>Obligations Concerned</w:t>
            </w:r>
          </w:p>
        </w:tc>
        <w:tc>
          <w:tcPr>
            <w:tcW w:w="204" w:type="pct"/>
          </w:tcPr>
          <w:p w14:paraId="14FCFCCC" w14:textId="77777777" w:rsidR="0094426F" w:rsidRPr="00F83DA8" w:rsidRDefault="0094426F"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211" w:type="pct"/>
          </w:tcPr>
          <w:p w14:paraId="12085159" w14:textId="0E26D741" w:rsidR="0094426F" w:rsidRPr="00F83DA8" w:rsidRDefault="0094426F" w:rsidP="0089220B">
            <w:pPr>
              <w:pStyle w:val="TOSM"/>
              <w:jc w:val="both"/>
              <w:rPr>
                <w:color w:val="000000" w:themeColor="text1"/>
              </w:rPr>
            </w:pPr>
            <w:r w:rsidRPr="00F83DA8">
              <w:rPr>
                <w:color w:val="000000" w:themeColor="text1"/>
              </w:rPr>
              <w:t xml:space="preserve">National Treatment </w:t>
            </w:r>
          </w:p>
          <w:p w14:paraId="64257B27" w14:textId="47A16B80" w:rsidR="0094426F" w:rsidRPr="00F83DA8" w:rsidRDefault="0094426F" w:rsidP="0089220B">
            <w:pPr>
              <w:pStyle w:val="TOSM"/>
              <w:jc w:val="both"/>
              <w:rPr>
                <w:color w:val="000000" w:themeColor="text1"/>
              </w:rPr>
            </w:pPr>
            <w:r w:rsidRPr="00F83DA8">
              <w:rPr>
                <w:color w:val="000000" w:themeColor="text1"/>
              </w:rPr>
              <w:t>Most-</w:t>
            </w:r>
            <w:proofErr w:type="spellStart"/>
            <w:r w:rsidRPr="00F83DA8">
              <w:rPr>
                <w:color w:val="000000" w:themeColor="text1"/>
              </w:rPr>
              <w:t>Favoured</w:t>
            </w:r>
            <w:proofErr w:type="spellEnd"/>
            <w:r w:rsidRPr="00F83DA8">
              <w:rPr>
                <w:color w:val="000000" w:themeColor="text1"/>
              </w:rPr>
              <w:t xml:space="preserve">-Nation Treatment </w:t>
            </w:r>
          </w:p>
          <w:p w14:paraId="331AFE1E" w14:textId="64F661C5" w:rsidR="00395FEA" w:rsidRPr="00F83DA8" w:rsidRDefault="00395FEA" w:rsidP="0089220B">
            <w:pPr>
              <w:pStyle w:val="TOSM"/>
              <w:jc w:val="both"/>
              <w:rPr>
                <w:color w:val="000000" w:themeColor="text1"/>
              </w:rPr>
            </w:pPr>
            <w:r w:rsidRPr="00F83DA8">
              <w:rPr>
                <w:color w:val="000000" w:themeColor="text1"/>
              </w:rPr>
              <w:t xml:space="preserve">Senior Management and Board of Directors </w:t>
            </w:r>
          </w:p>
          <w:p w14:paraId="30F7F697" w14:textId="1020922A" w:rsidR="0094426F" w:rsidRPr="00F83DA8" w:rsidRDefault="0094426F" w:rsidP="0089220B">
            <w:pPr>
              <w:pStyle w:val="TOSM"/>
              <w:jc w:val="both"/>
              <w:rPr>
                <w:color w:val="000000" w:themeColor="text1"/>
              </w:rPr>
            </w:pPr>
            <w:r w:rsidRPr="00F83DA8">
              <w:rPr>
                <w:color w:val="000000" w:themeColor="text1"/>
              </w:rPr>
              <w:t>Prohibition of Performance Requirements</w:t>
            </w:r>
          </w:p>
        </w:tc>
      </w:tr>
      <w:tr w:rsidR="00F83DA8" w:rsidRPr="00F83DA8" w14:paraId="412ECF9B" w14:textId="77777777" w:rsidTr="00267405">
        <w:tc>
          <w:tcPr>
            <w:tcW w:w="301" w:type="pct"/>
          </w:tcPr>
          <w:p w14:paraId="487AB614" w14:textId="77777777" w:rsidR="00CF6968" w:rsidRPr="00F83DA8" w:rsidRDefault="00CF6968" w:rsidP="0089220B">
            <w:pPr>
              <w:spacing w:after="120"/>
              <w:rPr>
                <w:rFonts w:cs="Arial"/>
                <w:snapToGrid w:val="0"/>
                <w:color w:val="000000" w:themeColor="text1"/>
                <w:szCs w:val="20"/>
              </w:rPr>
            </w:pPr>
          </w:p>
        </w:tc>
        <w:tc>
          <w:tcPr>
            <w:tcW w:w="1283" w:type="pct"/>
          </w:tcPr>
          <w:p w14:paraId="26A7EE6A"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Description</w:t>
            </w:r>
          </w:p>
        </w:tc>
        <w:tc>
          <w:tcPr>
            <w:tcW w:w="204" w:type="pct"/>
          </w:tcPr>
          <w:p w14:paraId="1372277C"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211" w:type="pct"/>
          </w:tcPr>
          <w:p w14:paraId="1D6184C2" w14:textId="77777777" w:rsidR="00CF6968" w:rsidRPr="00F83DA8" w:rsidRDefault="00CF6968" w:rsidP="0089220B">
            <w:pPr>
              <w:pStyle w:val="TOSM"/>
              <w:jc w:val="both"/>
              <w:rPr>
                <w:color w:val="000000" w:themeColor="text1"/>
              </w:rPr>
            </w:pPr>
            <w:r w:rsidRPr="00F83DA8">
              <w:rPr>
                <w:color w:val="000000" w:themeColor="text1"/>
              </w:rPr>
              <w:t>Malaysia reserves the right to adopt or maintain any measure relating to the rights of statutory bodies</w:t>
            </w:r>
            <w:r w:rsidRPr="00F83DA8">
              <w:rPr>
                <w:rStyle w:val="FootnoteReference"/>
                <w:color w:val="000000" w:themeColor="text1"/>
              </w:rPr>
              <w:footnoteReference w:id="6"/>
            </w:r>
            <w:r w:rsidRPr="00F83DA8">
              <w:rPr>
                <w:color w:val="000000" w:themeColor="text1"/>
              </w:rPr>
              <w:t>.</w:t>
            </w:r>
          </w:p>
        </w:tc>
      </w:tr>
      <w:tr w:rsidR="00F83DA8" w:rsidRPr="00F83DA8" w14:paraId="006399E7" w14:textId="77777777" w:rsidTr="00267405">
        <w:tc>
          <w:tcPr>
            <w:tcW w:w="301" w:type="pct"/>
          </w:tcPr>
          <w:p w14:paraId="3BDF51F0" w14:textId="77777777" w:rsidR="00CF6968" w:rsidRPr="00F83DA8" w:rsidRDefault="00CF6968" w:rsidP="0089220B">
            <w:pPr>
              <w:spacing w:after="120"/>
              <w:rPr>
                <w:rFonts w:cs="Arial"/>
                <w:color w:val="000000" w:themeColor="text1"/>
                <w:szCs w:val="20"/>
              </w:rPr>
            </w:pPr>
          </w:p>
        </w:tc>
        <w:tc>
          <w:tcPr>
            <w:tcW w:w="1283" w:type="pct"/>
          </w:tcPr>
          <w:p w14:paraId="01573BDC"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Existing Measures</w:t>
            </w:r>
          </w:p>
        </w:tc>
        <w:tc>
          <w:tcPr>
            <w:tcW w:w="204" w:type="pct"/>
          </w:tcPr>
          <w:p w14:paraId="0AA007F8"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w:t>
            </w:r>
          </w:p>
        </w:tc>
        <w:tc>
          <w:tcPr>
            <w:tcW w:w="3211" w:type="pct"/>
          </w:tcPr>
          <w:p w14:paraId="385E6C8B" w14:textId="77777777" w:rsidR="00CF6968" w:rsidRPr="00F83DA8" w:rsidRDefault="00CF6968" w:rsidP="0089220B">
            <w:pPr>
              <w:pStyle w:val="TOSM"/>
              <w:jc w:val="both"/>
              <w:rPr>
                <w:color w:val="000000" w:themeColor="text1"/>
              </w:rPr>
            </w:pPr>
            <w:r w:rsidRPr="00F83DA8">
              <w:rPr>
                <w:color w:val="000000" w:themeColor="text1"/>
              </w:rPr>
              <w:t>Policies and Ministerial Statements</w:t>
            </w:r>
          </w:p>
          <w:p w14:paraId="1976DF5C" w14:textId="77777777" w:rsidR="00CF6968" w:rsidRPr="00F83DA8" w:rsidRDefault="00CF6968" w:rsidP="0089220B">
            <w:pPr>
              <w:pStyle w:val="TOSM"/>
              <w:jc w:val="both"/>
              <w:rPr>
                <w:color w:val="000000" w:themeColor="text1"/>
              </w:rPr>
            </w:pPr>
            <w:r w:rsidRPr="00F83DA8">
              <w:rPr>
                <w:color w:val="000000" w:themeColor="text1"/>
              </w:rPr>
              <w:t>Administrative Guidelines</w:t>
            </w:r>
          </w:p>
        </w:tc>
      </w:tr>
    </w:tbl>
    <w:p w14:paraId="0813DF5B" w14:textId="77777777" w:rsidR="00CF6968" w:rsidRPr="00F83DA8" w:rsidRDefault="00CF6968" w:rsidP="0089220B">
      <w:pPr>
        <w:pStyle w:val="TOSM"/>
        <w:rPr>
          <w:color w:val="000000" w:themeColor="text1"/>
        </w:rPr>
      </w:pPr>
      <w:r w:rsidRPr="00F83DA8">
        <w:rPr>
          <w:color w:val="000000" w:themeColor="text1"/>
        </w:rPr>
        <w:br w:type="page"/>
      </w:r>
    </w:p>
    <w:p w14:paraId="7D6C4E85" w14:textId="77777777" w:rsidR="00CF6968" w:rsidRPr="00F83DA8" w:rsidRDefault="00CF6968" w:rsidP="0089220B">
      <w:pPr>
        <w:pStyle w:val="TOSM"/>
        <w:rPr>
          <w:color w:val="000000" w:themeColor="text1"/>
        </w:rPr>
      </w:pPr>
    </w:p>
    <w:tbl>
      <w:tblPr>
        <w:tblW w:w="4948"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0"/>
        <w:gridCol w:w="2250"/>
        <w:gridCol w:w="303"/>
        <w:gridCol w:w="4497"/>
      </w:tblGrid>
      <w:tr w:rsidR="00F83DA8" w:rsidRPr="00F83DA8" w14:paraId="47B3E762" w14:textId="77777777" w:rsidTr="00C32073">
        <w:tc>
          <w:tcPr>
            <w:tcW w:w="300" w:type="pct"/>
            <w:noWrap/>
          </w:tcPr>
          <w:p w14:paraId="3F0D2FD4" w14:textId="77777777" w:rsidR="00CF6968" w:rsidRPr="00F83DA8" w:rsidRDefault="00CF6968" w:rsidP="0089220B">
            <w:pPr>
              <w:numPr>
                <w:ilvl w:val="0"/>
                <w:numId w:val="5"/>
              </w:numPr>
              <w:spacing w:after="120"/>
              <w:rPr>
                <w:rFonts w:cs="Arial"/>
                <w:snapToGrid w:val="0"/>
                <w:color w:val="000000" w:themeColor="text1"/>
                <w:szCs w:val="20"/>
              </w:rPr>
            </w:pPr>
          </w:p>
        </w:tc>
        <w:tc>
          <w:tcPr>
            <w:tcW w:w="1500" w:type="pct"/>
          </w:tcPr>
          <w:p w14:paraId="77F0BBBE" w14:textId="77777777" w:rsidR="00CF6968" w:rsidRPr="00F83DA8" w:rsidRDefault="00CF6968" w:rsidP="0089220B">
            <w:pPr>
              <w:spacing w:after="120"/>
              <w:rPr>
                <w:rFonts w:cs="Arial"/>
                <w:color w:val="000000" w:themeColor="text1"/>
                <w:szCs w:val="20"/>
              </w:rPr>
            </w:pPr>
            <w:r w:rsidRPr="00F83DA8">
              <w:rPr>
                <w:rFonts w:cs="Arial"/>
                <w:snapToGrid w:val="0"/>
                <w:color w:val="000000" w:themeColor="text1"/>
                <w:szCs w:val="20"/>
              </w:rPr>
              <w:t>Sector</w:t>
            </w:r>
          </w:p>
        </w:tc>
        <w:tc>
          <w:tcPr>
            <w:tcW w:w="202" w:type="pct"/>
          </w:tcPr>
          <w:p w14:paraId="695F5F28"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53" w:type="pct"/>
          </w:tcPr>
          <w:p w14:paraId="0AD27A8B"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Mining and quarrying</w:t>
            </w:r>
          </w:p>
        </w:tc>
      </w:tr>
      <w:tr w:rsidR="00F83DA8" w:rsidRPr="00F83DA8" w14:paraId="52AE7BC7" w14:textId="77777777" w:rsidTr="00C32073">
        <w:tc>
          <w:tcPr>
            <w:tcW w:w="300" w:type="pct"/>
            <w:noWrap/>
          </w:tcPr>
          <w:p w14:paraId="5BC07FFA" w14:textId="77777777" w:rsidR="00CF6968" w:rsidRPr="00F83DA8" w:rsidRDefault="00CF6968" w:rsidP="0089220B">
            <w:pPr>
              <w:spacing w:after="120"/>
              <w:rPr>
                <w:rFonts w:cs="Arial"/>
                <w:color w:val="000000" w:themeColor="text1"/>
                <w:szCs w:val="20"/>
              </w:rPr>
            </w:pPr>
          </w:p>
        </w:tc>
        <w:tc>
          <w:tcPr>
            <w:tcW w:w="1500" w:type="pct"/>
          </w:tcPr>
          <w:p w14:paraId="02FA90CF" w14:textId="77777777" w:rsidR="00CF6968" w:rsidRPr="00F83DA8" w:rsidRDefault="00CF6968" w:rsidP="0089220B">
            <w:pPr>
              <w:spacing w:after="120"/>
              <w:ind w:left="-985" w:firstLine="985"/>
              <w:rPr>
                <w:rFonts w:cs="Arial"/>
                <w:snapToGrid w:val="0"/>
                <w:color w:val="000000" w:themeColor="text1"/>
                <w:szCs w:val="20"/>
              </w:rPr>
            </w:pPr>
            <w:r w:rsidRPr="00F83DA8">
              <w:rPr>
                <w:rFonts w:cs="Arial"/>
                <w:snapToGrid w:val="0"/>
                <w:color w:val="000000" w:themeColor="text1"/>
                <w:szCs w:val="20"/>
              </w:rPr>
              <w:t>Subsector</w:t>
            </w:r>
          </w:p>
        </w:tc>
        <w:tc>
          <w:tcPr>
            <w:tcW w:w="202" w:type="pct"/>
          </w:tcPr>
          <w:p w14:paraId="619219C2"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00" w:type="pct"/>
          </w:tcPr>
          <w:p w14:paraId="3CF30909" w14:textId="77777777" w:rsidR="00CF6968" w:rsidRPr="00F83DA8" w:rsidRDefault="00CF6968" w:rsidP="0089220B">
            <w:pPr>
              <w:spacing w:after="120"/>
              <w:rPr>
                <w:rFonts w:cs="Arial"/>
                <w:color w:val="000000" w:themeColor="text1"/>
              </w:rPr>
            </w:pPr>
            <w:r w:rsidRPr="00F83DA8">
              <w:rPr>
                <w:rFonts w:cs="Arial"/>
                <w:color w:val="000000" w:themeColor="text1"/>
              </w:rPr>
              <w:t>-</w:t>
            </w:r>
          </w:p>
        </w:tc>
      </w:tr>
      <w:tr w:rsidR="00F83DA8" w:rsidRPr="00F83DA8" w14:paraId="729FEA20" w14:textId="77777777" w:rsidTr="00C32073">
        <w:tc>
          <w:tcPr>
            <w:tcW w:w="300" w:type="pct"/>
            <w:noWrap/>
          </w:tcPr>
          <w:p w14:paraId="0ACF7583" w14:textId="77777777" w:rsidR="0094426F" w:rsidRPr="00F83DA8" w:rsidRDefault="0094426F" w:rsidP="0089220B">
            <w:pPr>
              <w:spacing w:after="120"/>
              <w:rPr>
                <w:rFonts w:cs="Arial"/>
                <w:color w:val="000000" w:themeColor="text1"/>
                <w:szCs w:val="20"/>
              </w:rPr>
            </w:pPr>
          </w:p>
        </w:tc>
        <w:tc>
          <w:tcPr>
            <w:tcW w:w="1500" w:type="pct"/>
          </w:tcPr>
          <w:p w14:paraId="2167BFD7" w14:textId="77777777" w:rsidR="00267405" w:rsidRDefault="0094426F" w:rsidP="00267405">
            <w:pPr>
              <w:ind w:left="-985" w:firstLine="985"/>
              <w:rPr>
                <w:rFonts w:cs="Arial"/>
                <w:snapToGrid w:val="0"/>
                <w:color w:val="000000" w:themeColor="text1"/>
                <w:szCs w:val="20"/>
              </w:rPr>
            </w:pPr>
            <w:r w:rsidRPr="00F83DA8">
              <w:rPr>
                <w:rFonts w:cs="Arial"/>
                <w:snapToGrid w:val="0"/>
                <w:color w:val="000000" w:themeColor="text1"/>
                <w:szCs w:val="20"/>
              </w:rPr>
              <w:t>Obligations</w:t>
            </w:r>
          </w:p>
          <w:p w14:paraId="53DBCB80" w14:textId="64D02D53" w:rsidR="0094426F" w:rsidRPr="00F83DA8" w:rsidRDefault="0094426F" w:rsidP="0089220B">
            <w:pPr>
              <w:spacing w:after="120"/>
              <w:ind w:left="-985" w:firstLine="985"/>
              <w:rPr>
                <w:rFonts w:cs="Arial"/>
                <w:snapToGrid w:val="0"/>
                <w:color w:val="000000" w:themeColor="text1"/>
                <w:szCs w:val="20"/>
              </w:rPr>
            </w:pPr>
            <w:r w:rsidRPr="00F83DA8">
              <w:rPr>
                <w:rFonts w:cs="Arial"/>
                <w:snapToGrid w:val="0"/>
                <w:color w:val="000000" w:themeColor="text1"/>
                <w:szCs w:val="20"/>
              </w:rPr>
              <w:t>Concerne</w:t>
            </w:r>
            <w:r w:rsidR="00267405">
              <w:rPr>
                <w:rFonts w:cs="Arial"/>
                <w:snapToGrid w:val="0"/>
                <w:color w:val="000000" w:themeColor="text1"/>
                <w:szCs w:val="20"/>
              </w:rPr>
              <w:t>d</w:t>
            </w:r>
          </w:p>
        </w:tc>
        <w:tc>
          <w:tcPr>
            <w:tcW w:w="202" w:type="pct"/>
          </w:tcPr>
          <w:p w14:paraId="321ACE15" w14:textId="77777777" w:rsidR="0094426F" w:rsidRPr="00F83DA8" w:rsidRDefault="0094426F"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00" w:type="pct"/>
          </w:tcPr>
          <w:p w14:paraId="21C51B63" w14:textId="7AA6001F" w:rsidR="0094426F" w:rsidRPr="00F83DA8" w:rsidRDefault="0094426F" w:rsidP="0089220B">
            <w:pPr>
              <w:pStyle w:val="TOSM"/>
              <w:jc w:val="both"/>
              <w:rPr>
                <w:color w:val="000000" w:themeColor="text1"/>
              </w:rPr>
            </w:pPr>
            <w:r w:rsidRPr="00F83DA8">
              <w:rPr>
                <w:color w:val="000000" w:themeColor="text1"/>
              </w:rPr>
              <w:t xml:space="preserve">National Treatment </w:t>
            </w:r>
          </w:p>
          <w:p w14:paraId="21B858AB" w14:textId="6828172F" w:rsidR="0094426F" w:rsidRPr="00F83DA8" w:rsidRDefault="0094426F" w:rsidP="0089220B">
            <w:pPr>
              <w:pStyle w:val="TOSM"/>
              <w:jc w:val="both"/>
              <w:rPr>
                <w:color w:val="000000" w:themeColor="text1"/>
              </w:rPr>
            </w:pPr>
            <w:r w:rsidRPr="00F83DA8">
              <w:rPr>
                <w:color w:val="000000" w:themeColor="text1"/>
              </w:rPr>
              <w:t>Most-</w:t>
            </w:r>
            <w:proofErr w:type="spellStart"/>
            <w:r w:rsidRPr="00F83DA8">
              <w:rPr>
                <w:color w:val="000000" w:themeColor="text1"/>
              </w:rPr>
              <w:t>Favoured</w:t>
            </w:r>
            <w:proofErr w:type="spellEnd"/>
            <w:r w:rsidRPr="00F83DA8">
              <w:rPr>
                <w:color w:val="000000" w:themeColor="text1"/>
              </w:rPr>
              <w:t xml:space="preserve">-Nation Treatment </w:t>
            </w:r>
          </w:p>
          <w:p w14:paraId="6150C4EF" w14:textId="7594BD18" w:rsidR="0094426F" w:rsidRPr="00F83DA8" w:rsidRDefault="0094426F" w:rsidP="0089220B">
            <w:pPr>
              <w:pStyle w:val="TOSM"/>
              <w:jc w:val="both"/>
              <w:rPr>
                <w:color w:val="000000" w:themeColor="text1"/>
              </w:rPr>
            </w:pPr>
            <w:r w:rsidRPr="00F83DA8">
              <w:rPr>
                <w:color w:val="000000" w:themeColor="text1"/>
              </w:rPr>
              <w:t xml:space="preserve">Prohibition of Performance Requirements Senior Management and Board of Directors </w:t>
            </w:r>
          </w:p>
        </w:tc>
      </w:tr>
      <w:tr w:rsidR="00F83DA8" w:rsidRPr="00F83DA8" w14:paraId="1B1EA752" w14:textId="77777777" w:rsidTr="00C32073">
        <w:tc>
          <w:tcPr>
            <w:tcW w:w="300" w:type="pct"/>
            <w:noWrap/>
          </w:tcPr>
          <w:p w14:paraId="7BE5BDA4" w14:textId="77777777" w:rsidR="00CF6968" w:rsidRPr="00F83DA8" w:rsidRDefault="00CF6968" w:rsidP="0089220B">
            <w:pPr>
              <w:spacing w:after="120"/>
              <w:rPr>
                <w:rFonts w:cs="Arial"/>
                <w:snapToGrid w:val="0"/>
                <w:color w:val="000000" w:themeColor="text1"/>
                <w:szCs w:val="20"/>
              </w:rPr>
            </w:pPr>
          </w:p>
        </w:tc>
        <w:tc>
          <w:tcPr>
            <w:tcW w:w="1500" w:type="pct"/>
          </w:tcPr>
          <w:p w14:paraId="37A92BB3"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Description</w:t>
            </w:r>
          </w:p>
        </w:tc>
        <w:tc>
          <w:tcPr>
            <w:tcW w:w="202" w:type="pct"/>
          </w:tcPr>
          <w:p w14:paraId="6FFE33E3"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00" w:type="pct"/>
          </w:tcPr>
          <w:p w14:paraId="06197EB5" w14:textId="77777777" w:rsidR="00CF6968" w:rsidRPr="00F83DA8" w:rsidRDefault="00CF6968" w:rsidP="0089220B">
            <w:pPr>
              <w:pStyle w:val="TOSM"/>
              <w:jc w:val="both"/>
              <w:rPr>
                <w:color w:val="000000" w:themeColor="text1"/>
              </w:rPr>
            </w:pPr>
            <w:r w:rsidRPr="00F83DA8">
              <w:rPr>
                <w:color w:val="000000" w:themeColor="text1"/>
              </w:rPr>
              <w:t>Non-citizens and juridical persons owned by foreign nationals will need to seek the approval of the relevant state authority, and subject to such conditions and restrictions as may be imposed by the relevant state authority. Joint ventures with state or state-linked juridical persons may be required.</w:t>
            </w:r>
          </w:p>
        </w:tc>
      </w:tr>
      <w:tr w:rsidR="00CF6968" w:rsidRPr="00F83DA8" w14:paraId="2943200A" w14:textId="77777777" w:rsidTr="00C32073">
        <w:tc>
          <w:tcPr>
            <w:tcW w:w="300" w:type="pct"/>
            <w:noWrap/>
          </w:tcPr>
          <w:p w14:paraId="0205A5CC" w14:textId="77777777" w:rsidR="00CF6968" w:rsidRPr="00F83DA8" w:rsidRDefault="00CF6968" w:rsidP="0089220B">
            <w:pPr>
              <w:spacing w:after="120"/>
              <w:rPr>
                <w:rFonts w:cs="Arial"/>
                <w:color w:val="000000" w:themeColor="text1"/>
                <w:szCs w:val="20"/>
              </w:rPr>
            </w:pPr>
          </w:p>
        </w:tc>
        <w:tc>
          <w:tcPr>
            <w:tcW w:w="1500" w:type="pct"/>
          </w:tcPr>
          <w:p w14:paraId="2DB62EA5"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Existing Measures</w:t>
            </w:r>
          </w:p>
        </w:tc>
        <w:tc>
          <w:tcPr>
            <w:tcW w:w="202" w:type="pct"/>
          </w:tcPr>
          <w:p w14:paraId="412837E0"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w:t>
            </w:r>
          </w:p>
        </w:tc>
        <w:tc>
          <w:tcPr>
            <w:tcW w:w="3000" w:type="pct"/>
          </w:tcPr>
          <w:p w14:paraId="3EF4653E" w14:textId="77777777" w:rsidR="00CF6968" w:rsidRPr="00F83DA8" w:rsidRDefault="00CF6968" w:rsidP="0089220B">
            <w:pPr>
              <w:pStyle w:val="TOSM"/>
              <w:jc w:val="both"/>
              <w:rPr>
                <w:color w:val="000000" w:themeColor="text1"/>
              </w:rPr>
            </w:pPr>
            <w:r w:rsidRPr="0027032F">
              <w:rPr>
                <w:i/>
                <w:color w:val="000000" w:themeColor="text1"/>
              </w:rPr>
              <w:t>Mineral Development Act 1994</w:t>
            </w:r>
            <w:r w:rsidRPr="00F83DA8">
              <w:rPr>
                <w:color w:val="000000" w:themeColor="text1"/>
              </w:rPr>
              <w:t xml:space="preserve"> [Act 525]</w:t>
            </w:r>
          </w:p>
          <w:p w14:paraId="40DCBF55" w14:textId="77777777" w:rsidR="00CF6968" w:rsidRPr="00F83DA8" w:rsidRDefault="00CF6968" w:rsidP="0089220B">
            <w:pPr>
              <w:pStyle w:val="TOSM"/>
              <w:jc w:val="both"/>
              <w:rPr>
                <w:color w:val="000000" w:themeColor="text1"/>
              </w:rPr>
            </w:pPr>
            <w:r w:rsidRPr="00F83DA8">
              <w:rPr>
                <w:color w:val="000000" w:themeColor="text1"/>
              </w:rPr>
              <w:t>State Mineral Laws</w:t>
            </w:r>
          </w:p>
          <w:p w14:paraId="6FA5087A" w14:textId="77777777" w:rsidR="00CF6968" w:rsidRPr="00F83DA8" w:rsidRDefault="00CF6968" w:rsidP="0089220B">
            <w:pPr>
              <w:pStyle w:val="TOSM"/>
              <w:jc w:val="both"/>
              <w:rPr>
                <w:color w:val="000000" w:themeColor="text1"/>
              </w:rPr>
            </w:pPr>
            <w:r w:rsidRPr="00F83DA8">
              <w:rPr>
                <w:color w:val="000000" w:themeColor="text1"/>
              </w:rPr>
              <w:t>National Mineral Policy 2</w:t>
            </w:r>
          </w:p>
        </w:tc>
      </w:tr>
    </w:tbl>
    <w:p w14:paraId="0F30F2E2" w14:textId="77777777" w:rsidR="00CF6968" w:rsidRPr="00F83DA8" w:rsidRDefault="00CF6968" w:rsidP="0089220B">
      <w:pPr>
        <w:pStyle w:val="TOSM"/>
        <w:rPr>
          <w:color w:val="000000" w:themeColor="text1"/>
        </w:rPr>
      </w:pPr>
    </w:p>
    <w:p w14:paraId="63E27402" w14:textId="77777777" w:rsidR="00CF6968" w:rsidRPr="00F83DA8" w:rsidRDefault="00CF6968" w:rsidP="0089220B">
      <w:pPr>
        <w:pStyle w:val="TOSM"/>
        <w:rPr>
          <w:color w:val="000000" w:themeColor="text1"/>
        </w:rPr>
      </w:pPr>
      <w:r w:rsidRPr="00F83DA8">
        <w:rPr>
          <w:color w:val="000000" w:themeColor="text1"/>
        </w:rPr>
        <w:br w:type="page"/>
      </w:r>
    </w:p>
    <w:tbl>
      <w:tblPr>
        <w:tblW w:w="4948"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6"/>
        <w:gridCol w:w="2250"/>
        <w:gridCol w:w="309"/>
        <w:gridCol w:w="4485"/>
      </w:tblGrid>
      <w:tr w:rsidR="00F83DA8" w:rsidRPr="00F83DA8" w14:paraId="25449862" w14:textId="77777777" w:rsidTr="00267405">
        <w:tc>
          <w:tcPr>
            <w:tcW w:w="304" w:type="pct"/>
          </w:tcPr>
          <w:p w14:paraId="0D881120" w14:textId="77777777" w:rsidR="00CF6968" w:rsidRPr="00F83DA8" w:rsidRDefault="00CF6968" w:rsidP="0089220B">
            <w:pPr>
              <w:numPr>
                <w:ilvl w:val="0"/>
                <w:numId w:val="5"/>
              </w:numPr>
              <w:spacing w:after="120"/>
              <w:rPr>
                <w:rFonts w:cs="Arial"/>
                <w:snapToGrid w:val="0"/>
                <w:color w:val="000000" w:themeColor="text1"/>
                <w:szCs w:val="20"/>
              </w:rPr>
            </w:pPr>
          </w:p>
        </w:tc>
        <w:tc>
          <w:tcPr>
            <w:tcW w:w="1500" w:type="pct"/>
          </w:tcPr>
          <w:p w14:paraId="3805A103" w14:textId="77777777" w:rsidR="00CF6968" w:rsidRPr="00F83DA8" w:rsidRDefault="00CF6968" w:rsidP="0089220B">
            <w:pPr>
              <w:spacing w:after="120"/>
              <w:rPr>
                <w:rFonts w:cs="Arial"/>
                <w:color w:val="000000" w:themeColor="text1"/>
                <w:szCs w:val="20"/>
              </w:rPr>
            </w:pPr>
            <w:r w:rsidRPr="00F83DA8">
              <w:rPr>
                <w:rFonts w:cs="Arial"/>
                <w:snapToGrid w:val="0"/>
                <w:color w:val="000000" w:themeColor="text1"/>
                <w:szCs w:val="20"/>
              </w:rPr>
              <w:t>Sector</w:t>
            </w:r>
          </w:p>
        </w:tc>
        <w:tc>
          <w:tcPr>
            <w:tcW w:w="206" w:type="pct"/>
          </w:tcPr>
          <w:p w14:paraId="4AFED1C2"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2990" w:type="pct"/>
          </w:tcPr>
          <w:p w14:paraId="2CC1E395" w14:textId="77777777" w:rsidR="00CF6968" w:rsidRPr="00F83DA8" w:rsidRDefault="00CF6968" w:rsidP="0089220B">
            <w:pPr>
              <w:spacing w:after="120"/>
              <w:jc w:val="both"/>
              <w:rPr>
                <w:rFonts w:cs="Arial"/>
                <w:snapToGrid w:val="0"/>
                <w:color w:val="000000" w:themeColor="text1"/>
                <w:szCs w:val="20"/>
              </w:rPr>
            </w:pPr>
            <w:r w:rsidRPr="00F83DA8">
              <w:rPr>
                <w:rFonts w:cs="Arial"/>
                <w:snapToGrid w:val="0"/>
                <w:color w:val="000000" w:themeColor="text1"/>
                <w:szCs w:val="20"/>
              </w:rPr>
              <w:t>Agriculture</w:t>
            </w:r>
          </w:p>
        </w:tc>
      </w:tr>
      <w:tr w:rsidR="00F83DA8" w:rsidRPr="00F83DA8" w14:paraId="5C82E651" w14:textId="77777777" w:rsidTr="00267405">
        <w:tc>
          <w:tcPr>
            <w:tcW w:w="304" w:type="pct"/>
          </w:tcPr>
          <w:p w14:paraId="5396A57E" w14:textId="77777777" w:rsidR="00CF6968" w:rsidRPr="00F83DA8" w:rsidRDefault="00CF6968" w:rsidP="0089220B">
            <w:pPr>
              <w:spacing w:after="120"/>
              <w:rPr>
                <w:rFonts w:cs="Arial"/>
                <w:color w:val="000000" w:themeColor="text1"/>
                <w:szCs w:val="20"/>
              </w:rPr>
            </w:pPr>
          </w:p>
        </w:tc>
        <w:tc>
          <w:tcPr>
            <w:tcW w:w="1500" w:type="pct"/>
          </w:tcPr>
          <w:p w14:paraId="5557ADF6"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Subsector</w:t>
            </w:r>
          </w:p>
        </w:tc>
        <w:tc>
          <w:tcPr>
            <w:tcW w:w="206" w:type="pct"/>
          </w:tcPr>
          <w:p w14:paraId="1FB99262"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2990" w:type="pct"/>
          </w:tcPr>
          <w:p w14:paraId="2D316F2D" w14:textId="77777777" w:rsidR="00CF6968" w:rsidRPr="00F83DA8" w:rsidRDefault="00CF6968" w:rsidP="0089220B">
            <w:pPr>
              <w:spacing w:after="120"/>
              <w:rPr>
                <w:rFonts w:cs="Arial"/>
                <w:color w:val="000000" w:themeColor="text1"/>
              </w:rPr>
            </w:pPr>
            <w:r w:rsidRPr="00F83DA8">
              <w:rPr>
                <w:rFonts w:cs="Arial"/>
                <w:color w:val="000000" w:themeColor="text1"/>
              </w:rPr>
              <w:t>-</w:t>
            </w:r>
          </w:p>
        </w:tc>
      </w:tr>
      <w:tr w:rsidR="00F83DA8" w:rsidRPr="00F83DA8" w14:paraId="76EAD4C0" w14:textId="77777777" w:rsidTr="00267405">
        <w:tc>
          <w:tcPr>
            <w:tcW w:w="304" w:type="pct"/>
          </w:tcPr>
          <w:p w14:paraId="24CA8A84" w14:textId="77777777" w:rsidR="0094426F" w:rsidRPr="00F83DA8" w:rsidRDefault="0094426F" w:rsidP="0089220B">
            <w:pPr>
              <w:spacing w:after="120"/>
              <w:rPr>
                <w:rFonts w:cs="Arial"/>
                <w:color w:val="000000" w:themeColor="text1"/>
                <w:szCs w:val="20"/>
              </w:rPr>
            </w:pPr>
          </w:p>
        </w:tc>
        <w:tc>
          <w:tcPr>
            <w:tcW w:w="1500" w:type="pct"/>
          </w:tcPr>
          <w:p w14:paraId="0930C2AC" w14:textId="77777777" w:rsidR="0094426F" w:rsidRPr="00F83DA8" w:rsidRDefault="0094426F" w:rsidP="0089220B">
            <w:pPr>
              <w:spacing w:after="120"/>
              <w:rPr>
                <w:rFonts w:cs="Arial"/>
                <w:snapToGrid w:val="0"/>
                <w:color w:val="000000" w:themeColor="text1"/>
                <w:szCs w:val="20"/>
              </w:rPr>
            </w:pPr>
            <w:r w:rsidRPr="00F83DA8">
              <w:rPr>
                <w:rFonts w:cs="Arial"/>
                <w:snapToGrid w:val="0"/>
                <w:color w:val="000000" w:themeColor="text1"/>
                <w:szCs w:val="20"/>
              </w:rPr>
              <w:t>Obligations Concerned</w:t>
            </w:r>
          </w:p>
        </w:tc>
        <w:tc>
          <w:tcPr>
            <w:tcW w:w="206" w:type="pct"/>
          </w:tcPr>
          <w:p w14:paraId="2EA8F65C" w14:textId="77777777" w:rsidR="0094426F" w:rsidRPr="00F83DA8" w:rsidRDefault="0094426F"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2990" w:type="pct"/>
          </w:tcPr>
          <w:p w14:paraId="4DE19CD7" w14:textId="054002E7" w:rsidR="0094426F" w:rsidRPr="00F83DA8" w:rsidRDefault="0094426F" w:rsidP="0089220B">
            <w:pPr>
              <w:pStyle w:val="TOSM"/>
              <w:jc w:val="both"/>
              <w:rPr>
                <w:color w:val="000000" w:themeColor="text1"/>
              </w:rPr>
            </w:pPr>
            <w:r w:rsidRPr="00F83DA8">
              <w:rPr>
                <w:color w:val="000000" w:themeColor="text1"/>
              </w:rPr>
              <w:t xml:space="preserve">National Treatment </w:t>
            </w:r>
          </w:p>
          <w:p w14:paraId="634ABBC5" w14:textId="575A56D7" w:rsidR="0094426F" w:rsidRPr="00F83DA8" w:rsidRDefault="0094426F" w:rsidP="0089220B">
            <w:pPr>
              <w:pStyle w:val="TOSM"/>
              <w:jc w:val="both"/>
              <w:rPr>
                <w:color w:val="000000" w:themeColor="text1"/>
              </w:rPr>
            </w:pPr>
            <w:r w:rsidRPr="00F83DA8">
              <w:rPr>
                <w:color w:val="000000" w:themeColor="text1"/>
              </w:rPr>
              <w:t>Most-</w:t>
            </w:r>
            <w:proofErr w:type="spellStart"/>
            <w:r w:rsidRPr="00F83DA8">
              <w:rPr>
                <w:color w:val="000000" w:themeColor="text1"/>
              </w:rPr>
              <w:t>Favoured</w:t>
            </w:r>
            <w:proofErr w:type="spellEnd"/>
            <w:r w:rsidRPr="00F83DA8">
              <w:rPr>
                <w:color w:val="000000" w:themeColor="text1"/>
              </w:rPr>
              <w:t xml:space="preserve">-Nation Treatment </w:t>
            </w:r>
          </w:p>
          <w:p w14:paraId="76FED3C8" w14:textId="69E42E0C" w:rsidR="00395FEA" w:rsidRPr="00F83DA8" w:rsidRDefault="00395FEA" w:rsidP="0089220B">
            <w:pPr>
              <w:pStyle w:val="TOSM"/>
              <w:jc w:val="both"/>
              <w:rPr>
                <w:color w:val="000000" w:themeColor="text1"/>
              </w:rPr>
            </w:pPr>
            <w:r w:rsidRPr="00F83DA8">
              <w:rPr>
                <w:color w:val="000000" w:themeColor="text1"/>
              </w:rPr>
              <w:t xml:space="preserve">Senior Management and Board of Directors </w:t>
            </w:r>
          </w:p>
          <w:p w14:paraId="10466058" w14:textId="07322E70" w:rsidR="0094426F" w:rsidRPr="00F83DA8" w:rsidRDefault="0094426F" w:rsidP="0089220B">
            <w:pPr>
              <w:pStyle w:val="TOSM"/>
              <w:jc w:val="both"/>
              <w:rPr>
                <w:color w:val="000000" w:themeColor="text1"/>
              </w:rPr>
            </w:pPr>
            <w:r w:rsidRPr="00F83DA8">
              <w:rPr>
                <w:color w:val="000000" w:themeColor="text1"/>
              </w:rPr>
              <w:t xml:space="preserve">Prohibition of Performance Requirements </w:t>
            </w:r>
          </w:p>
        </w:tc>
      </w:tr>
      <w:tr w:rsidR="00F83DA8" w:rsidRPr="00F83DA8" w14:paraId="7D494D35" w14:textId="77777777" w:rsidTr="00267405">
        <w:tc>
          <w:tcPr>
            <w:tcW w:w="304" w:type="pct"/>
          </w:tcPr>
          <w:p w14:paraId="29F0C037" w14:textId="77777777" w:rsidR="00CF6968" w:rsidRPr="00F83DA8" w:rsidRDefault="00CF6968" w:rsidP="0089220B">
            <w:pPr>
              <w:spacing w:after="120"/>
              <w:rPr>
                <w:rFonts w:cs="Arial"/>
                <w:snapToGrid w:val="0"/>
                <w:color w:val="000000" w:themeColor="text1"/>
                <w:szCs w:val="20"/>
              </w:rPr>
            </w:pPr>
          </w:p>
        </w:tc>
        <w:tc>
          <w:tcPr>
            <w:tcW w:w="1500" w:type="pct"/>
          </w:tcPr>
          <w:p w14:paraId="140AB834"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Description</w:t>
            </w:r>
          </w:p>
        </w:tc>
        <w:tc>
          <w:tcPr>
            <w:tcW w:w="206" w:type="pct"/>
          </w:tcPr>
          <w:p w14:paraId="7A495B88"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2990" w:type="pct"/>
          </w:tcPr>
          <w:p w14:paraId="6B497CE5" w14:textId="77777777" w:rsidR="00CF6968" w:rsidRPr="00F83DA8" w:rsidRDefault="00CF6968" w:rsidP="0089220B">
            <w:pPr>
              <w:pStyle w:val="TOSM"/>
              <w:jc w:val="both"/>
              <w:rPr>
                <w:color w:val="000000" w:themeColor="text1"/>
              </w:rPr>
            </w:pPr>
            <w:r w:rsidRPr="00F83DA8">
              <w:rPr>
                <w:color w:val="000000" w:themeColor="text1"/>
              </w:rPr>
              <w:t>Non-citizens and juridical persons owned by foreign nationals will need to seek the approval of the relevant state authority, and are subject to such conditions and restrictions as may be imposed by the relevant state authority.</w:t>
            </w:r>
          </w:p>
        </w:tc>
      </w:tr>
      <w:tr w:rsidR="00CF6968" w:rsidRPr="00F83DA8" w14:paraId="54F22AD6" w14:textId="77777777" w:rsidTr="00267405">
        <w:tc>
          <w:tcPr>
            <w:tcW w:w="304" w:type="pct"/>
          </w:tcPr>
          <w:p w14:paraId="0023D960" w14:textId="77777777" w:rsidR="00CF6968" w:rsidRPr="00F83DA8" w:rsidRDefault="00CF6968" w:rsidP="0089220B">
            <w:pPr>
              <w:spacing w:after="120"/>
              <w:rPr>
                <w:rFonts w:cs="Arial"/>
                <w:color w:val="000000" w:themeColor="text1"/>
                <w:szCs w:val="20"/>
              </w:rPr>
            </w:pPr>
          </w:p>
        </w:tc>
        <w:tc>
          <w:tcPr>
            <w:tcW w:w="1500" w:type="pct"/>
          </w:tcPr>
          <w:p w14:paraId="7A56F9BC"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Existing Measures</w:t>
            </w:r>
          </w:p>
        </w:tc>
        <w:tc>
          <w:tcPr>
            <w:tcW w:w="206" w:type="pct"/>
          </w:tcPr>
          <w:p w14:paraId="75B79489"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w:t>
            </w:r>
          </w:p>
        </w:tc>
        <w:tc>
          <w:tcPr>
            <w:tcW w:w="2990" w:type="pct"/>
          </w:tcPr>
          <w:p w14:paraId="1ECA41EF" w14:textId="77777777" w:rsidR="00CF6968" w:rsidRPr="00F83DA8" w:rsidRDefault="00CF6968" w:rsidP="0089220B">
            <w:pPr>
              <w:pStyle w:val="TOSM"/>
              <w:jc w:val="both"/>
              <w:rPr>
                <w:color w:val="000000" w:themeColor="text1"/>
              </w:rPr>
            </w:pPr>
            <w:r w:rsidRPr="0027032F">
              <w:rPr>
                <w:i/>
                <w:color w:val="000000" w:themeColor="text1"/>
              </w:rPr>
              <w:t>National Land Code</w:t>
            </w:r>
            <w:r w:rsidRPr="00F83DA8">
              <w:rPr>
                <w:color w:val="000000" w:themeColor="text1"/>
              </w:rPr>
              <w:t xml:space="preserve"> [Act 56 of 1965]</w:t>
            </w:r>
          </w:p>
          <w:p w14:paraId="50503288" w14:textId="3FF28E79" w:rsidR="00CF6968" w:rsidRPr="00F83DA8" w:rsidRDefault="00CF6968" w:rsidP="0089220B">
            <w:pPr>
              <w:pStyle w:val="TOSM"/>
              <w:jc w:val="both"/>
              <w:rPr>
                <w:color w:val="000000" w:themeColor="text1"/>
              </w:rPr>
            </w:pPr>
            <w:r w:rsidRPr="0027032F">
              <w:rPr>
                <w:i/>
                <w:color w:val="000000" w:themeColor="text1"/>
              </w:rPr>
              <w:t>Sarawak Land Code 1958</w:t>
            </w:r>
            <w:r w:rsidRPr="0054025A">
              <w:rPr>
                <w:color w:val="000000" w:themeColor="text1"/>
              </w:rPr>
              <w:t xml:space="preserve"> [C</w:t>
            </w:r>
            <w:r w:rsidR="00FD1203" w:rsidRPr="0054025A">
              <w:rPr>
                <w:color w:val="000000" w:themeColor="text1"/>
              </w:rPr>
              <w:t>hapter</w:t>
            </w:r>
            <w:r w:rsidRPr="0054025A">
              <w:rPr>
                <w:color w:val="000000" w:themeColor="text1"/>
              </w:rPr>
              <w:t xml:space="preserve"> 81]</w:t>
            </w:r>
            <w:r w:rsidR="0054025A">
              <w:rPr>
                <w:color w:val="000000" w:themeColor="text1"/>
              </w:rPr>
              <w:t xml:space="preserve"> </w:t>
            </w:r>
            <w:r w:rsidR="00F666EA">
              <w:rPr>
                <w:color w:val="000000" w:themeColor="text1"/>
              </w:rPr>
              <w:t>(1958 Edition)</w:t>
            </w:r>
          </w:p>
          <w:p w14:paraId="2FAF7AE7" w14:textId="0110CB1B" w:rsidR="00CF6968" w:rsidRPr="0054025A" w:rsidRDefault="00CF6968" w:rsidP="0089220B">
            <w:pPr>
              <w:pStyle w:val="TOSM"/>
              <w:jc w:val="both"/>
              <w:rPr>
                <w:color w:val="000000" w:themeColor="text1"/>
              </w:rPr>
            </w:pPr>
            <w:r w:rsidRPr="0027032F">
              <w:rPr>
                <w:i/>
                <w:color w:val="000000" w:themeColor="text1"/>
              </w:rPr>
              <w:t>Sabah Land Ordinance 1950</w:t>
            </w:r>
            <w:r w:rsidRPr="0054025A">
              <w:rPr>
                <w:color w:val="000000" w:themeColor="text1"/>
              </w:rPr>
              <w:t xml:space="preserve"> [</w:t>
            </w:r>
            <w:r w:rsidR="0066186B" w:rsidRPr="0054025A">
              <w:rPr>
                <w:color w:val="000000" w:themeColor="text1"/>
              </w:rPr>
              <w:t xml:space="preserve">Sabah </w:t>
            </w:r>
            <w:r w:rsidRPr="0054025A">
              <w:rPr>
                <w:color w:val="000000" w:themeColor="text1"/>
              </w:rPr>
              <w:t>Cap</w:t>
            </w:r>
            <w:r w:rsidR="006B6EE0" w:rsidRPr="0054025A">
              <w:rPr>
                <w:color w:val="000000" w:themeColor="text1"/>
              </w:rPr>
              <w:t>.</w:t>
            </w:r>
            <w:r w:rsidRPr="0054025A">
              <w:rPr>
                <w:color w:val="000000" w:themeColor="text1"/>
              </w:rPr>
              <w:t xml:space="preserve"> 68]</w:t>
            </w:r>
          </w:p>
          <w:p w14:paraId="7A0AAE2E" w14:textId="77777777" w:rsidR="00CF6968" w:rsidRPr="0054025A" w:rsidRDefault="00CF6968" w:rsidP="0089220B">
            <w:pPr>
              <w:pStyle w:val="TOSM"/>
              <w:jc w:val="both"/>
              <w:rPr>
                <w:color w:val="000000" w:themeColor="text1"/>
              </w:rPr>
            </w:pPr>
            <w:r w:rsidRPr="0027032F">
              <w:rPr>
                <w:i/>
                <w:color w:val="000000" w:themeColor="text1"/>
              </w:rPr>
              <w:t>Town and Country Planning Act 1976</w:t>
            </w:r>
            <w:r w:rsidRPr="0054025A">
              <w:rPr>
                <w:color w:val="000000" w:themeColor="text1"/>
              </w:rPr>
              <w:t xml:space="preserve"> [Act 172]</w:t>
            </w:r>
          </w:p>
          <w:p w14:paraId="06C918BF" w14:textId="77777777" w:rsidR="00CF6968" w:rsidRPr="0054025A" w:rsidRDefault="00CF6968" w:rsidP="0089220B">
            <w:pPr>
              <w:pStyle w:val="TOSM"/>
              <w:jc w:val="both"/>
              <w:rPr>
                <w:color w:val="000000" w:themeColor="text1"/>
              </w:rPr>
            </w:pPr>
            <w:r w:rsidRPr="0027032F">
              <w:rPr>
                <w:i/>
                <w:color w:val="000000" w:themeColor="text1"/>
              </w:rPr>
              <w:t>Plant Quarantine Act 1976</w:t>
            </w:r>
            <w:r w:rsidRPr="0054025A">
              <w:rPr>
                <w:color w:val="000000" w:themeColor="text1"/>
              </w:rPr>
              <w:t xml:space="preserve"> [Act 167]</w:t>
            </w:r>
          </w:p>
          <w:p w14:paraId="6BC6F894" w14:textId="77777777" w:rsidR="00CF6968" w:rsidRPr="0054025A" w:rsidRDefault="00CF6968" w:rsidP="0089220B">
            <w:pPr>
              <w:pStyle w:val="TOSM"/>
              <w:jc w:val="both"/>
              <w:rPr>
                <w:color w:val="000000" w:themeColor="text1"/>
              </w:rPr>
            </w:pPr>
            <w:r w:rsidRPr="0027032F">
              <w:rPr>
                <w:i/>
                <w:color w:val="000000" w:themeColor="text1"/>
              </w:rPr>
              <w:t>Animals Act 1953</w:t>
            </w:r>
            <w:r w:rsidRPr="0054025A">
              <w:rPr>
                <w:color w:val="000000" w:themeColor="text1"/>
              </w:rPr>
              <w:t xml:space="preserve"> (Act 647)</w:t>
            </w:r>
          </w:p>
          <w:p w14:paraId="4B3B3183" w14:textId="3D13C965" w:rsidR="00CF6968" w:rsidRPr="00F83DA8" w:rsidRDefault="00CF6968" w:rsidP="0089220B">
            <w:pPr>
              <w:pStyle w:val="TOSM"/>
              <w:jc w:val="both"/>
              <w:rPr>
                <w:color w:val="000000" w:themeColor="text1"/>
              </w:rPr>
            </w:pPr>
            <w:r w:rsidRPr="0054025A">
              <w:rPr>
                <w:color w:val="000000" w:themeColor="text1"/>
              </w:rPr>
              <w:t xml:space="preserve">Animal </w:t>
            </w:r>
            <w:r w:rsidR="00FD1203" w:rsidRPr="0054025A">
              <w:rPr>
                <w:color w:val="000000" w:themeColor="text1"/>
              </w:rPr>
              <w:t xml:space="preserve">Welfare </w:t>
            </w:r>
            <w:r w:rsidRPr="0054025A">
              <w:rPr>
                <w:color w:val="000000" w:themeColor="text1"/>
              </w:rPr>
              <w:t>Enactment 2015</w:t>
            </w:r>
            <w:r w:rsidR="00671467" w:rsidRPr="0054025A">
              <w:rPr>
                <w:color w:val="000000" w:themeColor="text1"/>
              </w:rPr>
              <w:t xml:space="preserve"> [Act 772]</w:t>
            </w:r>
          </w:p>
          <w:p w14:paraId="38E75039" w14:textId="77777777" w:rsidR="00CF6968" w:rsidRPr="00F83DA8" w:rsidRDefault="00CF6968" w:rsidP="0089220B">
            <w:pPr>
              <w:pStyle w:val="TOSM"/>
              <w:jc w:val="both"/>
              <w:rPr>
                <w:color w:val="000000" w:themeColor="text1"/>
              </w:rPr>
            </w:pPr>
            <w:r w:rsidRPr="00F83DA8">
              <w:rPr>
                <w:color w:val="000000" w:themeColor="text1"/>
              </w:rPr>
              <w:t>Customs Prohibition of Imports and Exports Orders</w:t>
            </w:r>
          </w:p>
          <w:p w14:paraId="1CFD682F" w14:textId="77777777" w:rsidR="00CF6968" w:rsidRPr="00F83DA8" w:rsidRDefault="00CF6968" w:rsidP="0089220B">
            <w:pPr>
              <w:pStyle w:val="TOSM"/>
              <w:jc w:val="both"/>
              <w:rPr>
                <w:color w:val="000000" w:themeColor="text1"/>
              </w:rPr>
            </w:pPr>
            <w:r w:rsidRPr="00F83DA8">
              <w:rPr>
                <w:color w:val="000000" w:themeColor="text1"/>
              </w:rPr>
              <w:t>National Agricultural Policy</w:t>
            </w:r>
          </w:p>
          <w:p w14:paraId="4092A5DF" w14:textId="77777777" w:rsidR="00CF6968" w:rsidRPr="00F83DA8" w:rsidRDefault="00CF6968" w:rsidP="0089220B">
            <w:pPr>
              <w:pStyle w:val="TOSM"/>
              <w:jc w:val="both"/>
              <w:rPr>
                <w:color w:val="000000" w:themeColor="text1"/>
              </w:rPr>
            </w:pPr>
            <w:r w:rsidRPr="00F83DA8">
              <w:rPr>
                <w:color w:val="000000" w:themeColor="text1"/>
              </w:rPr>
              <w:t>Administrative Guidelines</w:t>
            </w:r>
          </w:p>
        </w:tc>
      </w:tr>
    </w:tbl>
    <w:p w14:paraId="76F9F91B" w14:textId="77777777" w:rsidR="00CF6968" w:rsidRPr="00F83DA8" w:rsidRDefault="00CF6968" w:rsidP="0089220B">
      <w:pPr>
        <w:pStyle w:val="TOSM"/>
        <w:rPr>
          <w:color w:val="000000" w:themeColor="text1"/>
        </w:rPr>
      </w:pPr>
      <w:r w:rsidRPr="00F83DA8">
        <w:rPr>
          <w:color w:val="000000" w:themeColor="text1"/>
        </w:rPr>
        <w:br w:type="page"/>
      </w:r>
    </w:p>
    <w:tbl>
      <w:tblPr>
        <w:tblW w:w="4948"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6"/>
        <w:gridCol w:w="2250"/>
        <w:gridCol w:w="309"/>
        <w:gridCol w:w="4485"/>
      </w:tblGrid>
      <w:tr w:rsidR="00F83DA8" w:rsidRPr="00F83DA8" w14:paraId="632DC5D1" w14:textId="77777777" w:rsidTr="00267405">
        <w:tc>
          <w:tcPr>
            <w:tcW w:w="304" w:type="pct"/>
          </w:tcPr>
          <w:p w14:paraId="37A15082" w14:textId="77777777" w:rsidR="00CF6968" w:rsidRPr="00F83DA8" w:rsidRDefault="00CF6968" w:rsidP="0089220B">
            <w:pPr>
              <w:numPr>
                <w:ilvl w:val="0"/>
                <w:numId w:val="5"/>
              </w:numPr>
              <w:spacing w:after="120"/>
              <w:rPr>
                <w:rFonts w:cs="Arial"/>
                <w:snapToGrid w:val="0"/>
                <w:color w:val="000000" w:themeColor="text1"/>
                <w:szCs w:val="20"/>
              </w:rPr>
            </w:pPr>
          </w:p>
        </w:tc>
        <w:tc>
          <w:tcPr>
            <w:tcW w:w="1500" w:type="pct"/>
          </w:tcPr>
          <w:p w14:paraId="429A5C86" w14:textId="77777777" w:rsidR="00CF6968" w:rsidRPr="00F83DA8" w:rsidRDefault="00CF6968" w:rsidP="0089220B">
            <w:pPr>
              <w:spacing w:after="120"/>
              <w:rPr>
                <w:rFonts w:cs="Arial"/>
                <w:color w:val="000000" w:themeColor="text1"/>
                <w:szCs w:val="20"/>
              </w:rPr>
            </w:pPr>
            <w:r w:rsidRPr="00F83DA8">
              <w:rPr>
                <w:rFonts w:cs="Arial"/>
                <w:snapToGrid w:val="0"/>
                <w:color w:val="000000" w:themeColor="text1"/>
                <w:szCs w:val="20"/>
              </w:rPr>
              <w:t>Sector</w:t>
            </w:r>
          </w:p>
        </w:tc>
        <w:tc>
          <w:tcPr>
            <w:tcW w:w="206" w:type="pct"/>
          </w:tcPr>
          <w:p w14:paraId="36DC5D97"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2990" w:type="pct"/>
          </w:tcPr>
          <w:p w14:paraId="3EFF4CB0"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Forestry</w:t>
            </w:r>
          </w:p>
        </w:tc>
      </w:tr>
      <w:tr w:rsidR="00F83DA8" w:rsidRPr="00F83DA8" w14:paraId="2021EBA4" w14:textId="77777777" w:rsidTr="00267405">
        <w:tc>
          <w:tcPr>
            <w:tcW w:w="304" w:type="pct"/>
          </w:tcPr>
          <w:p w14:paraId="6E0AC082" w14:textId="77777777" w:rsidR="00712657" w:rsidRPr="00F83DA8" w:rsidRDefault="00712657" w:rsidP="0089220B">
            <w:pPr>
              <w:spacing w:after="120"/>
              <w:rPr>
                <w:rFonts w:cs="Arial"/>
                <w:color w:val="000000" w:themeColor="text1"/>
                <w:szCs w:val="20"/>
              </w:rPr>
            </w:pPr>
          </w:p>
        </w:tc>
        <w:tc>
          <w:tcPr>
            <w:tcW w:w="1500" w:type="pct"/>
          </w:tcPr>
          <w:p w14:paraId="2D883669" w14:textId="77777777" w:rsidR="00712657" w:rsidRPr="00F83DA8" w:rsidRDefault="00712657" w:rsidP="0089220B">
            <w:pPr>
              <w:spacing w:after="120"/>
              <w:rPr>
                <w:rFonts w:cs="Arial"/>
                <w:snapToGrid w:val="0"/>
                <w:color w:val="000000" w:themeColor="text1"/>
                <w:szCs w:val="20"/>
              </w:rPr>
            </w:pPr>
            <w:r w:rsidRPr="00F83DA8">
              <w:rPr>
                <w:rFonts w:cs="Arial"/>
                <w:snapToGrid w:val="0"/>
                <w:color w:val="000000" w:themeColor="text1"/>
                <w:szCs w:val="20"/>
              </w:rPr>
              <w:t>Obligations Concerned</w:t>
            </w:r>
          </w:p>
        </w:tc>
        <w:tc>
          <w:tcPr>
            <w:tcW w:w="206" w:type="pct"/>
          </w:tcPr>
          <w:p w14:paraId="5D9C254C" w14:textId="77777777" w:rsidR="00712657" w:rsidRPr="00F83DA8" w:rsidRDefault="00712657"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2990" w:type="pct"/>
          </w:tcPr>
          <w:p w14:paraId="1B774F4E" w14:textId="7BF415CF" w:rsidR="00712657" w:rsidRPr="00F83DA8" w:rsidRDefault="00712657" w:rsidP="0089220B">
            <w:pPr>
              <w:pStyle w:val="TOSM"/>
              <w:jc w:val="both"/>
              <w:rPr>
                <w:color w:val="000000" w:themeColor="text1"/>
              </w:rPr>
            </w:pPr>
            <w:r w:rsidRPr="00F83DA8">
              <w:rPr>
                <w:color w:val="000000" w:themeColor="text1"/>
              </w:rPr>
              <w:t>National Treatment</w:t>
            </w:r>
          </w:p>
          <w:p w14:paraId="4B2A10D1" w14:textId="1CAD0F73" w:rsidR="00712657" w:rsidRPr="00F83DA8" w:rsidRDefault="00712657" w:rsidP="0089220B">
            <w:pPr>
              <w:pStyle w:val="TOSM"/>
              <w:jc w:val="both"/>
              <w:rPr>
                <w:color w:val="000000" w:themeColor="text1"/>
              </w:rPr>
            </w:pPr>
            <w:r w:rsidRPr="00F83DA8">
              <w:rPr>
                <w:color w:val="000000" w:themeColor="text1"/>
              </w:rPr>
              <w:t>Most-</w:t>
            </w:r>
            <w:proofErr w:type="spellStart"/>
            <w:r w:rsidRPr="00F83DA8">
              <w:rPr>
                <w:color w:val="000000" w:themeColor="text1"/>
              </w:rPr>
              <w:t>Favoured</w:t>
            </w:r>
            <w:proofErr w:type="spellEnd"/>
            <w:r w:rsidRPr="00F83DA8">
              <w:rPr>
                <w:color w:val="000000" w:themeColor="text1"/>
              </w:rPr>
              <w:t xml:space="preserve">-Nation Treatment </w:t>
            </w:r>
          </w:p>
          <w:p w14:paraId="356B7197" w14:textId="328A0134" w:rsidR="00A00A88" w:rsidRPr="00F83DA8" w:rsidRDefault="00A00A88" w:rsidP="0089220B">
            <w:pPr>
              <w:pStyle w:val="TOSM"/>
              <w:jc w:val="both"/>
              <w:rPr>
                <w:color w:val="000000" w:themeColor="text1"/>
              </w:rPr>
            </w:pPr>
            <w:r w:rsidRPr="00F83DA8">
              <w:rPr>
                <w:color w:val="000000" w:themeColor="text1"/>
              </w:rPr>
              <w:t xml:space="preserve">Senior Management and Board of Directors </w:t>
            </w:r>
          </w:p>
          <w:p w14:paraId="70203F1B" w14:textId="3AF88B6F" w:rsidR="00712657" w:rsidRPr="00F83DA8" w:rsidRDefault="00712657" w:rsidP="0089220B">
            <w:pPr>
              <w:pStyle w:val="TOSM"/>
              <w:jc w:val="both"/>
              <w:rPr>
                <w:color w:val="000000" w:themeColor="text1"/>
              </w:rPr>
            </w:pPr>
            <w:r w:rsidRPr="00F83DA8">
              <w:rPr>
                <w:color w:val="000000" w:themeColor="text1"/>
              </w:rPr>
              <w:t xml:space="preserve">Prohibition of Performance Requirements </w:t>
            </w:r>
          </w:p>
        </w:tc>
      </w:tr>
      <w:tr w:rsidR="00F83DA8" w:rsidRPr="00F83DA8" w14:paraId="3662D06C" w14:textId="77777777" w:rsidTr="00267405">
        <w:tc>
          <w:tcPr>
            <w:tcW w:w="304" w:type="pct"/>
          </w:tcPr>
          <w:p w14:paraId="5059BDBB" w14:textId="77777777" w:rsidR="00CF6968" w:rsidRPr="00F83DA8" w:rsidRDefault="00CF6968" w:rsidP="0089220B">
            <w:pPr>
              <w:spacing w:after="120"/>
              <w:rPr>
                <w:rFonts w:cs="Arial"/>
                <w:snapToGrid w:val="0"/>
                <w:color w:val="000000" w:themeColor="text1"/>
                <w:szCs w:val="20"/>
              </w:rPr>
            </w:pPr>
          </w:p>
        </w:tc>
        <w:tc>
          <w:tcPr>
            <w:tcW w:w="1500" w:type="pct"/>
          </w:tcPr>
          <w:p w14:paraId="1DD08FE5"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Description</w:t>
            </w:r>
          </w:p>
        </w:tc>
        <w:tc>
          <w:tcPr>
            <w:tcW w:w="206" w:type="pct"/>
          </w:tcPr>
          <w:p w14:paraId="652CF950"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2990" w:type="pct"/>
          </w:tcPr>
          <w:p w14:paraId="096569F4" w14:textId="77777777" w:rsidR="00CF6968" w:rsidRPr="00F83DA8" w:rsidRDefault="00CF6968" w:rsidP="0089220B">
            <w:pPr>
              <w:pStyle w:val="DM"/>
              <w:spacing w:after="120"/>
              <w:jc w:val="both"/>
              <w:rPr>
                <w:color w:val="000000" w:themeColor="text1"/>
              </w:rPr>
            </w:pPr>
            <w:r w:rsidRPr="00F83DA8">
              <w:rPr>
                <w:color w:val="000000" w:themeColor="text1"/>
              </w:rPr>
              <w:t>Non-citizens and juridical persons owned by foreign nationals will need to seek the approval of the relevant state authority, and are subject to such conditions and restrictions as may be imposed by the relevant state authority.</w:t>
            </w:r>
          </w:p>
          <w:p w14:paraId="129E5ABC" w14:textId="77777777" w:rsidR="00CF6968" w:rsidRPr="00F83DA8" w:rsidRDefault="00CF6968" w:rsidP="0089220B">
            <w:pPr>
              <w:pStyle w:val="DM"/>
              <w:spacing w:after="120"/>
              <w:jc w:val="both"/>
              <w:rPr>
                <w:color w:val="000000" w:themeColor="text1"/>
              </w:rPr>
            </w:pPr>
            <w:r w:rsidRPr="00F83DA8">
              <w:rPr>
                <w:color w:val="000000" w:themeColor="text1"/>
              </w:rPr>
              <w:t>Extraction and harvesting of timber are closed to foreign investors in Peninsular Malaysia and Sabah. However, for Sarawak, local involvement and majority local control are required. Forest areas opened for such activities are subject to an Annual Allowable Cut to enable the resources to be managed sustainably.</w:t>
            </w:r>
          </w:p>
          <w:p w14:paraId="600B8E66" w14:textId="77777777" w:rsidR="00CF6968" w:rsidRPr="00F83DA8" w:rsidRDefault="00CF6968" w:rsidP="0089220B">
            <w:pPr>
              <w:pStyle w:val="TOSM"/>
              <w:jc w:val="both"/>
              <w:rPr>
                <w:color w:val="000000" w:themeColor="text1"/>
              </w:rPr>
            </w:pPr>
            <w:r w:rsidRPr="00F83DA8">
              <w:rPr>
                <w:color w:val="000000" w:themeColor="text1"/>
              </w:rPr>
              <w:t>Services incidental to extraction and harvesting of timber are closed to foreign investors in Peninsular Malaysia and Sabah. However, for Sarawak, the maximum foreign equity ownership allowed is 30 per cent.</w:t>
            </w:r>
          </w:p>
        </w:tc>
      </w:tr>
      <w:tr w:rsidR="00CF6968" w:rsidRPr="00F83DA8" w14:paraId="5C762A3C" w14:textId="77777777" w:rsidTr="00267405">
        <w:tc>
          <w:tcPr>
            <w:tcW w:w="304" w:type="pct"/>
          </w:tcPr>
          <w:p w14:paraId="07E29242" w14:textId="77777777" w:rsidR="00CF6968" w:rsidRPr="00F83DA8" w:rsidRDefault="00CF6968" w:rsidP="0089220B">
            <w:pPr>
              <w:spacing w:after="120"/>
              <w:rPr>
                <w:rFonts w:cs="Arial"/>
                <w:color w:val="000000" w:themeColor="text1"/>
                <w:szCs w:val="20"/>
              </w:rPr>
            </w:pPr>
          </w:p>
        </w:tc>
        <w:tc>
          <w:tcPr>
            <w:tcW w:w="1500" w:type="pct"/>
          </w:tcPr>
          <w:p w14:paraId="1A11AB58"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Existing Measures</w:t>
            </w:r>
          </w:p>
        </w:tc>
        <w:tc>
          <w:tcPr>
            <w:tcW w:w="206" w:type="pct"/>
          </w:tcPr>
          <w:p w14:paraId="32E71FBE"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w:t>
            </w:r>
          </w:p>
        </w:tc>
        <w:tc>
          <w:tcPr>
            <w:tcW w:w="2990" w:type="pct"/>
          </w:tcPr>
          <w:p w14:paraId="67B98E84" w14:textId="77777777" w:rsidR="00CF6968" w:rsidRPr="00F83DA8" w:rsidRDefault="00CF6968" w:rsidP="0089220B">
            <w:pPr>
              <w:pStyle w:val="TOSM"/>
              <w:jc w:val="both"/>
              <w:rPr>
                <w:color w:val="000000" w:themeColor="text1"/>
              </w:rPr>
            </w:pPr>
            <w:r w:rsidRPr="0027032F">
              <w:rPr>
                <w:i/>
                <w:color w:val="000000" w:themeColor="text1"/>
              </w:rPr>
              <w:t>National Forestry Act 1984</w:t>
            </w:r>
            <w:r w:rsidRPr="00F83DA8">
              <w:rPr>
                <w:color w:val="000000" w:themeColor="text1"/>
              </w:rPr>
              <w:t xml:space="preserve"> [Act 313] </w:t>
            </w:r>
          </w:p>
          <w:p w14:paraId="549D5DA1" w14:textId="505BC035" w:rsidR="00CF6968" w:rsidRPr="00F83DA8" w:rsidRDefault="00CF6968" w:rsidP="0089220B">
            <w:pPr>
              <w:pStyle w:val="TOSM"/>
              <w:jc w:val="both"/>
              <w:rPr>
                <w:color w:val="000000" w:themeColor="text1"/>
              </w:rPr>
            </w:pPr>
            <w:r w:rsidRPr="0027032F">
              <w:rPr>
                <w:i/>
                <w:color w:val="000000" w:themeColor="text1"/>
              </w:rPr>
              <w:t>Sabah Forest Enactment 1968</w:t>
            </w:r>
            <w:r w:rsidRPr="00F83DA8">
              <w:rPr>
                <w:color w:val="000000" w:themeColor="text1"/>
              </w:rPr>
              <w:t xml:space="preserve"> [</w:t>
            </w:r>
            <w:r w:rsidR="0066186B">
              <w:rPr>
                <w:color w:val="000000" w:themeColor="text1"/>
              </w:rPr>
              <w:t xml:space="preserve">Sabah </w:t>
            </w:r>
            <w:r w:rsidRPr="00F83DA8">
              <w:rPr>
                <w:color w:val="000000" w:themeColor="text1"/>
              </w:rPr>
              <w:t>No. 2 of 1968]</w:t>
            </w:r>
          </w:p>
          <w:p w14:paraId="341DD71C" w14:textId="1733B1FA" w:rsidR="00CF6968" w:rsidRPr="00F83DA8" w:rsidRDefault="00CF6968" w:rsidP="0089220B">
            <w:pPr>
              <w:pStyle w:val="TOSM"/>
              <w:jc w:val="both"/>
              <w:rPr>
                <w:color w:val="000000" w:themeColor="text1"/>
              </w:rPr>
            </w:pPr>
            <w:r w:rsidRPr="0027032F">
              <w:rPr>
                <w:i/>
                <w:color w:val="000000" w:themeColor="text1"/>
              </w:rPr>
              <w:t>Sarawak Forest</w:t>
            </w:r>
            <w:r w:rsidR="00B27AA4">
              <w:rPr>
                <w:i/>
                <w:color w:val="000000" w:themeColor="text1"/>
              </w:rPr>
              <w:t>s</w:t>
            </w:r>
            <w:r w:rsidRPr="0027032F">
              <w:rPr>
                <w:i/>
                <w:color w:val="000000" w:themeColor="text1"/>
              </w:rPr>
              <w:t xml:space="preserve"> Ordinance 2015</w:t>
            </w:r>
            <w:r w:rsidRPr="00F83DA8">
              <w:rPr>
                <w:color w:val="000000" w:themeColor="text1"/>
              </w:rPr>
              <w:t xml:space="preserve"> [C</w:t>
            </w:r>
            <w:r w:rsidR="006613CE">
              <w:rPr>
                <w:color w:val="000000" w:themeColor="text1"/>
              </w:rPr>
              <w:t>hapter</w:t>
            </w:r>
            <w:r w:rsidRPr="00F83DA8">
              <w:rPr>
                <w:color w:val="000000" w:themeColor="text1"/>
              </w:rPr>
              <w:t xml:space="preserve"> 71]</w:t>
            </w:r>
          </w:p>
          <w:p w14:paraId="704A61D8" w14:textId="77777777" w:rsidR="00CF6968" w:rsidRPr="00F83DA8" w:rsidRDefault="00CF6968" w:rsidP="0089220B">
            <w:pPr>
              <w:pStyle w:val="TOSM"/>
              <w:jc w:val="both"/>
              <w:rPr>
                <w:color w:val="000000" w:themeColor="text1"/>
              </w:rPr>
            </w:pPr>
            <w:r w:rsidRPr="0027032F">
              <w:rPr>
                <w:i/>
                <w:color w:val="000000" w:themeColor="text1"/>
              </w:rPr>
              <w:t>International Trade in Endangered Species Act 2008</w:t>
            </w:r>
            <w:r w:rsidRPr="00F83DA8">
              <w:rPr>
                <w:color w:val="000000" w:themeColor="text1"/>
              </w:rPr>
              <w:t xml:space="preserve"> [Act 686]</w:t>
            </w:r>
          </w:p>
          <w:p w14:paraId="70988B8F" w14:textId="77777777" w:rsidR="00CF6968" w:rsidRPr="00F83DA8" w:rsidRDefault="00CF6968" w:rsidP="0089220B">
            <w:pPr>
              <w:pStyle w:val="TOSM"/>
              <w:jc w:val="both"/>
              <w:rPr>
                <w:color w:val="000000" w:themeColor="text1"/>
              </w:rPr>
            </w:pPr>
            <w:r w:rsidRPr="0027032F">
              <w:rPr>
                <w:i/>
                <w:color w:val="000000" w:themeColor="text1"/>
              </w:rPr>
              <w:t>Wildlife Conservation Act 2010</w:t>
            </w:r>
            <w:r w:rsidRPr="00F83DA8">
              <w:rPr>
                <w:color w:val="000000" w:themeColor="text1"/>
              </w:rPr>
              <w:t xml:space="preserve"> [Act 716]</w:t>
            </w:r>
          </w:p>
          <w:p w14:paraId="38CD3E1D" w14:textId="77777777" w:rsidR="006B6EE0" w:rsidRDefault="006B6EE0" w:rsidP="006B6EE0">
            <w:pPr>
              <w:pStyle w:val="TOSM"/>
              <w:jc w:val="both"/>
              <w:rPr>
                <w:color w:val="000000" w:themeColor="text1"/>
              </w:rPr>
            </w:pPr>
            <w:r w:rsidRPr="00297024">
              <w:rPr>
                <w:i/>
                <w:color w:val="000000" w:themeColor="text1"/>
              </w:rPr>
              <w:t>Malaysia Timber Industry Board (Incorporation) Act 1973</w:t>
            </w:r>
            <w:r w:rsidRPr="00F83DA8">
              <w:rPr>
                <w:color w:val="000000" w:themeColor="text1"/>
              </w:rPr>
              <w:t xml:space="preserve"> </w:t>
            </w:r>
            <w:r>
              <w:rPr>
                <w:color w:val="000000" w:themeColor="text1"/>
              </w:rPr>
              <w:t>[</w:t>
            </w:r>
            <w:r w:rsidRPr="00F83DA8">
              <w:rPr>
                <w:color w:val="000000" w:themeColor="text1"/>
              </w:rPr>
              <w:t>Act 105</w:t>
            </w:r>
            <w:r>
              <w:rPr>
                <w:color w:val="000000" w:themeColor="text1"/>
              </w:rPr>
              <w:t>]</w:t>
            </w:r>
          </w:p>
          <w:p w14:paraId="272EE2F7" w14:textId="77777777" w:rsidR="00CF6968" w:rsidRPr="00F83DA8" w:rsidRDefault="00CF6968" w:rsidP="0089220B">
            <w:pPr>
              <w:pStyle w:val="TOSM"/>
              <w:jc w:val="both"/>
              <w:rPr>
                <w:color w:val="000000" w:themeColor="text1"/>
              </w:rPr>
            </w:pPr>
            <w:r w:rsidRPr="00F83DA8">
              <w:rPr>
                <w:color w:val="000000" w:themeColor="text1"/>
              </w:rPr>
              <w:t xml:space="preserve">Malaysia Policy on Forestry 2021 </w:t>
            </w:r>
          </w:p>
          <w:p w14:paraId="0F24D0A2" w14:textId="37FBF8DA" w:rsidR="00B27AA4" w:rsidRPr="00F83DA8" w:rsidRDefault="00B27AA4" w:rsidP="00B27AA4">
            <w:pPr>
              <w:pStyle w:val="TOSM"/>
              <w:jc w:val="both"/>
              <w:rPr>
                <w:color w:val="000000" w:themeColor="text1"/>
              </w:rPr>
            </w:pPr>
            <w:r w:rsidRPr="00F83DA8">
              <w:rPr>
                <w:color w:val="000000" w:themeColor="text1"/>
              </w:rPr>
              <w:t>State Forestry Laws</w:t>
            </w:r>
          </w:p>
          <w:p w14:paraId="4CC5D481" w14:textId="2F65AEDB" w:rsidR="00B27AA4" w:rsidRPr="00F83DA8" w:rsidRDefault="00B27AA4" w:rsidP="00B27AA4">
            <w:pPr>
              <w:pStyle w:val="TOSM"/>
              <w:jc w:val="both"/>
              <w:rPr>
                <w:color w:val="000000" w:themeColor="text1"/>
              </w:rPr>
            </w:pPr>
            <w:r w:rsidRPr="00F83DA8">
              <w:rPr>
                <w:color w:val="000000" w:themeColor="text1"/>
              </w:rPr>
              <w:t>Administrative Guidelines</w:t>
            </w:r>
          </w:p>
        </w:tc>
      </w:tr>
    </w:tbl>
    <w:p w14:paraId="5D48828E" w14:textId="77777777" w:rsidR="00CF6968" w:rsidRPr="00F83DA8" w:rsidRDefault="00CF6968" w:rsidP="0089220B">
      <w:pPr>
        <w:pStyle w:val="TOSM"/>
        <w:rPr>
          <w:color w:val="000000" w:themeColor="text1"/>
        </w:rPr>
      </w:pPr>
      <w:r w:rsidRPr="00F83DA8">
        <w:rPr>
          <w:color w:val="000000" w:themeColor="text1"/>
        </w:rPr>
        <w:br w:type="page"/>
      </w:r>
    </w:p>
    <w:tbl>
      <w:tblPr>
        <w:tblW w:w="4948"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6"/>
        <w:gridCol w:w="2163"/>
        <w:gridCol w:w="309"/>
        <w:gridCol w:w="4572"/>
      </w:tblGrid>
      <w:tr w:rsidR="00F83DA8" w:rsidRPr="00F83DA8" w14:paraId="7ABB1878" w14:textId="77777777" w:rsidTr="00502987">
        <w:tc>
          <w:tcPr>
            <w:tcW w:w="304" w:type="pct"/>
          </w:tcPr>
          <w:p w14:paraId="4EBB0EF4" w14:textId="77777777" w:rsidR="00CF6968" w:rsidRPr="00F83DA8" w:rsidRDefault="00CF6968" w:rsidP="0089220B">
            <w:pPr>
              <w:numPr>
                <w:ilvl w:val="0"/>
                <w:numId w:val="5"/>
              </w:numPr>
              <w:spacing w:after="120"/>
              <w:rPr>
                <w:rFonts w:cs="Arial"/>
                <w:snapToGrid w:val="0"/>
                <w:color w:val="000000" w:themeColor="text1"/>
                <w:szCs w:val="20"/>
              </w:rPr>
            </w:pPr>
          </w:p>
        </w:tc>
        <w:tc>
          <w:tcPr>
            <w:tcW w:w="1442" w:type="pct"/>
          </w:tcPr>
          <w:p w14:paraId="79398D37" w14:textId="77777777" w:rsidR="00CF6968" w:rsidRPr="00F83DA8" w:rsidRDefault="00CF6968" w:rsidP="0089220B">
            <w:pPr>
              <w:spacing w:after="120"/>
              <w:rPr>
                <w:rFonts w:cs="Arial"/>
                <w:color w:val="000000" w:themeColor="text1"/>
                <w:szCs w:val="20"/>
              </w:rPr>
            </w:pPr>
            <w:r w:rsidRPr="00F83DA8">
              <w:rPr>
                <w:rFonts w:cs="Arial"/>
                <w:snapToGrid w:val="0"/>
                <w:color w:val="000000" w:themeColor="text1"/>
                <w:szCs w:val="20"/>
              </w:rPr>
              <w:t>Sector</w:t>
            </w:r>
          </w:p>
        </w:tc>
        <w:tc>
          <w:tcPr>
            <w:tcW w:w="206" w:type="pct"/>
          </w:tcPr>
          <w:p w14:paraId="2FEB6A5F"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48" w:type="pct"/>
          </w:tcPr>
          <w:p w14:paraId="755C8DDC"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All sectors</w:t>
            </w:r>
          </w:p>
        </w:tc>
      </w:tr>
      <w:tr w:rsidR="00F83DA8" w:rsidRPr="00F83DA8" w14:paraId="6BE73C1C" w14:textId="77777777" w:rsidTr="00502987">
        <w:tc>
          <w:tcPr>
            <w:tcW w:w="304" w:type="pct"/>
          </w:tcPr>
          <w:p w14:paraId="76A6B4FE" w14:textId="77777777" w:rsidR="00CF6968" w:rsidRPr="00F83DA8" w:rsidRDefault="00CF6968" w:rsidP="0089220B">
            <w:pPr>
              <w:spacing w:after="120"/>
              <w:rPr>
                <w:rFonts w:cs="Arial"/>
                <w:color w:val="000000" w:themeColor="text1"/>
                <w:szCs w:val="20"/>
              </w:rPr>
            </w:pPr>
          </w:p>
        </w:tc>
        <w:tc>
          <w:tcPr>
            <w:tcW w:w="1442" w:type="pct"/>
          </w:tcPr>
          <w:p w14:paraId="747A68C9"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Subsector</w:t>
            </w:r>
          </w:p>
        </w:tc>
        <w:tc>
          <w:tcPr>
            <w:tcW w:w="206" w:type="pct"/>
          </w:tcPr>
          <w:p w14:paraId="1712D23F"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48" w:type="pct"/>
          </w:tcPr>
          <w:p w14:paraId="48186BAA" w14:textId="77777777" w:rsidR="00CF6968" w:rsidRPr="00F83DA8" w:rsidRDefault="00CF6968" w:rsidP="0089220B">
            <w:pPr>
              <w:spacing w:after="120"/>
              <w:rPr>
                <w:rFonts w:cs="Arial"/>
                <w:color w:val="000000" w:themeColor="text1"/>
              </w:rPr>
            </w:pPr>
            <w:r w:rsidRPr="00F83DA8">
              <w:rPr>
                <w:rFonts w:cs="Arial"/>
                <w:color w:val="000000" w:themeColor="text1"/>
              </w:rPr>
              <w:t>-</w:t>
            </w:r>
          </w:p>
        </w:tc>
      </w:tr>
      <w:tr w:rsidR="00F83DA8" w:rsidRPr="00F83DA8" w14:paraId="690B42E8" w14:textId="77777777" w:rsidTr="00502987">
        <w:tc>
          <w:tcPr>
            <w:tcW w:w="304" w:type="pct"/>
          </w:tcPr>
          <w:p w14:paraId="20F9F8D5" w14:textId="77777777" w:rsidR="00712657" w:rsidRPr="00F83DA8" w:rsidRDefault="00712657" w:rsidP="0089220B">
            <w:pPr>
              <w:spacing w:after="120"/>
              <w:rPr>
                <w:rFonts w:cs="Arial"/>
                <w:color w:val="000000" w:themeColor="text1"/>
                <w:szCs w:val="20"/>
              </w:rPr>
            </w:pPr>
          </w:p>
        </w:tc>
        <w:tc>
          <w:tcPr>
            <w:tcW w:w="1442" w:type="pct"/>
          </w:tcPr>
          <w:p w14:paraId="30CBC431" w14:textId="77777777" w:rsidR="00712657" w:rsidRPr="00F83DA8" w:rsidRDefault="00712657" w:rsidP="0089220B">
            <w:pPr>
              <w:spacing w:after="120"/>
              <w:rPr>
                <w:rFonts w:cs="Arial"/>
                <w:snapToGrid w:val="0"/>
                <w:color w:val="000000" w:themeColor="text1"/>
                <w:szCs w:val="20"/>
              </w:rPr>
            </w:pPr>
            <w:r w:rsidRPr="00F83DA8">
              <w:rPr>
                <w:rFonts w:cs="Arial"/>
                <w:snapToGrid w:val="0"/>
                <w:color w:val="000000" w:themeColor="text1"/>
                <w:szCs w:val="20"/>
              </w:rPr>
              <w:t>Obligations Concerned</w:t>
            </w:r>
          </w:p>
        </w:tc>
        <w:tc>
          <w:tcPr>
            <w:tcW w:w="206" w:type="pct"/>
          </w:tcPr>
          <w:p w14:paraId="14326A37" w14:textId="77777777" w:rsidR="00712657" w:rsidRPr="00F83DA8" w:rsidRDefault="00712657"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48" w:type="pct"/>
          </w:tcPr>
          <w:p w14:paraId="5091D584" w14:textId="02277FD9" w:rsidR="00712657" w:rsidRPr="00F83DA8" w:rsidRDefault="00712657" w:rsidP="0089220B">
            <w:pPr>
              <w:pStyle w:val="TOSM"/>
              <w:jc w:val="both"/>
              <w:rPr>
                <w:color w:val="000000" w:themeColor="text1"/>
              </w:rPr>
            </w:pPr>
            <w:r w:rsidRPr="00F83DA8">
              <w:rPr>
                <w:color w:val="000000" w:themeColor="text1"/>
              </w:rPr>
              <w:t>National Treatment</w:t>
            </w:r>
          </w:p>
          <w:p w14:paraId="05B91647" w14:textId="4F31A3DD" w:rsidR="00712657" w:rsidRPr="00F83DA8" w:rsidRDefault="00712657" w:rsidP="0089220B">
            <w:pPr>
              <w:pStyle w:val="TOSM"/>
              <w:jc w:val="both"/>
              <w:rPr>
                <w:color w:val="000000" w:themeColor="text1"/>
              </w:rPr>
            </w:pPr>
            <w:r w:rsidRPr="00F83DA8">
              <w:rPr>
                <w:color w:val="000000" w:themeColor="text1"/>
              </w:rPr>
              <w:t>Most-</w:t>
            </w:r>
            <w:proofErr w:type="spellStart"/>
            <w:r w:rsidRPr="00F83DA8">
              <w:rPr>
                <w:color w:val="000000" w:themeColor="text1"/>
              </w:rPr>
              <w:t>Favoured</w:t>
            </w:r>
            <w:proofErr w:type="spellEnd"/>
            <w:r w:rsidRPr="00F83DA8">
              <w:rPr>
                <w:color w:val="000000" w:themeColor="text1"/>
              </w:rPr>
              <w:t xml:space="preserve">-Nation Treatment </w:t>
            </w:r>
          </w:p>
          <w:p w14:paraId="4E643AD6" w14:textId="70746454" w:rsidR="00A006C7" w:rsidRPr="00F83DA8" w:rsidRDefault="00A006C7" w:rsidP="0089220B">
            <w:pPr>
              <w:pStyle w:val="TOSM"/>
              <w:jc w:val="both"/>
              <w:rPr>
                <w:color w:val="000000" w:themeColor="text1"/>
              </w:rPr>
            </w:pPr>
            <w:r w:rsidRPr="00F83DA8">
              <w:rPr>
                <w:color w:val="000000" w:themeColor="text1"/>
              </w:rPr>
              <w:t xml:space="preserve">Senior Management and Board of Directors </w:t>
            </w:r>
          </w:p>
          <w:p w14:paraId="5F3756D6" w14:textId="082D3326" w:rsidR="00712657" w:rsidRPr="00F83DA8" w:rsidRDefault="00712657" w:rsidP="0089220B">
            <w:pPr>
              <w:pStyle w:val="TOSM"/>
              <w:jc w:val="both"/>
              <w:rPr>
                <w:color w:val="000000" w:themeColor="text1"/>
              </w:rPr>
            </w:pPr>
            <w:r w:rsidRPr="00F83DA8">
              <w:rPr>
                <w:color w:val="000000" w:themeColor="text1"/>
              </w:rPr>
              <w:t xml:space="preserve">Prohibition of Performance Requirements </w:t>
            </w:r>
          </w:p>
        </w:tc>
      </w:tr>
      <w:tr w:rsidR="00F83DA8" w:rsidRPr="00F83DA8" w14:paraId="6CCBA036" w14:textId="77777777" w:rsidTr="00502987">
        <w:tc>
          <w:tcPr>
            <w:tcW w:w="304" w:type="pct"/>
          </w:tcPr>
          <w:p w14:paraId="70129F16" w14:textId="77777777" w:rsidR="00CF6968" w:rsidRPr="00F83DA8" w:rsidRDefault="00CF6968" w:rsidP="0089220B">
            <w:pPr>
              <w:spacing w:after="120"/>
              <w:rPr>
                <w:rFonts w:cs="Arial"/>
                <w:snapToGrid w:val="0"/>
                <w:color w:val="000000" w:themeColor="text1"/>
                <w:szCs w:val="20"/>
              </w:rPr>
            </w:pPr>
          </w:p>
        </w:tc>
        <w:tc>
          <w:tcPr>
            <w:tcW w:w="1442" w:type="pct"/>
          </w:tcPr>
          <w:p w14:paraId="156E02E9"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Description</w:t>
            </w:r>
          </w:p>
        </w:tc>
        <w:tc>
          <w:tcPr>
            <w:tcW w:w="206" w:type="pct"/>
          </w:tcPr>
          <w:p w14:paraId="3872581F"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48" w:type="pct"/>
          </w:tcPr>
          <w:p w14:paraId="15AB6EF0" w14:textId="77777777" w:rsidR="00CF6968" w:rsidRPr="00F83DA8" w:rsidRDefault="00CF6968" w:rsidP="0089220B">
            <w:pPr>
              <w:pStyle w:val="TOSM"/>
              <w:jc w:val="both"/>
              <w:rPr>
                <w:color w:val="000000" w:themeColor="text1"/>
              </w:rPr>
            </w:pPr>
            <w:r w:rsidRPr="00F83DA8">
              <w:rPr>
                <w:color w:val="000000" w:themeColor="text1"/>
              </w:rPr>
              <w:t>Malaysia reserves the right to adopt or maintain any measure that it considers necessary for the protection of its essential security interests.</w:t>
            </w:r>
          </w:p>
        </w:tc>
      </w:tr>
      <w:tr w:rsidR="00F83DA8" w:rsidRPr="00F83DA8" w14:paraId="60CDA204" w14:textId="77777777" w:rsidTr="00502987">
        <w:tc>
          <w:tcPr>
            <w:tcW w:w="304" w:type="pct"/>
          </w:tcPr>
          <w:p w14:paraId="5ACE2C34" w14:textId="77777777" w:rsidR="00CF6968" w:rsidRPr="00F83DA8" w:rsidRDefault="00CF6968" w:rsidP="0089220B">
            <w:pPr>
              <w:spacing w:after="120"/>
              <w:rPr>
                <w:rFonts w:cs="Arial"/>
                <w:color w:val="000000" w:themeColor="text1"/>
                <w:szCs w:val="20"/>
              </w:rPr>
            </w:pPr>
          </w:p>
        </w:tc>
        <w:tc>
          <w:tcPr>
            <w:tcW w:w="1442" w:type="pct"/>
          </w:tcPr>
          <w:p w14:paraId="3282B902"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Existing Measures</w:t>
            </w:r>
          </w:p>
        </w:tc>
        <w:tc>
          <w:tcPr>
            <w:tcW w:w="206" w:type="pct"/>
          </w:tcPr>
          <w:p w14:paraId="5C004DB4"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w:t>
            </w:r>
          </w:p>
        </w:tc>
        <w:tc>
          <w:tcPr>
            <w:tcW w:w="3048" w:type="pct"/>
          </w:tcPr>
          <w:p w14:paraId="12B1D347" w14:textId="77777777" w:rsidR="00CF6968" w:rsidRPr="00F83DA8" w:rsidRDefault="00CF6968" w:rsidP="0089220B">
            <w:pPr>
              <w:spacing w:after="120"/>
              <w:jc w:val="both"/>
              <w:rPr>
                <w:rFonts w:cs="Arial"/>
                <w:color w:val="000000" w:themeColor="text1"/>
              </w:rPr>
            </w:pPr>
            <w:r w:rsidRPr="0027032F">
              <w:rPr>
                <w:rFonts w:cs="Arial"/>
                <w:i/>
                <w:color w:val="000000" w:themeColor="text1"/>
              </w:rPr>
              <w:t>Strategic Trade Act 2010</w:t>
            </w:r>
            <w:r w:rsidRPr="00F83DA8">
              <w:rPr>
                <w:rFonts w:cs="Arial"/>
                <w:color w:val="000000" w:themeColor="text1"/>
              </w:rPr>
              <w:t xml:space="preserve"> [Act 708]</w:t>
            </w:r>
          </w:p>
          <w:p w14:paraId="4B02F8F3" w14:textId="77777777" w:rsidR="00CF6968" w:rsidRPr="00F83DA8" w:rsidRDefault="00CF6968" w:rsidP="0089220B">
            <w:pPr>
              <w:spacing w:after="120"/>
              <w:jc w:val="both"/>
              <w:rPr>
                <w:rFonts w:cs="Arial"/>
                <w:color w:val="000000" w:themeColor="text1"/>
              </w:rPr>
            </w:pPr>
            <w:r w:rsidRPr="0027032F">
              <w:rPr>
                <w:rFonts w:cs="Arial"/>
                <w:i/>
                <w:color w:val="000000" w:themeColor="text1"/>
              </w:rPr>
              <w:t>Anti-Money Laundering, Anti-Terrorism Financing and Proceeds of Unlawful Activities Act 2001</w:t>
            </w:r>
            <w:r w:rsidRPr="00F83DA8">
              <w:rPr>
                <w:rFonts w:cs="Arial"/>
                <w:color w:val="000000" w:themeColor="text1"/>
              </w:rPr>
              <w:t xml:space="preserve"> [Act 613]</w:t>
            </w:r>
          </w:p>
          <w:p w14:paraId="27BCAF1D" w14:textId="588F178B" w:rsidR="006613CE" w:rsidRPr="00F83DA8" w:rsidRDefault="00CF6968" w:rsidP="006613CE">
            <w:pPr>
              <w:spacing w:after="120"/>
              <w:jc w:val="both"/>
              <w:rPr>
                <w:rFonts w:cs="Arial"/>
                <w:color w:val="000000" w:themeColor="text1"/>
              </w:rPr>
            </w:pPr>
            <w:r w:rsidRPr="0027032F">
              <w:rPr>
                <w:rFonts w:cs="Arial"/>
                <w:i/>
                <w:color w:val="000000" w:themeColor="text1"/>
              </w:rPr>
              <w:t>Chemical Weapons Convention Act 2005</w:t>
            </w:r>
            <w:r w:rsidRPr="00F83DA8">
              <w:rPr>
                <w:rFonts w:cs="Arial"/>
                <w:color w:val="000000" w:themeColor="text1"/>
              </w:rPr>
              <w:t xml:space="preserve"> [Act 641]</w:t>
            </w:r>
          </w:p>
          <w:p w14:paraId="69DAC3CF" w14:textId="77777777" w:rsidR="00CF6968" w:rsidRPr="00F83DA8" w:rsidRDefault="00CF6968" w:rsidP="0089220B">
            <w:pPr>
              <w:spacing w:after="120"/>
              <w:jc w:val="both"/>
              <w:rPr>
                <w:rFonts w:cs="Arial"/>
                <w:color w:val="000000" w:themeColor="text1"/>
              </w:rPr>
            </w:pPr>
            <w:r w:rsidRPr="0027032F">
              <w:rPr>
                <w:rFonts w:cs="Arial"/>
                <w:i/>
                <w:color w:val="000000" w:themeColor="text1"/>
              </w:rPr>
              <w:t>Arms Act 1960</w:t>
            </w:r>
            <w:r w:rsidRPr="00F83DA8">
              <w:rPr>
                <w:rFonts w:cs="Arial"/>
                <w:color w:val="000000" w:themeColor="text1"/>
              </w:rPr>
              <w:t xml:space="preserve"> [Act 206]</w:t>
            </w:r>
          </w:p>
          <w:p w14:paraId="0896DC8E" w14:textId="77777777" w:rsidR="00CF6968" w:rsidRPr="00F83DA8" w:rsidRDefault="00CF6968" w:rsidP="0089220B">
            <w:pPr>
              <w:spacing w:after="120"/>
              <w:jc w:val="both"/>
              <w:rPr>
                <w:rFonts w:cs="Arial"/>
                <w:color w:val="000000" w:themeColor="text1"/>
              </w:rPr>
            </w:pPr>
            <w:r w:rsidRPr="0027032F">
              <w:rPr>
                <w:rFonts w:cs="Arial"/>
                <w:i/>
                <w:color w:val="000000" w:themeColor="text1"/>
              </w:rPr>
              <w:t>Explosive Act 1957</w:t>
            </w:r>
            <w:r w:rsidRPr="00F83DA8">
              <w:rPr>
                <w:rFonts w:cs="Arial"/>
                <w:color w:val="000000" w:themeColor="text1"/>
              </w:rPr>
              <w:t xml:space="preserve"> [Act 207]</w:t>
            </w:r>
          </w:p>
          <w:p w14:paraId="1E97ECD5" w14:textId="1A71B668" w:rsidR="00CF6968" w:rsidRPr="00F83DA8" w:rsidRDefault="00CF6968" w:rsidP="0089220B">
            <w:pPr>
              <w:spacing w:after="120"/>
              <w:jc w:val="both"/>
              <w:rPr>
                <w:rFonts w:cs="Arial"/>
                <w:color w:val="000000" w:themeColor="text1"/>
              </w:rPr>
            </w:pPr>
            <w:r w:rsidRPr="0027032F">
              <w:rPr>
                <w:rFonts w:cs="Arial"/>
                <w:i/>
                <w:color w:val="000000" w:themeColor="text1"/>
              </w:rPr>
              <w:t>Chemical Weapons Convention Regulations 2007</w:t>
            </w:r>
            <w:r w:rsidRPr="00F83DA8">
              <w:rPr>
                <w:rFonts w:cs="Arial"/>
                <w:color w:val="000000" w:themeColor="text1"/>
              </w:rPr>
              <w:t xml:space="preserve"> [P</w:t>
            </w:r>
            <w:r w:rsidR="006613CE">
              <w:rPr>
                <w:rFonts w:cs="Arial"/>
                <w:color w:val="000000" w:themeColor="text1"/>
              </w:rPr>
              <w:t>.</w:t>
            </w:r>
            <w:r w:rsidRPr="00F83DA8">
              <w:rPr>
                <w:rFonts w:cs="Arial"/>
                <w:color w:val="000000" w:themeColor="text1"/>
              </w:rPr>
              <w:t>U</w:t>
            </w:r>
            <w:r w:rsidR="006613CE">
              <w:rPr>
                <w:rFonts w:cs="Arial"/>
                <w:color w:val="000000" w:themeColor="text1"/>
              </w:rPr>
              <w:t>.</w:t>
            </w:r>
            <w:r w:rsidRPr="00F83DA8">
              <w:rPr>
                <w:rFonts w:cs="Arial"/>
                <w:color w:val="000000" w:themeColor="text1"/>
              </w:rPr>
              <w:t>(A) 361/2007]</w:t>
            </w:r>
          </w:p>
          <w:p w14:paraId="45657887" w14:textId="77777777" w:rsidR="00CF6968" w:rsidRPr="00F83DA8" w:rsidRDefault="00CF6968" w:rsidP="0089220B">
            <w:pPr>
              <w:spacing w:after="120"/>
              <w:jc w:val="both"/>
              <w:rPr>
                <w:rFonts w:cs="Arial"/>
                <w:color w:val="000000" w:themeColor="text1"/>
              </w:rPr>
            </w:pPr>
            <w:r w:rsidRPr="00F83DA8">
              <w:rPr>
                <w:rFonts w:cs="Arial"/>
                <w:color w:val="000000" w:themeColor="text1"/>
              </w:rPr>
              <w:t xml:space="preserve">Customs Prohibition of Imports and Exports Orders </w:t>
            </w:r>
          </w:p>
        </w:tc>
      </w:tr>
    </w:tbl>
    <w:p w14:paraId="4BCD5E86" w14:textId="77777777" w:rsidR="00CF6968" w:rsidRPr="00F83DA8" w:rsidRDefault="00CF6968" w:rsidP="0089220B">
      <w:pPr>
        <w:pStyle w:val="TOSM"/>
        <w:rPr>
          <w:color w:val="000000" w:themeColor="text1"/>
        </w:rPr>
      </w:pPr>
      <w:r w:rsidRPr="00F83DA8">
        <w:rPr>
          <w:color w:val="000000" w:themeColor="text1"/>
        </w:rPr>
        <w:br w:type="page"/>
      </w:r>
    </w:p>
    <w:tbl>
      <w:tblPr>
        <w:tblW w:w="4948"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4"/>
        <w:gridCol w:w="2162"/>
        <w:gridCol w:w="309"/>
        <w:gridCol w:w="4575"/>
      </w:tblGrid>
      <w:tr w:rsidR="00F83DA8" w:rsidRPr="00F83DA8" w14:paraId="62482818" w14:textId="77777777" w:rsidTr="00267405">
        <w:tc>
          <w:tcPr>
            <w:tcW w:w="303" w:type="pct"/>
          </w:tcPr>
          <w:p w14:paraId="214EBE9E" w14:textId="77777777" w:rsidR="00CF6968" w:rsidRPr="00F83DA8" w:rsidRDefault="00CF6968" w:rsidP="0089220B">
            <w:pPr>
              <w:numPr>
                <w:ilvl w:val="0"/>
                <w:numId w:val="5"/>
              </w:numPr>
              <w:spacing w:after="120"/>
              <w:rPr>
                <w:rFonts w:cs="Arial"/>
                <w:snapToGrid w:val="0"/>
                <w:color w:val="000000" w:themeColor="text1"/>
                <w:szCs w:val="20"/>
              </w:rPr>
            </w:pPr>
          </w:p>
        </w:tc>
        <w:tc>
          <w:tcPr>
            <w:tcW w:w="1441" w:type="pct"/>
          </w:tcPr>
          <w:p w14:paraId="64F364B3" w14:textId="77777777" w:rsidR="00CF6968" w:rsidRPr="00F83DA8" w:rsidRDefault="00CF6968" w:rsidP="0089220B">
            <w:pPr>
              <w:spacing w:after="120"/>
              <w:rPr>
                <w:rFonts w:cs="Arial"/>
                <w:color w:val="000000" w:themeColor="text1"/>
                <w:szCs w:val="20"/>
              </w:rPr>
            </w:pPr>
            <w:r w:rsidRPr="00F83DA8">
              <w:rPr>
                <w:rFonts w:cs="Arial"/>
                <w:snapToGrid w:val="0"/>
                <w:color w:val="000000" w:themeColor="text1"/>
                <w:szCs w:val="20"/>
              </w:rPr>
              <w:t>Sector</w:t>
            </w:r>
          </w:p>
        </w:tc>
        <w:tc>
          <w:tcPr>
            <w:tcW w:w="206" w:type="pct"/>
          </w:tcPr>
          <w:p w14:paraId="686B14CC"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49" w:type="pct"/>
          </w:tcPr>
          <w:p w14:paraId="6F09B3EB"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All sectors</w:t>
            </w:r>
          </w:p>
        </w:tc>
      </w:tr>
      <w:tr w:rsidR="00F83DA8" w:rsidRPr="00F83DA8" w14:paraId="71E64687" w14:textId="77777777" w:rsidTr="00267405">
        <w:tc>
          <w:tcPr>
            <w:tcW w:w="303" w:type="pct"/>
          </w:tcPr>
          <w:p w14:paraId="053705F3" w14:textId="77777777" w:rsidR="00CF6968" w:rsidRPr="00F83DA8" w:rsidRDefault="00CF6968" w:rsidP="0089220B">
            <w:pPr>
              <w:spacing w:after="120"/>
              <w:rPr>
                <w:rFonts w:cs="Arial"/>
                <w:color w:val="000000" w:themeColor="text1"/>
                <w:szCs w:val="20"/>
              </w:rPr>
            </w:pPr>
          </w:p>
        </w:tc>
        <w:tc>
          <w:tcPr>
            <w:tcW w:w="1441" w:type="pct"/>
          </w:tcPr>
          <w:p w14:paraId="2AEBFDF7"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Subsector</w:t>
            </w:r>
          </w:p>
        </w:tc>
        <w:tc>
          <w:tcPr>
            <w:tcW w:w="206" w:type="pct"/>
          </w:tcPr>
          <w:p w14:paraId="3A7AB988"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49" w:type="pct"/>
          </w:tcPr>
          <w:p w14:paraId="112C7737" w14:textId="77777777" w:rsidR="00CF6968" w:rsidRPr="00F83DA8" w:rsidRDefault="00CF6968" w:rsidP="0089220B">
            <w:pPr>
              <w:spacing w:after="120"/>
              <w:rPr>
                <w:rFonts w:cs="Arial"/>
                <w:color w:val="000000" w:themeColor="text1"/>
              </w:rPr>
            </w:pPr>
            <w:r w:rsidRPr="00F83DA8">
              <w:rPr>
                <w:rFonts w:cs="Arial"/>
                <w:color w:val="000000" w:themeColor="text1"/>
              </w:rPr>
              <w:t>-</w:t>
            </w:r>
          </w:p>
        </w:tc>
      </w:tr>
      <w:tr w:rsidR="00F83DA8" w:rsidRPr="00F83DA8" w14:paraId="7CBAA429" w14:textId="77777777" w:rsidTr="00267405">
        <w:tc>
          <w:tcPr>
            <w:tcW w:w="303" w:type="pct"/>
          </w:tcPr>
          <w:p w14:paraId="2A2CA92C" w14:textId="77777777" w:rsidR="000174A4" w:rsidRPr="00F83DA8" w:rsidRDefault="000174A4" w:rsidP="0089220B">
            <w:pPr>
              <w:spacing w:after="120"/>
              <w:rPr>
                <w:rFonts w:cs="Arial"/>
                <w:color w:val="000000" w:themeColor="text1"/>
                <w:szCs w:val="20"/>
              </w:rPr>
            </w:pPr>
          </w:p>
        </w:tc>
        <w:tc>
          <w:tcPr>
            <w:tcW w:w="1441" w:type="pct"/>
          </w:tcPr>
          <w:p w14:paraId="0E62C7D7" w14:textId="77777777" w:rsidR="000174A4" w:rsidRPr="00F83DA8" w:rsidRDefault="000174A4" w:rsidP="0089220B">
            <w:pPr>
              <w:spacing w:after="120"/>
              <w:rPr>
                <w:rFonts w:cs="Arial"/>
                <w:snapToGrid w:val="0"/>
                <w:color w:val="000000" w:themeColor="text1"/>
                <w:szCs w:val="20"/>
              </w:rPr>
            </w:pPr>
            <w:r w:rsidRPr="00F83DA8">
              <w:rPr>
                <w:rFonts w:cs="Arial"/>
                <w:snapToGrid w:val="0"/>
                <w:color w:val="000000" w:themeColor="text1"/>
                <w:szCs w:val="20"/>
              </w:rPr>
              <w:t>Obligations Concerned</w:t>
            </w:r>
          </w:p>
        </w:tc>
        <w:tc>
          <w:tcPr>
            <w:tcW w:w="206" w:type="pct"/>
          </w:tcPr>
          <w:p w14:paraId="7E994830" w14:textId="77777777" w:rsidR="000174A4" w:rsidRPr="00F83DA8" w:rsidRDefault="000174A4"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49" w:type="pct"/>
          </w:tcPr>
          <w:p w14:paraId="0E019549" w14:textId="0239B3C2" w:rsidR="000174A4" w:rsidRPr="00F83DA8" w:rsidRDefault="000174A4" w:rsidP="0089220B">
            <w:pPr>
              <w:pStyle w:val="TOSM"/>
              <w:jc w:val="both"/>
              <w:rPr>
                <w:color w:val="000000" w:themeColor="text1"/>
              </w:rPr>
            </w:pPr>
            <w:r w:rsidRPr="00F83DA8">
              <w:rPr>
                <w:color w:val="000000" w:themeColor="text1"/>
              </w:rPr>
              <w:t xml:space="preserve">National Treatment </w:t>
            </w:r>
          </w:p>
          <w:p w14:paraId="6DC8BF00" w14:textId="6C06EEAE" w:rsidR="000174A4" w:rsidRPr="00F83DA8" w:rsidRDefault="000174A4" w:rsidP="0089220B">
            <w:pPr>
              <w:pStyle w:val="TOSM"/>
              <w:jc w:val="both"/>
              <w:rPr>
                <w:color w:val="000000" w:themeColor="text1"/>
              </w:rPr>
            </w:pPr>
            <w:r w:rsidRPr="00F83DA8">
              <w:rPr>
                <w:color w:val="000000" w:themeColor="text1"/>
              </w:rPr>
              <w:t>Most-</w:t>
            </w:r>
            <w:proofErr w:type="spellStart"/>
            <w:r w:rsidRPr="00F83DA8">
              <w:rPr>
                <w:color w:val="000000" w:themeColor="text1"/>
              </w:rPr>
              <w:t>Favoured</w:t>
            </w:r>
            <w:proofErr w:type="spellEnd"/>
            <w:r w:rsidRPr="00F83DA8">
              <w:rPr>
                <w:color w:val="000000" w:themeColor="text1"/>
              </w:rPr>
              <w:t xml:space="preserve">-Nation Treatment </w:t>
            </w:r>
          </w:p>
          <w:p w14:paraId="33D33B1D" w14:textId="5D2C2700" w:rsidR="00A006C7" w:rsidRPr="00F83DA8" w:rsidRDefault="00A006C7" w:rsidP="0089220B">
            <w:pPr>
              <w:pStyle w:val="TOSM"/>
              <w:jc w:val="both"/>
              <w:rPr>
                <w:color w:val="000000" w:themeColor="text1"/>
              </w:rPr>
            </w:pPr>
            <w:r w:rsidRPr="00F83DA8">
              <w:rPr>
                <w:color w:val="000000" w:themeColor="text1"/>
              </w:rPr>
              <w:t xml:space="preserve">Senior Management and Board of Directors </w:t>
            </w:r>
          </w:p>
          <w:p w14:paraId="396BEEF3" w14:textId="46AFDE2E" w:rsidR="000174A4" w:rsidRPr="00F83DA8" w:rsidRDefault="000174A4" w:rsidP="0089220B">
            <w:pPr>
              <w:pStyle w:val="TOSM"/>
              <w:jc w:val="both"/>
              <w:rPr>
                <w:color w:val="000000" w:themeColor="text1"/>
              </w:rPr>
            </w:pPr>
            <w:r w:rsidRPr="00F83DA8">
              <w:rPr>
                <w:color w:val="000000" w:themeColor="text1"/>
              </w:rPr>
              <w:t xml:space="preserve">Prohibition of Performance Requirements </w:t>
            </w:r>
          </w:p>
        </w:tc>
      </w:tr>
      <w:tr w:rsidR="00F83DA8" w:rsidRPr="00F83DA8" w14:paraId="1EC2C412" w14:textId="77777777" w:rsidTr="00267405">
        <w:tc>
          <w:tcPr>
            <w:tcW w:w="303" w:type="pct"/>
          </w:tcPr>
          <w:p w14:paraId="1F38BF78" w14:textId="77777777" w:rsidR="000174A4" w:rsidRPr="00F83DA8" w:rsidRDefault="000174A4" w:rsidP="0089220B">
            <w:pPr>
              <w:spacing w:after="120"/>
              <w:rPr>
                <w:rFonts w:cs="Arial"/>
                <w:snapToGrid w:val="0"/>
                <w:color w:val="000000" w:themeColor="text1"/>
                <w:szCs w:val="20"/>
              </w:rPr>
            </w:pPr>
          </w:p>
        </w:tc>
        <w:tc>
          <w:tcPr>
            <w:tcW w:w="1441" w:type="pct"/>
          </w:tcPr>
          <w:p w14:paraId="5F161AC2" w14:textId="77777777" w:rsidR="000174A4" w:rsidRPr="00F83DA8" w:rsidRDefault="000174A4" w:rsidP="0089220B">
            <w:pPr>
              <w:spacing w:after="120"/>
              <w:rPr>
                <w:rFonts w:cs="Arial"/>
                <w:snapToGrid w:val="0"/>
                <w:color w:val="000000" w:themeColor="text1"/>
                <w:szCs w:val="20"/>
              </w:rPr>
            </w:pPr>
            <w:r w:rsidRPr="00F83DA8">
              <w:rPr>
                <w:rFonts w:cs="Arial"/>
                <w:snapToGrid w:val="0"/>
                <w:color w:val="000000" w:themeColor="text1"/>
                <w:szCs w:val="20"/>
              </w:rPr>
              <w:t>Description</w:t>
            </w:r>
          </w:p>
        </w:tc>
        <w:tc>
          <w:tcPr>
            <w:tcW w:w="206" w:type="pct"/>
          </w:tcPr>
          <w:p w14:paraId="6E0D7F35" w14:textId="77777777" w:rsidR="000174A4" w:rsidRPr="00F83DA8" w:rsidRDefault="000174A4"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49" w:type="pct"/>
          </w:tcPr>
          <w:p w14:paraId="16D60254" w14:textId="2C04B3C9" w:rsidR="000174A4" w:rsidRPr="00F83DA8" w:rsidRDefault="000174A4" w:rsidP="0089220B">
            <w:pPr>
              <w:pStyle w:val="DM"/>
              <w:spacing w:after="120"/>
              <w:jc w:val="both"/>
              <w:rPr>
                <w:color w:val="000000" w:themeColor="text1"/>
              </w:rPr>
            </w:pPr>
            <w:r w:rsidRPr="00F83DA8">
              <w:rPr>
                <w:color w:val="000000" w:themeColor="text1"/>
              </w:rPr>
              <w:t>Malaysia reserves the right to adopt or maintain any measure relating to investments other than those recognised or should have been recognised by the Government of Malaysia owing to the circumstances existing at the date of entry into force of this Agreement for Malaysia.</w:t>
            </w:r>
          </w:p>
          <w:p w14:paraId="2B23FD8D" w14:textId="4B71E422" w:rsidR="000174A4" w:rsidRPr="00F83DA8" w:rsidRDefault="000174A4" w:rsidP="0089220B">
            <w:pPr>
              <w:pStyle w:val="DM"/>
              <w:spacing w:after="120"/>
              <w:jc w:val="both"/>
              <w:rPr>
                <w:color w:val="000000" w:themeColor="text1"/>
              </w:rPr>
            </w:pPr>
            <w:r w:rsidRPr="00F83DA8">
              <w:rPr>
                <w:color w:val="000000" w:themeColor="text1"/>
              </w:rPr>
              <w:t>Malaysia reserves the right to adopt or maintain any measure relating to investments which was not technically feasible at the date of entry into force of this Agreement for Malaysia.</w:t>
            </w:r>
          </w:p>
        </w:tc>
      </w:tr>
      <w:tr w:rsidR="00F83DA8" w:rsidRPr="00F83DA8" w14:paraId="47933EC4" w14:textId="77777777" w:rsidTr="00267405">
        <w:tc>
          <w:tcPr>
            <w:tcW w:w="303" w:type="pct"/>
          </w:tcPr>
          <w:p w14:paraId="30E8A2B5" w14:textId="77777777" w:rsidR="000174A4" w:rsidRPr="00F83DA8" w:rsidRDefault="000174A4" w:rsidP="0089220B">
            <w:pPr>
              <w:spacing w:after="120"/>
              <w:rPr>
                <w:rFonts w:cs="Arial"/>
                <w:color w:val="000000" w:themeColor="text1"/>
                <w:szCs w:val="20"/>
              </w:rPr>
            </w:pPr>
          </w:p>
        </w:tc>
        <w:tc>
          <w:tcPr>
            <w:tcW w:w="1441" w:type="pct"/>
          </w:tcPr>
          <w:p w14:paraId="67B6CE1F" w14:textId="77777777" w:rsidR="000174A4" w:rsidRPr="00F83DA8" w:rsidRDefault="000174A4" w:rsidP="0089220B">
            <w:pPr>
              <w:spacing w:after="120"/>
              <w:rPr>
                <w:rFonts w:cs="Arial"/>
                <w:color w:val="000000" w:themeColor="text1"/>
                <w:szCs w:val="20"/>
              </w:rPr>
            </w:pPr>
            <w:r w:rsidRPr="00F83DA8">
              <w:rPr>
                <w:rFonts w:cs="Arial"/>
                <w:color w:val="000000" w:themeColor="text1"/>
                <w:szCs w:val="20"/>
              </w:rPr>
              <w:t>Existing Measures</w:t>
            </w:r>
          </w:p>
        </w:tc>
        <w:tc>
          <w:tcPr>
            <w:tcW w:w="206" w:type="pct"/>
          </w:tcPr>
          <w:p w14:paraId="6B0E6954" w14:textId="77777777" w:rsidR="000174A4" w:rsidRPr="00F83DA8" w:rsidRDefault="000174A4" w:rsidP="0089220B">
            <w:pPr>
              <w:spacing w:after="120"/>
              <w:rPr>
                <w:rFonts w:cs="Arial"/>
                <w:color w:val="000000" w:themeColor="text1"/>
                <w:szCs w:val="20"/>
              </w:rPr>
            </w:pPr>
            <w:r w:rsidRPr="00F83DA8">
              <w:rPr>
                <w:rFonts w:cs="Arial"/>
                <w:color w:val="000000" w:themeColor="text1"/>
                <w:szCs w:val="20"/>
              </w:rPr>
              <w:t>:</w:t>
            </w:r>
          </w:p>
        </w:tc>
        <w:tc>
          <w:tcPr>
            <w:tcW w:w="3049" w:type="pct"/>
          </w:tcPr>
          <w:p w14:paraId="22EBB534" w14:textId="77777777" w:rsidR="000174A4" w:rsidRPr="00F83DA8" w:rsidRDefault="000174A4" w:rsidP="0089220B">
            <w:pPr>
              <w:spacing w:after="120"/>
              <w:rPr>
                <w:rFonts w:cs="Arial"/>
                <w:color w:val="000000" w:themeColor="text1"/>
              </w:rPr>
            </w:pPr>
            <w:r w:rsidRPr="00F83DA8">
              <w:rPr>
                <w:rFonts w:cs="Arial"/>
                <w:color w:val="000000" w:themeColor="text1"/>
              </w:rPr>
              <w:t>-</w:t>
            </w:r>
          </w:p>
        </w:tc>
      </w:tr>
    </w:tbl>
    <w:p w14:paraId="76DBCBDA" w14:textId="77777777" w:rsidR="00CF6968" w:rsidRPr="00F83DA8" w:rsidRDefault="00CF6968" w:rsidP="0089220B">
      <w:pPr>
        <w:pStyle w:val="TOSM"/>
        <w:rPr>
          <w:color w:val="000000" w:themeColor="text1"/>
        </w:rPr>
      </w:pPr>
      <w:r w:rsidRPr="00F83DA8">
        <w:rPr>
          <w:color w:val="000000" w:themeColor="text1"/>
        </w:rPr>
        <w:br w:type="page"/>
      </w:r>
    </w:p>
    <w:tbl>
      <w:tblPr>
        <w:tblW w:w="4922"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7"/>
        <w:gridCol w:w="2238"/>
        <w:gridCol w:w="298"/>
        <w:gridCol w:w="4468"/>
      </w:tblGrid>
      <w:tr w:rsidR="00F83DA8" w:rsidRPr="00F83DA8" w14:paraId="14B5D21B" w14:textId="77777777" w:rsidTr="00267405">
        <w:tc>
          <w:tcPr>
            <w:tcW w:w="306" w:type="pct"/>
          </w:tcPr>
          <w:p w14:paraId="4DA666E3" w14:textId="77777777" w:rsidR="00CF6968" w:rsidRPr="00F83DA8" w:rsidRDefault="00CF6968" w:rsidP="0089220B">
            <w:pPr>
              <w:numPr>
                <w:ilvl w:val="0"/>
                <w:numId w:val="5"/>
              </w:numPr>
              <w:spacing w:after="120"/>
              <w:rPr>
                <w:rFonts w:cs="Arial"/>
                <w:snapToGrid w:val="0"/>
                <w:color w:val="000000" w:themeColor="text1"/>
                <w:szCs w:val="20"/>
              </w:rPr>
            </w:pPr>
          </w:p>
        </w:tc>
        <w:tc>
          <w:tcPr>
            <w:tcW w:w="1500" w:type="pct"/>
          </w:tcPr>
          <w:p w14:paraId="03C6015D" w14:textId="77777777" w:rsidR="00CF6968" w:rsidRPr="00F83DA8" w:rsidRDefault="00CF6968" w:rsidP="0089220B">
            <w:pPr>
              <w:spacing w:after="120"/>
              <w:rPr>
                <w:rFonts w:cs="Arial"/>
                <w:color w:val="000000" w:themeColor="text1"/>
                <w:szCs w:val="20"/>
              </w:rPr>
            </w:pPr>
            <w:r w:rsidRPr="00F83DA8">
              <w:rPr>
                <w:rFonts w:cs="Arial"/>
                <w:snapToGrid w:val="0"/>
                <w:color w:val="000000" w:themeColor="text1"/>
                <w:szCs w:val="20"/>
              </w:rPr>
              <w:t>Sector</w:t>
            </w:r>
          </w:p>
        </w:tc>
        <w:tc>
          <w:tcPr>
            <w:tcW w:w="200" w:type="pct"/>
          </w:tcPr>
          <w:p w14:paraId="5E2EF9AA"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2995" w:type="pct"/>
          </w:tcPr>
          <w:p w14:paraId="4B2CE764"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All sectors</w:t>
            </w:r>
          </w:p>
        </w:tc>
      </w:tr>
      <w:tr w:rsidR="00F83DA8" w:rsidRPr="00F83DA8" w14:paraId="23FC6EAC" w14:textId="77777777" w:rsidTr="00267405">
        <w:tc>
          <w:tcPr>
            <w:tcW w:w="306" w:type="pct"/>
          </w:tcPr>
          <w:p w14:paraId="1E4A0311" w14:textId="77777777" w:rsidR="00CF6968" w:rsidRPr="00F83DA8" w:rsidRDefault="00CF6968" w:rsidP="0089220B">
            <w:pPr>
              <w:spacing w:after="120"/>
              <w:rPr>
                <w:rFonts w:cs="Arial"/>
                <w:color w:val="000000" w:themeColor="text1"/>
                <w:szCs w:val="20"/>
              </w:rPr>
            </w:pPr>
          </w:p>
        </w:tc>
        <w:tc>
          <w:tcPr>
            <w:tcW w:w="1500" w:type="pct"/>
          </w:tcPr>
          <w:p w14:paraId="186471EE"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Subsector</w:t>
            </w:r>
          </w:p>
        </w:tc>
        <w:tc>
          <w:tcPr>
            <w:tcW w:w="200" w:type="pct"/>
          </w:tcPr>
          <w:p w14:paraId="60736743"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2995" w:type="pct"/>
          </w:tcPr>
          <w:p w14:paraId="464D7132" w14:textId="77777777" w:rsidR="00CF6968" w:rsidRPr="00F83DA8" w:rsidRDefault="00CF6968" w:rsidP="0089220B">
            <w:pPr>
              <w:spacing w:after="120"/>
              <w:jc w:val="both"/>
              <w:rPr>
                <w:rFonts w:cs="Arial"/>
                <w:color w:val="000000" w:themeColor="text1"/>
              </w:rPr>
            </w:pPr>
            <w:r w:rsidRPr="00F83DA8">
              <w:rPr>
                <w:rFonts w:cs="Arial"/>
                <w:color w:val="000000" w:themeColor="text1"/>
              </w:rPr>
              <w:t>-</w:t>
            </w:r>
          </w:p>
        </w:tc>
      </w:tr>
      <w:tr w:rsidR="00F83DA8" w:rsidRPr="00F83DA8" w14:paraId="6B67E9DC" w14:textId="77777777" w:rsidTr="00267405">
        <w:tc>
          <w:tcPr>
            <w:tcW w:w="306" w:type="pct"/>
          </w:tcPr>
          <w:p w14:paraId="262E785B" w14:textId="77777777" w:rsidR="00CF6968" w:rsidRPr="00F83DA8" w:rsidRDefault="00CF6968" w:rsidP="0089220B">
            <w:pPr>
              <w:spacing w:after="120"/>
              <w:rPr>
                <w:rFonts w:cs="Arial"/>
                <w:color w:val="000000" w:themeColor="text1"/>
                <w:szCs w:val="20"/>
              </w:rPr>
            </w:pPr>
          </w:p>
        </w:tc>
        <w:tc>
          <w:tcPr>
            <w:tcW w:w="1500" w:type="pct"/>
          </w:tcPr>
          <w:p w14:paraId="5FCBF38E"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Obligations Concerned</w:t>
            </w:r>
          </w:p>
        </w:tc>
        <w:tc>
          <w:tcPr>
            <w:tcW w:w="200" w:type="pct"/>
          </w:tcPr>
          <w:p w14:paraId="2E4B66C7"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2995" w:type="pct"/>
          </w:tcPr>
          <w:p w14:paraId="1DB2B21E" w14:textId="7E33BED9" w:rsidR="00CF6968" w:rsidRPr="00F83DA8" w:rsidRDefault="000174A4" w:rsidP="0089220B">
            <w:pPr>
              <w:pStyle w:val="TOSM"/>
              <w:jc w:val="both"/>
              <w:rPr>
                <w:color w:val="000000" w:themeColor="text1"/>
              </w:rPr>
            </w:pPr>
            <w:r w:rsidRPr="00F83DA8">
              <w:rPr>
                <w:color w:val="000000" w:themeColor="text1"/>
              </w:rPr>
              <w:t xml:space="preserve">Prohibition of Performance Requirements </w:t>
            </w:r>
          </w:p>
        </w:tc>
      </w:tr>
      <w:tr w:rsidR="00F83DA8" w:rsidRPr="00F83DA8" w14:paraId="21BE582A" w14:textId="77777777" w:rsidTr="00267405">
        <w:tc>
          <w:tcPr>
            <w:tcW w:w="306" w:type="pct"/>
          </w:tcPr>
          <w:p w14:paraId="0C838946" w14:textId="77777777" w:rsidR="00CF6968" w:rsidRPr="00F83DA8" w:rsidRDefault="00CF6968" w:rsidP="0089220B">
            <w:pPr>
              <w:spacing w:after="120"/>
              <w:rPr>
                <w:rFonts w:cs="Arial"/>
                <w:snapToGrid w:val="0"/>
                <w:color w:val="000000" w:themeColor="text1"/>
                <w:szCs w:val="20"/>
              </w:rPr>
            </w:pPr>
          </w:p>
        </w:tc>
        <w:tc>
          <w:tcPr>
            <w:tcW w:w="1500" w:type="pct"/>
          </w:tcPr>
          <w:p w14:paraId="2D35E8B8"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Description</w:t>
            </w:r>
          </w:p>
        </w:tc>
        <w:tc>
          <w:tcPr>
            <w:tcW w:w="200" w:type="pct"/>
          </w:tcPr>
          <w:p w14:paraId="082DADB8"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2995" w:type="pct"/>
          </w:tcPr>
          <w:p w14:paraId="2A192572" w14:textId="18642045" w:rsidR="00CF6968" w:rsidRPr="00F83DA8" w:rsidRDefault="00CF6968" w:rsidP="00173EE7">
            <w:pPr>
              <w:pStyle w:val="DM"/>
              <w:spacing w:after="120"/>
              <w:jc w:val="both"/>
              <w:rPr>
                <w:color w:val="000000" w:themeColor="text1"/>
              </w:rPr>
            </w:pPr>
            <w:r w:rsidRPr="00F83DA8">
              <w:rPr>
                <w:color w:val="000000" w:themeColor="text1"/>
              </w:rPr>
              <w:t>Malaysia reserves the right to adopt, maintain, impose requirements, or enforce a commitment or undertaking, in connection with transfer of technology, production process or other proprietary knowledge.</w:t>
            </w:r>
          </w:p>
        </w:tc>
      </w:tr>
      <w:tr w:rsidR="00CF6968" w:rsidRPr="00F83DA8" w14:paraId="4B549349" w14:textId="77777777" w:rsidTr="00267405">
        <w:tc>
          <w:tcPr>
            <w:tcW w:w="306" w:type="pct"/>
          </w:tcPr>
          <w:p w14:paraId="1E48FD41" w14:textId="77777777" w:rsidR="00CF6968" w:rsidRPr="00F83DA8" w:rsidRDefault="00CF6968" w:rsidP="0089220B">
            <w:pPr>
              <w:spacing w:after="120"/>
              <w:rPr>
                <w:rFonts w:cs="Arial"/>
                <w:color w:val="000000" w:themeColor="text1"/>
                <w:szCs w:val="20"/>
              </w:rPr>
            </w:pPr>
          </w:p>
        </w:tc>
        <w:tc>
          <w:tcPr>
            <w:tcW w:w="1500" w:type="pct"/>
          </w:tcPr>
          <w:p w14:paraId="712870B7"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Existing Measures</w:t>
            </w:r>
          </w:p>
        </w:tc>
        <w:tc>
          <w:tcPr>
            <w:tcW w:w="200" w:type="pct"/>
          </w:tcPr>
          <w:p w14:paraId="37790EF9"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w:t>
            </w:r>
          </w:p>
        </w:tc>
        <w:tc>
          <w:tcPr>
            <w:tcW w:w="2995" w:type="pct"/>
          </w:tcPr>
          <w:p w14:paraId="3A402EEA" w14:textId="77777777" w:rsidR="00CF6968" w:rsidRPr="00F83DA8" w:rsidRDefault="00CF6968" w:rsidP="0089220B">
            <w:pPr>
              <w:spacing w:after="120"/>
              <w:rPr>
                <w:rFonts w:cs="Arial"/>
                <w:color w:val="000000" w:themeColor="text1"/>
              </w:rPr>
            </w:pPr>
            <w:r w:rsidRPr="00F83DA8">
              <w:rPr>
                <w:rFonts w:cs="Arial"/>
                <w:color w:val="000000" w:themeColor="text1"/>
              </w:rPr>
              <w:t>-</w:t>
            </w:r>
          </w:p>
        </w:tc>
      </w:tr>
    </w:tbl>
    <w:p w14:paraId="3D252E0B" w14:textId="77777777" w:rsidR="00CF6968" w:rsidRPr="00F83DA8" w:rsidRDefault="00CF6968" w:rsidP="0089220B">
      <w:pPr>
        <w:pStyle w:val="TOSM"/>
        <w:rPr>
          <w:color w:val="000000" w:themeColor="text1"/>
        </w:rPr>
      </w:pPr>
      <w:r w:rsidRPr="00F83DA8">
        <w:rPr>
          <w:color w:val="000000" w:themeColor="text1"/>
        </w:rPr>
        <w:br w:type="page"/>
      </w:r>
    </w:p>
    <w:tbl>
      <w:tblPr>
        <w:tblW w:w="4948"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50"/>
        <w:gridCol w:w="300"/>
        <w:gridCol w:w="4497"/>
      </w:tblGrid>
      <w:tr w:rsidR="00F83DA8" w:rsidRPr="00F83DA8" w14:paraId="2EBD8B7E" w14:textId="77777777" w:rsidTr="00267405">
        <w:tc>
          <w:tcPr>
            <w:tcW w:w="302" w:type="pct"/>
          </w:tcPr>
          <w:p w14:paraId="5D0AA911" w14:textId="77777777" w:rsidR="00CF6968" w:rsidRPr="00F83DA8" w:rsidRDefault="00CF6968" w:rsidP="0089220B">
            <w:pPr>
              <w:numPr>
                <w:ilvl w:val="0"/>
                <w:numId w:val="5"/>
              </w:numPr>
              <w:spacing w:after="120"/>
              <w:rPr>
                <w:rFonts w:cs="Arial"/>
                <w:snapToGrid w:val="0"/>
                <w:color w:val="000000" w:themeColor="text1"/>
                <w:szCs w:val="20"/>
              </w:rPr>
            </w:pPr>
          </w:p>
        </w:tc>
        <w:tc>
          <w:tcPr>
            <w:tcW w:w="1500" w:type="pct"/>
          </w:tcPr>
          <w:p w14:paraId="7D04EBD4" w14:textId="77777777" w:rsidR="00CF6968" w:rsidRPr="00F83DA8" w:rsidRDefault="00CF6968" w:rsidP="0089220B">
            <w:pPr>
              <w:spacing w:after="120"/>
              <w:rPr>
                <w:rFonts w:cs="Arial"/>
                <w:color w:val="000000" w:themeColor="text1"/>
                <w:szCs w:val="20"/>
              </w:rPr>
            </w:pPr>
            <w:r w:rsidRPr="00F83DA8">
              <w:rPr>
                <w:rFonts w:cs="Arial"/>
                <w:snapToGrid w:val="0"/>
                <w:color w:val="000000" w:themeColor="text1"/>
                <w:szCs w:val="20"/>
              </w:rPr>
              <w:t>Sector</w:t>
            </w:r>
          </w:p>
        </w:tc>
        <w:tc>
          <w:tcPr>
            <w:tcW w:w="200" w:type="pct"/>
          </w:tcPr>
          <w:p w14:paraId="40D8317B"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2998" w:type="pct"/>
          </w:tcPr>
          <w:p w14:paraId="40EF1320"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All sectors</w:t>
            </w:r>
          </w:p>
        </w:tc>
      </w:tr>
      <w:tr w:rsidR="00F83DA8" w:rsidRPr="00F83DA8" w14:paraId="58B1DD42" w14:textId="77777777" w:rsidTr="00267405">
        <w:tc>
          <w:tcPr>
            <w:tcW w:w="302" w:type="pct"/>
          </w:tcPr>
          <w:p w14:paraId="389D2496" w14:textId="77777777" w:rsidR="00CF6968" w:rsidRPr="00F83DA8" w:rsidRDefault="00CF6968" w:rsidP="0089220B">
            <w:pPr>
              <w:spacing w:after="120"/>
              <w:rPr>
                <w:rFonts w:cs="Arial"/>
                <w:color w:val="000000" w:themeColor="text1"/>
                <w:szCs w:val="20"/>
              </w:rPr>
            </w:pPr>
          </w:p>
        </w:tc>
        <w:tc>
          <w:tcPr>
            <w:tcW w:w="1500" w:type="pct"/>
          </w:tcPr>
          <w:p w14:paraId="7F9150BA"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Subsector</w:t>
            </w:r>
          </w:p>
        </w:tc>
        <w:tc>
          <w:tcPr>
            <w:tcW w:w="200" w:type="pct"/>
          </w:tcPr>
          <w:p w14:paraId="04D2DF4B"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2998" w:type="pct"/>
          </w:tcPr>
          <w:p w14:paraId="28CCED21" w14:textId="77777777" w:rsidR="00CF6968" w:rsidRPr="00F83DA8" w:rsidRDefault="00CF6968" w:rsidP="0089220B">
            <w:pPr>
              <w:spacing w:after="120"/>
              <w:rPr>
                <w:rFonts w:cs="Arial"/>
                <w:color w:val="000000" w:themeColor="text1"/>
              </w:rPr>
            </w:pPr>
            <w:r w:rsidRPr="00F83DA8">
              <w:rPr>
                <w:rFonts w:cs="Arial"/>
                <w:color w:val="000000" w:themeColor="text1"/>
              </w:rPr>
              <w:t>-</w:t>
            </w:r>
          </w:p>
        </w:tc>
      </w:tr>
      <w:tr w:rsidR="00F83DA8" w:rsidRPr="00F83DA8" w14:paraId="6C0BE42B" w14:textId="77777777" w:rsidTr="00267405">
        <w:tc>
          <w:tcPr>
            <w:tcW w:w="302" w:type="pct"/>
          </w:tcPr>
          <w:p w14:paraId="3A8217C0" w14:textId="77777777" w:rsidR="000174A4" w:rsidRPr="00F83DA8" w:rsidRDefault="000174A4" w:rsidP="0089220B">
            <w:pPr>
              <w:spacing w:after="120"/>
              <w:rPr>
                <w:rFonts w:cs="Arial"/>
                <w:color w:val="000000" w:themeColor="text1"/>
                <w:szCs w:val="20"/>
              </w:rPr>
            </w:pPr>
          </w:p>
        </w:tc>
        <w:tc>
          <w:tcPr>
            <w:tcW w:w="1500" w:type="pct"/>
          </w:tcPr>
          <w:p w14:paraId="2BD5F45F" w14:textId="77777777" w:rsidR="000174A4" w:rsidRPr="00F83DA8" w:rsidRDefault="000174A4" w:rsidP="0089220B">
            <w:pPr>
              <w:spacing w:after="120"/>
              <w:rPr>
                <w:rFonts w:cs="Arial"/>
                <w:snapToGrid w:val="0"/>
                <w:color w:val="000000" w:themeColor="text1"/>
                <w:szCs w:val="20"/>
              </w:rPr>
            </w:pPr>
            <w:r w:rsidRPr="00F83DA8">
              <w:rPr>
                <w:rFonts w:cs="Arial"/>
                <w:snapToGrid w:val="0"/>
                <w:color w:val="000000" w:themeColor="text1"/>
                <w:szCs w:val="20"/>
              </w:rPr>
              <w:t>Obligations Concerned</w:t>
            </w:r>
          </w:p>
        </w:tc>
        <w:tc>
          <w:tcPr>
            <w:tcW w:w="200" w:type="pct"/>
          </w:tcPr>
          <w:p w14:paraId="4A0CAF43" w14:textId="77777777" w:rsidR="000174A4" w:rsidRPr="00F83DA8" w:rsidRDefault="000174A4"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2998" w:type="pct"/>
          </w:tcPr>
          <w:p w14:paraId="77F60327" w14:textId="4112F006" w:rsidR="000174A4" w:rsidRPr="00F83DA8" w:rsidRDefault="000174A4" w:rsidP="0089220B">
            <w:pPr>
              <w:pStyle w:val="TOSM"/>
              <w:jc w:val="both"/>
              <w:rPr>
                <w:color w:val="000000" w:themeColor="text1"/>
              </w:rPr>
            </w:pPr>
            <w:r w:rsidRPr="00F83DA8">
              <w:rPr>
                <w:color w:val="000000" w:themeColor="text1"/>
              </w:rPr>
              <w:t xml:space="preserve">National Treatment </w:t>
            </w:r>
          </w:p>
          <w:p w14:paraId="33E3DFC9" w14:textId="6681BEAF" w:rsidR="000174A4" w:rsidRPr="00F83DA8" w:rsidRDefault="000174A4" w:rsidP="0089220B">
            <w:pPr>
              <w:pStyle w:val="TOSM"/>
              <w:jc w:val="both"/>
              <w:rPr>
                <w:color w:val="000000" w:themeColor="text1"/>
              </w:rPr>
            </w:pPr>
            <w:r w:rsidRPr="00F83DA8">
              <w:rPr>
                <w:color w:val="000000" w:themeColor="text1"/>
              </w:rPr>
              <w:t>Most-</w:t>
            </w:r>
            <w:proofErr w:type="spellStart"/>
            <w:r w:rsidRPr="00F83DA8">
              <w:rPr>
                <w:color w:val="000000" w:themeColor="text1"/>
              </w:rPr>
              <w:t>Favoured</w:t>
            </w:r>
            <w:proofErr w:type="spellEnd"/>
            <w:r w:rsidRPr="00F83DA8">
              <w:rPr>
                <w:color w:val="000000" w:themeColor="text1"/>
              </w:rPr>
              <w:t xml:space="preserve">-Nation Treatment </w:t>
            </w:r>
          </w:p>
          <w:p w14:paraId="4511523B" w14:textId="5986D09D" w:rsidR="00E00BCB" w:rsidRPr="00F83DA8" w:rsidRDefault="00E00BCB" w:rsidP="0089220B">
            <w:pPr>
              <w:pStyle w:val="TOSM"/>
              <w:jc w:val="both"/>
              <w:rPr>
                <w:color w:val="000000" w:themeColor="text1"/>
              </w:rPr>
            </w:pPr>
            <w:r w:rsidRPr="00F83DA8">
              <w:rPr>
                <w:color w:val="000000" w:themeColor="text1"/>
              </w:rPr>
              <w:t xml:space="preserve">Senior Management and Board of Directors </w:t>
            </w:r>
          </w:p>
          <w:p w14:paraId="46F62590" w14:textId="2313FA06" w:rsidR="000174A4" w:rsidRPr="00F83DA8" w:rsidRDefault="000174A4" w:rsidP="0089220B">
            <w:pPr>
              <w:pStyle w:val="TOSM"/>
              <w:jc w:val="both"/>
              <w:rPr>
                <w:color w:val="000000" w:themeColor="text1"/>
              </w:rPr>
            </w:pPr>
            <w:r w:rsidRPr="00F83DA8">
              <w:rPr>
                <w:color w:val="000000" w:themeColor="text1"/>
              </w:rPr>
              <w:t xml:space="preserve">Prohibition of Performance Requirements </w:t>
            </w:r>
          </w:p>
        </w:tc>
      </w:tr>
      <w:tr w:rsidR="00F83DA8" w:rsidRPr="00F83DA8" w14:paraId="25CC030C" w14:textId="77777777" w:rsidTr="00267405">
        <w:tc>
          <w:tcPr>
            <w:tcW w:w="302" w:type="pct"/>
          </w:tcPr>
          <w:p w14:paraId="1F3D442D" w14:textId="77777777" w:rsidR="00CF6968" w:rsidRPr="00F83DA8" w:rsidRDefault="00CF6968" w:rsidP="0089220B">
            <w:pPr>
              <w:spacing w:after="120"/>
              <w:rPr>
                <w:rFonts w:cs="Arial"/>
                <w:snapToGrid w:val="0"/>
                <w:color w:val="000000" w:themeColor="text1"/>
                <w:szCs w:val="20"/>
              </w:rPr>
            </w:pPr>
          </w:p>
        </w:tc>
        <w:tc>
          <w:tcPr>
            <w:tcW w:w="1500" w:type="pct"/>
          </w:tcPr>
          <w:p w14:paraId="0C6D443F"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Description</w:t>
            </w:r>
          </w:p>
        </w:tc>
        <w:tc>
          <w:tcPr>
            <w:tcW w:w="200" w:type="pct"/>
          </w:tcPr>
          <w:p w14:paraId="56DFECD1"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2998" w:type="pct"/>
          </w:tcPr>
          <w:p w14:paraId="678CF626" w14:textId="77777777" w:rsidR="00CF6968" w:rsidRPr="00F83DA8" w:rsidRDefault="00CF6968" w:rsidP="0089220B">
            <w:pPr>
              <w:pStyle w:val="TOSM"/>
              <w:jc w:val="both"/>
              <w:rPr>
                <w:color w:val="000000" w:themeColor="text1"/>
              </w:rPr>
            </w:pPr>
            <w:r w:rsidRPr="00F83DA8">
              <w:rPr>
                <w:color w:val="000000" w:themeColor="text1"/>
              </w:rPr>
              <w:t>Malaysia reserves the right to adopt or maintain any measure relating to the Shared Prosperity Vision 2030, the New Industrial Masterplan</w:t>
            </w:r>
            <w:r w:rsidRPr="00F83DA8">
              <w:rPr>
                <w:rStyle w:val="FootnoteReference"/>
                <w:color w:val="000000" w:themeColor="text1"/>
              </w:rPr>
              <w:footnoteReference w:id="7"/>
            </w:r>
            <w:r w:rsidRPr="00F83DA8">
              <w:rPr>
                <w:color w:val="000000" w:themeColor="text1"/>
              </w:rPr>
              <w:t xml:space="preserve"> and the National Investment Aspirations</w:t>
            </w:r>
            <w:r w:rsidRPr="00F83DA8">
              <w:rPr>
                <w:rStyle w:val="FootnoteReference"/>
                <w:color w:val="000000" w:themeColor="text1"/>
              </w:rPr>
              <w:footnoteReference w:id="8"/>
            </w:r>
            <w:r w:rsidRPr="00F83DA8">
              <w:rPr>
                <w:color w:val="000000" w:themeColor="text1"/>
              </w:rPr>
              <w:t>.</w:t>
            </w:r>
          </w:p>
        </w:tc>
      </w:tr>
      <w:tr w:rsidR="00CF6968" w:rsidRPr="00F83DA8" w14:paraId="06063FE0" w14:textId="77777777" w:rsidTr="00267405">
        <w:tc>
          <w:tcPr>
            <w:tcW w:w="302" w:type="pct"/>
          </w:tcPr>
          <w:p w14:paraId="1E9DA4C6" w14:textId="77777777" w:rsidR="00CF6968" w:rsidRPr="00F83DA8" w:rsidRDefault="00CF6968" w:rsidP="0089220B">
            <w:pPr>
              <w:spacing w:after="120"/>
              <w:rPr>
                <w:rFonts w:cs="Arial"/>
                <w:color w:val="000000" w:themeColor="text1"/>
                <w:szCs w:val="20"/>
              </w:rPr>
            </w:pPr>
          </w:p>
        </w:tc>
        <w:tc>
          <w:tcPr>
            <w:tcW w:w="1500" w:type="pct"/>
          </w:tcPr>
          <w:p w14:paraId="20C7095D"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Existing Measures</w:t>
            </w:r>
          </w:p>
        </w:tc>
        <w:tc>
          <w:tcPr>
            <w:tcW w:w="200" w:type="pct"/>
          </w:tcPr>
          <w:p w14:paraId="0EBEE890"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w:t>
            </w:r>
          </w:p>
        </w:tc>
        <w:tc>
          <w:tcPr>
            <w:tcW w:w="2998" w:type="pct"/>
          </w:tcPr>
          <w:p w14:paraId="4CECA37E" w14:textId="77777777" w:rsidR="00CF6968" w:rsidRPr="00F83DA8" w:rsidRDefault="00CF6968" w:rsidP="0089220B">
            <w:pPr>
              <w:pStyle w:val="TOSM"/>
              <w:jc w:val="both"/>
              <w:rPr>
                <w:color w:val="000000" w:themeColor="text1"/>
              </w:rPr>
            </w:pPr>
            <w:r w:rsidRPr="00F83DA8">
              <w:rPr>
                <w:color w:val="000000" w:themeColor="text1"/>
              </w:rPr>
              <w:t>Shared Prosperity Vision 2030</w:t>
            </w:r>
          </w:p>
          <w:p w14:paraId="2D49080B" w14:textId="77777777" w:rsidR="00CF6968" w:rsidRPr="00F83DA8" w:rsidRDefault="00CF6968" w:rsidP="0089220B">
            <w:pPr>
              <w:pStyle w:val="TOSM"/>
              <w:jc w:val="both"/>
              <w:rPr>
                <w:color w:val="000000" w:themeColor="text1"/>
              </w:rPr>
            </w:pPr>
            <w:r w:rsidRPr="00F83DA8">
              <w:rPr>
                <w:color w:val="000000" w:themeColor="text1"/>
              </w:rPr>
              <w:t>New Industrial Masterplan</w:t>
            </w:r>
          </w:p>
          <w:p w14:paraId="65C65DB8" w14:textId="77777777" w:rsidR="00CF6968" w:rsidRPr="00F83DA8" w:rsidRDefault="00CF6968" w:rsidP="0089220B">
            <w:pPr>
              <w:pStyle w:val="TOSM"/>
              <w:jc w:val="both"/>
              <w:rPr>
                <w:color w:val="000000" w:themeColor="text1"/>
              </w:rPr>
            </w:pPr>
            <w:r w:rsidRPr="00F83DA8">
              <w:rPr>
                <w:color w:val="000000" w:themeColor="text1"/>
              </w:rPr>
              <w:t>Policies and Ministerial Statements</w:t>
            </w:r>
          </w:p>
        </w:tc>
      </w:tr>
    </w:tbl>
    <w:p w14:paraId="34502768"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1"/>
        <w:gridCol w:w="2271"/>
        <w:gridCol w:w="308"/>
        <w:gridCol w:w="4549"/>
      </w:tblGrid>
      <w:tr w:rsidR="00F83DA8" w:rsidRPr="00F83DA8" w14:paraId="72165F3B" w14:textId="77777777" w:rsidTr="00502987">
        <w:tc>
          <w:tcPr>
            <w:tcW w:w="298" w:type="pct"/>
          </w:tcPr>
          <w:p w14:paraId="05D1F5C2" w14:textId="77777777" w:rsidR="00CF6968" w:rsidRPr="00F83DA8" w:rsidRDefault="00CF6968" w:rsidP="0089220B">
            <w:pPr>
              <w:numPr>
                <w:ilvl w:val="0"/>
                <w:numId w:val="5"/>
              </w:numPr>
              <w:spacing w:after="120"/>
              <w:rPr>
                <w:rFonts w:cs="Arial"/>
                <w:snapToGrid w:val="0"/>
                <w:color w:val="000000" w:themeColor="text1"/>
                <w:szCs w:val="20"/>
              </w:rPr>
            </w:pPr>
          </w:p>
        </w:tc>
        <w:tc>
          <w:tcPr>
            <w:tcW w:w="1498" w:type="pct"/>
          </w:tcPr>
          <w:p w14:paraId="62CDB74B" w14:textId="77777777" w:rsidR="00CF6968" w:rsidRPr="00F83DA8" w:rsidRDefault="00CF6968" w:rsidP="0089220B">
            <w:pPr>
              <w:spacing w:after="120"/>
              <w:rPr>
                <w:rFonts w:cs="Arial"/>
                <w:color w:val="000000" w:themeColor="text1"/>
                <w:szCs w:val="20"/>
              </w:rPr>
            </w:pPr>
            <w:r w:rsidRPr="00F83DA8">
              <w:rPr>
                <w:rFonts w:cs="Arial"/>
                <w:snapToGrid w:val="0"/>
                <w:color w:val="000000" w:themeColor="text1"/>
                <w:szCs w:val="20"/>
              </w:rPr>
              <w:t>Sector</w:t>
            </w:r>
          </w:p>
        </w:tc>
        <w:tc>
          <w:tcPr>
            <w:tcW w:w="203" w:type="pct"/>
          </w:tcPr>
          <w:p w14:paraId="08FDA257"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01" w:type="pct"/>
          </w:tcPr>
          <w:p w14:paraId="05498F98" w14:textId="77777777" w:rsidR="00CF6968" w:rsidRPr="00F83DA8" w:rsidRDefault="00CF6968" w:rsidP="0089220B">
            <w:pPr>
              <w:spacing w:after="120"/>
              <w:jc w:val="both"/>
              <w:rPr>
                <w:rFonts w:cs="Arial"/>
                <w:snapToGrid w:val="0"/>
                <w:color w:val="000000" w:themeColor="text1"/>
                <w:szCs w:val="20"/>
              </w:rPr>
            </w:pPr>
            <w:r w:rsidRPr="00F83DA8">
              <w:rPr>
                <w:rFonts w:cs="Arial"/>
                <w:snapToGrid w:val="0"/>
                <w:color w:val="000000" w:themeColor="text1"/>
                <w:szCs w:val="20"/>
              </w:rPr>
              <w:t xml:space="preserve">All Sectors </w:t>
            </w:r>
          </w:p>
        </w:tc>
      </w:tr>
      <w:tr w:rsidR="00F83DA8" w:rsidRPr="00F83DA8" w14:paraId="23DE1A0E" w14:textId="77777777" w:rsidTr="00502987">
        <w:tc>
          <w:tcPr>
            <w:tcW w:w="298" w:type="pct"/>
          </w:tcPr>
          <w:p w14:paraId="5F50504B" w14:textId="77777777" w:rsidR="00CF6968" w:rsidRPr="00F83DA8" w:rsidRDefault="00CF6968" w:rsidP="0089220B">
            <w:pPr>
              <w:spacing w:after="120"/>
              <w:rPr>
                <w:rFonts w:cs="Arial"/>
                <w:color w:val="000000" w:themeColor="text1"/>
                <w:szCs w:val="20"/>
              </w:rPr>
            </w:pPr>
          </w:p>
        </w:tc>
        <w:tc>
          <w:tcPr>
            <w:tcW w:w="1498" w:type="pct"/>
          </w:tcPr>
          <w:p w14:paraId="272542CF"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Subsector</w:t>
            </w:r>
          </w:p>
        </w:tc>
        <w:tc>
          <w:tcPr>
            <w:tcW w:w="203" w:type="pct"/>
          </w:tcPr>
          <w:p w14:paraId="5B80D8D0"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01" w:type="pct"/>
          </w:tcPr>
          <w:p w14:paraId="790A86B1" w14:textId="77777777" w:rsidR="00CF6968" w:rsidRPr="00F83DA8" w:rsidRDefault="00CF6968" w:rsidP="0089220B">
            <w:pPr>
              <w:spacing w:after="120"/>
              <w:rPr>
                <w:rFonts w:cs="Arial"/>
                <w:color w:val="000000" w:themeColor="text1"/>
              </w:rPr>
            </w:pPr>
            <w:r w:rsidRPr="00F83DA8">
              <w:rPr>
                <w:rFonts w:cs="Arial"/>
                <w:color w:val="000000" w:themeColor="text1"/>
              </w:rPr>
              <w:t>-</w:t>
            </w:r>
          </w:p>
        </w:tc>
      </w:tr>
      <w:tr w:rsidR="00F83DA8" w:rsidRPr="00F83DA8" w14:paraId="698EB931" w14:textId="77777777" w:rsidTr="00502987">
        <w:tc>
          <w:tcPr>
            <w:tcW w:w="298" w:type="pct"/>
          </w:tcPr>
          <w:p w14:paraId="1A9A5857" w14:textId="77777777" w:rsidR="00CF6968" w:rsidRPr="00F83DA8" w:rsidRDefault="00CF6968" w:rsidP="0089220B">
            <w:pPr>
              <w:spacing w:after="120"/>
              <w:rPr>
                <w:rFonts w:cs="Arial"/>
                <w:color w:val="000000" w:themeColor="text1"/>
                <w:szCs w:val="20"/>
              </w:rPr>
            </w:pPr>
          </w:p>
        </w:tc>
        <w:tc>
          <w:tcPr>
            <w:tcW w:w="1498" w:type="pct"/>
          </w:tcPr>
          <w:p w14:paraId="2E3BBF7F"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Obligations Concerned</w:t>
            </w:r>
          </w:p>
        </w:tc>
        <w:tc>
          <w:tcPr>
            <w:tcW w:w="203" w:type="pct"/>
          </w:tcPr>
          <w:p w14:paraId="452E4653"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01" w:type="pct"/>
          </w:tcPr>
          <w:p w14:paraId="1B4CBA2B" w14:textId="2D8CE080" w:rsidR="00CF6968" w:rsidRPr="00F83DA8" w:rsidRDefault="000174A4" w:rsidP="0089220B">
            <w:pPr>
              <w:pStyle w:val="TOSM"/>
              <w:jc w:val="both"/>
              <w:rPr>
                <w:color w:val="000000" w:themeColor="text1"/>
              </w:rPr>
            </w:pPr>
            <w:r w:rsidRPr="00F83DA8">
              <w:rPr>
                <w:color w:val="000000" w:themeColor="text1"/>
              </w:rPr>
              <w:t xml:space="preserve">National Treatment </w:t>
            </w:r>
          </w:p>
        </w:tc>
      </w:tr>
      <w:tr w:rsidR="00F83DA8" w:rsidRPr="00F83DA8" w14:paraId="1C1F2488" w14:textId="77777777" w:rsidTr="00502987">
        <w:tc>
          <w:tcPr>
            <w:tcW w:w="298" w:type="pct"/>
          </w:tcPr>
          <w:p w14:paraId="23638823" w14:textId="77777777" w:rsidR="00CF6968" w:rsidRPr="00F83DA8" w:rsidRDefault="00CF6968" w:rsidP="0089220B">
            <w:pPr>
              <w:spacing w:after="120"/>
              <w:rPr>
                <w:rFonts w:cs="Arial"/>
                <w:snapToGrid w:val="0"/>
                <w:color w:val="000000" w:themeColor="text1"/>
                <w:szCs w:val="20"/>
              </w:rPr>
            </w:pPr>
          </w:p>
        </w:tc>
        <w:tc>
          <w:tcPr>
            <w:tcW w:w="1498" w:type="pct"/>
          </w:tcPr>
          <w:p w14:paraId="3C6A5971" w14:textId="5961E143"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Description</w:t>
            </w:r>
          </w:p>
        </w:tc>
        <w:tc>
          <w:tcPr>
            <w:tcW w:w="203" w:type="pct"/>
          </w:tcPr>
          <w:p w14:paraId="56F61CC4" w14:textId="77777777" w:rsidR="00CF6968" w:rsidRPr="00F83DA8" w:rsidRDefault="00CF6968" w:rsidP="0089220B">
            <w:pPr>
              <w:spacing w:after="120"/>
              <w:rPr>
                <w:rFonts w:cs="Arial"/>
                <w:snapToGrid w:val="0"/>
                <w:color w:val="000000" w:themeColor="text1"/>
                <w:szCs w:val="20"/>
              </w:rPr>
            </w:pPr>
            <w:r w:rsidRPr="00F83DA8">
              <w:rPr>
                <w:rFonts w:cs="Arial"/>
                <w:snapToGrid w:val="0"/>
                <w:color w:val="000000" w:themeColor="text1"/>
                <w:szCs w:val="20"/>
              </w:rPr>
              <w:t>:</w:t>
            </w:r>
          </w:p>
        </w:tc>
        <w:tc>
          <w:tcPr>
            <w:tcW w:w="3001" w:type="pct"/>
          </w:tcPr>
          <w:p w14:paraId="3ABA6771" w14:textId="1AF59BFE" w:rsidR="00CF6968" w:rsidRPr="00F83DA8" w:rsidRDefault="00CF6968" w:rsidP="0089220B">
            <w:pPr>
              <w:pStyle w:val="TOSM"/>
              <w:jc w:val="both"/>
              <w:rPr>
                <w:color w:val="000000" w:themeColor="text1"/>
              </w:rPr>
            </w:pPr>
            <w:r w:rsidRPr="00F83DA8">
              <w:rPr>
                <w:snapToGrid/>
                <w:color w:val="000000" w:themeColor="text1"/>
                <w:lang w:val="en-GB"/>
              </w:rPr>
              <w:t>The purchase of a financial service by a resident from a financial service supplier abroad shall be subject to the requirements, restrictions and conditions imposed under the Foreign Exchange</w:t>
            </w:r>
            <w:r w:rsidR="008A747D">
              <w:rPr>
                <w:snapToGrid/>
                <w:color w:val="000000" w:themeColor="text1"/>
                <w:lang w:val="en-GB"/>
              </w:rPr>
              <w:t xml:space="preserve"> Policy</w:t>
            </w:r>
            <w:r w:rsidRPr="00F83DA8">
              <w:rPr>
                <w:snapToGrid/>
                <w:color w:val="000000" w:themeColor="text1"/>
                <w:lang w:val="en-GB"/>
              </w:rPr>
              <w:t xml:space="preserve"> Notices.</w:t>
            </w:r>
          </w:p>
        </w:tc>
      </w:tr>
      <w:tr w:rsidR="00CF6968" w:rsidRPr="00F83DA8" w14:paraId="1552C243" w14:textId="77777777" w:rsidTr="00502987">
        <w:tc>
          <w:tcPr>
            <w:tcW w:w="298" w:type="pct"/>
          </w:tcPr>
          <w:p w14:paraId="71C93E02" w14:textId="77777777" w:rsidR="00CF6968" w:rsidRPr="00F83DA8" w:rsidRDefault="00CF6968" w:rsidP="0089220B">
            <w:pPr>
              <w:spacing w:after="120"/>
              <w:rPr>
                <w:rFonts w:cs="Arial"/>
                <w:color w:val="000000" w:themeColor="text1"/>
                <w:szCs w:val="20"/>
              </w:rPr>
            </w:pPr>
          </w:p>
        </w:tc>
        <w:tc>
          <w:tcPr>
            <w:tcW w:w="1498" w:type="pct"/>
          </w:tcPr>
          <w:p w14:paraId="505CD34E"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Existing Measures</w:t>
            </w:r>
          </w:p>
        </w:tc>
        <w:tc>
          <w:tcPr>
            <w:tcW w:w="203" w:type="pct"/>
          </w:tcPr>
          <w:p w14:paraId="1423257D" w14:textId="77777777" w:rsidR="00CF6968" w:rsidRPr="00F83DA8" w:rsidRDefault="00CF6968" w:rsidP="0089220B">
            <w:pPr>
              <w:spacing w:after="120"/>
              <w:rPr>
                <w:rFonts w:cs="Arial"/>
                <w:color w:val="000000" w:themeColor="text1"/>
                <w:szCs w:val="20"/>
              </w:rPr>
            </w:pPr>
            <w:r w:rsidRPr="00F83DA8">
              <w:rPr>
                <w:rFonts w:cs="Arial"/>
                <w:color w:val="000000" w:themeColor="text1"/>
                <w:szCs w:val="20"/>
              </w:rPr>
              <w:t>:</w:t>
            </w:r>
          </w:p>
        </w:tc>
        <w:tc>
          <w:tcPr>
            <w:tcW w:w="3001" w:type="pct"/>
          </w:tcPr>
          <w:p w14:paraId="2361F132" w14:textId="77777777" w:rsidR="00CF6968" w:rsidRPr="00F83DA8" w:rsidRDefault="00CF6968" w:rsidP="0089220B">
            <w:pPr>
              <w:pStyle w:val="TOSM"/>
              <w:jc w:val="both"/>
              <w:rPr>
                <w:color w:val="000000" w:themeColor="text1"/>
              </w:rPr>
            </w:pPr>
            <w:r w:rsidRPr="0027032F">
              <w:rPr>
                <w:i/>
                <w:iCs/>
                <w:color w:val="000000" w:themeColor="text1"/>
              </w:rPr>
              <w:t>Central Bank of Malaysia Act 2009</w:t>
            </w:r>
            <w:r w:rsidRPr="00F83DA8">
              <w:rPr>
                <w:color w:val="000000" w:themeColor="text1"/>
              </w:rPr>
              <w:t xml:space="preserve"> [Act 701]</w:t>
            </w:r>
          </w:p>
          <w:p w14:paraId="7F6EDB42" w14:textId="77777777" w:rsidR="00CF6968" w:rsidRPr="00F83DA8" w:rsidRDefault="00CF6968" w:rsidP="0089220B">
            <w:pPr>
              <w:pStyle w:val="TOSM"/>
              <w:jc w:val="both"/>
              <w:rPr>
                <w:color w:val="000000" w:themeColor="text1"/>
              </w:rPr>
            </w:pPr>
            <w:r w:rsidRPr="0027032F">
              <w:rPr>
                <w:i/>
                <w:iCs/>
                <w:color w:val="000000" w:themeColor="text1"/>
              </w:rPr>
              <w:t>Financial Services Act 2013</w:t>
            </w:r>
            <w:r w:rsidRPr="00F83DA8">
              <w:rPr>
                <w:color w:val="000000" w:themeColor="text1"/>
              </w:rPr>
              <w:t xml:space="preserve"> [Act 758]</w:t>
            </w:r>
          </w:p>
          <w:p w14:paraId="5ADE79D9" w14:textId="77777777" w:rsidR="00CF6968" w:rsidRPr="00F83DA8" w:rsidRDefault="00CF6968" w:rsidP="0089220B">
            <w:pPr>
              <w:pStyle w:val="TOSM"/>
              <w:jc w:val="both"/>
              <w:rPr>
                <w:color w:val="000000" w:themeColor="text1"/>
              </w:rPr>
            </w:pPr>
            <w:r w:rsidRPr="0027032F">
              <w:rPr>
                <w:i/>
                <w:iCs/>
                <w:color w:val="000000" w:themeColor="text1"/>
              </w:rPr>
              <w:t>Islamic Financial Services Act 2013</w:t>
            </w:r>
            <w:r w:rsidRPr="00F83DA8">
              <w:rPr>
                <w:color w:val="000000" w:themeColor="text1"/>
              </w:rPr>
              <w:t xml:space="preserve"> [Act 759]</w:t>
            </w:r>
          </w:p>
          <w:p w14:paraId="23F551E0" w14:textId="6E99FFFC" w:rsidR="00CF6968" w:rsidRPr="00F83DA8" w:rsidRDefault="00CF6968" w:rsidP="0089220B">
            <w:pPr>
              <w:pStyle w:val="TOSM"/>
              <w:jc w:val="both"/>
              <w:rPr>
                <w:color w:val="000000" w:themeColor="text1"/>
              </w:rPr>
            </w:pPr>
            <w:r w:rsidRPr="00F83DA8">
              <w:rPr>
                <w:color w:val="000000" w:themeColor="text1"/>
              </w:rPr>
              <w:t xml:space="preserve">Foreign Exchange </w:t>
            </w:r>
            <w:r w:rsidR="008A747D">
              <w:rPr>
                <w:color w:val="000000" w:themeColor="text1"/>
              </w:rPr>
              <w:t xml:space="preserve">Policy </w:t>
            </w:r>
            <w:r w:rsidRPr="00F83DA8">
              <w:rPr>
                <w:color w:val="000000" w:themeColor="text1"/>
              </w:rPr>
              <w:t>Notices</w:t>
            </w:r>
          </w:p>
        </w:tc>
      </w:tr>
    </w:tbl>
    <w:p w14:paraId="22F34D8C" w14:textId="77777777" w:rsidR="00CF6968" w:rsidRPr="00F83DA8" w:rsidRDefault="00CF6968" w:rsidP="0089220B">
      <w:pPr>
        <w:spacing w:after="120"/>
        <w:rPr>
          <w:rFonts w:cs="Arial"/>
          <w:color w:val="000000" w:themeColor="text1"/>
          <w:szCs w:val="20"/>
        </w:rPr>
      </w:pPr>
    </w:p>
    <w:p w14:paraId="66694C2E" w14:textId="77777777" w:rsidR="00CF6968" w:rsidRPr="00F83DA8" w:rsidRDefault="00CF6968" w:rsidP="00CF6968">
      <w:pPr>
        <w:pStyle w:val="NoSpacing"/>
        <w:jc w:val="left"/>
        <w:rPr>
          <w:color w:val="000000" w:themeColor="text1"/>
          <w:sz w:val="20"/>
        </w:rPr>
      </w:pPr>
    </w:p>
    <w:sectPr w:rsidR="00CF6968" w:rsidRPr="00F83DA8" w:rsidSect="00632390">
      <w:headerReference w:type="default" r:id="rId8"/>
      <w:footerReference w:type="default" r:id="rId9"/>
      <w:footerReference w:type="first" r:id="rId10"/>
      <w:pgSz w:w="11909" w:h="16834" w:code="9"/>
      <w:pgMar w:top="2304" w:right="2160" w:bottom="1800" w:left="2160" w:header="720"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AA5C1" w14:textId="77777777" w:rsidR="00D45884" w:rsidRDefault="00D45884" w:rsidP="008A1FAB">
      <w:r>
        <w:separator/>
      </w:r>
    </w:p>
    <w:p w14:paraId="25E5B42F" w14:textId="77777777" w:rsidR="00D45884" w:rsidRDefault="00D45884"/>
  </w:endnote>
  <w:endnote w:type="continuationSeparator" w:id="0">
    <w:p w14:paraId="03220880" w14:textId="77777777" w:rsidR="00D45884" w:rsidRDefault="00D45884" w:rsidP="008A1FAB">
      <w:r>
        <w:continuationSeparator/>
      </w:r>
    </w:p>
    <w:p w14:paraId="4BACD6DD" w14:textId="77777777" w:rsidR="00D45884" w:rsidRDefault="00D458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Modern">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D3DC" w14:textId="5F5A4F8D" w:rsidR="004469DB" w:rsidRDefault="004469DB" w:rsidP="004469DB">
    <w:pPr>
      <w:pStyle w:val="Footer"/>
      <w:framePr w:wrap="none" w:vAnchor="text" w:hAnchor="margin" w:xAlign="center" w:y="1"/>
      <w:rPr>
        <w:rStyle w:val="PageNumber"/>
      </w:rPr>
    </w:pPr>
    <w:r w:rsidRPr="004469DB">
      <w:rPr>
        <w:rStyle w:val="PageNumber"/>
        <w:rFonts w:ascii="Arial" w:hAnsi="Arial" w:cs="Arial"/>
        <w:sz w:val="20"/>
        <w:szCs w:val="20"/>
      </w:rPr>
      <w:t xml:space="preserve">ANNEX </w:t>
    </w:r>
    <w:r w:rsidR="00F806DC">
      <w:rPr>
        <w:rStyle w:val="PageNumber"/>
        <w:rFonts w:ascii="Arial" w:hAnsi="Arial" w:cs="Arial"/>
        <w:sz w:val="20"/>
        <w:szCs w:val="20"/>
      </w:rPr>
      <w:t>3</w:t>
    </w:r>
    <w:r w:rsidRPr="004469DB">
      <w:rPr>
        <w:rStyle w:val="PageNumber"/>
        <w:rFonts w:ascii="Arial" w:hAnsi="Arial" w:cs="Arial"/>
        <w:sz w:val="20"/>
        <w:szCs w:val="20"/>
      </w:rPr>
      <w:t xml:space="preserve"> – MALAYSIA – </w:t>
    </w:r>
    <w:sdt>
      <w:sdtPr>
        <w:rPr>
          <w:rStyle w:val="PageNumber"/>
        </w:rPr>
        <w:id w:val="-529183038"/>
        <w:docPartObj>
          <w:docPartGallery w:val="Page Numbers (Bottom of Page)"/>
          <w:docPartUnique/>
        </w:docPartObj>
      </w:sdtPr>
      <w:sdtEndPr>
        <w:rPr>
          <w:rStyle w:val="PageNumber"/>
        </w:rPr>
      </w:sdtEndPr>
      <w:sdtContent>
        <w:r w:rsidRPr="004469DB">
          <w:rPr>
            <w:rStyle w:val="PageNumber"/>
            <w:rFonts w:ascii="Arial" w:hAnsi="Arial" w:cs="Arial"/>
            <w:sz w:val="20"/>
            <w:szCs w:val="20"/>
          </w:rPr>
          <w:fldChar w:fldCharType="begin"/>
        </w:r>
        <w:r w:rsidRPr="004469DB">
          <w:rPr>
            <w:rStyle w:val="PageNumber"/>
            <w:rFonts w:ascii="Arial" w:hAnsi="Arial" w:cs="Arial"/>
            <w:sz w:val="20"/>
            <w:szCs w:val="20"/>
          </w:rPr>
          <w:instrText xml:space="preserve"> PAGE </w:instrText>
        </w:r>
        <w:r w:rsidRPr="004469DB">
          <w:rPr>
            <w:rStyle w:val="PageNumber"/>
            <w:rFonts w:ascii="Arial" w:hAnsi="Arial" w:cs="Arial"/>
            <w:sz w:val="20"/>
            <w:szCs w:val="20"/>
          </w:rPr>
          <w:fldChar w:fldCharType="separate"/>
        </w:r>
        <w:r>
          <w:rPr>
            <w:rStyle w:val="PageNumber"/>
            <w:rFonts w:ascii="Arial" w:hAnsi="Arial" w:cs="Arial"/>
            <w:sz w:val="20"/>
            <w:szCs w:val="20"/>
          </w:rPr>
          <w:t>1</w:t>
        </w:r>
        <w:r w:rsidRPr="004469DB">
          <w:rPr>
            <w:rStyle w:val="PageNumber"/>
            <w:rFonts w:ascii="Arial" w:hAnsi="Arial" w:cs="Arial"/>
            <w:sz w:val="20"/>
            <w:szCs w:val="20"/>
          </w:rPr>
          <w:fldChar w:fldCharType="end"/>
        </w:r>
      </w:sdtContent>
    </w:sdt>
  </w:p>
  <w:p w14:paraId="71CEE690" w14:textId="77777777" w:rsidR="004469DB" w:rsidRDefault="004469DB" w:rsidP="00446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A6A57" w14:textId="5B2C23B6" w:rsidR="004469DB" w:rsidRDefault="004469DB" w:rsidP="002D6929">
    <w:pPr>
      <w:pStyle w:val="Footer"/>
      <w:framePr w:wrap="none" w:vAnchor="text" w:hAnchor="margin" w:xAlign="center" w:y="1"/>
      <w:rPr>
        <w:rStyle w:val="PageNumber"/>
      </w:rPr>
    </w:pPr>
  </w:p>
  <w:p w14:paraId="5EEF2434" w14:textId="77777777" w:rsidR="004469DB" w:rsidRDefault="00446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7733F" w14:textId="77777777" w:rsidR="00D45884" w:rsidRDefault="00D45884" w:rsidP="008A1FAB">
      <w:r>
        <w:separator/>
      </w:r>
    </w:p>
  </w:footnote>
  <w:footnote w:type="continuationSeparator" w:id="0">
    <w:p w14:paraId="47F98F63" w14:textId="77777777" w:rsidR="00D45884" w:rsidRDefault="00D45884" w:rsidP="008A1FAB">
      <w:r>
        <w:continuationSeparator/>
      </w:r>
    </w:p>
  </w:footnote>
  <w:footnote w:type="continuationNotice" w:id="1">
    <w:p w14:paraId="019ED730" w14:textId="77777777" w:rsidR="00D45884" w:rsidRDefault="00D45884"/>
  </w:footnote>
  <w:footnote w:id="2">
    <w:p w14:paraId="17DFFBD4" w14:textId="2ABC649B" w:rsidR="00502987" w:rsidRPr="00867CBF" w:rsidRDefault="00502987" w:rsidP="00AE5A82">
      <w:pPr>
        <w:pStyle w:val="FootnoteText"/>
        <w:spacing w:after="0"/>
        <w:jc w:val="both"/>
        <w:rPr>
          <w:i/>
          <w:sz w:val="16"/>
          <w:szCs w:val="16"/>
          <w:lang w:val="en-MY"/>
        </w:rPr>
      </w:pPr>
      <w:r w:rsidRPr="00867CBF">
        <w:rPr>
          <w:rStyle w:val="FootnoteReference"/>
          <w:sz w:val="16"/>
          <w:szCs w:val="16"/>
        </w:rPr>
        <w:footnoteRef/>
      </w:r>
      <w:r w:rsidRPr="00867CBF">
        <w:rPr>
          <w:sz w:val="16"/>
          <w:szCs w:val="16"/>
        </w:rPr>
        <w:t xml:space="preserve"> </w:t>
      </w:r>
      <w:r w:rsidR="00075DFF">
        <w:rPr>
          <w:sz w:val="16"/>
          <w:szCs w:val="16"/>
        </w:rPr>
        <w:t xml:space="preserve"> </w:t>
      </w:r>
      <w:r w:rsidRPr="00867CBF">
        <w:rPr>
          <w:sz w:val="16"/>
          <w:szCs w:val="16"/>
          <w:lang w:val="en-MY"/>
        </w:rPr>
        <w:t xml:space="preserve">For greater certainty, under the </w:t>
      </w:r>
      <w:r w:rsidRPr="00867CBF">
        <w:rPr>
          <w:i/>
          <w:sz w:val="16"/>
          <w:szCs w:val="16"/>
          <w:lang w:val="en-MY"/>
        </w:rPr>
        <w:t>Fisheries Act 1985</w:t>
      </w:r>
      <w:r w:rsidRPr="00867CBF">
        <w:rPr>
          <w:sz w:val="16"/>
          <w:szCs w:val="16"/>
          <w:lang w:val="en-MY"/>
        </w:rPr>
        <w:t xml:space="preserve"> [Act 317], “Malaysian fisheries waters” means maritime waters under the jurisdiction of Malaysia over which exclusive fishing rights or fisheries management rights are claimed by law and includes the internal waters of Malaysia, the territorial sea of Malaysia, and the maritime waters comprised in the exclusive economic zone of Malaysia.</w:t>
      </w:r>
    </w:p>
  </w:footnote>
  <w:footnote w:id="3">
    <w:p w14:paraId="6AF2B917" w14:textId="4A3B4CE5" w:rsidR="00502987" w:rsidRPr="00867CBF" w:rsidRDefault="00502987" w:rsidP="00CF6968">
      <w:pPr>
        <w:pStyle w:val="FootnoteText"/>
        <w:spacing w:after="0"/>
        <w:jc w:val="both"/>
        <w:rPr>
          <w:sz w:val="16"/>
          <w:szCs w:val="16"/>
        </w:rPr>
      </w:pPr>
      <w:r w:rsidRPr="00867CBF">
        <w:rPr>
          <w:rStyle w:val="FootnoteReference"/>
          <w:sz w:val="16"/>
          <w:szCs w:val="16"/>
        </w:rPr>
        <w:footnoteRef/>
      </w:r>
      <w:r w:rsidRPr="00867CBF">
        <w:rPr>
          <w:sz w:val="16"/>
          <w:szCs w:val="16"/>
        </w:rPr>
        <w:t xml:space="preserve"> </w:t>
      </w:r>
      <w:r w:rsidR="0054025A">
        <w:rPr>
          <w:sz w:val="16"/>
          <w:szCs w:val="16"/>
        </w:rPr>
        <w:t xml:space="preserve"> </w:t>
      </w:r>
      <w:r w:rsidRPr="00867CBF">
        <w:rPr>
          <w:sz w:val="16"/>
          <w:szCs w:val="16"/>
        </w:rPr>
        <w:t xml:space="preserve">For greater certainty, this right extends to any differential treatment accorded pursuant to a subsequent review or amendment of the relevant bilateral or multilateral international agreement. </w:t>
      </w:r>
    </w:p>
  </w:footnote>
  <w:footnote w:id="4">
    <w:p w14:paraId="7CB3A143" w14:textId="05115598" w:rsidR="00502987" w:rsidRPr="00867CBF" w:rsidRDefault="00502987" w:rsidP="00CF6968">
      <w:pPr>
        <w:pStyle w:val="FootnoteText"/>
        <w:spacing w:after="0"/>
        <w:jc w:val="both"/>
        <w:rPr>
          <w:sz w:val="16"/>
          <w:szCs w:val="16"/>
        </w:rPr>
      </w:pPr>
      <w:r w:rsidRPr="00867CBF">
        <w:rPr>
          <w:rStyle w:val="FootnoteReference"/>
          <w:sz w:val="16"/>
          <w:szCs w:val="16"/>
        </w:rPr>
        <w:footnoteRef/>
      </w:r>
      <w:r w:rsidRPr="00867CBF">
        <w:rPr>
          <w:sz w:val="16"/>
          <w:szCs w:val="16"/>
        </w:rPr>
        <w:t xml:space="preserve"> </w:t>
      </w:r>
      <w:r w:rsidR="0054025A">
        <w:rPr>
          <w:sz w:val="16"/>
          <w:szCs w:val="16"/>
        </w:rPr>
        <w:t xml:space="preserve"> </w:t>
      </w:r>
      <w:r w:rsidRPr="00867CBF">
        <w:rPr>
          <w:sz w:val="16"/>
          <w:szCs w:val="16"/>
        </w:rPr>
        <w:t xml:space="preserve">For example, a company may still grant certain entitlements i.e. dividend payment to the foreigner holding the excess shares but such foreigner may not be entitled to vote. For the purposes of this entry, the term “foreigner” can be found in the </w:t>
      </w:r>
      <w:r w:rsidRPr="00867CBF">
        <w:rPr>
          <w:i/>
          <w:sz w:val="16"/>
          <w:szCs w:val="16"/>
        </w:rPr>
        <w:t>Securities Industry (Central Depositories) (Foreign Ownership) Regulations 1996</w:t>
      </w:r>
      <w:r w:rsidRPr="00867CBF">
        <w:rPr>
          <w:sz w:val="16"/>
          <w:szCs w:val="16"/>
        </w:rPr>
        <w:t xml:space="preserve"> [P.U.(A) 513/96].</w:t>
      </w:r>
    </w:p>
  </w:footnote>
  <w:footnote w:id="5">
    <w:p w14:paraId="123E7590" w14:textId="52FAEBEE" w:rsidR="00502987" w:rsidRPr="00867CBF" w:rsidRDefault="00502987" w:rsidP="00CF6968">
      <w:pPr>
        <w:pStyle w:val="FootnoteText"/>
        <w:spacing w:after="0"/>
        <w:jc w:val="both"/>
        <w:rPr>
          <w:sz w:val="16"/>
          <w:szCs w:val="16"/>
          <w:lang w:val="en-MY"/>
        </w:rPr>
      </w:pPr>
      <w:r w:rsidRPr="00867CBF">
        <w:rPr>
          <w:rStyle w:val="FootnoteReference"/>
          <w:sz w:val="16"/>
          <w:szCs w:val="16"/>
        </w:rPr>
        <w:footnoteRef/>
      </w:r>
      <w:r w:rsidRPr="00867CBF">
        <w:rPr>
          <w:sz w:val="16"/>
          <w:szCs w:val="16"/>
        </w:rPr>
        <w:t xml:space="preserve"> </w:t>
      </w:r>
      <w:r w:rsidR="0054025A">
        <w:rPr>
          <w:sz w:val="16"/>
          <w:szCs w:val="16"/>
        </w:rPr>
        <w:t xml:space="preserve"> </w:t>
      </w:r>
      <w:r w:rsidRPr="00867CBF">
        <w:rPr>
          <w:sz w:val="16"/>
          <w:szCs w:val="16"/>
        </w:rPr>
        <w:t xml:space="preserve">For illustrative purposes, examples of designated juridical persons include Padiberas Nasional </w:t>
      </w:r>
      <w:proofErr w:type="spellStart"/>
      <w:r w:rsidRPr="00867CBF">
        <w:rPr>
          <w:sz w:val="16"/>
          <w:szCs w:val="16"/>
        </w:rPr>
        <w:t>Berhad</w:t>
      </w:r>
      <w:proofErr w:type="spellEnd"/>
      <w:r w:rsidRPr="00867CBF">
        <w:rPr>
          <w:sz w:val="16"/>
          <w:szCs w:val="16"/>
        </w:rPr>
        <w:t xml:space="preserve"> (BERNAS) and </w:t>
      </w:r>
      <w:proofErr w:type="spellStart"/>
      <w:r w:rsidRPr="00867CBF">
        <w:rPr>
          <w:sz w:val="16"/>
          <w:szCs w:val="16"/>
        </w:rPr>
        <w:t>Kualiti</w:t>
      </w:r>
      <w:proofErr w:type="spellEnd"/>
      <w:r w:rsidRPr="00867CBF">
        <w:rPr>
          <w:sz w:val="16"/>
          <w:szCs w:val="16"/>
        </w:rPr>
        <w:t xml:space="preserve"> Alam </w:t>
      </w:r>
      <w:proofErr w:type="spellStart"/>
      <w:r w:rsidRPr="00867CBF">
        <w:rPr>
          <w:sz w:val="16"/>
          <w:szCs w:val="16"/>
        </w:rPr>
        <w:t>Sdn</w:t>
      </w:r>
      <w:proofErr w:type="spellEnd"/>
      <w:r w:rsidRPr="00867CBF">
        <w:rPr>
          <w:sz w:val="16"/>
          <w:szCs w:val="16"/>
        </w:rPr>
        <w:t>. Bhd.</w:t>
      </w:r>
    </w:p>
  </w:footnote>
  <w:footnote w:id="6">
    <w:p w14:paraId="0130D049" w14:textId="24FDDF9E" w:rsidR="00502987" w:rsidRPr="00867CBF" w:rsidRDefault="00502987" w:rsidP="00CF6968">
      <w:pPr>
        <w:pStyle w:val="FootnoteText"/>
        <w:spacing w:after="0"/>
        <w:jc w:val="both"/>
        <w:rPr>
          <w:sz w:val="16"/>
          <w:szCs w:val="16"/>
          <w:lang w:val="en-MY"/>
        </w:rPr>
      </w:pPr>
      <w:r w:rsidRPr="00867CBF">
        <w:rPr>
          <w:rStyle w:val="FootnoteReference"/>
          <w:sz w:val="16"/>
          <w:szCs w:val="16"/>
        </w:rPr>
        <w:footnoteRef/>
      </w:r>
      <w:r w:rsidRPr="00867CBF">
        <w:rPr>
          <w:sz w:val="16"/>
          <w:szCs w:val="16"/>
        </w:rPr>
        <w:t xml:space="preserve"> </w:t>
      </w:r>
      <w:r w:rsidR="0054025A">
        <w:rPr>
          <w:sz w:val="16"/>
          <w:szCs w:val="16"/>
        </w:rPr>
        <w:t xml:space="preserve"> </w:t>
      </w:r>
      <w:r w:rsidRPr="00867CBF">
        <w:rPr>
          <w:sz w:val="16"/>
          <w:szCs w:val="16"/>
        </w:rPr>
        <w:t xml:space="preserve">For illustrative purposes, examples of statutory bodies include the Employees Provident Fund and Lembaga </w:t>
      </w:r>
      <w:proofErr w:type="spellStart"/>
      <w:r w:rsidRPr="00867CBF">
        <w:rPr>
          <w:sz w:val="16"/>
          <w:szCs w:val="16"/>
        </w:rPr>
        <w:t>Tabung</w:t>
      </w:r>
      <w:proofErr w:type="spellEnd"/>
      <w:r w:rsidRPr="00867CBF">
        <w:rPr>
          <w:sz w:val="16"/>
          <w:szCs w:val="16"/>
        </w:rPr>
        <w:t xml:space="preserve"> Haji.</w:t>
      </w:r>
    </w:p>
  </w:footnote>
  <w:footnote w:id="7">
    <w:p w14:paraId="48B3321F" w14:textId="12A83DC9" w:rsidR="00502987" w:rsidRDefault="00502987" w:rsidP="00CF6968">
      <w:pPr>
        <w:pStyle w:val="FootnoteText"/>
        <w:spacing w:after="0"/>
        <w:jc w:val="both"/>
        <w:rPr>
          <w:sz w:val="16"/>
          <w:szCs w:val="16"/>
        </w:rPr>
      </w:pPr>
      <w:r w:rsidRPr="00867CBF">
        <w:rPr>
          <w:rStyle w:val="FootnoteReference"/>
          <w:sz w:val="16"/>
          <w:szCs w:val="16"/>
        </w:rPr>
        <w:footnoteRef/>
      </w:r>
      <w:r w:rsidRPr="00867CBF">
        <w:rPr>
          <w:sz w:val="16"/>
          <w:szCs w:val="16"/>
        </w:rPr>
        <w:t xml:space="preserve"> </w:t>
      </w:r>
      <w:r w:rsidR="00267405">
        <w:rPr>
          <w:sz w:val="16"/>
          <w:szCs w:val="16"/>
        </w:rPr>
        <w:t xml:space="preserve"> </w:t>
      </w:r>
      <w:r w:rsidRPr="00867CBF">
        <w:rPr>
          <w:sz w:val="16"/>
          <w:szCs w:val="16"/>
        </w:rPr>
        <w:t xml:space="preserve">Any such measure shall be implemented in a manner consistent with Malaysia’s commitments under List </w:t>
      </w:r>
      <w:r w:rsidR="00256802">
        <w:rPr>
          <w:sz w:val="16"/>
          <w:szCs w:val="16"/>
        </w:rPr>
        <w:t>A</w:t>
      </w:r>
      <w:r>
        <w:rPr>
          <w:sz w:val="16"/>
          <w:szCs w:val="16"/>
        </w:rPr>
        <w:t xml:space="preserve"> </w:t>
      </w:r>
      <w:r w:rsidRPr="00867CBF">
        <w:rPr>
          <w:sz w:val="16"/>
          <w:szCs w:val="16"/>
        </w:rPr>
        <w:t>of this Schedule.</w:t>
      </w:r>
    </w:p>
    <w:p w14:paraId="3F287734" w14:textId="77777777" w:rsidR="00267405" w:rsidRPr="00867CBF" w:rsidRDefault="00267405" w:rsidP="00CF6968">
      <w:pPr>
        <w:pStyle w:val="FootnoteText"/>
        <w:spacing w:after="0"/>
        <w:jc w:val="both"/>
        <w:rPr>
          <w:sz w:val="16"/>
          <w:szCs w:val="16"/>
          <w:lang w:val="en-MY"/>
        </w:rPr>
      </w:pPr>
    </w:p>
  </w:footnote>
  <w:footnote w:id="8">
    <w:p w14:paraId="1D96B28C" w14:textId="5B570B14" w:rsidR="00502987" w:rsidRPr="00867CBF" w:rsidRDefault="00502987" w:rsidP="00CF6968">
      <w:pPr>
        <w:pStyle w:val="FootnoteText"/>
        <w:spacing w:after="0"/>
        <w:jc w:val="both"/>
        <w:rPr>
          <w:sz w:val="16"/>
          <w:szCs w:val="16"/>
          <w:lang w:val="en-MY"/>
        </w:rPr>
      </w:pPr>
      <w:r w:rsidRPr="00867CBF">
        <w:rPr>
          <w:rStyle w:val="FootnoteReference"/>
          <w:sz w:val="16"/>
          <w:szCs w:val="16"/>
        </w:rPr>
        <w:footnoteRef/>
      </w:r>
      <w:r w:rsidRPr="00867CBF">
        <w:rPr>
          <w:sz w:val="16"/>
          <w:szCs w:val="16"/>
        </w:rPr>
        <w:t xml:space="preserve"> </w:t>
      </w:r>
      <w:r w:rsidR="00267405">
        <w:rPr>
          <w:sz w:val="16"/>
          <w:szCs w:val="16"/>
        </w:rPr>
        <w:t xml:space="preserve"> </w:t>
      </w:r>
      <w:r w:rsidRPr="00867CBF">
        <w:rPr>
          <w:sz w:val="16"/>
          <w:szCs w:val="16"/>
        </w:rPr>
        <w:t xml:space="preserve">Any such measure shall be implemented in a manner consistent with Malaysia’s commitments under </w:t>
      </w:r>
      <w:r>
        <w:rPr>
          <w:sz w:val="16"/>
          <w:szCs w:val="16"/>
        </w:rPr>
        <w:t xml:space="preserve">List </w:t>
      </w:r>
      <w:r w:rsidR="00256802">
        <w:rPr>
          <w:sz w:val="16"/>
          <w:szCs w:val="16"/>
        </w:rPr>
        <w:t>A</w:t>
      </w:r>
      <w:r>
        <w:rPr>
          <w:sz w:val="16"/>
          <w:szCs w:val="16"/>
        </w:rPr>
        <w:t xml:space="preserve"> </w:t>
      </w:r>
      <w:r w:rsidRPr="00867CBF">
        <w:rPr>
          <w:sz w:val="16"/>
          <w:szCs w:val="16"/>
        </w:rPr>
        <w:t>of this Schedule.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DEA90" w14:textId="77777777" w:rsidR="00502987" w:rsidRPr="00730277" w:rsidRDefault="00502987" w:rsidP="00730277">
    <w:pPr>
      <w:rPr>
        <w:rFonts w:eastAsia="SimSun"/>
        <w:szCs w:val="24"/>
        <w:lang w:val="en-GB" w:eastAsia="zh-CN"/>
      </w:rPr>
    </w:pPr>
  </w:p>
  <w:p w14:paraId="03B82B1F" w14:textId="77777777" w:rsidR="00502987" w:rsidRPr="00730277" w:rsidRDefault="00502987" w:rsidP="00730277">
    <w:pPr>
      <w:tabs>
        <w:tab w:val="center" w:pos="4320"/>
        <w:tab w:val="right" w:pos="8640"/>
      </w:tabs>
      <w:rPr>
        <w:rFonts w:eastAsia="SimSun"/>
        <w:sz w:val="2"/>
        <w:szCs w:val="24"/>
        <w:lang w:val="en-GB"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B2A606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237DD0"/>
    <w:multiLevelType w:val="hybridMultilevel"/>
    <w:tmpl w:val="779AB14E"/>
    <w:lvl w:ilvl="0" w:tplc="A260B0A6">
      <w:start w:val="1"/>
      <w:numFmt w:val="lowerLetter"/>
      <w:lvlText w:val="(%1)"/>
      <w:lvlJc w:val="left"/>
      <w:pPr>
        <w:ind w:left="720" w:hanging="360"/>
      </w:pPr>
      <w:rPr>
        <w:rFonts w:hint="default"/>
      </w:rPr>
    </w:lvl>
    <w:lvl w:ilvl="1" w:tplc="A260B0A6">
      <w:start w:val="1"/>
      <w:numFmt w:val="lowerLetter"/>
      <w:lvlText w:val="(%2)"/>
      <w:lvlJc w:val="left"/>
      <w:pPr>
        <w:ind w:left="1440" w:hanging="360"/>
      </w:pPr>
      <w:rPr>
        <w:rFonts w:hint="default"/>
      </w:rPr>
    </w:lvl>
    <w:lvl w:ilvl="2" w:tplc="4409000F">
      <w:start w:val="1"/>
      <w:numFmt w:val="decimal"/>
      <w:lvlText w:val="%3."/>
      <w:lvlJc w:val="lef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EC124C8"/>
    <w:multiLevelType w:val="hybridMultilevel"/>
    <w:tmpl w:val="9100487C"/>
    <w:lvl w:ilvl="0" w:tplc="D2B02518">
      <w:start w:val="1"/>
      <w:numFmt w:val="decimal"/>
      <w:lvlText w:val="%1."/>
      <w:lvlJc w:val="left"/>
      <w:pPr>
        <w:ind w:left="234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251529D"/>
    <w:multiLevelType w:val="hybridMultilevel"/>
    <w:tmpl w:val="62E8E6C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D515B5F"/>
    <w:multiLevelType w:val="hybridMultilevel"/>
    <w:tmpl w:val="62E8E6C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FF93C32"/>
    <w:multiLevelType w:val="hybridMultilevel"/>
    <w:tmpl w:val="BF00D2B4"/>
    <w:lvl w:ilvl="0" w:tplc="E13E8B86">
      <w:start w:val="1"/>
      <w:numFmt w:val="decimal"/>
      <w:lvlText w:val="%1."/>
      <w:lvlJc w:val="left"/>
      <w:pPr>
        <w:ind w:left="720" w:hanging="360"/>
      </w:pPr>
      <w:rPr>
        <w:rFonts w:ascii="Arial" w:hAnsi="Arial" w:cs="Arial"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25805214"/>
    <w:multiLevelType w:val="hybridMultilevel"/>
    <w:tmpl w:val="2294D24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25FE3E0D"/>
    <w:multiLevelType w:val="singleLevel"/>
    <w:tmpl w:val="CE7039F0"/>
    <w:lvl w:ilvl="0">
      <w:start w:val="1"/>
      <w:numFmt w:val="bullet"/>
      <w:pStyle w:val="ListBullet"/>
      <w:lvlText w:val=""/>
      <w:lvlJc w:val="left"/>
      <w:pPr>
        <w:tabs>
          <w:tab w:val="num" w:pos="720"/>
        </w:tabs>
        <w:ind w:left="720" w:hanging="720"/>
      </w:pPr>
      <w:rPr>
        <w:rFonts w:ascii="Symbol" w:hAnsi="Symbol" w:hint="default"/>
      </w:rPr>
    </w:lvl>
  </w:abstractNum>
  <w:abstractNum w:abstractNumId="8" w15:restartNumberingAfterBreak="0">
    <w:nsid w:val="2B6F0067"/>
    <w:multiLevelType w:val="multilevel"/>
    <w:tmpl w:val="153E34E4"/>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EBD446D"/>
    <w:multiLevelType w:val="hybridMultilevel"/>
    <w:tmpl w:val="08969EE8"/>
    <w:lvl w:ilvl="0" w:tplc="6B36596C">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0" w15:restartNumberingAfterBreak="0">
    <w:nsid w:val="30B66BF0"/>
    <w:multiLevelType w:val="hybridMultilevel"/>
    <w:tmpl w:val="66123A92"/>
    <w:lvl w:ilvl="0" w:tplc="75E8BD18">
      <w:start w:val="1"/>
      <w:numFmt w:val="decimal"/>
      <w:lvlText w:val="%1."/>
      <w:lvlJc w:val="left"/>
      <w:pPr>
        <w:ind w:left="720" w:hanging="360"/>
      </w:pPr>
      <w:rPr>
        <w:rFonts w:ascii="Arial" w:hAnsi="Arial" w:cs="Arial" w:hint="default"/>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343B76EE"/>
    <w:multiLevelType w:val="hybridMultilevel"/>
    <w:tmpl w:val="F30249AA"/>
    <w:lvl w:ilvl="0" w:tplc="71EAB62C">
      <w:start w:val="1"/>
      <w:numFmt w:val="decimal"/>
      <w:lvlText w:val="%1."/>
      <w:lvlJc w:val="right"/>
      <w:pPr>
        <w:ind w:left="720" w:hanging="360"/>
      </w:pPr>
      <w:rPr>
        <w:rFonts w:hint="default"/>
        <w:strike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621168"/>
    <w:multiLevelType w:val="hybridMultilevel"/>
    <w:tmpl w:val="F878B0F8"/>
    <w:lvl w:ilvl="0" w:tplc="A260B0A6">
      <w:start w:val="1"/>
      <w:numFmt w:val="lowerLetter"/>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3" w15:restartNumberingAfterBreak="0">
    <w:nsid w:val="3DB92034"/>
    <w:multiLevelType w:val="hybridMultilevel"/>
    <w:tmpl w:val="F30249AA"/>
    <w:lvl w:ilvl="0" w:tplc="71EAB62C">
      <w:start w:val="1"/>
      <w:numFmt w:val="decimal"/>
      <w:lvlText w:val="%1."/>
      <w:lvlJc w:val="right"/>
      <w:pPr>
        <w:ind w:left="720" w:hanging="360"/>
      </w:pPr>
      <w:rPr>
        <w:rFonts w:hint="default"/>
        <w:strike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654A6F"/>
    <w:multiLevelType w:val="multilevel"/>
    <w:tmpl w:val="49327DF0"/>
    <w:lvl w:ilvl="0">
      <w:start w:val="1"/>
      <w:numFmt w:val="decimal"/>
      <w:pStyle w:val="NumberedList"/>
      <w:lvlText w:val="%1."/>
      <w:lvlJc w:val="left"/>
      <w:pPr>
        <w:ind w:left="360" w:hanging="360"/>
      </w:pPr>
      <w:rPr>
        <w:rFonts w:hint="default"/>
        <w:b w:val="0"/>
        <w:i w:val="0"/>
      </w:rPr>
    </w:lvl>
    <w:lvl w:ilvl="1">
      <w:start w:val="1"/>
      <w:numFmt w:val="lowerLetter"/>
      <w:lvlText w:val="%2)"/>
      <w:lvlJc w:val="left"/>
      <w:pPr>
        <w:ind w:left="792" w:hanging="432"/>
      </w:pPr>
      <w:rPr>
        <w:rFonts w:hint="default"/>
      </w:rPr>
    </w:lvl>
    <w:lvl w:ilvl="2">
      <w:start w:val="1"/>
      <w:numFmt w:val="lowerLetter"/>
      <w:pStyle w:val="NumberList2"/>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66724FC"/>
    <w:multiLevelType w:val="multilevel"/>
    <w:tmpl w:val="BEC289A8"/>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pStyle w:val="NumberList3"/>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7C74FBC"/>
    <w:multiLevelType w:val="hybridMultilevel"/>
    <w:tmpl w:val="D4E01DB0"/>
    <w:lvl w:ilvl="0" w:tplc="35BE2616">
      <w:start w:val="1"/>
      <w:numFmt w:val="bullet"/>
      <w:pStyle w:val="Bullet1"/>
      <w:lvlText w:val="-"/>
      <w:lvlJc w:val="left"/>
      <w:pPr>
        <w:ind w:left="360" w:hanging="360"/>
      </w:pPr>
      <w:rPr>
        <w:rFonts w:ascii="Arial" w:hAnsi="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5F186A"/>
    <w:multiLevelType w:val="hybridMultilevel"/>
    <w:tmpl w:val="8B4C43F4"/>
    <w:lvl w:ilvl="0" w:tplc="A260B0A6">
      <w:start w:val="1"/>
      <w:numFmt w:val="lowerLetter"/>
      <w:lvlText w:val="(%1)"/>
      <w:lvlJc w:val="left"/>
      <w:pPr>
        <w:ind w:left="1944" w:hanging="360"/>
      </w:pPr>
      <w:rPr>
        <w:rFonts w:hint="default"/>
      </w:rPr>
    </w:lvl>
    <w:lvl w:ilvl="1" w:tplc="44090019" w:tentative="1">
      <w:start w:val="1"/>
      <w:numFmt w:val="lowerLetter"/>
      <w:lvlText w:val="%2."/>
      <w:lvlJc w:val="left"/>
      <w:pPr>
        <w:ind w:left="2664" w:hanging="360"/>
      </w:pPr>
    </w:lvl>
    <w:lvl w:ilvl="2" w:tplc="4409001B" w:tentative="1">
      <w:start w:val="1"/>
      <w:numFmt w:val="lowerRoman"/>
      <w:lvlText w:val="%3."/>
      <w:lvlJc w:val="right"/>
      <w:pPr>
        <w:ind w:left="3384" w:hanging="180"/>
      </w:pPr>
    </w:lvl>
    <w:lvl w:ilvl="3" w:tplc="4409000F" w:tentative="1">
      <w:start w:val="1"/>
      <w:numFmt w:val="decimal"/>
      <w:lvlText w:val="%4."/>
      <w:lvlJc w:val="left"/>
      <w:pPr>
        <w:ind w:left="4104" w:hanging="360"/>
      </w:pPr>
    </w:lvl>
    <w:lvl w:ilvl="4" w:tplc="44090019" w:tentative="1">
      <w:start w:val="1"/>
      <w:numFmt w:val="lowerLetter"/>
      <w:lvlText w:val="%5."/>
      <w:lvlJc w:val="left"/>
      <w:pPr>
        <w:ind w:left="4824" w:hanging="360"/>
      </w:pPr>
    </w:lvl>
    <w:lvl w:ilvl="5" w:tplc="4409001B" w:tentative="1">
      <w:start w:val="1"/>
      <w:numFmt w:val="lowerRoman"/>
      <w:lvlText w:val="%6."/>
      <w:lvlJc w:val="right"/>
      <w:pPr>
        <w:ind w:left="5544" w:hanging="180"/>
      </w:pPr>
    </w:lvl>
    <w:lvl w:ilvl="6" w:tplc="4409000F" w:tentative="1">
      <w:start w:val="1"/>
      <w:numFmt w:val="decimal"/>
      <w:lvlText w:val="%7."/>
      <w:lvlJc w:val="left"/>
      <w:pPr>
        <w:ind w:left="6264" w:hanging="360"/>
      </w:pPr>
    </w:lvl>
    <w:lvl w:ilvl="7" w:tplc="44090019" w:tentative="1">
      <w:start w:val="1"/>
      <w:numFmt w:val="lowerLetter"/>
      <w:lvlText w:val="%8."/>
      <w:lvlJc w:val="left"/>
      <w:pPr>
        <w:ind w:left="6984" w:hanging="360"/>
      </w:pPr>
    </w:lvl>
    <w:lvl w:ilvl="8" w:tplc="4409001B" w:tentative="1">
      <w:start w:val="1"/>
      <w:numFmt w:val="lowerRoman"/>
      <w:lvlText w:val="%9."/>
      <w:lvlJc w:val="right"/>
      <w:pPr>
        <w:ind w:left="7704" w:hanging="180"/>
      </w:pPr>
    </w:lvl>
  </w:abstractNum>
  <w:abstractNum w:abstractNumId="18" w15:restartNumberingAfterBreak="0">
    <w:nsid w:val="4E416C23"/>
    <w:multiLevelType w:val="hybridMultilevel"/>
    <w:tmpl w:val="B282D528"/>
    <w:lvl w:ilvl="0" w:tplc="A260B0A6">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58E92D89"/>
    <w:multiLevelType w:val="hybridMultilevel"/>
    <w:tmpl w:val="4386F616"/>
    <w:lvl w:ilvl="0" w:tplc="47722F40">
      <w:start w:val="1"/>
      <w:numFmt w:val="decimal"/>
      <w:lvlText w:val="(%1)"/>
      <w:lvlJc w:val="left"/>
      <w:pPr>
        <w:ind w:left="720" w:hanging="360"/>
      </w:pPr>
      <w:rPr>
        <w:rFonts w:ascii="Arial" w:eastAsia="Calibri" w:hAnsi="Arial" w:cs="Times New Roman"/>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15:restartNumberingAfterBreak="0">
    <w:nsid w:val="5B324C59"/>
    <w:multiLevelType w:val="hybridMultilevel"/>
    <w:tmpl w:val="1354EA74"/>
    <w:lvl w:ilvl="0" w:tplc="A260B0A6">
      <w:start w:val="1"/>
      <w:numFmt w:val="lowerLetter"/>
      <w:lvlText w:val="(%1)"/>
      <w:lvlJc w:val="left"/>
      <w:pPr>
        <w:ind w:left="720" w:hanging="360"/>
      </w:pPr>
      <w:rPr>
        <w:rFonts w:hint="default"/>
      </w:rPr>
    </w:lvl>
    <w:lvl w:ilvl="1" w:tplc="A260B0A6">
      <w:start w:val="1"/>
      <w:numFmt w:val="lowerLetter"/>
      <w:lvlText w:val="(%2)"/>
      <w:lvlJc w:val="left"/>
      <w:pPr>
        <w:ind w:left="1440" w:hanging="360"/>
      </w:pPr>
      <w:rPr>
        <w:rFonts w:hint="default"/>
      </w:rPr>
    </w:lvl>
    <w:lvl w:ilvl="2" w:tplc="ECA41560">
      <w:start w:val="1"/>
      <w:numFmt w:val="lowerLetter"/>
      <w:lvlText w:val="%3."/>
      <w:lvlJc w:val="left"/>
      <w:pPr>
        <w:ind w:left="2340" w:hanging="360"/>
      </w:pPr>
      <w:rPr>
        <w:rFonts w:hint="default"/>
      </w:rPr>
    </w:lvl>
    <w:lvl w:ilvl="3" w:tplc="4409000F">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60432388"/>
    <w:multiLevelType w:val="hybridMultilevel"/>
    <w:tmpl w:val="E21E4FA2"/>
    <w:lvl w:ilvl="0" w:tplc="576680D0">
      <w:start w:val="1"/>
      <w:numFmt w:val="lowerLetter"/>
      <w:lvlText w:val="(%1)"/>
      <w:lvlJc w:val="left"/>
      <w:pPr>
        <w:ind w:left="774" w:hanging="360"/>
      </w:pPr>
      <w:rPr>
        <w:sz w:val="20"/>
        <w:szCs w:val="20"/>
      </w:rPr>
    </w:lvl>
    <w:lvl w:ilvl="1" w:tplc="44090019" w:tentative="1">
      <w:start w:val="1"/>
      <w:numFmt w:val="lowerLetter"/>
      <w:lvlText w:val="%2."/>
      <w:lvlJc w:val="left"/>
      <w:pPr>
        <w:ind w:left="1494" w:hanging="360"/>
      </w:pPr>
    </w:lvl>
    <w:lvl w:ilvl="2" w:tplc="4409001B" w:tentative="1">
      <w:start w:val="1"/>
      <w:numFmt w:val="lowerRoman"/>
      <w:lvlText w:val="%3."/>
      <w:lvlJc w:val="right"/>
      <w:pPr>
        <w:ind w:left="2214" w:hanging="180"/>
      </w:pPr>
    </w:lvl>
    <w:lvl w:ilvl="3" w:tplc="4409000F" w:tentative="1">
      <w:start w:val="1"/>
      <w:numFmt w:val="decimal"/>
      <w:lvlText w:val="%4."/>
      <w:lvlJc w:val="left"/>
      <w:pPr>
        <w:ind w:left="2934" w:hanging="360"/>
      </w:pPr>
    </w:lvl>
    <w:lvl w:ilvl="4" w:tplc="44090019" w:tentative="1">
      <w:start w:val="1"/>
      <w:numFmt w:val="lowerLetter"/>
      <w:lvlText w:val="%5."/>
      <w:lvlJc w:val="left"/>
      <w:pPr>
        <w:ind w:left="3654" w:hanging="360"/>
      </w:pPr>
    </w:lvl>
    <w:lvl w:ilvl="5" w:tplc="4409001B" w:tentative="1">
      <w:start w:val="1"/>
      <w:numFmt w:val="lowerRoman"/>
      <w:lvlText w:val="%6."/>
      <w:lvlJc w:val="right"/>
      <w:pPr>
        <w:ind w:left="4374" w:hanging="180"/>
      </w:pPr>
    </w:lvl>
    <w:lvl w:ilvl="6" w:tplc="4409000F" w:tentative="1">
      <w:start w:val="1"/>
      <w:numFmt w:val="decimal"/>
      <w:lvlText w:val="%7."/>
      <w:lvlJc w:val="left"/>
      <w:pPr>
        <w:ind w:left="5094" w:hanging="360"/>
      </w:pPr>
    </w:lvl>
    <w:lvl w:ilvl="7" w:tplc="44090019" w:tentative="1">
      <w:start w:val="1"/>
      <w:numFmt w:val="lowerLetter"/>
      <w:lvlText w:val="%8."/>
      <w:lvlJc w:val="left"/>
      <w:pPr>
        <w:ind w:left="5814" w:hanging="360"/>
      </w:pPr>
    </w:lvl>
    <w:lvl w:ilvl="8" w:tplc="4409001B" w:tentative="1">
      <w:start w:val="1"/>
      <w:numFmt w:val="lowerRoman"/>
      <w:lvlText w:val="%9."/>
      <w:lvlJc w:val="right"/>
      <w:pPr>
        <w:ind w:left="6534" w:hanging="180"/>
      </w:pPr>
    </w:lvl>
  </w:abstractNum>
  <w:abstractNum w:abstractNumId="22" w15:restartNumberingAfterBreak="0">
    <w:nsid w:val="69EB1C6F"/>
    <w:multiLevelType w:val="hybridMultilevel"/>
    <w:tmpl w:val="291A261C"/>
    <w:lvl w:ilvl="0" w:tplc="0809000F">
      <w:start w:val="1"/>
      <w:numFmt w:val="decimal"/>
      <w:lvlText w:val="%1."/>
      <w:lvlJc w:val="left"/>
      <w:pPr>
        <w:ind w:left="720" w:hanging="360"/>
      </w:pPr>
      <w:rPr>
        <w:rFonts w:hint="default"/>
      </w:rPr>
    </w:lvl>
    <w:lvl w:ilvl="1" w:tplc="A260B0A6">
      <w:start w:val="1"/>
      <w:numFmt w:val="lowerLetter"/>
      <w:lvlText w:val="(%2)"/>
      <w:lvlJc w:val="left"/>
      <w:pPr>
        <w:ind w:left="1440" w:hanging="360"/>
      </w:pPr>
      <w:rPr>
        <w:rFonts w:hint="default"/>
      </w:rPr>
    </w:lvl>
    <w:lvl w:ilvl="2" w:tplc="D2B02518">
      <w:start w:val="1"/>
      <w:numFmt w:val="decimal"/>
      <w:lvlText w:val="%3."/>
      <w:lvlJc w:val="left"/>
      <w:pPr>
        <w:ind w:left="2340" w:hanging="360"/>
      </w:pPr>
      <w:rPr>
        <w:rFonts w:hint="default"/>
      </w:r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73183291"/>
    <w:multiLevelType w:val="hybridMultilevel"/>
    <w:tmpl w:val="2294D24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613243144">
    <w:abstractNumId w:val="14"/>
  </w:num>
  <w:num w:numId="2" w16cid:durableId="20969712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9188590">
    <w:abstractNumId w:val="7"/>
  </w:num>
  <w:num w:numId="4" w16cid:durableId="172115386">
    <w:abstractNumId w:val="0"/>
  </w:num>
  <w:num w:numId="5" w16cid:durableId="713846777">
    <w:abstractNumId w:val="15"/>
  </w:num>
  <w:num w:numId="6" w16cid:durableId="1939606022">
    <w:abstractNumId w:val="16"/>
  </w:num>
  <w:num w:numId="7" w16cid:durableId="1066687281">
    <w:abstractNumId w:val="12"/>
  </w:num>
  <w:num w:numId="8" w16cid:durableId="2146971357">
    <w:abstractNumId w:val="1"/>
  </w:num>
  <w:num w:numId="9" w16cid:durableId="1671448316">
    <w:abstractNumId w:val="8"/>
  </w:num>
  <w:num w:numId="10" w16cid:durableId="520048229">
    <w:abstractNumId w:val="11"/>
  </w:num>
  <w:num w:numId="11" w16cid:durableId="1421411198">
    <w:abstractNumId w:val="6"/>
  </w:num>
  <w:num w:numId="12" w16cid:durableId="1486705192">
    <w:abstractNumId w:val="23"/>
  </w:num>
  <w:num w:numId="13" w16cid:durableId="494297826">
    <w:abstractNumId w:val="4"/>
  </w:num>
  <w:num w:numId="14" w16cid:durableId="833839920">
    <w:abstractNumId w:val="3"/>
  </w:num>
  <w:num w:numId="15" w16cid:durableId="894925903">
    <w:abstractNumId w:val="5"/>
  </w:num>
  <w:num w:numId="16" w16cid:durableId="490564516">
    <w:abstractNumId w:val="10"/>
  </w:num>
  <w:num w:numId="17" w16cid:durableId="1542475988">
    <w:abstractNumId w:val="2"/>
  </w:num>
  <w:num w:numId="18" w16cid:durableId="1587154577">
    <w:abstractNumId w:val="22"/>
  </w:num>
  <w:num w:numId="19" w16cid:durableId="220750090">
    <w:abstractNumId w:val="13"/>
  </w:num>
  <w:num w:numId="20" w16cid:durableId="18988521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98325">
    <w:abstractNumId w:val="14"/>
  </w:num>
  <w:num w:numId="22" w16cid:durableId="812017652">
    <w:abstractNumId w:val="17"/>
  </w:num>
  <w:num w:numId="23" w16cid:durableId="694043255">
    <w:abstractNumId w:val="20"/>
  </w:num>
  <w:num w:numId="24" w16cid:durableId="28528168">
    <w:abstractNumId w:val="9"/>
  </w:num>
  <w:num w:numId="25" w16cid:durableId="2116166265">
    <w:abstractNumId w:val="21"/>
  </w:num>
  <w:num w:numId="26" w16cid:durableId="2114475333">
    <w:abstractNumId w:val="19"/>
  </w:num>
  <w:num w:numId="27" w16cid:durableId="633566569">
    <w:abstractNumId w:val="18"/>
  </w:num>
  <w:num w:numId="28" w16cid:durableId="21414113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231399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FAB"/>
    <w:rsid w:val="00000E50"/>
    <w:rsid w:val="000017ED"/>
    <w:rsid w:val="00002053"/>
    <w:rsid w:val="0000270C"/>
    <w:rsid w:val="00002D44"/>
    <w:rsid w:val="00002F69"/>
    <w:rsid w:val="00002FE3"/>
    <w:rsid w:val="000038B9"/>
    <w:rsid w:val="00003E53"/>
    <w:rsid w:val="00004551"/>
    <w:rsid w:val="000049C8"/>
    <w:rsid w:val="00004B9D"/>
    <w:rsid w:val="0000559C"/>
    <w:rsid w:val="000059E1"/>
    <w:rsid w:val="00005DB6"/>
    <w:rsid w:val="00005DE6"/>
    <w:rsid w:val="00007606"/>
    <w:rsid w:val="000076DC"/>
    <w:rsid w:val="0000777E"/>
    <w:rsid w:val="00007AE0"/>
    <w:rsid w:val="0001007D"/>
    <w:rsid w:val="00010ADA"/>
    <w:rsid w:val="00010E0B"/>
    <w:rsid w:val="00010ED9"/>
    <w:rsid w:val="00011868"/>
    <w:rsid w:val="000125C0"/>
    <w:rsid w:val="000153E0"/>
    <w:rsid w:val="0001557F"/>
    <w:rsid w:val="00015F5E"/>
    <w:rsid w:val="000170EE"/>
    <w:rsid w:val="000174A4"/>
    <w:rsid w:val="000174EE"/>
    <w:rsid w:val="00017DE2"/>
    <w:rsid w:val="00021EEF"/>
    <w:rsid w:val="00021F94"/>
    <w:rsid w:val="0002358E"/>
    <w:rsid w:val="00026259"/>
    <w:rsid w:val="000274F2"/>
    <w:rsid w:val="00027851"/>
    <w:rsid w:val="000279E9"/>
    <w:rsid w:val="0003024C"/>
    <w:rsid w:val="00030627"/>
    <w:rsid w:val="00030A09"/>
    <w:rsid w:val="000325B8"/>
    <w:rsid w:val="00032B57"/>
    <w:rsid w:val="00034748"/>
    <w:rsid w:val="00034931"/>
    <w:rsid w:val="00034C70"/>
    <w:rsid w:val="000364B2"/>
    <w:rsid w:val="00037D23"/>
    <w:rsid w:val="00041E1E"/>
    <w:rsid w:val="00042571"/>
    <w:rsid w:val="00042A92"/>
    <w:rsid w:val="00042D75"/>
    <w:rsid w:val="0004540F"/>
    <w:rsid w:val="00047A4F"/>
    <w:rsid w:val="00051061"/>
    <w:rsid w:val="000519EE"/>
    <w:rsid w:val="000522F5"/>
    <w:rsid w:val="0005270D"/>
    <w:rsid w:val="00052D0B"/>
    <w:rsid w:val="00053BC1"/>
    <w:rsid w:val="00054160"/>
    <w:rsid w:val="000546C1"/>
    <w:rsid w:val="000559E0"/>
    <w:rsid w:val="00055B8B"/>
    <w:rsid w:val="00055CA3"/>
    <w:rsid w:val="00056009"/>
    <w:rsid w:val="000560C3"/>
    <w:rsid w:val="0005656D"/>
    <w:rsid w:val="0006184E"/>
    <w:rsid w:val="0006240B"/>
    <w:rsid w:val="00063292"/>
    <w:rsid w:val="00063826"/>
    <w:rsid w:val="00063F92"/>
    <w:rsid w:val="00064441"/>
    <w:rsid w:val="00064822"/>
    <w:rsid w:val="000652E0"/>
    <w:rsid w:val="00065A82"/>
    <w:rsid w:val="0006641C"/>
    <w:rsid w:val="00066BA9"/>
    <w:rsid w:val="00067986"/>
    <w:rsid w:val="000706D7"/>
    <w:rsid w:val="00070865"/>
    <w:rsid w:val="00071F2F"/>
    <w:rsid w:val="00073303"/>
    <w:rsid w:val="00073D9B"/>
    <w:rsid w:val="000742C6"/>
    <w:rsid w:val="000744ED"/>
    <w:rsid w:val="00074CB6"/>
    <w:rsid w:val="00074D0E"/>
    <w:rsid w:val="00074E2E"/>
    <w:rsid w:val="0007583E"/>
    <w:rsid w:val="000759DE"/>
    <w:rsid w:val="00075DFF"/>
    <w:rsid w:val="00075F7D"/>
    <w:rsid w:val="00076284"/>
    <w:rsid w:val="00077120"/>
    <w:rsid w:val="000771B5"/>
    <w:rsid w:val="0007770D"/>
    <w:rsid w:val="00080375"/>
    <w:rsid w:val="00080BF9"/>
    <w:rsid w:val="00085756"/>
    <w:rsid w:val="0008598D"/>
    <w:rsid w:val="00085A08"/>
    <w:rsid w:val="00085E8F"/>
    <w:rsid w:val="00086DCD"/>
    <w:rsid w:val="00087A31"/>
    <w:rsid w:val="00087C38"/>
    <w:rsid w:val="00090856"/>
    <w:rsid w:val="000908BF"/>
    <w:rsid w:val="00091B62"/>
    <w:rsid w:val="00092991"/>
    <w:rsid w:val="00093010"/>
    <w:rsid w:val="0009339F"/>
    <w:rsid w:val="00093E0D"/>
    <w:rsid w:val="00094EBD"/>
    <w:rsid w:val="000954DA"/>
    <w:rsid w:val="00095DAE"/>
    <w:rsid w:val="000969D5"/>
    <w:rsid w:val="00097170"/>
    <w:rsid w:val="00097361"/>
    <w:rsid w:val="000A1166"/>
    <w:rsid w:val="000A1BD1"/>
    <w:rsid w:val="000A1EBD"/>
    <w:rsid w:val="000A2E7A"/>
    <w:rsid w:val="000A3633"/>
    <w:rsid w:val="000A5B1F"/>
    <w:rsid w:val="000A6219"/>
    <w:rsid w:val="000A6C89"/>
    <w:rsid w:val="000A6E87"/>
    <w:rsid w:val="000A6EC4"/>
    <w:rsid w:val="000A72EE"/>
    <w:rsid w:val="000A7343"/>
    <w:rsid w:val="000A7DBC"/>
    <w:rsid w:val="000B1684"/>
    <w:rsid w:val="000B2F71"/>
    <w:rsid w:val="000B3CE2"/>
    <w:rsid w:val="000B40F1"/>
    <w:rsid w:val="000B46BB"/>
    <w:rsid w:val="000B4E80"/>
    <w:rsid w:val="000C0211"/>
    <w:rsid w:val="000C0408"/>
    <w:rsid w:val="000C1516"/>
    <w:rsid w:val="000C242D"/>
    <w:rsid w:val="000C25C6"/>
    <w:rsid w:val="000C2D8E"/>
    <w:rsid w:val="000C3928"/>
    <w:rsid w:val="000C3F41"/>
    <w:rsid w:val="000C4D38"/>
    <w:rsid w:val="000C55D4"/>
    <w:rsid w:val="000C5BE3"/>
    <w:rsid w:val="000C628D"/>
    <w:rsid w:val="000C7D44"/>
    <w:rsid w:val="000D24B8"/>
    <w:rsid w:val="000D2EFF"/>
    <w:rsid w:val="000D30F1"/>
    <w:rsid w:val="000D347C"/>
    <w:rsid w:val="000D3DF1"/>
    <w:rsid w:val="000D4E6E"/>
    <w:rsid w:val="000D5E1D"/>
    <w:rsid w:val="000D5EAB"/>
    <w:rsid w:val="000D6833"/>
    <w:rsid w:val="000D6881"/>
    <w:rsid w:val="000D6BFD"/>
    <w:rsid w:val="000D7257"/>
    <w:rsid w:val="000D7CDA"/>
    <w:rsid w:val="000E021A"/>
    <w:rsid w:val="000E0504"/>
    <w:rsid w:val="000E1FDB"/>
    <w:rsid w:val="000E2A75"/>
    <w:rsid w:val="000E6277"/>
    <w:rsid w:val="000E6403"/>
    <w:rsid w:val="000E6BF9"/>
    <w:rsid w:val="000E7179"/>
    <w:rsid w:val="000E7AEB"/>
    <w:rsid w:val="000F0433"/>
    <w:rsid w:val="000F1120"/>
    <w:rsid w:val="000F231C"/>
    <w:rsid w:val="000F25F0"/>
    <w:rsid w:val="000F2B39"/>
    <w:rsid w:val="000F2BBD"/>
    <w:rsid w:val="000F36D5"/>
    <w:rsid w:val="000F3FB6"/>
    <w:rsid w:val="000F5BBA"/>
    <w:rsid w:val="000F5F06"/>
    <w:rsid w:val="000F6474"/>
    <w:rsid w:val="000F666E"/>
    <w:rsid w:val="000F687A"/>
    <w:rsid w:val="0010121A"/>
    <w:rsid w:val="00101761"/>
    <w:rsid w:val="00101B26"/>
    <w:rsid w:val="001028C0"/>
    <w:rsid w:val="001039C1"/>
    <w:rsid w:val="00103EB1"/>
    <w:rsid w:val="001046CB"/>
    <w:rsid w:val="00105905"/>
    <w:rsid w:val="00105B3E"/>
    <w:rsid w:val="0010635D"/>
    <w:rsid w:val="0010641B"/>
    <w:rsid w:val="00106A9E"/>
    <w:rsid w:val="00110102"/>
    <w:rsid w:val="00110206"/>
    <w:rsid w:val="00110C85"/>
    <w:rsid w:val="0011123B"/>
    <w:rsid w:val="001113E3"/>
    <w:rsid w:val="00113001"/>
    <w:rsid w:val="00113A18"/>
    <w:rsid w:val="00113CB9"/>
    <w:rsid w:val="00114007"/>
    <w:rsid w:val="00114304"/>
    <w:rsid w:val="00114333"/>
    <w:rsid w:val="00115F96"/>
    <w:rsid w:val="001164F4"/>
    <w:rsid w:val="00116B73"/>
    <w:rsid w:val="0011740C"/>
    <w:rsid w:val="00117DC2"/>
    <w:rsid w:val="001202B1"/>
    <w:rsid w:val="001203B4"/>
    <w:rsid w:val="00120753"/>
    <w:rsid w:val="00120E04"/>
    <w:rsid w:val="00121F25"/>
    <w:rsid w:val="00122302"/>
    <w:rsid w:val="00122B18"/>
    <w:rsid w:val="0012383F"/>
    <w:rsid w:val="001255E2"/>
    <w:rsid w:val="001261AD"/>
    <w:rsid w:val="001268DC"/>
    <w:rsid w:val="00126C83"/>
    <w:rsid w:val="00127014"/>
    <w:rsid w:val="00127D5D"/>
    <w:rsid w:val="001300C9"/>
    <w:rsid w:val="001309CD"/>
    <w:rsid w:val="001310E0"/>
    <w:rsid w:val="001334D1"/>
    <w:rsid w:val="00133920"/>
    <w:rsid w:val="00133F66"/>
    <w:rsid w:val="001340C1"/>
    <w:rsid w:val="0013429E"/>
    <w:rsid w:val="001346D5"/>
    <w:rsid w:val="00134FB7"/>
    <w:rsid w:val="00135697"/>
    <w:rsid w:val="001370E2"/>
    <w:rsid w:val="00137BB2"/>
    <w:rsid w:val="001401B1"/>
    <w:rsid w:val="0014029E"/>
    <w:rsid w:val="0014108F"/>
    <w:rsid w:val="001415A1"/>
    <w:rsid w:val="00141C78"/>
    <w:rsid w:val="00141F36"/>
    <w:rsid w:val="00142821"/>
    <w:rsid w:val="00143BD4"/>
    <w:rsid w:val="00143F60"/>
    <w:rsid w:val="00144180"/>
    <w:rsid w:val="001443D9"/>
    <w:rsid w:val="00144839"/>
    <w:rsid w:val="0014523F"/>
    <w:rsid w:val="001454BD"/>
    <w:rsid w:val="001455C4"/>
    <w:rsid w:val="00146D97"/>
    <w:rsid w:val="00147848"/>
    <w:rsid w:val="001500C0"/>
    <w:rsid w:val="00150C80"/>
    <w:rsid w:val="00150CF4"/>
    <w:rsid w:val="00150D74"/>
    <w:rsid w:val="0015131B"/>
    <w:rsid w:val="0015373C"/>
    <w:rsid w:val="0015414A"/>
    <w:rsid w:val="00154653"/>
    <w:rsid w:val="00155790"/>
    <w:rsid w:val="00155D93"/>
    <w:rsid w:val="00155FFF"/>
    <w:rsid w:val="00156ADA"/>
    <w:rsid w:val="00156C50"/>
    <w:rsid w:val="001570FD"/>
    <w:rsid w:val="0015737F"/>
    <w:rsid w:val="001601F3"/>
    <w:rsid w:val="00161C37"/>
    <w:rsid w:val="00162B47"/>
    <w:rsid w:val="00164007"/>
    <w:rsid w:val="00164484"/>
    <w:rsid w:val="00166025"/>
    <w:rsid w:val="001661D6"/>
    <w:rsid w:val="00166B5D"/>
    <w:rsid w:val="00166E3A"/>
    <w:rsid w:val="001678DE"/>
    <w:rsid w:val="00167950"/>
    <w:rsid w:val="00170474"/>
    <w:rsid w:val="00171A8D"/>
    <w:rsid w:val="00171C46"/>
    <w:rsid w:val="00171DA8"/>
    <w:rsid w:val="001726E1"/>
    <w:rsid w:val="00172D69"/>
    <w:rsid w:val="00173103"/>
    <w:rsid w:val="0017322D"/>
    <w:rsid w:val="00173DD2"/>
    <w:rsid w:val="00173EE7"/>
    <w:rsid w:val="00173FFD"/>
    <w:rsid w:val="001749E8"/>
    <w:rsid w:val="001756BA"/>
    <w:rsid w:val="00175710"/>
    <w:rsid w:val="001768BE"/>
    <w:rsid w:val="001774EC"/>
    <w:rsid w:val="00177732"/>
    <w:rsid w:val="00177A59"/>
    <w:rsid w:val="0018085D"/>
    <w:rsid w:val="00180D31"/>
    <w:rsid w:val="001811AF"/>
    <w:rsid w:val="00181564"/>
    <w:rsid w:val="00181AE9"/>
    <w:rsid w:val="00182AAB"/>
    <w:rsid w:val="00182EDE"/>
    <w:rsid w:val="0018327C"/>
    <w:rsid w:val="00183980"/>
    <w:rsid w:val="00183C19"/>
    <w:rsid w:val="00183C89"/>
    <w:rsid w:val="001845F9"/>
    <w:rsid w:val="0018487C"/>
    <w:rsid w:val="00185C0C"/>
    <w:rsid w:val="00186B35"/>
    <w:rsid w:val="00187C47"/>
    <w:rsid w:val="00190487"/>
    <w:rsid w:val="00190C46"/>
    <w:rsid w:val="00192C23"/>
    <w:rsid w:val="00193449"/>
    <w:rsid w:val="001937F3"/>
    <w:rsid w:val="00193C7A"/>
    <w:rsid w:val="001951FD"/>
    <w:rsid w:val="001955B1"/>
    <w:rsid w:val="0019616F"/>
    <w:rsid w:val="0019672F"/>
    <w:rsid w:val="00196A61"/>
    <w:rsid w:val="00197782"/>
    <w:rsid w:val="00197805"/>
    <w:rsid w:val="001A0110"/>
    <w:rsid w:val="001A1F30"/>
    <w:rsid w:val="001A2366"/>
    <w:rsid w:val="001A27DE"/>
    <w:rsid w:val="001A3321"/>
    <w:rsid w:val="001A3AA3"/>
    <w:rsid w:val="001A4BB0"/>
    <w:rsid w:val="001A5198"/>
    <w:rsid w:val="001A5713"/>
    <w:rsid w:val="001A58BA"/>
    <w:rsid w:val="001A60D9"/>
    <w:rsid w:val="001B06B8"/>
    <w:rsid w:val="001B0A59"/>
    <w:rsid w:val="001B1409"/>
    <w:rsid w:val="001B2006"/>
    <w:rsid w:val="001B2044"/>
    <w:rsid w:val="001B3220"/>
    <w:rsid w:val="001B3814"/>
    <w:rsid w:val="001B4589"/>
    <w:rsid w:val="001B47AF"/>
    <w:rsid w:val="001B4B71"/>
    <w:rsid w:val="001B53A9"/>
    <w:rsid w:val="001B5EC3"/>
    <w:rsid w:val="001B65EC"/>
    <w:rsid w:val="001B7630"/>
    <w:rsid w:val="001B7BFA"/>
    <w:rsid w:val="001B7DAF"/>
    <w:rsid w:val="001C0903"/>
    <w:rsid w:val="001C0A48"/>
    <w:rsid w:val="001C106D"/>
    <w:rsid w:val="001C193F"/>
    <w:rsid w:val="001C1C56"/>
    <w:rsid w:val="001C2352"/>
    <w:rsid w:val="001C4000"/>
    <w:rsid w:val="001C50C0"/>
    <w:rsid w:val="001C587E"/>
    <w:rsid w:val="001C64B7"/>
    <w:rsid w:val="001C75A4"/>
    <w:rsid w:val="001C7628"/>
    <w:rsid w:val="001C7B59"/>
    <w:rsid w:val="001C7D8C"/>
    <w:rsid w:val="001D0099"/>
    <w:rsid w:val="001D0553"/>
    <w:rsid w:val="001D0B4F"/>
    <w:rsid w:val="001D1305"/>
    <w:rsid w:val="001D130C"/>
    <w:rsid w:val="001D13AB"/>
    <w:rsid w:val="001D14D2"/>
    <w:rsid w:val="001D2210"/>
    <w:rsid w:val="001D2722"/>
    <w:rsid w:val="001D3470"/>
    <w:rsid w:val="001D3B06"/>
    <w:rsid w:val="001D3D1E"/>
    <w:rsid w:val="001D3DFF"/>
    <w:rsid w:val="001D42AD"/>
    <w:rsid w:val="001D4962"/>
    <w:rsid w:val="001D4A82"/>
    <w:rsid w:val="001D52BF"/>
    <w:rsid w:val="001D5337"/>
    <w:rsid w:val="001D5772"/>
    <w:rsid w:val="001D5A21"/>
    <w:rsid w:val="001D666F"/>
    <w:rsid w:val="001D6831"/>
    <w:rsid w:val="001E0357"/>
    <w:rsid w:val="001E0D82"/>
    <w:rsid w:val="001E1533"/>
    <w:rsid w:val="001E199C"/>
    <w:rsid w:val="001E1E9B"/>
    <w:rsid w:val="001E1F1E"/>
    <w:rsid w:val="001E2330"/>
    <w:rsid w:val="001E2501"/>
    <w:rsid w:val="001E431B"/>
    <w:rsid w:val="001E4C62"/>
    <w:rsid w:val="001E5AAE"/>
    <w:rsid w:val="001E6769"/>
    <w:rsid w:val="001E6E7F"/>
    <w:rsid w:val="001E7C81"/>
    <w:rsid w:val="001F0043"/>
    <w:rsid w:val="001F2B79"/>
    <w:rsid w:val="001F38F7"/>
    <w:rsid w:val="001F3C68"/>
    <w:rsid w:val="001F3E82"/>
    <w:rsid w:val="001F402D"/>
    <w:rsid w:val="001F43AB"/>
    <w:rsid w:val="001F4889"/>
    <w:rsid w:val="001F4896"/>
    <w:rsid w:val="001F5365"/>
    <w:rsid w:val="001F597F"/>
    <w:rsid w:val="001F6915"/>
    <w:rsid w:val="001F6A46"/>
    <w:rsid w:val="001F6AF7"/>
    <w:rsid w:val="001F7121"/>
    <w:rsid w:val="001F7497"/>
    <w:rsid w:val="0020071F"/>
    <w:rsid w:val="00201027"/>
    <w:rsid w:val="00201394"/>
    <w:rsid w:val="002016D2"/>
    <w:rsid w:val="00203F9D"/>
    <w:rsid w:val="002043DF"/>
    <w:rsid w:val="002053CC"/>
    <w:rsid w:val="00207406"/>
    <w:rsid w:val="00207528"/>
    <w:rsid w:val="00207A98"/>
    <w:rsid w:val="00207B82"/>
    <w:rsid w:val="00210E90"/>
    <w:rsid w:val="00211385"/>
    <w:rsid w:val="002127B8"/>
    <w:rsid w:val="00212965"/>
    <w:rsid w:val="002133A0"/>
    <w:rsid w:val="00213850"/>
    <w:rsid w:val="00213C9A"/>
    <w:rsid w:val="0021481A"/>
    <w:rsid w:val="00214E71"/>
    <w:rsid w:val="002158D8"/>
    <w:rsid w:val="00216647"/>
    <w:rsid w:val="00216AA0"/>
    <w:rsid w:val="002170C0"/>
    <w:rsid w:val="002200CC"/>
    <w:rsid w:val="002205D7"/>
    <w:rsid w:val="00222122"/>
    <w:rsid w:val="00222176"/>
    <w:rsid w:val="00222372"/>
    <w:rsid w:val="00222527"/>
    <w:rsid w:val="002225D6"/>
    <w:rsid w:val="0022285E"/>
    <w:rsid w:val="00223D05"/>
    <w:rsid w:val="00224232"/>
    <w:rsid w:val="00224548"/>
    <w:rsid w:val="002248BD"/>
    <w:rsid w:val="00224E57"/>
    <w:rsid w:val="00225879"/>
    <w:rsid w:val="00225C9F"/>
    <w:rsid w:val="0022666E"/>
    <w:rsid w:val="00230C5E"/>
    <w:rsid w:val="00232915"/>
    <w:rsid w:val="00232C34"/>
    <w:rsid w:val="00233C13"/>
    <w:rsid w:val="00236926"/>
    <w:rsid w:val="002375D8"/>
    <w:rsid w:val="002376CD"/>
    <w:rsid w:val="00240DB1"/>
    <w:rsid w:val="002413B6"/>
    <w:rsid w:val="00241BB1"/>
    <w:rsid w:val="00241C99"/>
    <w:rsid w:val="00241E82"/>
    <w:rsid w:val="002425E5"/>
    <w:rsid w:val="00242C8F"/>
    <w:rsid w:val="00243CFD"/>
    <w:rsid w:val="00244151"/>
    <w:rsid w:val="002442E9"/>
    <w:rsid w:val="00244A9B"/>
    <w:rsid w:val="00244F34"/>
    <w:rsid w:val="00245249"/>
    <w:rsid w:val="002452B8"/>
    <w:rsid w:val="00245914"/>
    <w:rsid w:val="00245FA3"/>
    <w:rsid w:val="002505AE"/>
    <w:rsid w:val="00251159"/>
    <w:rsid w:val="002527C9"/>
    <w:rsid w:val="002538F1"/>
    <w:rsid w:val="00254101"/>
    <w:rsid w:val="00254E74"/>
    <w:rsid w:val="0025588B"/>
    <w:rsid w:val="002565CC"/>
    <w:rsid w:val="00256777"/>
    <w:rsid w:val="00256802"/>
    <w:rsid w:val="00256C04"/>
    <w:rsid w:val="00257AD6"/>
    <w:rsid w:val="00260824"/>
    <w:rsid w:val="00260B17"/>
    <w:rsid w:val="00260B74"/>
    <w:rsid w:val="00260D6C"/>
    <w:rsid w:val="00261516"/>
    <w:rsid w:val="00262446"/>
    <w:rsid w:val="00263DE4"/>
    <w:rsid w:val="00263EF7"/>
    <w:rsid w:val="002641C7"/>
    <w:rsid w:val="0026519A"/>
    <w:rsid w:val="00266F6A"/>
    <w:rsid w:val="00267405"/>
    <w:rsid w:val="00267D0E"/>
    <w:rsid w:val="0027032F"/>
    <w:rsid w:val="00270AC9"/>
    <w:rsid w:val="00271B6C"/>
    <w:rsid w:val="002734EE"/>
    <w:rsid w:val="00273D0B"/>
    <w:rsid w:val="00275652"/>
    <w:rsid w:val="002758C7"/>
    <w:rsid w:val="00276B51"/>
    <w:rsid w:val="00276BB3"/>
    <w:rsid w:val="00276BF0"/>
    <w:rsid w:val="002776F8"/>
    <w:rsid w:val="00277B92"/>
    <w:rsid w:val="00280149"/>
    <w:rsid w:val="00280A37"/>
    <w:rsid w:val="002818D3"/>
    <w:rsid w:val="00281B2A"/>
    <w:rsid w:val="00281BCB"/>
    <w:rsid w:val="00281C19"/>
    <w:rsid w:val="00281DBE"/>
    <w:rsid w:val="0028203E"/>
    <w:rsid w:val="00282C80"/>
    <w:rsid w:val="00283B84"/>
    <w:rsid w:val="0028452A"/>
    <w:rsid w:val="0028457C"/>
    <w:rsid w:val="00284BFC"/>
    <w:rsid w:val="00285EC7"/>
    <w:rsid w:val="00286371"/>
    <w:rsid w:val="00286389"/>
    <w:rsid w:val="00286424"/>
    <w:rsid w:val="0028680A"/>
    <w:rsid w:val="00286E61"/>
    <w:rsid w:val="00287EAC"/>
    <w:rsid w:val="002904D2"/>
    <w:rsid w:val="00290595"/>
    <w:rsid w:val="002918A3"/>
    <w:rsid w:val="0029261D"/>
    <w:rsid w:val="00293766"/>
    <w:rsid w:val="00293ACB"/>
    <w:rsid w:val="00293C05"/>
    <w:rsid w:val="00293F76"/>
    <w:rsid w:val="0029446E"/>
    <w:rsid w:val="002957ED"/>
    <w:rsid w:val="00295FAD"/>
    <w:rsid w:val="00296922"/>
    <w:rsid w:val="00296DF6"/>
    <w:rsid w:val="0029703D"/>
    <w:rsid w:val="00297226"/>
    <w:rsid w:val="00297815"/>
    <w:rsid w:val="002A148C"/>
    <w:rsid w:val="002A1561"/>
    <w:rsid w:val="002A1EA0"/>
    <w:rsid w:val="002A3BDD"/>
    <w:rsid w:val="002A5B07"/>
    <w:rsid w:val="002A6BB9"/>
    <w:rsid w:val="002A75B3"/>
    <w:rsid w:val="002B030A"/>
    <w:rsid w:val="002B09A7"/>
    <w:rsid w:val="002B22FC"/>
    <w:rsid w:val="002B2550"/>
    <w:rsid w:val="002B2FD9"/>
    <w:rsid w:val="002B3831"/>
    <w:rsid w:val="002B3FC9"/>
    <w:rsid w:val="002B4089"/>
    <w:rsid w:val="002B4A40"/>
    <w:rsid w:val="002B5069"/>
    <w:rsid w:val="002B707B"/>
    <w:rsid w:val="002B7D98"/>
    <w:rsid w:val="002C00BD"/>
    <w:rsid w:val="002C0510"/>
    <w:rsid w:val="002C0967"/>
    <w:rsid w:val="002C223A"/>
    <w:rsid w:val="002C2263"/>
    <w:rsid w:val="002C3727"/>
    <w:rsid w:val="002C524E"/>
    <w:rsid w:val="002C54E0"/>
    <w:rsid w:val="002C6619"/>
    <w:rsid w:val="002C685B"/>
    <w:rsid w:val="002C69A4"/>
    <w:rsid w:val="002C7705"/>
    <w:rsid w:val="002D01EE"/>
    <w:rsid w:val="002D03AA"/>
    <w:rsid w:val="002D03FB"/>
    <w:rsid w:val="002D04D0"/>
    <w:rsid w:val="002D0531"/>
    <w:rsid w:val="002D2E3B"/>
    <w:rsid w:val="002D4004"/>
    <w:rsid w:val="002D496B"/>
    <w:rsid w:val="002D5830"/>
    <w:rsid w:val="002D7B25"/>
    <w:rsid w:val="002E0194"/>
    <w:rsid w:val="002E029A"/>
    <w:rsid w:val="002E048D"/>
    <w:rsid w:val="002E04F5"/>
    <w:rsid w:val="002E0C84"/>
    <w:rsid w:val="002E112F"/>
    <w:rsid w:val="002E255A"/>
    <w:rsid w:val="002E28E2"/>
    <w:rsid w:val="002E392C"/>
    <w:rsid w:val="002E3AEF"/>
    <w:rsid w:val="002E3B3D"/>
    <w:rsid w:val="002E4338"/>
    <w:rsid w:val="002E56CF"/>
    <w:rsid w:val="002E5A65"/>
    <w:rsid w:val="002E6573"/>
    <w:rsid w:val="002E6A99"/>
    <w:rsid w:val="002E7284"/>
    <w:rsid w:val="002F0B3B"/>
    <w:rsid w:val="002F0FF2"/>
    <w:rsid w:val="002F1107"/>
    <w:rsid w:val="002F1E74"/>
    <w:rsid w:val="002F3424"/>
    <w:rsid w:val="002F3E0D"/>
    <w:rsid w:val="002F410B"/>
    <w:rsid w:val="002F4467"/>
    <w:rsid w:val="002F4669"/>
    <w:rsid w:val="002F5897"/>
    <w:rsid w:val="002F61FE"/>
    <w:rsid w:val="002F629C"/>
    <w:rsid w:val="002F6BC4"/>
    <w:rsid w:val="002F6DA6"/>
    <w:rsid w:val="002F6FCD"/>
    <w:rsid w:val="002F75AB"/>
    <w:rsid w:val="0030000B"/>
    <w:rsid w:val="0030074A"/>
    <w:rsid w:val="00300D60"/>
    <w:rsid w:val="003017B5"/>
    <w:rsid w:val="003018CC"/>
    <w:rsid w:val="00301EC3"/>
    <w:rsid w:val="00302D18"/>
    <w:rsid w:val="0030323C"/>
    <w:rsid w:val="00303CB9"/>
    <w:rsid w:val="00305223"/>
    <w:rsid w:val="00306BC7"/>
    <w:rsid w:val="00306D13"/>
    <w:rsid w:val="00307485"/>
    <w:rsid w:val="003101CC"/>
    <w:rsid w:val="00310AAA"/>
    <w:rsid w:val="00310AED"/>
    <w:rsid w:val="00311913"/>
    <w:rsid w:val="00311CE4"/>
    <w:rsid w:val="003129A0"/>
    <w:rsid w:val="0031374D"/>
    <w:rsid w:val="00313EB5"/>
    <w:rsid w:val="00314668"/>
    <w:rsid w:val="0031496A"/>
    <w:rsid w:val="00314BE1"/>
    <w:rsid w:val="00314DE5"/>
    <w:rsid w:val="00315533"/>
    <w:rsid w:val="0031558E"/>
    <w:rsid w:val="003162E5"/>
    <w:rsid w:val="0031659A"/>
    <w:rsid w:val="00316964"/>
    <w:rsid w:val="003172F4"/>
    <w:rsid w:val="003174DB"/>
    <w:rsid w:val="003175D1"/>
    <w:rsid w:val="00317918"/>
    <w:rsid w:val="00317C33"/>
    <w:rsid w:val="003202B4"/>
    <w:rsid w:val="00320606"/>
    <w:rsid w:val="00320A95"/>
    <w:rsid w:val="00320B07"/>
    <w:rsid w:val="00321336"/>
    <w:rsid w:val="00321D74"/>
    <w:rsid w:val="0032263C"/>
    <w:rsid w:val="00322A30"/>
    <w:rsid w:val="00322D3C"/>
    <w:rsid w:val="003237F8"/>
    <w:rsid w:val="003237FF"/>
    <w:rsid w:val="003238CD"/>
    <w:rsid w:val="003242E7"/>
    <w:rsid w:val="003253DD"/>
    <w:rsid w:val="0032565B"/>
    <w:rsid w:val="0032587C"/>
    <w:rsid w:val="003260B4"/>
    <w:rsid w:val="00326444"/>
    <w:rsid w:val="00326731"/>
    <w:rsid w:val="00326DB3"/>
    <w:rsid w:val="00327047"/>
    <w:rsid w:val="00327DAF"/>
    <w:rsid w:val="00331926"/>
    <w:rsid w:val="00331C09"/>
    <w:rsid w:val="0033249C"/>
    <w:rsid w:val="00333F38"/>
    <w:rsid w:val="00333FF2"/>
    <w:rsid w:val="00334047"/>
    <w:rsid w:val="00334448"/>
    <w:rsid w:val="00336E59"/>
    <w:rsid w:val="00337088"/>
    <w:rsid w:val="00341619"/>
    <w:rsid w:val="00341A3E"/>
    <w:rsid w:val="00342657"/>
    <w:rsid w:val="00342891"/>
    <w:rsid w:val="003439E7"/>
    <w:rsid w:val="00343F2D"/>
    <w:rsid w:val="0034493A"/>
    <w:rsid w:val="003454EA"/>
    <w:rsid w:val="003477A7"/>
    <w:rsid w:val="003479E6"/>
    <w:rsid w:val="00350B72"/>
    <w:rsid w:val="00351C44"/>
    <w:rsid w:val="00352E43"/>
    <w:rsid w:val="003538AE"/>
    <w:rsid w:val="0035471A"/>
    <w:rsid w:val="003562FE"/>
    <w:rsid w:val="00356694"/>
    <w:rsid w:val="00356CC8"/>
    <w:rsid w:val="00356E03"/>
    <w:rsid w:val="00360331"/>
    <w:rsid w:val="00360AF2"/>
    <w:rsid w:val="00360BF8"/>
    <w:rsid w:val="0036176A"/>
    <w:rsid w:val="003621D1"/>
    <w:rsid w:val="003627F7"/>
    <w:rsid w:val="00363A7E"/>
    <w:rsid w:val="00363CCE"/>
    <w:rsid w:val="00364405"/>
    <w:rsid w:val="00364C04"/>
    <w:rsid w:val="00366055"/>
    <w:rsid w:val="00366400"/>
    <w:rsid w:val="003672DE"/>
    <w:rsid w:val="0036767C"/>
    <w:rsid w:val="00367E11"/>
    <w:rsid w:val="003703AE"/>
    <w:rsid w:val="003709EB"/>
    <w:rsid w:val="00370B1B"/>
    <w:rsid w:val="00370D49"/>
    <w:rsid w:val="00371DB4"/>
    <w:rsid w:val="00372099"/>
    <w:rsid w:val="003722DB"/>
    <w:rsid w:val="00372397"/>
    <w:rsid w:val="00372872"/>
    <w:rsid w:val="00372DA5"/>
    <w:rsid w:val="00372EE7"/>
    <w:rsid w:val="00373330"/>
    <w:rsid w:val="00373F5B"/>
    <w:rsid w:val="0037426E"/>
    <w:rsid w:val="003742D4"/>
    <w:rsid w:val="00374E71"/>
    <w:rsid w:val="003752A4"/>
    <w:rsid w:val="003757F2"/>
    <w:rsid w:val="0037603B"/>
    <w:rsid w:val="00376733"/>
    <w:rsid w:val="00376986"/>
    <w:rsid w:val="00380075"/>
    <w:rsid w:val="003814BE"/>
    <w:rsid w:val="003818EE"/>
    <w:rsid w:val="00381CB9"/>
    <w:rsid w:val="0038258B"/>
    <w:rsid w:val="003829C6"/>
    <w:rsid w:val="0038371F"/>
    <w:rsid w:val="00385E13"/>
    <w:rsid w:val="00385E5E"/>
    <w:rsid w:val="003872F3"/>
    <w:rsid w:val="00390A5B"/>
    <w:rsid w:val="00390E9C"/>
    <w:rsid w:val="0039150B"/>
    <w:rsid w:val="003915AE"/>
    <w:rsid w:val="003922BD"/>
    <w:rsid w:val="003925DB"/>
    <w:rsid w:val="00394433"/>
    <w:rsid w:val="003944B2"/>
    <w:rsid w:val="00394D4F"/>
    <w:rsid w:val="00395F0E"/>
    <w:rsid w:val="00395FEA"/>
    <w:rsid w:val="003965F5"/>
    <w:rsid w:val="003A2B1C"/>
    <w:rsid w:val="003A4B2B"/>
    <w:rsid w:val="003A54B3"/>
    <w:rsid w:val="003A60F4"/>
    <w:rsid w:val="003A6F54"/>
    <w:rsid w:val="003B00F0"/>
    <w:rsid w:val="003B07D1"/>
    <w:rsid w:val="003B394E"/>
    <w:rsid w:val="003B3B14"/>
    <w:rsid w:val="003B5147"/>
    <w:rsid w:val="003B6F7A"/>
    <w:rsid w:val="003B7D2D"/>
    <w:rsid w:val="003B7EA7"/>
    <w:rsid w:val="003C0259"/>
    <w:rsid w:val="003C060D"/>
    <w:rsid w:val="003C0745"/>
    <w:rsid w:val="003C158E"/>
    <w:rsid w:val="003C16C4"/>
    <w:rsid w:val="003C22C9"/>
    <w:rsid w:val="003C28A9"/>
    <w:rsid w:val="003C3254"/>
    <w:rsid w:val="003C357D"/>
    <w:rsid w:val="003C398F"/>
    <w:rsid w:val="003C3A18"/>
    <w:rsid w:val="003C3ADD"/>
    <w:rsid w:val="003C3EE6"/>
    <w:rsid w:val="003C42ED"/>
    <w:rsid w:val="003C4538"/>
    <w:rsid w:val="003C46EB"/>
    <w:rsid w:val="003C4990"/>
    <w:rsid w:val="003C4B84"/>
    <w:rsid w:val="003C4BCC"/>
    <w:rsid w:val="003C4F9A"/>
    <w:rsid w:val="003C516B"/>
    <w:rsid w:val="003D03C7"/>
    <w:rsid w:val="003D0B53"/>
    <w:rsid w:val="003D0B58"/>
    <w:rsid w:val="003D0E32"/>
    <w:rsid w:val="003D156A"/>
    <w:rsid w:val="003D1A59"/>
    <w:rsid w:val="003D26B7"/>
    <w:rsid w:val="003D3719"/>
    <w:rsid w:val="003D42D3"/>
    <w:rsid w:val="003D4556"/>
    <w:rsid w:val="003D7585"/>
    <w:rsid w:val="003E229D"/>
    <w:rsid w:val="003E23C9"/>
    <w:rsid w:val="003E2C97"/>
    <w:rsid w:val="003E3438"/>
    <w:rsid w:val="003E3459"/>
    <w:rsid w:val="003E50D6"/>
    <w:rsid w:val="003E5438"/>
    <w:rsid w:val="003E653C"/>
    <w:rsid w:val="003E6BA3"/>
    <w:rsid w:val="003F2713"/>
    <w:rsid w:val="003F31B2"/>
    <w:rsid w:val="003F428E"/>
    <w:rsid w:val="003F4408"/>
    <w:rsid w:val="003F481F"/>
    <w:rsid w:val="003F6FA9"/>
    <w:rsid w:val="003F76B9"/>
    <w:rsid w:val="004000D5"/>
    <w:rsid w:val="0040055F"/>
    <w:rsid w:val="00400E91"/>
    <w:rsid w:val="0040260D"/>
    <w:rsid w:val="00403DC3"/>
    <w:rsid w:val="00403E0F"/>
    <w:rsid w:val="004045C6"/>
    <w:rsid w:val="00404D3B"/>
    <w:rsid w:val="0040562A"/>
    <w:rsid w:val="004058C6"/>
    <w:rsid w:val="004065A1"/>
    <w:rsid w:val="00407024"/>
    <w:rsid w:val="00407D0C"/>
    <w:rsid w:val="00410252"/>
    <w:rsid w:val="00410511"/>
    <w:rsid w:val="0041090D"/>
    <w:rsid w:val="004111C9"/>
    <w:rsid w:val="00411ACF"/>
    <w:rsid w:val="00411D7A"/>
    <w:rsid w:val="00411E2F"/>
    <w:rsid w:val="00412D78"/>
    <w:rsid w:val="004130AD"/>
    <w:rsid w:val="0041341F"/>
    <w:rsid w:val="0041634F"/>
    <w:rsid w:val="00416459"/>
    <w:rsid w:val="00417EDA"/>
    <w:rsid w:val="004200A2"/>
    <w:rsid w:val="004208BD"/>
    <w:rsid w:val="004211D8"/>
    <w:rsid w:val="00421823"/>
    <w:rsid w:val="00421BEC"/>
    <w:rsid w:val="00422884"/>
    <w:rsid w:val="00422F15"/>
    <w:rsid w:val="00422F8B"/>
    <w:rsid w:val="004250DC"/>
    <w:rsid w:val="00425969"/>
    <w:rsid w:val="004262DA"/>
    <w:rsid w:val="00426715"/>
    <w:rsid w:val="00426CD0"/>
    <w:rsid w:val="00426D13"/>
    <w:rsid w:val="004271FF"/>
    <w:rsid w:val="0042774F"/>
    <w:rsid w:val="0043095A"/>
    <w:rsid w:val="0043151F"/>
    <w:rsid w:val="00431920"/>
    <w:rsid w:val="004319C3"/>
    <w:rsid w:val="004323D3"/>
    <w:rsid w:val="00432946"/>
    <w:rsid w:val="0043317E"/>
    <w:rsid w:val="00433FF3"/>
    <w:rsid w:val="00434768"/>
    <w:rsid w:val="004354F3"/>
    <w:rsid w:val="0043561D"/>
    <w:rsid w:val="00435E43"/>
    <w:rsid w:val="00436713"/>
    <w:rsid w:val="004401E1"/>
    <w:rsid w:val="00440262"/>
    <w:rsid w:val="0044028C"/>
    <w:rsid w:val="004402E2"/>
    <w:rsid w:val="00440E20"/>
    <w:rsid w:val="0044130D"/>
    <w:rsid w:val="00442094"/>
    <w:rsid w:val="004429D6"/>
    <w:rsid w:val="0044315F"/>
    <w:rsid w:val="0044499C"/>
    <w:rsid w:val="00445807"/>
    <w:rsid w:val="004469DB"/>
    <w:rsid w:val="00446B00"/>
    <w:rsid w:val="004472D4"/>
    <w:rsid w:val="0044737F"/>
    <w:rsid w:val="00447DA5"/>
    <w:rsid w:val="00450011"/>
    <w:rsid w:val="0045004C"/>
    <w:rsid w:val="004506A7"/>
    <w:rsid w:val="00450787"/>
    <w:rsid w:val="00450792"/>
    <w:rsid w:val="00450C2E"/>
    <w:rsid w:val="00451CF6"/>
    <w:rsid w:val="004524E7"/>
    <w:rsid w:val="00452687"/>
    <w:rsid w:val="00452F3B"/>
    <w:rsid w:val="00453222"/>
    <w:rsid w:val="0045378A"/>
    <w:rsid w:val="00454451"/>
    <w:rsid w:val="00455595"/>
    <w:rsid w:val="004561C6"/>
    <w:rsid w:val="0045655E"/>
    <w:rsid w:val="00456E63"/>
    <w:rsid w:val="00457054"/>
    <w:rsid w:val="00457414"/>
    <w:rsid w:val="004578D9"/>
    <w:rsid w:val="00460601"/>
    <w:rsid w:val="0046071B"/>
    <w:rsid w:val="00461638"/>
    <w:rsid w:val="00461983"/>
    <w:rsid w:val="0046258E"/>
    <w:rsid w:val="004626AE"/>
    <w:rsid w:val="00462943"/>
    <w:rsid w:val="00462DF2"/>
    <w:rsid w:val="00463202"/>
    <w:rsid w:val="00463712"/>
    <w:rsid w:val="0046583E"/>
    <w:rsid w:val="00465E90"/>
    <w:rsid w:val="00466802"/>
    <w:rsid w:val="00466DCE"/>
    <w:rsid w:val="00467ADB"/>
    <w:rsid w:val="004700BE"/>
    <w:rsid w:val="004703B4"/>
    <w:rsid w:val="004704E1"/>
    <w:rsid w:val="004708C0"/>
    <w:rsid w:val="00471507"/>
    <w:rsid w:val="0047155A"/>
    <w:rsid w:val="00471805"/>
    <w:rsid w:val="00471F7F"/>
    <w:rsid w:val="00472593"/>
    <w:rsid w:val="00472B6D"/>
    <w:rsid w:val="00473032"/>
    <w:rsid w:val="0047315C"/>
    <w:rsid w:val="00474498"/>
    <w:rsid w:val="004753E7"/>
    <w:rsid w:val="0047592B"/>
    <w:rsid w:val="00476F14"/>
    <w:rsid w:val="004775C7"/>
    <w:rsid w:val="0047791A"/>
    <w:rsid w:val="00480178"/>
    <w:rsid w:val="0048033B"/>
    <w:rsid w:val="00480AC1"/>
    <w:rsid w:val="00480FFE"/>
    <w:rsid w:val="0048119F"/>
    <w:rsid w:val="00481549"/>
    <w:rsid w:val="00481DD8"/>
    <w:rsid w:val="004820C4"/>
    <w:rsid w:val="00482272"/>
    <w:rsid w:val="004825AE"/>
    <w:rsid w:val="00482A6B"/>
    <w:rsid w:val="00482B62"/>
    <w:rsid w:val="00482C54"/>
    <w:rsid w:val="0048327F"/>
    <w:rsid w:val="004838BB"/>
    <w:rsid w:val="004841F3"/>
    <w:rsid w:val="004850C1"/>
    <w:rsid w:val="00485A1C"/>
    <w:rsid w:val="0048668A"/>
    <w:rsid w:val="00487070"/>
    <w:rsid w:val="004876B8"/>
    <w:rsid w:val="004915BE"/>
    <w:rsid w:val="00491BFA"/>
    <w:rsid w:val="00492331"/>
    <w:rsid w:val="004929E6"/>
    <w:rsid w:val="00493564"/>
    <w:rsid w:val="00494B9F"/>
    <w:rsid w:val="004952F2"/>
    <w:rsid w:val="004960F0"/>
    <w:rsid w:val="004A02FF"/>
    <w:rsid w:val="004A0381"/>
    <w:rsid w:val="004A0ED4"/>
    <w:rsid w:val="004A0FE4"/>
    <w:rsid w:val="004A103F"/>
    <w:rsid w:val="004A163F"/>
    <w:rsid w:val="004A1A97"/>
    <w:rsid w:val="004A1E51"/>
    <w:rsid w:val="004A2134"/>
    <w:rsid w:val="004A333E"/>
    <w:rsid w:val="004A38FA"/>
    <w:rsid w:val="004A4216"/>
    <w:rsid w:val="004A43EF"/>
    <w:rsid w:val="004A46D9"/>
    <w:rsid w:val="004A4C90"/>
    <w:rsid w:val="004A59BE"/>
    <w:rsid w:val="004A60A0"/>
    <w:rsid w:val="004A62C3"/>
    <w:rsid w:val="004A73D5"/>
    <w:rsid w:val="004B044E"/>
    <w:rsid w:val="004B1292"/>
    <w:rsid w:val="004B148E"/>
    <w:rsid w:val="004B36E0"/>
    <w:rsid w:val="004B4082"/>
    <w:rsid w:val="004B4CA5"/>
    <w:rsid w:val="004B500B"/>
    <w:rsid w:val="004B59BA"/>
    <w:rsid w:val="004B5A61"/>
    <w:rsid w:val="004B5C3A"/>
    <w:rsid w:val="004B5DA4"/>
    <w:rsid w:val="004B6202"/>
    <w:rsid w:val="004B6F75"/>
    <w:rsid w:val="004B72B3"/>
    <w:rsid w:val="004C0A73"/>
    <w:rsid w:val="004C101D"/>
    <w:rsid w:val="004C27B6"/>
    <w:rsid w:val="004C2A43"/>
    <w:rsid w:val="004C3ACF"/>
    <w:rsid w:val="004C3F3F"/>
    <w:rsid w:val="004C3FE5"/>
    <w:rsid w:val="004C4684"/>
    <w:rsid w:val="004C4C29"/>
    <w:rsid w:val="004C5B43"/>
    <w:rsid w:val="004C5B45"/>
    <w:rsid w:val="004C67E6"/>
    <w:rsid w:val="004C6FF8"/>
    <w:rsid w:val="004D00BB"/>
    <w:rsid w:val="004D0BC3"/>
    <w:rsid w:val="004D117B"/>
    <w:rsid w:val="004D1834"/>
    <w:rsid w:val="004D2950"/>
    <w:rsid w:val="004D2D80"/>
    <w:rsid w:val="004D34D6"/>
    <w:rsid w:val="004D4A48"/>
    <w:rsid w:val="004D55BB"/>
    <w:rsid w:val="004D5846"/>
    <w:rsid w:val="004D662B"/>
    <w:rsid w:val="004D6A49"/>
    <w:rsid w:val="004D6E13"/>
    <w:rsid w:val="004D7953"/>
    <w:rsid w:val="004E09D5"/>
    <w:rsid w:val="004E0F38"/>
    <w:rsid w:val="004E1083"/>
    <w:rsid w:val="004E2966"/>
    <w:rsid w:val="004E2C1F"/>
    <w:rsid w:val="004E3145"/>
    <w:rsid w:val="004E4F79"/>
    <w:rsid w:val="004E56E2"/>
    <w:rsid w:val="004E5D5E"/>
    <w:rsid w:val="004E5D9C"/>
    <w:rsid w:val="004E60C6"/>
    <w:rsid w:val="004E662E"/>
    <w:rsid w:val="004F1585"/>
    <w:rsid w:val="004F2163"/>
    <w:rsid w:val="004F3DC1"/>
    <w:rsid w:val="004F4147"/>
    <w:rsid w:val="004F417E"/>
    <w:rsid w:val="004F4ED6"/>
    <w:rsid w:val="004F5148"/>
    <w:rsid w:val="004F5A90"/>
    <w:rsid w:val="004F5EA4"/>
    <w:rsid w:val="004F6E20"/>
    <w:rsid w:val="0050085A"/>
    <w:rsid w:val="0050112F"/>
    <w:rsid w:val="005012FC"/>
    <w:rsid w:val="00501734"/>
    <w:rsid w:val="005021E1"/>
    <w:rsid w:val="00502987"/>
    <w:rsid w:val="00503D24"/>
    <w:rsid w:val="005040DB"/>
    <w:rsid w:val="00504609"/>
    <w:rsid w:val="00504702"/>
    <w:rsid w:val="00504C85"/>
    <w:rsid w:val="0050580F"/>
    <w:rsid w:val="00505A28"/>
    <w:rsid w:val="00506257"/>
    <w:rsid w:val="005079E1"/>
    <w:rsid w:val="00511E73"/>
    <w:rsid w:val="0051287F"/>
    <w:rsid w:val="00514D79"/>
    <w:rsid w:val="00514DE0"/>
    <w:rsid w:val="00515807"/>
    <w:rsid w:val="00516B22"/>
    <w:rsid w:val="00516E39"/>
    <w:rsid w:val="00517617"/>
    <w:rsid w:val="005177B9"/>
    <w:rsid w:val="00517F69"/>
    <w:rsid w:val="00521519"/>
    <w:rsid w:val="005215F8"/>
    <w:rsid w:val="00521F56"/>
    <w:rsid w:val="005221F4"/>
    <w:rsid w:val="00522FC1"/>
    <w:rsid w:val="0052389C"/>
    <w:rsid w:val="005240E7"/>
    <w:rsid w:val="00524AC3"/>
    <w:rsid w:val="00525462"/>
    <w:rsid w:val="00525FC8"/>
    <w:rsid w:val="00526C15"/>
    <w:rsid w:val="00527347"/>
    <w:rsid w:val="00527617"/>
    <w:rsid w:val="00527ADB"/>
    <w:rsid w:val="005302EA"/>
    <w:rsid w:val="00530B3F"/>
    <w:rsid w:val="00530CE6"/>
    <w:rsid w:val="00533017"/>
    <w:rsid w:val="0053370C"/>
    <w:rsid w:val="00533745"/>
    <w:rsid w:val="00533C2C"/>
    <w:rsid w:val="00535249"/>
    <w:rsid w:val="00535793"/>
    <w:rsid w:val="00536B34"/>
    <w:rsid w:val="00536CB7"/>
    <w:rsid w:val="00537186"/>
    <w:rsid w:val="005377D7"/>
    <w:rsid w:val="00537AB9"/>
    <w:rsid w:val="0054025A"/>
    <w:rsid w:val="00540CFD"/>
    <w:rsid w:val="00541457"/>
    <w:rsid w:val="005414FE"/>
    <w:rsid w:val="00542E0F"/>
    <w:rsid w:val="00542ED7"/>
    <w:rsid w:val="005437E0"/>
    <w:rsid w:val="00543D16"/>
    <w:rsid w:val="005453D6"/>
    <w:rsid w:val="00545453"/>
    <w:rsid w:val="005466A8"/>
    <w:rsid w:val="00546837"/>
    <w:rsid w:val="00547635"/>
    <w:rsid w:val="005478A5"/>
    <w:rsid w:val="00547FB2"/>
    <w:rsid w:val="00550535"/>
    <w:rsid w:val="005506D6"/>
    <w:rsid w:val="00550A18"/>
    <w:rsid w:val="00551025"/>
    <w:rsid w:val="0055127A"/>
    <w:rsid w:val="005525E4"/>
    <w:rsid w:val="00552BF9"/>
    <w:rsid w:val="005545FC"/>
    <w:rsid w:val="0055529D"/>
    <w:rsid w:val="00555389"/>
    <w:rsid w:val="00555A0B"/>
    <w:rsid w:val="00555CFC"/>
    <w:rsid w:val="00557F56"/>
    <w:rsid w:val="00560292"/>
    <w:rsid w:val="00561101"/>
    <w:rsid w:val="00561151"/>
    <w:rsid w:val="00561A6B"/>
    <w:rsid w:val="005624F6"/>
    <w:rsid w:val="00562815"/>
    <w:rsid w:val="00562EB0"/>
    <w:rsid w:val="00563293"/>
    <w:rsid w:val="005638ED"/>
    <w:rsid w:val="00563F99"/>
    <w:rsid w:val="0056452D"/>
    <w:rsid w:val="005647A1"/>
    <w:rsid w:val="00565385"/>
    <w:rsid w:val="00565D7B"/>
    <w:rsid w:val="00567613"/>
    <w:rsid w:val="0056780D"/>
    <w:rsid w:val="00571290"/>
    <w:rsid w:val="00571A2F"/>
    <w:rsid w:val="005722FA"/>
    <w:rsid w:val="005725E6"/>
    <w:rsid w:val="005735D1"/>
    <w:rsid w:val="005747BE"/>
    <w:rsid w:val="00575039"/>
    <w:rsid w:val="0057571D"/>
    <w:rsid w:val="00575911"/>
    <w:rsid w:val="00576610"/>
    <w:rsid w:val="00576614"/>
    <w:rsid w:val="00581EAD"/>
    <w:rsid w:val="0058293F"/>
    <w:rsid w:val="0058371C"/>
    <w:rsid w:val="00584245"/>
    <w:rsid w:val="0058472C"/>
    <w:rsid w:val="0058479F"/>
    <w:rsid w:val="00584922"/>
    <w:rsid w:val="00585077"/>
    <w:rsid w:val="00585C0E"/>
    <w:rsid w:val="0058613F"/>
    <w:rsid w:val="00586A68"/>
    <w:rsid w:val="0058760F"/>
    <w:rsid w:val="00587732"/>
    <w:rsid w:val="00587C31"/>
    <w:rsid w:val="00587D28"/>
    <w:rsid w:val="00587D70"/>
    <w:rsid w:val="00591393"/>
    <w:rsid w:val="0059156D"/>
    <w:rsid w:val="005922A5"/>
    <w:rsid w:val="00593ADE"/>
    <w:rsid w:val="0059409D"/>
    <w:rsid w:val="00594C9C"/>
    <w:rsid w:val="00594EE9"/>
    <w:rsid w:val="005954EB"/>
    <w:rsid w:val="0059558F"/>
    <w:rsid w:val="00595712"/>
    <w:rsid w:val="00595851"/>
    <w:rsid w:val="005979F3"/>
    <w:rsid w:val="00597F0B"/>
    <w:rsid w:val="005A009E"/>
    <w:rsid w:val="005A0D38"/>
    <w:rsid w:val="005A0DC3"/>
    <w:rsid w:val="005A0E07"/>
    <w:rsid w:val="005A189B"/>
    <w:rsid w:val="005A1D67"/>
    <w:rsid w:val="005A2A11"/>
    <w:rsid w:val="005A4E63"/>
    <w:rsid w:val="005A5185"/>
    <w:rsid w:val="005A7429"/>
    <w:rsid w:val="005A7751"/>
    <w:rsid w:val="005B0823"/>
    <w:rsid w:val="005B13C7"/>
    <w:rsid w:val="005B165D"/>
    <w:rsid w:val="005B1F98"/>
    <w:rsid w:val="005B2E6E"/>
    <w:rsid w:val="005B4715"/>
    <w:rsid w:val="005B4F17"/>
    <w:rsid w:val="005B57AC"/>
    <w:rsid w:val="005B669D"/>
    <w:rsid w:val="005B6E6C"/>
    <w:rsid w:val="005B772F"/>
    <w:rsid w:val="005C0C28"/>
    <w:rsid w:val="005C118C"/>
    <w:rsid w:val="005C15FC"/>
    <w:rsid w:val="005C2FD3"/>
    <w:rsid w:val="005C32DE"/>
    <w:rsid w:val="005C34E1"/>
    <w:rsid w:val="005C38CD"/>
    <w:rsid w:val="005C5A5F"/>
    <w:rsid w:val="005C602E"/>
    <w:rsid w:val="005C61DB"/>
    <w:rsid w:val="005C6C50"/>
    <w:rsid w:val="005C72B9"/>
    <w:rsid w:val="005D01D1"/>
    <w:rsid w:val="005D065E"/>
    <w:rsid w:val="005D0EC6"/>
    <w:rsid w:val="005D1E30"/>
    <w:rsid w:val="005D2103"/>
    <w:rsid w:val="005D388C"/>
    <w:rsid w:val="005D38D6"/>
    <w:rsid w:val="005D3DB4"/>
    <w:rsid w:val="005D4047"/>
    <w:rsid w:val="005D4574"/>
    <w:rsid w:val="005D49FD"/>
    <w:rsid w:val="005D4A3D"/>
    <w:rsid w:val="005D4D49"/>
    <w:rsid w:val="005D531C"/>
    <w:rsid w:val="005D559A"/>
    <w:rsid w:val="005D5A6F"/>
    <w:rsid w:val="005D6D7B"/>
    <w:rsid w:val="005D7242"/>
    <w:rsid w:val="005D740F"/>
    <w:rsid w:val="005D755D"/>
    <w:rsid w:val="005D7CCD"/>
    <w:rsid w:val="005D7EE1"/>
    <w:rsid w:val="005D7F88"/>
    <w:rsid w:val="005E0081"/>
    <w:rsid w:val="005E1A95"/>
    <w:rsid w:val="005E2300"/>
    <w:rsid w:val="005E23A8"/>
    <w:rsid w:val="005E2E78"/>
    <w:rsid w:val="005E3833"/>
    <w:rsid w:val="005E3FAB"/>
    <w:rsid w:val="005E4024"/>
    <w:rsid w:val="005E4171"/>
    <w:rsid w:val="005E491D"/>
    <w:rsid w:val="005E5482"/>
    <w:rsid w:val="005E61D3"/>
    <w:rsid w:val="005E6571"/>
    <w:rsid w:val="005E7716"/>
    <w:rsid w:val="005E7FC4"/>
    <w:rsid w:val="005F043D"/>
    <w:rsid w:val="005F2892"/>
    <w:rsid w:val="005F3E4A"/>
    <w:rsid w:val="005F4790"/>
    <w:rsid w:val="005F57A1"/>
    <w:rsid w:val="005F6BA4"/>
    <w:rsid w:val="005F76D7"/>
    <w:rsid w:val="006001E9"/>
    <w:rsid w:val="00600332"/>
    <w:rsid w:val="00600900"/>
    <w:rsid w:val="0060101B"/>
    <w:rsid w:val="0060103B"/>
    <w:rsid w:val="006018DC"/>
    <w:rsid w:val="00602C03"/>
    <w:rsid w:val="00602E87"/>
    <w:rsid w:val="00603A29"/>
    <w:rsid w:val="00603E74"/>
    <w:rsid w:val="006041C8"/>
    <w:rsid w:val="00604F03"/>
    <w:rsid w:val="00604FDE"/>
    <w:rsid w:val="00605404"/>
    <w:rsid w:val="00605960"/>
    <w:rsid w:val="00605D3E"/>
    <w:rsid w:val="00605E78"/>
    <w:rsid w:val="00607210"/>
    <w:rsid w:val="006100F6"/>
    <w:rsid w:val="00610289"/>
    <w:rsid w:val="0061081D"/>
    <w:rsid w:val="00610940"/>
    <w:rsid w:val="00612273"/>
    <w:rsid w:val="00613343"/>
    <w:rsid w:val="00613FE0"/>
    <w:rsid w:val="006147B5"/>
    <w:rsid w:val="00614C2E"/>
    <w:rsid w:val="00615295"/>
    <w:rsid w:val="00616966"/>
    <w:rsid w:val="006204F3"/>
    <w:rsid w:val="0062140E"/>
    <w:rsid w:val="00621926"/>
    <w:rsid w:val="00623C84"/>
    <w:rsid w:val="00625535"/>
    <w:rsid w:val="00626780"/>
    <w:rsid w:val="0062722D"/>
    <w:rsid w:val="006272D5"/>
    <w:rsid w:val="00627A2E"/>
    <w:rsid w:val="00631E9F"/>
    <w:rsid w:val="00632390"/>
    <w:rsid w:val="00632FEC"/>
    <w:rsid w:val="00633602"/>
    <w:rsid w:val="006337C2"/>
    <w:rsid w:val="00634BB3"/>
    <w:rsid w:val="00634EC6"/>
    <w:rsid w:val="00637B7D"/>
    <w:rsid w:val="00637EAE"/>
    <w:rsid w:val="006405EF"/>
    <w:rsid w:val="0064065E"/>
    <w:rsid w:val="00641A80"/>
    <w:rsid w:val="00641D15"/>
    <w:rsid w:val="00641F22"/>
    <w:rsid w:val="006424BF"/>
    <w:rsid w:val="00642AF3"/>
    <w:rsid w:val="00642BA4"/>
    <w:rsid w:val="006447FC"/>
    <w:rsid w:val="006454A8"/>
    <w:rsid w:val="00645E72"/>
    <w:rsid w:val="0064640D"/>
    <w:rsid w:val="00646D37"/>
    <w:rsid w:val="00650A74"/>
    <w:rsid w:val="00651C05"/>
    <w:rsid w:val="00652EBC"/>
    <w:rsid w:val="0065333F"/>
    <w:rsid w:val="00653697"/>
    <w:rsid w:val="006542EE"/>
    <w:rsid w:val="00654540"/>
    <w:rsid w:val="00654C36"/>
    <w:rsid w:val="0065565A"/>
    <w:rsid w:val="00655A82"/>
    <w:rsid w:val="006564B2"/>
    <w:rsid w:val="00656BD1"/>
    <w:rsid w:val="00657901"/>
    <w:rsid w:val="00660B39"/>
    <w:rsid w:val="00660C0D"/>
    <w:rsid w:val="00661087"/>
    <w:rsid w:val="006613CE"/>
    <w:rsid w:val="0066186B"/>
    <w:rsid w:val="00662147"/>
    <w:rsid w:val="00662EF3"/>
    <w:rsid w:val="00663221"/>
    <w:rsid w:val="00663952"/>
    <w:rsid w:val="00664081"/>
    <w:rsid w:val="00665319"/>
    <w:rsid w:val="0066698A"/>
    <w:rsid w:val="00667120"/>
    <w:rsid w:val="00667464"/>
    <w:rsid w:val="00667B80"/>
    <w:rsid w:val="00670A73"/>
    <w:rsid w:val="00671467"/>
    <w:rsid w:val="006729CB"/>
    <w:rsid w:val="00672A0C"/>
    <w:rsid w:val="00672FD6"/>
    <w:rsid w:val="00673030"/>
    <w:rsid w:val="0067326C"/>
    <w:rsid w:val="00673B27"/>
    <w:rsid w:val="00673EB6"/>
    <w:rsid w:val="006746BB"/>
    <w:rsid w:val="00675757"/>
    <w:rsid w:val="00675A4D"/>
    <w:rsid w:val="006762C5"/>
    <w:rsid w:val="00676E97"/>
    <w:rsid w:val="00680009"/>
    <w:rsid w:val="0068027C"/>
    <w:rsid w:val="00680B24"/>
    <w:rsid w:val="00680CFE"/>
    <w:rsid w:val="00680E0D"/>
    <w:rsid w:val="00681C79"/>
    <w:rsid w:val="006829D6"/>
    <w:rsid w:val="00682E7F"/>
    <w:rsid w:val="006833A7"/>
    <w:rsid w:val="00683D0F"/>
    <w:rsid w:val="00684039"/>
    <w:rsid w:val="006841DB"/>
    <w:rsid w:val="006849DA"/>
    <w:rsid w:val="00684EB6"/>
    <w:rsid w:val="00686189"/>
    <w:rsid w:val="006861E5"/>
    <w:rsid w:val="006866DE"/>
    <w:rsid w:val="0068714B"/>
    <w:rsid w:val="00687510"/>
    <w:rsid w:val="0068780F"/>
    <w:rsid w:val="00687BE1"/>
    <w:rsid w:val="00690CD6"/>
    <w:rsid w:val="00692626"/>
    <w:rsid w:val="006927C8"/>
    <w:rsid w:val="00692A8F"/>
    <w:rsid w:val="00692B24"/>
    <w:rsid w:val="00694253"/>
    <w:rsid w:val="006943B9"/>
    <w:rsid w:val="00694648"/>
    <w:rsid w:val="00695558"/>
    <w:rsid w:val="00695C10"/>
    <w:rsid w:val="00696692"/>
    <w:rsid w:val="00696BD7"/>
    <w:rsid w:val="00696D84"/>
    <w:rsid w:val="00696F83"/>
    <w:rsid w:val="00697893"/>
    <w:rsid w:val="006A0521"/>
    <w:rsid w:val="006A0A81"/>
    <w:rsid w:val="006A16FD"/>
    <w:rsid w:val="006A2468"/>
    <w:rsid w:val="006A2A82"/>
    <w:rsid w:val="006A2CAE"/>
    <w:rsid w:val="006A4447"/>
    <w:rsid w:val="006A5101"/>
    <w:rsid w:val="006A54C4"/>
    <w:rsid w:val="006A56A3"/>
    <w:rsid w:val="006A6C63"/>
    <w:rsid w:val="006A6DFC"/>
    <w:rsid w:val="006A7CEA"/>
    <w:rsid w:val="006A7E9A"/>
    <w:rsid w:val="006B080A"/>
    <w:rsid w:val="006B0B59"/>
    <w:rsid w:val="006B0C4E"/>
    <w:rsid w:val="006B370B"/>
    <w:rsid w:val="006B3967"/>
    <w:rsid w:val="006B4FDC"/>
    <w:rsid w:val="006B558A"/>
    <w:rsid w:val="006B629E"/>
    <w:rsid w:val="006B6EE0"/>
    <w:rsid w:val="006B7260"/>
    <w:rsid w:val="006C01FC"/>
    <w:rsid w:val="006C04A5"/>
    <w:rsid w:val="006C0AD4"/>
    <w:rsid w:val="006C10E9"/>
    <w:rsid w:val="006C11D7"/>
    <w:rsid w:val="006C1E87"/>
    <w:rsid w:val="006C3713"/>
    <w:rsid w:val="006C3EE4"/>
    <w:rsid w:val="006C40B3"/>
    <w:rsid w:val="006C5CB3"/>
    <w:rsid w:val="006C5E6E"/>
    <w:rsid w:val="006C64C3"/>
    <w:rsid w:val="006C791E"/>
    <w:rsid w:val="006D01E6"/>
    <w:rsid w:val="006D0D27"/>
    <w:rsid w:val="006D1412"/>
    <w:rsid w:val="006D1FA7"/>
    <w:rsid w:val="006D2149"/>
    <w:rsid w:val="006D2CB9"/>
    <w:rsid w:val="006D2D23"/>
    <w:rsid w:val="006D3162"/>
    <w:rsid w:val="006D3A0D"/>
    <w:rsid w:val="006D4624"/>
    <w:rsid w:val="006D4732"/>
    <w:rsid w:val="006D549E"/>
    <w:rsid w:val="006D572D"/>
    <w:rsid w:val="006D5AD0"/>
    <w:rsid w:val="006D5B55"/>
    <w:rsid w:val="006D5BAE"/>
    <w:rsid w:val="006D5FAD"/>
    <w:rsid w:val="006D6D6F"/>
    <w:rsid w:val="006E02A7"/>
    <w:rsid w:val="006E2384"/>
    <w:rsid w:val="006E2867"/>
    <w:rsid w:val="006E2917"/>
    <w:rsid w:val="006E3567"/>
    <w:rsid w:val="006E39A1"/>
    <w:rsid w:val="006E3E76"/>
    <w:rsid w:val="006E44BF"/>
    <w:rsid w:val="006E576A"/>
    <w:rsid w:val="006E5ACA"/>
    <w:rsid w:val="006E6057"/>
    <w:rsid w:val="006E6FA5"/>
    <w:rsid w:val="006E74A2"/>
    <w:rsid w:val="006E7EE5"/>
    <w:rsid w:val="006F0704"/>
    <w:rsid w:val="006F18FE"/>
    <w:rsid w:val="006F1C72"/>
    <w:rsid w:val="006F1D59"/>
    <w:rsid w:val="006F31C3"/>
    <w:rsid w:val="006F3D8D"/>
    <w:rsid w:val="006F4837"/>
    <w:rsid w:val="006F64F1"/>
    <w:rsid w:val="006F6E24"/>
    <w:rsid w:val="006F70FA"/>
    <w:rsid w:val="006F781C"/>
    <w:rsid w:val="00700C15"/>
    <w:rsid w:val="0070100E"/>
    <w:rsid w:val="007013F4"/>
    <w:rsid w:val="00701869"/>
    <w:rsid w:val="00701CD0"/>
    <w:rsid w:val="0070327F"/>
    <w:rsid w:val="007046CF"/>
    <w:rsid w:val="0070476E"/>
    <w:rsid w:val="007058B2"/>
    <w:rsid w:val="007058B8"/>
    <w:rsid w:val="00705E9B"/>
    <w:rsid w:val="00705FD7"/>
    <w:rsid w:val="00706230"/>
    <w:rsid w:val="00706830"/>
    <w:rsid w:val="00706D70"/>
    <w:rsid w:val="007072B0"/>
    <w:rsid w:val="00707CFB"/>
    <w:rsid w:val="007103D6"/>
    <w:rsid w:val="007105CE"/>
    <w:rsid w:val="00710762"/>
    <w:rsid w:val="0071185D"/>
    <w:rsid w:val="00711E3B"/>
    <w:rsid w:val="0071238D"/>
    <w:rsid w:val="007125FE"/>
    <w:rsid w:val="00712657"/>
    <w:rsid w:val="007127BB"/>
    <w:rsid w:val="00712930"/>
    <w:rsid w:val="007130C0"/>
    <w:rsid w:val="00714351"/>
    <w:rsid w:val="007153AC"/>
    <w:rsid w:val="007158CF"/>
    <w:rsid w:val="007164EA"/>
    <w:rsid w:val="00720227"/>
    <w:rsid w:val="00720E36"/>
    <w:rsid w:val="00721133"/>
    <w:rsid w:val="007212A6"/>
    <w:rsid w:val="007216F1"/>
    <w:rsid w:val="00721872"/>
    <w:rsid w:val="00721F38"/>
    <w:rsid w:val="0072247D"/>
    <w:rsid w:val="00722818"/>
    <w:rsid w:val="007230C7"/>
    <w:rsid w:val="007234AB"/>
    <w:rsid w:val="00723537"/>
    <w:rsid w:val="00723621"/>
    <w:rsid w:val="00723A0A"/>
    <w:rsid w:val="007256C0"/>
    <w:rsid w:val="007267F8"/>
    <w:rsid w:val="00726CB6"/>
    <w:rsid w:val="007275EA"/>
    <w:rsid w:val="00730277"/>
    <w:rsid w:val="00730A22"/>
    <w:rsid w:val="00733233"/>
    <w:rsid w:val="007338F4"/>
    <w:rsid w:val="00735144"/>
    <w:rsid w:val="00735377"/>
    <w:rsid w:val="0073550E"/>
    <w:rsid w:val="00735628"/>
    <w:rsid w:val="0073661E"/>
    <w:rsid w:val="00736E70"/>
    <w:rsid w:val="00737D62"/>
    <w:rsid w:val="007405C4"/>
    <w:rsid w:val="00741648"/>
    <w:rsid w:val="00741932"/>
    <w:rsid w:val="007421C8"/>
    <w:rsid w:val="00742B6A"/>
    <w:rsid w:val="00742D20"/>
    <w:rsid w:val="00742E14"/>
    <w:rsid w:val="00744604"/>
    <w:rsid w:val="007460F1"/>
    <w:rsid w:val="007468B3"/>
    <w:rsid w:val="00746DCE"/>
    <w:rsid w:val="007478A0"/>
    <w:rsid w:val="00747A51"/>
    <w:rsid w:val="007504F9"/>
    <w:rsid w:val="007505DD"/>
    <w:rsid w:val="00750FAD"/>
    <w:rsid w:val="007512BA"/>
    <w:rsid w:val="0075333C"/>
    <w:rsid w:val="00753354"/>
    <w:rsid w:val="00753A7D"/>
    <w:rsid w:val="00754357"/>
    <w:rsid w:val="00754771"/>
    <w:rsid w:val="00754F08"/>
    <w:rsid w:val="0075569A"/>
    <w:rsid w:val="007559C3"/>
    <w:rsid w:val="00755C03"/>
    <w:rsid w:val="00755C2F"/>
    <w:rsid w:val="00756ABC"/>
    <w:rsid w:val="00756EB7"/>
    <w:rsid w:val="00757DEA"/>
    <w:rsid w:val="007607BD"/>
    <w:rsid w:val="0076111E"/>
    <w:rsid w:val="0076271E"/>
    <w:rsid w:val="00762EEA"/>
    <w:rsid w:val="00763529"/>
    <w:rsid w:val="00764F8A"/>
    <w:rsid w:val="00765508"/>
    <w:rsid w:val="0076568E"/>
    <w:rsid w:val="007656E7"/>
    <w:rsid w:val="00765F9E"/>
    <w:rsid w:val="00766216"/>
    <w:rsid w:val="00766FAB"/>
    <w:rsid w:val="0076756A"/>
    <w:rsid w:val="007676A4"/>
    <w:rsid w:val="00767956"/>
    <w:rsid w:val="00767CC6"/>
    <w:rsid w:val="0077109A"/>
    <w:rsid w:val="00771A54"/>
    <w:rsid w:val="00771D86"/>
    <w:rsid w:val="007722BA"/>
    <w:rsid w:val="00773022"/>
    <w:rsid w:val="00773BA6"/>
    <w:rsid w:val="00773DAF"/>
    <w:rsid w:val="007741C4"/>
    <w:rsid w:val="00774755"/>
    <w:rsid w:val="0077518B"/>
    <w:rsid w:val="007757B7"/>
    <w:rsid w:val="0077590C"/>
    <w:rsid w:val="00775A3A"/>
    <w:rsid w:val="00775E7C"/>
    <w:rsid w:val="00775EEA"/>
    <w:rsid w:val="007762C8"/>
    <w:rsid w:val="00776ACB"/>
    <w:rsid w:val="00776B26"/>
    <w:rsid w:val="00777395"/>
    <w:rsid w:val="007775BA"/>
    <w:rsid w:val="0077785B"/>
    <w:rsid w:val="0078010D"/>
    <w:rsid w:val="00780D2C"/>
    <w:rsid w:val="00782AFB"/>
    <w:rsid w:val="00784785"/>
    <w:rsid w:val="00784ABF"/>
    <w:rsid w:val="00785736"/>
    <w:rsid w:val="007864A6"/>
    <w:rsid w:val="0078668C"/>
    <w:rsid w:val="00786864"/>
    <w:rsid w:val="00786949"/>
    <w:rsid w:val="007874C6"/>
    <w:rsid w:val="00787C8D"/>
    <w:rsid w:val="00787E17"/>
    <w:rsid w:val="00790B9F"/>
    <w:rsid w:val="00793A5F"/>
    <w:rsid w:val="007941BE"/>
    <w:rsid w:val="00794696"/>
    <w:rsid w:val="00794D43"/>
    <w:rsid w:val="007957B6"/>
    <w:rsid w:val="00795B62"/>
    <w:rsid w:val="007961DF"/>
    <w:rsid w:val="0079784C"/>
    <w:rsid w:val="007A003C"/>
    <w:rsid w:val="007A0846"/>
    <w:rsid w:val="007A0FB1"/>
    <w:rsid w:val="007A1383"/>
    <w:rsid w:val="007A20F3"/>
    <w:rsid w:val="007A2244"/>
    <w:rsid w:val="007A31CD"/>
    <w:rsid w:val="007A3911"/>
    <w:rsid w:val="007A3E16"/>
    <w:rsid w:val="007A3EBB"/>
    <w:rsid w:val="007A5901"/>
    <w:rsid w:val="007A6856"/>
    <w:rsid w:val="007A79E5"/>
    <w:rsid w:val="007B0438"/>
    <w:rsid w:val="007B0A83"/>
    <w:rsid w:val="007B10FD"/>
    <w:rsid w:val="007B116C"/>
    <w:rsid w:val="007B17EA"/>
    <w:rsid w:val="007B186B"/>
    <w:rsid w:val="007B3106"/>
    <w:rsid w:val="007B3311"/>
    <w:rsid w:val="007B4DD7"/>
    <w:rsid w:val="007B4E01"/>
    <w:rsid w:val="007B5114"/>
    <w:rsid w:val="007B52EA"/>
    <w:rsid w:val="007B7857"/>
    <w:rsid w:val="007C1964"/>
    <w:rsid w:val="007C52DF"/>
    <w:rsid w:val="007C62A4"/>
    <w:rsid w:val="007C62D7"/>
    <w:rsid w:val="007C6502"/>
    <w:rsid w:val="007C65EC"/>
    <w:rsid w:val="007C7BCB"/>
    <w:rsid w:val="007D01ED"/>
    <w:rsid w:val="007D0F3A"/>
    <w:rsid w:val="007D1774"/>
    <w:rsid w:val="007D17A8"/>
    <w:rsid w:val="007D17B3"/>
    <w:rsid w:val="007D2541"/>
    <w:rsid w:val="007D294B"/>
    <w:rsid w:val="007D2BF9"/>
    <w:rsid w:val="007D3685"/>
    <w:rsid w:val="007D58CD"/>
    <w:rsid w:val="007D5BB5"/>
    <w:rsid w:val="007D734B"/>
    <w:rsid w:val="007D7B89"/>
    <w:rsid w:val="007D7BF6"/>
    <w:rsid w:val="007E01DF"/>
    <w:rsid w:val="007E0401"/>
    <w:rsid w:val="007E2316"/>
    <w:rsid w:val="007E3754"/>
    <w:rsid w:val="007E39D8"/>
    <w:rsid w:val="007E3F71"/>
    <w:rsid w:val="007E4600"/>
    <w:rsid w:val="007E48D2"/>
    <w:rsid w:val="007E492A"/>
    <w:rsid w:val="007E494C"/>
    <w:rsid w:val="007E54F8"/>
    <w:rsid w:val="007E5A54"/>
    <w:rsid w:val="007E63C8"/>
    <w:rsid w:val="007E6D0C"/>
    <w:rsid w:val="007E7CC7"/>
    <w:rsid w:val="007F2668"/>
    <w:rsid w:val="007F28F3"/>
    <w:rsid w:val="007F3A1F"/>
    <w:rsid w:val="007F40B2"/>
    <w:rsid w:val="007F53E8"/>
    <w:rsid w:val="007F6A4A"/>
    <w:rsid w:val="007F72E1"/>
    <w:rsid w:val="007F76F3"/>
    <w:rsid w:val="00801795"/>
    <w:rsid w:val="00802F65"/>
    <w:rsid w:val="00802F68"/>
    <w:rsid w:val="00804595"/>
    <w:rsid w:val="008049B7"/>
    <w:rsid w:val="00805C15"/>
    <w:rsid w:val="0080717B"/>
    <w:rsid w:val="008079B1"/>
    <w:rsid w:val="00810405"/>
    <w:rsid w:val="00810656"/>
    <w:rsid w:val="00810A60"/>
    <w:rsid w:val="00813462"/>
    <w:rsid w:val="00813A66"/>
    <w:rsid w:val="00814430"/>
    <w:rsid w:val="00814443"/>
    <w:rsid w:val="008146C1"/>
    <w:rsid w:val="00815112"/>
    <w:rsid w:val="0081569D"/>
    <w:rsid w:val="008159EE"/>
    <w:rsid w:val="00816703"/>
    <w:rsid w:val="00820B5D"/>
    <w:rsid w:val="00821108"/>
    <w:rsid w:val="00821371"/>
    <w:rsid w:val="008225B3"/>
    <w:rsid w:val="008226E1"/>
    <w:rsid w:val="00822C9A"/>
    <w:rsid w:val="00822ED5"/>
    <w:rsid w:val="00823AF7"/>
    <w:rsid w:val="0082442C"/>
    <w:rsid w:val="008259F5"/>
    <w:rsid w:val="00827672"/>
    <w:rsid w:val="008276E3"/>
    <w:rsid w:val="00827861"/>
    <w:rsid w:val="00830B42"/>
    <w:rsid w:val="008314D2"/>
    <w:rsid w:val="008317C2"/>
    <w:rsid w:val="0083264F"/>
    <w:rsid w:val="00832EFA"/>
    <w:rsid w:val="00832F93"/>
    <w:rsid w:val="00834C85"/>
    <w:rsid w:val="00834FD6"/>
    <w:rsid w:val="008356B7"/>
    <w:rsid w:val="00842C41"/>
    <w:rsid w:val="0084401F"/>
    <w:rsid w:val="00844D81"/>
    <w:rsid w:val="00845366"/>
    <w:rsid w:val="00846ED2"/>
    <w:rsid w:val="0085060D"/>
    <w:rsid w:val="00850C9C"/>
    <w:rsid w:val="00850D25"/>
    <w:rsid w:val="008519A4"/>
    <w:rsid w:val="00853358"/>
    <w:rsid w:val="0085362F"/>
    <w:rsid w:val="008542B0"/>
    <w:rsid w:val="008563BC"/>
    <w:rsid w:val="0085670C"/>
    <w:rsid w:val="00856B40"/>
    <w:rsid w:val="008570A7"/>
    <w:rsid w:val="00857948"/>
    <w:rsid w:val="00857FB2"/>
    <w:rsid w:val="00860F0C"/>
    <w:rsid w:val="00861837"/>
    <w:rsid w:val="00861980"/>
    <w:rsid w:val="008619B4"/>
    <w:rsid w:val="00863641"/>
    <w:rsid w:val="008639D6"/>
    <w:rsid w:val="00863EBA"/>
    <w:rsid w:val="00864BEE"/>
    <w:rsid w:val="00864F43"/>
    <w:rsid w:val="008652D8"/>
    <w:rsid w:val="0086670F"/>
    <w:rsid w:val="00866A65"/>
    <w:rsid w:val="00867713"/>
    <w:rsid w:val="008679FE"/>
    <w:rsid w:val="00867AAF"/>
    <w:rsid w:val="00867CBF"/>
    <w:rsid w:val="00867DCF"/>
    <w:rsid w:val="00870D57"/>
    <w:rsid w:val="0087107A"/>
    <w:rsid w:val="00872667"/>
    <w:rsid w:val="00872E9D"/>
    <w:rsid w:val="0087318B"/>
    <w:rsid w:val="008737A6"/>
    <w:rsid w:val="00873DC5"/>
    <w:rsid w:val="008751EF"/>
    <w:rsid w:val="0087592C"/>
    <w:rsid w:val="00875D8D"/>
    <w:rsid w:val="00875F6D"/>
    <w:rsid w:val="0087763D"/>
    <w:rsid w:val="008776B2"/>
    <w:rsid w:val="00877EB4"/>
    <w:rsid w:val="00880A5F"/>
    <w:rsid w:val="00880AD5"/>
    <w:rsid w:val="008818F0"/>
    <w:rsid w:val="00882DB7"/>
    <w:rsid w:val="00883081"/>
    <w:rsid w:val="0088343E"/>
    <w:rsid w:val="00884119"/>
    <w:rsid w:val="0088684F"/>
    <w:rsid w:val="00886DFA"/>
    <w:rsid w:val="00886FAF"/>
    <w:rsid w:val="008870B6"/>
    <w:rsid w:val="008877D4"/>
    <w:rsid w:val="0089011A"/>
    <w:rsid w:val="0089027B"/>
    <w:rsid w:val="00891644"/>
    <w:rsid w:val="008918D8"/>
    <w:rsid w:val="0089220B"/>
    <w:rsid w:val="00892E78"/>
    <w:rsid w:val="008931D4"/>
    <w:rsid w:val="008933A9"/>
    <w:rsid w:val="00893D14"/>
    <w:rsid w:val="00893DA6"/>
    <w:rsid w:val="00893F20"/>
    <w:rsid w:val="00895B54"/>
    <w:rsid w:val="008968C0"/>
    <w:rsid w:val="00896C14"/>
    <w:rsid w:val="00896E23"/>
    <w:rsid w:val="008A1397"/>
    <w:rsid w:val="008A18C8"/>
    <w:rsid w:val="008A1DAD"/>
    <w:rsid w:val="008A1FAB"/>
    <w:rsid w:val="008A22B8"/>
    <w:rsid w:val="008A298F"/>
    <w:rsid w:val="008A328B"/>
    <w:rsid w:val="008A3F60"/>
    <w:rsid w:val="008A43C3"/>
    <w:rsid w:val="008A4767"/>
    <w:rsid w:val="008A49A3"/>
    <w:rsid w:val="008A4DDB"/>
    <w:rsid w:val="008A5A27"/>
    <w:rsid w:val="008A727E"/>
    <w:rsid w:val="008A747D"/>
    <w:rsid w:val="008B0137"/>
    <w:rsid w:val="008B048C"/>
    <w:rsid w:val="008B05BE"/>
    <w:rsid w:val="008B0737"/>
    <w:rsid w:val="008B1571"/>
    <w:rsid w:val="008B1871"/>
    <w:rsid w:val="008B33CD"/>
    <w:rsid w:val="008B34CC"/>
    <w:rsid w:val="008B3CD4"/>
    <w:rsid w:val="008B4925"/>
    <w:rsid w:val="008B5B28"/>
    <w:rsid w:val="008B65DB"/>
    <w:rsid w:val="008B6B43"/>
    <w:rsid w:val="008B7436"/>
    <w:rsid w:val="008B79A2"/>
    <w:rsid w:val="008B79AE"/>
    <w:rsid w:val="008C1C9C"/>
    <w:rsid w:val="008C2115"/>
    <w:rsid w:val="008C249A"/>
    <w:rsid w:val="008C27A8"/>
    <w:rsid w:val="008C318F"/>
    <w:rsid w:val="008C333B"/>
    <w:rsid w:val="008C3A90"/>
    <w:rsid w:val="008C4028"/>
    <w:rsid w:val="008C42B9"/>
    <w:rsid w:val="008C51D0"/>
    <w:rsid w:val="008C5AAC"/>
    <w:rsid w:val="008C7BA0"/>
    <w:rsid w:val="008C7CC8"/>
    <w:rsid w:val="008D01CE"/>
    <w:rsid w:val="008D0988"/>
    <w:rsid w:val="008D0A97"/>
    <w:rsid w:val="008D14DF"/>
    <w:rsid w:val="008D1AF8"/>
    <w:rsid w:val="008D1C83"/>
    <w:rsid w:val="008D1FD7"/>
    <w:rsid w:val="008D2487"/>
    <w:rsid w:val="008D2964"/>
    <w:rsid w:val="008D2B9E"/>
    <w:rsid w:val="008D3313"/>
    <w:rsid w:val="008D3512"/>
    <w:rsid w:val="008D3BCD"/>
    <w:rsid w:val="008D3C6C"/>
    <w:rsid w:val="008D4F63"/>
    <w:rsid w:val="008D57F8"/>
    <w:rsid w:val="008D5D6B"/>
    <w:rsid w:val="008D5FCF"/>
    <w:rsid w:val="008D75D8"/>
    <w:rsid w:val="008D7B5E"/>
    <w:rsid w:val="008E0930"/>
    <w:rsid w:val="008E0B9C"/>
    <w:rsid w:val="008E17F6"/>
    <w:rsid w:val="008E1D3F"/>
    <w:rsid w:val="008E1F36"/>
    <w:rsid w:val="008E2B2A"/>
    <w:rsid w:val="008E4568"/>
    <w:rsid w:val="008E4743"/>
    <w:rsid w:val="008E4B4C"/>
    <w:rsid w:val="008E53D4"/>
    <w:rsid w:val="008E55C8"/>
    <w:rsid w:val="008F00CC"/>
    <w:rsid w:val="008F0CA8"/>
    <w:rsid w:val="008F0FCD"/>
    <w:rsid w:val="008F17BD"/>
    <w:rsid w:val="008F1956"/>
    <w:rsid w:val="008F1CA5"/>
    <w:rsid w:val="008F2677"/>
    <w:rsid w:val="008F2A18"/>
    <w:rsid w:val="008F3107"/>
    <w:rsid w:val="008F34D0"/>
    <w:rsid w:val="008F3FA1"/>
    <w:rsid w:val="008F4E2C"/>
    <w:rsid w:val="008F715D"/>
    <w:rsid w:val="0090058C"/>
    <w:rsid w:val="0090117A"/>
    <w:rsid w:val="00901660"/>
    <w:rsid w:val="0090214A"/>
    <w:rsid w:val="0090272C"/>
    <w:rsid w:val="00903451"/>
    <w:rsid w:val="00903DB4"/>
    <w:rsid w:val="00904E00"/>
    <w:rsid w:val="00905A99"/>
    <w:rsid w:val="00906C82"/>
    <w:rsid w:val="00907950"/>
    <w:rsid w:val="009102B0"/>
    <w:rsid w:val="00910E33"/>
    <w:rsid w:val="009112C7"/>
    <w:rsid w:val="009113D3"/>
    <w:rsid w:val="00911B47"/>
    <w:rsid w:val="00912139"/>
    <w:rsid w:val="0091280D"/>
    <w:rsid w:val="0091317D"/>
    <w:rsid w:val="00913520"/>
    <w:rsid w:val="00913C62"/>
    <w:rsid w:val="00913EE7"/>
    <w:rsid w:val="0091484C"/>
    <w:rsid w:val="009167AB"/>
    <w:rsid w:val="00916BF4"/>
    <w:rsid w:val="00917348"/>
    <w:rsid w:val="009173BE"/>
    <w:rsid w:val="00917F8E"/>
    <w:rsid w:val="009203C5"/>
    <w:rsid w:val="00921102"/>
    <w:rsid w:val="009216B6"/>
    <w:rsid w:val="00922250"/>
    <w:rsid w:val="009239B7"/>
    <w:rsid w:val="009240E5"/>
    <w:rsid w:val="009241C2"/>
    <w:rsid w:val="009242D4"/>
    <w:rsid w:val="00924AE7"/>
    <w:rsid w:val="009263E0"/>
    <w:rsid w:val="0092646C"/>
    <w:rsid w:val="00926B2F"/>
    <w:rsid w:val="00926E98"/>
    <w:rsid w:val="00927379"/>
    <w:rsid w:val="00927F60"/>
    <w:rsid w:val="00927F77"/>
    <w:rsid w:val="00927F9C"/>
    <w:rsid w:val="009302BC"/>
    <w:rsid w:val="009304FD"/>
    <w:rsid w:val="00931B8C"/>
    <w:rsid w:val="00931CCB"/>
    <w:rsid w:val="00931CF9"/>
    <w:rsid w:val="00931D76"/>
    <w:rsid w:val="00931ED1"/>
    <w:rsid w:val="00932781"/>
    <w:rsid w:val="0093296E"/>
    <w:rsid w:val="00932BD0"/>
    <w:rsid w:val="00933328"/>
    <w:rsid w:val="00933900"/>
    <w:rsid w:val="00933D64"/>
    <w:rsid w:val="00933DE4"/>
    <w:rsid w:val="00935F8A"/>
    <w:rsid w:val="00940824"/>
    <w:rsid w:val="009419DE"/>
    <w:rsid w:val="00941ADB"/>
    <w:rsid w:val="00942C6F"/>
    <w:rsid w:val="00943516"/>
    <w:rsid w:val="0094426F"/>
    <w:rsid w:val="00944A91"/>
    <w:rsid w:val="00944F6A"/>
    <w:rsid w:val="0094603D"/>
    <w:rsid w:val="0094634F"/>
    <w:rsid w:val="00946BE3"/>
    <w:rsid w:val="00946C38"/>
    <w:rsid w:val="00950945"/>
    <w:rsid w:val="0095151E"/>
    <w:rsid w:val="009516AF"/>
    <w:rsid w:val="00951E92"/>
    <w:rsid w:val="00952041"/>
    <w:rsid w:val="009533CD"/>
    <w:rsid w:val="0095357E"/>
    <w:rsid w:val="00953EAB"/>
    <w:rsid w:val="00955623"/>
    <w:rsid w:val="00955D35"/>
    <w:rsid w:val="0095631F"/>
    <w:rsid w:val="00960659"/>
    <w:rsid w:val="0096128B"/>
    <w:rsid w:val="0096134D"/>
    <w:rsid w:val="00961364"/>
    <w:rsid w:val="00961695"/>
    <w:rsid w:val="00961DF2"/>
    <w:rsid w:val="0096298A"/>
    <w:rsid w:val="00962AB6"/>
    <w:rsid w:val="00963031"/>
    <w:rsid w:val="00963727"/>
    <w:rsid w:val="0096377F"/>
    <w:rsid w:val="00964DB7"/>
    <w:rsid w:val="00965319"/>
    <w:rsid w:val="009660B9"/>
    <w:rsid w:val="0096742F"/>
    <w:rsid w:val="0096772F"/>
    <w:rsid w:val="0097143B"/>
    <w:rsid w:val="00971B3A"/>
    <w:rsid w:val="00971CD8"/>
    <w:rsid w:val="00971F1C"/>
    <w:rsid w:val="00972A20"/>
    <w:rsid w:val="0097336C"/>
    <w:rsid w:val="00975649"/>
    <w:rsid w:val="00976240"/>
    <w:rsid w:val="0097625F"/>
    <w:rsid w:val="00976602"/>
    <w:rsid w:val="00976F18"/>
    <w:rsid w:val="0097779B"/>
    <w:rsid w:val="0097783F"/>
    <w:rsid w:val="00977CF1"/>
    <w:rsid w:val="00980495"/>
    <w:rsid w:val="009804BE"/>
    <w:rsid w:val="009813C8"/>
    <w:rsid w:val="009814A4"/>
    <w:rsid w:val="00981CB9"/>
    <w:rsid w:val="00982E8D"/>
    <w:rsid w:val="00983FB1"/>
    <w:rsid w:val="0098596B"/>
    <w:rsid w:val="009902E5"/>
    <w:rsid w:val="00990BD2"/>
    <w:rsid w:val="00990F93"/>
    <w:rsid w:val="00991978"/>
    <w:rsid w:val="00991BCB"/>
    <w:rsid w:val="00991F00"/>
    <w:rsid w:val="0099259C"/>
    <w:rsid w:val="009925D3"/>
    <w:rsid w:val="009928C0"/>
    <w:rsid w:val="00992F04"/>
    <w:rsid w:val="00994605"/>
    <w:rsid w:val="00994F0E"/>
    <w:rsid w:val="00996E6F"/>
    <w:rsid w:val="0099732B"/>
    <w:rsid w:val="00997DAF"/>
    <w:rsid w:val="009A0E62"/>
    <w:rsid w:val="009A2D96"/>
    <w:rsid w:val="009A3044"/>
    <w:rsid w:val="009A3576"/>
    <w:rsid w:val="009A3F0B"/>
    <w:rsid w:val="009A450B"/>
    <w:rsid w:val="009A4C00"/>
    <w:rsid w:val="009A74C8"/>
    <w:rsid w:val="009A7D2B"/>
    <w:rsid w:val="009B032B"/>
    <w:rsid w:val="009B04F6"/>
    <w:rsid w:val="009B0A36"/>
    <w:rsid w:val="009B1157"/>
    <w:rsid w:val="009B211C"/>
    <w:rsid w:val="009B2915"/>
    <w:rsid w:val="009B29A7"/>
    <w:rsid w:val="009B2A4C"/>
    <w:rsid w:val="009B2E07"/>
    <w:rsid w:val="009B312C"/>
    <w:rsid w:val="009B3ABA"/>
    <w:rsid w:val="009B414E"/>
    <w:rsid w:val="009B4268"/>
    <w:rsid w:val="009B49F1"/>
    <w:rsid w:val="009B4B5C"/>
    <w:rsid w:val="009B58E4"/>
    <w:rsid w:val="009B5F88"/>
    <w:rsid w:val="009B6926"/>
    <w:rsid w:val="009C0E1C"/>
    <w:rsid w:val="009C13F4"/>
    <w:rsid w:val="009C1D43"/>
    <w:rsid w:val="009C28FA"/>
    <w:rsid w:val="009C3387"/>
    <w:rsid w:val="009C438C"/>
    <w:rsid w:val="009C54CE"/>
    <w:rsid w:val="009C5E3E"/>
    <w:rsid w:val="009C627A"/>
    <w:rsid w:val="009C6BA0"/>
    <w:rsid w:val="009C6CFF"/>
    <w:rsid w:val="009C7342"/>
    <w:rsid w:val="009D06DC"/>
    <w:rsid w:val="009D082C"/>
    <w:rsid w:val="009D0CC8"/>
    <w:rsid w:val="009D216E"/>
    <w:rsid w:val="009D31B4"/>
    <w:rsid w:val="009D36D8"/>
    <w:rsid w:val="009D38E4"/>
    <w:rsid w:val="009D3FB8"/>
    <w:rsid w:val="009D4B22"/>
    <w:rsid w:val="009D4C52"/>
    <w:rsid w:val="009D4CF2"/>
    <w:rsid w:val="009D51FE"/>
    <w:rsid w:val="009D598C"/>
    <w:rsid w:val="009D5A09"/>
    <w:rsid w:val="009D5E42"/>
    <w:rsid w:val="009D7314"/>
    <w:rsid w:val="009D7406"/>
    <w:rsid w:val="009E17F3"/>
    <w:rsid w:val="009E2063"/>
    <w:rsid w:val="009E2C88"/>
    <w:rsid w:val="009E3BDA"/>
    <w:rsid w:val="009E3BF8"/>
    <w:rsid w:val="009E494B"/>
    <w:rsid w:val="009E4DF0"/>
    <w:rsid w:val="009E5761"/>
    <w:rsid w:val="009E5AC1"/>
    <w:rsid w:val="009E5AD1"/>
    <w:rsid w:val="009E714F"/>
    <w:rsid w:val="009E7397"/>
    <w:rsid w:val="009E7642"/>
    <w:rsid w:val="009E7E3D"/>
    <w:rsid w:val="009F07DB"/>
    <w:rsid w:val="009F0FD0"/>
    <w:rsid w:val="009F171B"/>
    <w:rsid w:val="009F1C0F"/>
    <w:rsid w:val="009F2807"/>
    <w:rsid w:val="009F414F"/>
    <w:rsid w:val="009F41AF"/>
    <w:rsid w:val="009F4CEA"/>
    <w:rsid w:val="009F78DA"/>
    <w:rsid w:val="00A006C7"/>
    <w:rsid w:val="00A00A88"/>
    <w:rsid w:val="00A00C18"/>
    <w:rsid w:val="00A00D98"/>
    <w:rsid w:val="00A00F6A"/>
    <w:rsid w:val="00A01151"/>
    <w:rsid w:val="00A01234"/>
    <w:rsid w:val="00A0155F"/>
    <w:rsid w:val="00A01940"/>
    <w:rsid w:val="00A01B63"/>
    <w:rsid w:val="00A023AD"/>
    <w:rsid w:val="00A03BEF"/>
    <w:rsid w:val="00A07734"/>
    <w:rsid w:val="00A0778E"/>
    <w:rsid w:val="00A07A4D"/>
    <w:rsid w:val="00A1015F"/>
    <w:rsid w:val="00A104B7"/>
    <w:rsid w:val="00A10CD6"/>
    <w:rsid w:val="00A1171D"/>
    <w:rsid w:val="00A11CCF"/>
    <w:rsid w:val="00A123A9"/>
    <w:rsid w:val="00A1292D"/>
    <w:rsid w:val="00A13741"/>
    <w:rsid w:val="00A14153"/>
    <w:rsid w:val="00A14368"/>
    <w:rsid w:val="00A1469D"/>
    <w:rsid w:val="00A14F4C"/>
    <w:rsid w:val="00A15032"/>
    <w:rsid w:val="00A15218"/>
    <w:rsid w:val="00A1594E"/>
    <w:rsid w:val="00A16A7F"/>
    <w:rsid w:val="00A173C7"/>
    <w:rsid w:val="00A2042C"/>
    <w:rsid w:val="00A204EE"/>
    <w:rsid w:val="00A21E53"/>
    <w:rsid w:val="00A21F31"/>
    <w:rsid w:val="00A236E4"/>
    <w:rsid w:val="00A24AED"/>
    <w:rsid w:val="00A25A88"/>
    <w:rsid w:val="00A25BDA"/>
    <w:rsid w:val="00A265E7"/>
    <w:rsid w:val="00A278C7"/>
    <w:rsid w:val="00A30101"/>
    <w:rsid w:val="00A3079A"/>
    <w:rsid w:val="00A307A6"/>
    <w:rsid w:val="00A30A02"/>
    <w:rsid w:val="00A30E95"/>
    <w:rsid w:val="00A30FBD"/>
    <w:rsid w:val="00A30FD9"/>
    <w:rsid w:val="00A3190C"/>
    <w:rsid w:val="00A3229A"/>
    <w:rsid w:val="00A32BDC"/>
    <w:rsid w:val="00A334B1"/>
    <w:rsid w:val="00A33D15"/>
    <w:rsid w:val="00A34012"/>
    <w:rsid w:val="00A34572"/>
    <w:rsid w:val="00A34BBC"/>
    <w:rsid w:val="00A34DD4"/>
    <w:rsid w:val="00A353AB"/>
    <w:rsid w:val="00A35691"/>
    <w:rsid w:val="00A358CE"/>
    <w:rsid w:val="00A35D39"/>
    <w:rsid w:val="00A35E4C"/>
    <w:rsid w:val="00A36574"/>
    <w:rsid w:val="00A36939"/>
    <w:rsid w:val="00A37A10"/>
    <w:rsid w:val="00A4046A"/>
    <w:rsid w:val="00A416FB"/>
    <w:rsid w:val="00A4250E"/>
    <w:rsid w:val="00A43036"/>
    <w:rsid w:val="00A4401E"/>
    <w:rsid w:val="00A44703"/>
    <w:rsid w:val="00A44971"/>
    <w:rsid w:val="00A44B55"/>
    <w:rsid w:val="00A457E4"/>
    <w:rsid w:val="00A45E88"/>
    <w:rsid w:val="00A45EB0"/>
    <w:rsid w:val="00A467BF"/>
    <w:rsid w:val="00A46E78"/>
    <w:rsid w:val="00A4793A"/>
    <w:rsid w:val="00A50237"/>
    <w:rsid w:val="00A504F6"/>
    <w:rsid w:val="00A50ACF"/>
    <w:rsid w:val="00A5126B"/>
    <w:rsid w:val="00A51487"/>
    <w:rsid w:val="00A51AEE"/>
    <w:rsid w:val="00A52049"/>
    <w:rsid w:val="00A52635"/>
    <w:rsid w:val="00A528D6"/>
    <w:rsid w:val="00A535D0"/>
    <w:rsid w:val="00A53788"/>
    <w:rsid w:val="00A5426B"/>
    <w:rsid w:val="00A5515C"/>
    <w:rsid w:val="00A56085"/>
    <w:rsid w:val="00A56A56"/>
    <w:rsid w:val="00A56FF0"/>
    <w:rsid w:val="00A5709D"/>
    <w:rsid w:val="00A5745F"/>
    <w:rsid w:val="00A60759"/>
    <w:rsid w:val="00A6092F"/>
    <w:rsid w:val="00A60F5D"/>
    <w:rsid w:val="00A6267D"/>
    <w:rsid w:val="00A62ECD"/>
    <w:rsid w:val="00A62F80"/>
    <w:rsid w:val="00A635AD"/>
    <w:rsid w:val="00A63C4E"/>
    <w:rsid w:val="00A63ECE"/>
    <w:rsid w:val="00A644C0"/>
    <w:rsid w:val="00A6645A"/>
    <w:rsid w:val="00A66B75"/>
    <w:rsid w:val="00A671A4"/>
    <w:rsid w:val="00A67AA7"/>
    <w:rsid w:val="00A67ADC"/>
    <w:rsid w:val="00A704EE"/>
    <w:rsid w:val="00A7313B"/>
    <w:rsid w:val="00A7324F"/>
    <w:rsid w:val="00A737D9"/>
    <w:rsid w:val="00A737F7"/>
    <w:rsid w:val="00A73846"/>
    <w:rsid w:val="00A738AA"/>
    <w:rsid w:val="00A73962"/>
    <w:rsid w:val="00A73DF2"/>
    <w:rsid w:val="00A74AEE"/>
    <w:rsid w:val="00A74FCE"/>
    <w:rsid w:val="00A7605E"/>
    <w:rsid w:val="00A76404"/>
    <w:rsid w:val="00A7717D"/>
    <w:rsid w:val="00A77768"/>
    <w:rsid w:val="00A77D8C"/>
    <w:rsid w:val="00A813B6"/>
    <w:rsid w:val="00A81BDE"/>
    <w:rsid w:val="00A81F61"/>
    <w:rsid w:val="00A83FD1"/>
    <w:rsid w:val="00A84227"/>
    <w:rsid w:val="00A845FD"/>
    <w:rsid w:val="00A85BA4"/>
    <w:rsid w:val="00A87B7A"/>
    <w:rsid w:val="00A90274"/>
    <w:rsid w:val="00A90653"/>
    <w:rsid w:val="00A90835"/>
    <w:rsid w:val="00A908CF"/>
    <w:rsid w:val="00A909C0"/>
    <w:rsid w:val="00A916D8"/>
    <w:rsid w:val="00A91C6B"/>
    <w:rsid w:val="00A91D3A"/>
    <w:rsid w:val="00A93DEF"/>
    <w:rsid w:val="00A941A4"/>
    <w:rsid w:val="00A94385"/>
    <w:rsid w:val="00A949EE"/>
    <w:rsid w:val="00A956B7"/>
    <w:rsid w:val="00A95953"/>
    <w:rsid w:val="00A96AAA"/>
    <w:rsid w:val="00A96B4F"/>
    <w:rsid w:val="00A97244"/>
    <w:rsid w:val="00A97867"/>
    <w:rsid w:val="00AA16E0"/>
    <w:rsid w:val="00AA19B9"/>
    <w:rsid w:val="00AA1BF9"/>
    <w:rsid w:val="00AA201B"/>
    <w:rsid w:val="00AA24E6"/>
    <w:rsid w:val="00AA3AEF"/>
    <w:rsid w:val="00AA3FD1"/>
    <w:rsid w:val="00AA4A21"/>
    <w:rsid w:val="00AA7316"/>
    <w:rsid w:val="00AA7467"/>
    <w:rsid w:val="00AA7B4A"/>
    <w:rsid w:val="00AB00BA"/>
    <w:rsid w:val="00AB03DC"/>
    <w:rsid w:val="00AB0951"/>
    <w:rsid w:val="00AB1561"/>
    <w:rsid w:val="00AB28E2"/>
    <w:rsid w:val="00AB3820"/>
    <w:rsid w:val="00AB41A1"/>
    <w:rsid w:val="00AB47D4"/>
    <w:rsid w:val="00AB4C52"/>
    <w:rsid w:val="00AB51DA"/>
    <w:rsid w:val="00AB5224"/>
    <w:rsid w:val="00AB5518"/>
    <w:rsid w:val="00AB5C30"/>
    <w:rsid w:val="00AB6192"/>
    <w:rsid w:val="00AC076F"/>
    <w:rsid w:val="00AC0CD2"/>
    <w:rsid w:val="00AC3374"/>
    <w:rsid w:val="00AC382F"/>
    <w:rsid w:val="00AC6308"/>
    <w:rsid w:val="00AC6A36"/>
    <w:rsid w:val="00AC6E97"/>
    <w:rsid w:val="00AC7400"/>
    <w:rsid w:val="00AD10E7"/>
    <w:rsid w:val="00AD3D83"/>
    <w:rsid w:val="00AD4C77"/>
    <w:rsid w:val="00AD4EC2"/>
    <w:rsid w:val="00AD5959"/>
    <w:rsid w:val="00AD5F29"/>
    <w:rsid w:val="00AD6193"/>
    <w:rsid w:val="00AD7CCD"/>
    <w:rsid w:val="00AE0721"/>
    <w:rsid w:val="00AE1CA5"/>
    <w:rsid w:val="00AE23A3"/>
    <w:rsid w:val="00AE3B7E"/>
    <w:rsid w:val="00AE3CA3"/>
    <w:rsid w:val="00AE4750"/>
    <w:rsid w:val="00AE5A82"/>
    <w:rsid w:val="00AE653B"/>
    <w:rsid w:val="00AE727B"/>
    <w:rsid w:val="00AE7E56"/>
    <w:rsid w:val="00AF0E7F"/>
    <w:rsid w:val="00AF1B11"/>
    <w:rsid w:val="00AF2C56"/>
    <w:rsid w:val="00AF353A"/>
    <w:rsid w:val="00AF366E"/>
    <w:rsid w:val="00AF36A2"/>
    <w:rsid w:val="00AF3AAA"/>
    <w:rsid w:val="00AF3FF7"/>
    <w:rsid w:val="00AF4542"/>
    <w:rsid w:val="00AF4981"/>
    <w:rsid w:val="00AF4BC8"/>
    <w:rsid w:val="00AF4D3F"/>
    <w:rsid w:val="00AF6643"/>
    <w:rsid w:val="00AF6B8F"/>
    <w:rsid w:val="00AF6E24"/>
    <w:rsid w:val="00AF7013"/>
    <w:rsid w:val="00AF7361"/>
    <w:rsid w:val="00AF7CD4"/>
    <w:rsid w:val="00B00D7C"/>
    <w:rsid w:val="00B01916"/>
    <w:rsid w:val="00B01F9A"/>
    <w:rsid w:val="00B025CA"/>
    <w:rsid w:val="00B026DB"/>
    <w:rsid w:val="00B02A9E"/>
    <w:rsid w:val="00B0362D"/>
    <w:rsid w:val="00B04490"/>
    <w:rsid w:val="00B05857"/>
    <w:rsid w:val="00B06090"/>
    <w:rsid w:val="00B06384"/>
    <w:rsid w:val="00B06AD3"/>
    <w:rsid w:val="00B06B6C"/>
    <w:rsid w:val="00B06FDE"/>
    <w:rsid w:val="00B07221"/>
    <w:rsid w:val="00B075FE"/>
    <w:rsid w:val="00B076BA"/>
    <w:rsid w:val="00B07B38"/>
    <w:rsid w:val="00B07BF1"/>
    <w:rsid w:val="00B07F73"/>
    <w:rsid w:val="00B10C41"/>
    <w:rsid w:val="00B12109"/>
    <w:rsid w:val="00B1332C"/>
    <w:rsid w:val="00B14E84"/>
    <w:rsid w:val="00B15508"/>
    <w:rsid w:val="00B15E3F"/>
    <w:rsid w:val="00B1637D"/>
    <w:rsid w:val="00B16833"/>
    <w:rsid w:val="00B16B66"/>
    <w:rsid w:val="00B20326"/>
    <w:rsid w:val="00B207AF"/>
    <w:rsid w:val="00B22222"/>
    <w:rsid w:val="00B22365"/>
    <w:rsid w:val="00B223F5"/>
    <w:rsid w:val="00B22502"/>
    <w:rsid w:val="00B225C2"/>
    <w:rsid w:val="00B22639"/>
    <w:rsid w:val="00B237D9"/>
    <w:rsid w:val="00B23D0D"/>
    <w:rsid w:val="00B24E39"/>
    <w:rsid w:val="00B25B06"/>
    <w:rsid w:val="00B26414"/>
    <w:rsid w:val="00B26556"/>
    <w:rsid w:val="00B27222"/>
    <w:rsid w:val="00B2761C"/>
    <w:rsid w:val="00B27AA4"/>
    <w:rsid w:val="00B315C1"/>
    <w:rsid w:val="00B32C64"/>
    <w:rsid w:val="00B33DCA"/>
    <w:rsid w:val="00B34834"/>
    <w:rsid w:val="00B34848"/>
    <w:rsid w:val="00B352B3"/>
    <w:rsid w:val="00B363F5"/>
    <w:rsid w:val="00B367B5"/>
    <w:rsid w:val="00B36A7A"/>
    <w:rsid w:val="00B36D18"/>
    <w:rsid w:val="00B37E83"/>
    <w:rsid w:val="00B4203B"/>
    <w:rsid w:val="00B42A1F"/>
    <w:rsid w:val="00B430E4"/>
    <w:rsid w:val="00B433A1"/>
    <w:rsid w:val="00B4342A"/>
    <w:rsid w:val="00B4388E"/>
    <w:rsid w:val="00B448CC"/>
    <w:rsid w:val="00B44EC3"/>
    <w:rsid w:val="00B46013"/>
    <w:rsid w:val="00B46FAA"/>
    <w:rsid w:val="00B47930"/>
    <w:rsid w:val="00B506C3"/>
    <w:rsid w:val="00B51076"/>
    <w:rsid w:val="00B52E1C"/>
    <w:rsid w:val="00B53961"/>
    <w:rsid w:val="00B550A6"/>
    <w:rsid w:val="00B55692"/>
    <w:rsid w:val="00B55BB1"/>
    <w:rsid w:val="00B55BE1"/>
    <w:rsid w:val="00B55FAF"/>
    <w:rsid w:val="00B5672B"/>
    <w:rsid w:val="00B5723A"/>
    <w:rsid w:val="00B579BC"/>
    <w:rsid w:val="00B57C80"/>
    <w:rsid w:val="00B57EF7"/>
    <w:rsid w:val="00B6072B"/>
    <w:rsid w:val="00B60F48"/>
    <w:rsid w:val="00B614B1"/>
    <w:rsid w:val="00B61702"/>
    <w:rsid w:val="00B61EFF"/>
    <w:rsid w:val="00B63AE4"/>
    <w:rsid w:val="00B64120"/>
    <w:rsid w:val="00B64C39"/>
    <w:rsid w:val="00B65AB1"/>
    <w:rsid w:val="00B666B2"/>
    <w:rsid w:val="00B6678D"/>
    <w:rsid w:val="00B671A9"/>
    <w:rsid w:val="00B67389"/>
    <w:rsid w:val="00B67BE7"/>
    <w:rsid w:val="00B70739"/>
    <w:rsid w:val="00B73882"/>
    <w:rsid w:val="00B744B6"/>
    <w:rsid w:val="00B748B9"/>
    <w:rsid w:val="00B74AC7"/>
    <w:rsid w:val="00B75CEA"/>
    <w:rsid w:val="00B764D8"/>
    <w:rsid w:val="00B8002D"/>
    <w:rsid w:val="00B80402"/>
    <w:rsid w:val="00B8047B"/>
    <w:rsid w:val="00B80D90"/>
    <w:rsid w:val="00B81272"/>
    <w:rsid w:val="00B8187C"/>
    <w:rsid w:val="00B81B8B"/>
    <w:rsid w:val="00B82104"/>
    <w:rsid w:val="00B84768"/>
    <w:rsid w:val="00B866E0"/>
    <w:rsid w:val="00B866F4"/>
    <w:rsid w:val="00B86B16"/>
    <w:rsid w:val="00B86E41"/>
    <w:rsid w:val="00B871C7"/>
    <w:rsid w:val="00B87973"/>
    <w:rsid w:val="00B87F36"/>
    <w:rsid w:val="00B90426"/>
    <w:rsid w:val="00B9165F"/>
    <w:rsid w:val="00B91CB7"/>
    <w:rsid w:val="00B92B9D"/>
    <w:rsid w:val="00B92DB3"/>
    <w:rsid w:val="00B935C2"/>
    <w:rsid w:val="00B93F76"/>
    <w:rsid w:val="00B94E4D"/>
    <w:rsid w:val="00B94FA5"/>
    <w:rsid w:val="00B954B8"/>
    <w:rsid w:val="00B9570E"/>
    <w:rsid w:val="00B95C93"/>
    <w:rsid w:val="00B97208"/>
    <w:rsid w:val="00B97E3A"/>
    <w:rsid w:val="00BA0465"/>
    <w:rsid w:val="00BA198D"/>
    <w:rsid w:val="00BA2197"/>
    <w:rsid w:val="00BA2529"/>
    <w:rsid w:val="00BA279E"/>
    <w:rsid w:val="00BA2C9C"/>
    <w:rsid w:val="00BA2CC4"/>
    <w:rsid w:val="00BA2FA9"/>
    <w:rsid w:val="00BA375C"/>
    <w:rsid w:val="00BA3C95"/>
    <w:rsid w:val="00BA3E0B"/>
    <w:rsid w:val="00BA435E"/>
    <w:rsid w:val="00BA4FBF"/>
    <w:rsid w:val="00BA5B89"/>
    <w:rsid w:val="00BA60D0"/>
    <w:rsid w:val="00BA67F8"/>
    <w:rsid w:val="00BA709D"/>
    <w:rsid w:val="00BA7194"/>
    <w:rsid w:val="00BA75B8"/>
    <w:rsid w:val="00BA7B86"/>
    <w:rsid w:val="00BB0250"/>
    <w:rsid w:val="00BB0FE8"/>
    <w:rsid w:val="00BB1DB5"/>
    <w:rsid w:val="00BB24D6"/>
    <w:rsid w:val="00BB2994"/>
    <w:rsid w:val="00BB33E7"/>
    <w:rsid w:val="00BB3721"/>
    <w:rsid w:val="00BB3964"/>
    <w:rsid w:val="00BB3D9C"/>
    <w:rsid w:val="00BB3F57"/>
    <w:rsid w:val="00BB5795"/>
    <w:rsid w:val="00BB5E76"/>
    <w:rsid w:val="00BB687A"/>
    <w:rsid w:val="00BB6DCE"/>
    <w:rsid w:val="00BB7B2C"/>
    <w:rsid w:val="00BC0615"/>
    <w:rsid w:val="00BC1FC4"/>
    <w:rsid w:val="00BC2142"/>
    <w:rsid w:val="00BC30E4"/>
    <w:rsid w:val="00BC3673"/>
    <w:rsid w:val="00BC46C1"/>
    <w:rsid w:val="00BC621E"/>
    <w:rsid w:val="00BC6723"/>
    <w:rsid w:val="00BC68A1"/>
    <w:rsid w:val="00BC7DA0"/>
    <w:rsid w:val="00BC7E41"/>
    <w:rsid w:val="00BD012B"/>
    <w:rsid w:val="00BD0372"/>
    <w:rsid w:val="00BD06B5"/>
    <w:rsid w:val="00BD3020"/>
    <w:rsid w:val="00BD4373"/>
    <w:rsid w:val="00BD581A"/>
    <w:rsid w:val="00BD7A7D"/>
    <w:rsid w:val="00BD7C8E"/>
    <w:rsid w:val="00BE0A95"/>
    <w:rsid w:val="00BE0E73"/>
    <w:rsid w:val="00BE0F80"/>
    <w:rsid w:val="00BE1086"/>
    <w:rsid w:val="00BE10C5"/>
    <w:rsid w:val="00BE3911"/>
    <w:rsid w:val="00BE3D21"/>
    <w:rsid w:val="00BE3F95"/>
    <w:rsid w:val="00BE43EF"/>
    <w:rsid w:val="00BE46B7"/>
    <w:rsid w:val="00BE63C3"/>
    <w:rsid w:val="00BE7CCE"/>
    <w:rsid w:val="00BE7DE9"/>
    <w:rsid w:val="00BF0294"/>
    <w:rsid w:val="00BF0BF7"/>
    <w:rsid w:val="00BF0F3E"/>
    <w:rsid w:val="00BF279D"/>
    <w:rsid w:val="00BF2A17"/>
    <w:rsid w:val="00BF2DE0"/>
    <w:rsid w:val="00BF36DF"/>
    <w:rsid w:val="00BF38B8"/>
    <w:rsid w:val="00BF4656"/>
    <w:rsid w:val="00BF53A3"/>
    <w:rsid w:val="00BF6346"/>
    <w:rsid w:val="00BF7C0E"/>
    <w:rsid w:val="00C0032F"/>
    <w:rsid w:val="00C0089A"/>
    <w:rsid w:val="00C01605"/>
    <w:rsid w:val="00C01E73"/>
    <w:rsid w:val="00C020E7"/>
    <w:rsid w:val="00C028B2"/>
    <w:rsid w:val="00C02FA8"/>
    <w:rsid w:val="00C04270"/>
    <w:rsid w:val="00C0464A"/>
    <w:rsid w:val="00C04E7A"/>
    <w:rsid w:val="00C05CA0"/>
    <w:rsid w:val="00C05CB4"/>
    <w:rsid w:val="00C0605A"/>
    <w:rsid w:val="00C069B9"/>
    <w:rsid w:val="00C072BC"/>
    <w:rsid w:val="00C07B83"/>
    <w:rsid w:val="00C10396"/>
    <w:rsid w:val="00C104B3"/>
    <w:rsid w:val="00C116DF"/>
    <w:rsid w:val="00C117B2"/>
    <w:rsid w:val="00C11AE2"/>
    <w:rsid w:val="00C11D08"/>
    <w:rsid w:val="00C12DAA"/>
    <w:rsid w:val="00C12FC8"/>
    <w:rsid w:val="00C13C0D"/>
    <w:rsid w:val="00C13E69"/>
    <w:rsid w:val="00C1418E"/>
    <w:rsid w:val="00C1476F"/>
    <w:rsid w:val="00C14D22"/>
    <w:rsid w:val="00C14EC0"/>
    <w:rsid w:val="00C15845"/>
    <w:rsid w:val="00C167C1"/>
    <w:rsid w:val="00C16934"/>
    <w:rsid w:val="00C16A87"/>
    <w:rsid w:val="00C16B9D"/>
    <w:rsid w:val="00C16CB6"/>
    <w:rsid w:val="00C17D08"/>
    <w:rsid w:val="00C17EDD"/>
    <w:rsid w:val="00C17F38"/>
    <w:rsid w:val="00C2008A"/>
    <w:rsid w:val="00C21A2B"/>
    <w:rsid w:val="00C21EC6"/>
    <w:rsid w:val="00C24048"/>
    <w:rsid w:val="00C25C3B"/>
    <w:rsid w:val="00C25CF9"/>
    <w:rsid w:val="00C25DF8"/>
    <w:rsid w:val="00C2655D"/>
    <w:rsid w:val="00C26F5D"/>
    <w:rsid w:val="00C275B7"/>
    <w:rsid w:val="00C27B33"/>
    <w:rsid w:val="00C300D8"/>
    <w:rsid w:val="00C30A15"/>
    <w:rsid w:val="00C30A23"/>
    <w:rsid w:val="00C30DFD"/>
    <w:rsid w:val="00C316D2"/>
    <w:rsid w:val="00C31BE7"/>
    <w:rsid w:val="00C32073"/>
    <w:rsid w:val="00C32630"/>
    <w:rsid w:val="00C3276A"/>
    <w:rsid w:val="00C33B3E"/>
    <w:rsid w:val="00C33B85"/>
    <w:rsid w:val="00C340BD"/>
    <w:rsid w:val="00C346AC"/>
    <w:rsid w:val="00C3496E"/>
    <w:rsid w:val="00C34FCF"/>
    <w:rsid w:val="00C35258"/>
    <w:rsid w:val="00C363BE"/>
    <w:rsid w:val="00C3654F"/>
    <w:rsid w:val="00C36649"/>
    <w:rsid w:val="00C379C7"/>
    <w:rsid w:val="00C41746"/>
    <w:rsid w:val="00C426E9"/>
    <w:rsid w:val="00C42B52"/>
    <w:rsid w:val="00C42DDC"/>
    <w:rsid w:val="00C4320E"/>
    <w:rsid w:val="00C4367A"/>
    <w:rsid w:val="00C436EB"/>
    <w:rsid w:val="00C43C03"/>
    <w:rsid w:val="00C44E99"/>
    <w:rsid w:val="00C44EE4"/>
    <w:rsid w:val="00C456CC"/>
    <w:rsid w:val="00C46375"/>
    <w:rsid w:val="00C46968"/>
    <w:rsid w:val="00C46AFA"/>
    <w:rsid w:val="00C46B48"/>
    <w:rsid w:val="00C474FE"/>
    <w:rsid w:val="00C4754F"/>
    <w:rsid w:val="00C50486"/>
    <w:rsid w:val="00C50ED2"/>
    <w:rsid w:val="00C51999"/>
    <w:rsid w:val="00C53426"/>
    <w:rsid w:val="00C5351A"/>
    <w:rsid w:val="00C54144"/>
    <w:rsid w:val="00C542A8"/>
    <w:rsid w:val="00C551EA"/>
    <w:rsid w:val="00C5537E"/>
    <w:rsid w:val="00C5544B"/>
    <w:rsid w:val="00C55CBE"/>
    <w:rsid w:val="00C55D24"/>
    <w:rsid w:val="00C561A1"/>
    <w:rsid w:val="00C5623D"/>
    <w:rsid w:val="00C56BF4"/>
    <w:rsid w:val="00C574A8"/>
    <w:rsid w:val="00C574FC"/>
    <w:rsid w:val="00C60F8B"/>
    <w:rsid w:val="00C619DE"/>
    <w:rsid w:val="00C62012"/>
    <w:rsid w:val="00C62405"/>
    <w:rsid w:val="00C63727"/>
    <w:rsid w:val="00C63A00"/>
    <w:rsid w:val="00C64193"/>
    <w:rsid w:val="00C64CBB"/>
    <w:rsid w:val="00C65CF8"/>
    <w:rsid w:val="00C65D2A"/>
    <w:rsid w:val="00C67238"/>
    <w:rsid w:val="00C67BAF"/>
    <w:rsid w:val="00C70C6A"/>
    <w:rsid w:val="00C71681"/>
    <w:rsid w:val="00C7290C"/>
    <w:rsid w:val="00C72D5E"/>
    <w:rsid w:val="00C734A7"/>
    <w:rsid w:val="00C736EB"/>
    <w:rsid w:val="00C73990"/>
    <w:rsid w:val="00C739E3"/>
    <w:rsid w:val="00C7417A"/>
    <w:rsid w:val="00C74563"/>
    <w:rsid w:val="00C747D3"/>
    <w:rsid w:val="00C75F16"/>
    <w:rsid w:val="00C7697F"/>
    <w:rsid w:val="00C771EB"/>
    <w:rsid w:val="00C77556"/>
    <w:rsid w:val="00C778BE"/>
    <w:rsid w:val="00C77922"/>
    <w:rsid w:val="00C80042"/>
    <w:rsid w:val="00C8103E"/>
    <w:rsid w:val="00C8146D"/>
    <w:rsid w:val="00C81FF2"/>
    <w:rsid w:val="00C82528"/>
    <w:rsid w:val="00C82BCD"/>
    <w:rsid w:val="00C830F0"/>
    <w:rsid w:val="00C83172"/>
    <w:rsid w:val="00C833B9"/>
    <w:rsid w:val="00C83B72"/>
    <w:rsid w:val="00C83F90"/>
    <w:rsid w:val="00C84663"/>
    <w:rsid w:val="00C849F3"/>
    <w:rsid w:val="00C84C40"/>
    <w:rsid w:val="00C855BB"/>
    <w:rsid w:val="00C856F9"/>
    <w:rsid w:val="00C85C06"/>
    <w:rsid w:val="00C86979"/>
    <w:rsid w:val="00C87411"/>
    <w:rsid w:val="00C87A43"/>
    <w:rsid w:val="00C87B60"/>
    <w:rsid w:val="00C906CB"/>
    <w:rsid w:val="00C91758"/>
    <w:rsid w:val="00C92B89"/>
    <w:rsid w:val="00C93469"/>
    <w:rsid w:val="00C93CF6"/>
    <w:rsid w:val="00C94E8A"/>
    <w:rsid w:val="00C954D5"/>
    <w:rsid w:val="00C96D53"/>
    <w:rsid w:val="00CA04FD"/>
    <w:rsid w:val="00CA08A4"/>
    <w:rsid w:val="00CA0E23"/>
    <w:rsid w:val="00CA27B1"/>
    <w:rsid w:val="00CA28B2"/>
    <w:rsid w:val="00CA296D"/>
    <w:rsid w:val="00CA3CA8"/>
    <w:rsid w:val="00CA3CE8"/>
    <w:rsid w:val="00CA48BA"/>
    <w:rsid w:val="00CA4B28"/>
    <w:rsid w:val="00CA5121"/>
    <w:rsid w:val="00CA60D0"/>
    <w:rsid w:val="00CA6252"/>
    <w:rsid w:val="00CA6299"/>
    <w:rsid w:val="00CA6844"/>
    <w:rsid w:val="00CA7011"/>
    <w:rsid w:val="00CA7367"/>
    <w:rsid w:val="00CB0124"/>
    <w:rsid w:val="00CB0DF8"/>
    <w:rsid w:val="00CB0ED2"/>
    <w:rsid w:val="00CB1140"/>
    <w:rsid w:val="00CB118B"/>
    <w:rsid w:val="00CB16CD"/>
    <w:rsid w:val="00CB188B"/>
    <w:rsid w:val="00CB1BC2"/>
    <w:rsid w:val="00CB2DD2"/>
    <w:rsid w:val="00CB3673"/>
    <w:rsid w:val="00CB3904"/>
    <w:rsid w:val="00CB3CE8"/>
    <w:rsid w:val="00CB4BC3"/>
    <w:rsid w:val="00CB4BC4"/>
    <w:rsid w:val="00CB4E28"/>
    <w:rsid w:val="00CB501A"/>
    <w:rsid w:val="00CB55F2"/>
    <w:rsid w:val="00CB64F7"/>
    <w:rsid w:val="00CB6DDA"/>
    <w:rsid w:val="00CB76EA"/>
    <w:rsid w:val="00CB7853"/>
    <w:rsid w:val="00CC012B"/>
    <w:rsid w:val="00CC0913"/>
    <w:rsid w:val="00CC3E81"/>
    <w:rsid w:val="00CC3ED3"/>
    <w:rsid w:val="00CC436A"/>
    <w:rsid w:val="00CC4D01"/>
    <w:rsid w:val="00CC56B6"/>
    <w:rsid w:val="00CC56E6"/>
    <w:rsid w:val="00CC5824"/>
    <w:rsid w:val="00CC63AB"/>
    <w:rsid w:val="00CC65B7"/>
    <w:rsid w:val="00CC6784"/>
    <w:rsid w:val="00CC706C"/>
    <w:rsid w:val="00CC78A8"/>
    <w:rsid w:val="00CD08B0"/>
    <w:rsid w:val="00CD1D03"/>
    <w:rsid w:val="00CD2BC2"/>
    <w:rsid w:val="00CD2C3E"/>
    <w:rsid w:val="00CD3213"/>
    <w:rsid w:val="00CD3696"/>
    <w:rsid w:val="00CD37FF"/>
    <w:rsid w:val="00CD4D60"/>
    <w:rsid w:val="00CD54D3"/>
    <w:rsid w:val="00CD5D29"/>
    <w:rsid w:val="00CD6638"/>
    <w:rsid w:val="00CD6BE2"/>
    <w:rsid w:val="00CD7851"/>
    <w:rsid w:val="00CD7C6B"/>
    <w:rsid w:val="00CE01A6"/>
    <w:rsid w:val="00CE1140"/>
    <w:rsid w:val="00CE199A"/>
    <w:rsid w:val="00CE1DFF"/>
    <w:rsid w:val="00CE2813"/>
    <w:rsid w:val="00CE344F"/>
    <w:rsid w:val="00CE446A"/>
    <w:rsid w:val="00CE4A58"/>
    <w:rsid w:val="00CE4C25"/>
    <w:rsid w:val="00CE4FF8"/>
    <w:rsid w:val="00CE51B5"/>
    <w:rsid w:val="00CE6C73"/>
    <w:rsid w:val="00CF07E9"/>
    <w:rsid w:val="00CF1FF0"/>
    <w:rsid w:val="00CF2872"/>
    <w:rsid w:val="00CF29A3"/>
    <w:rsid w:val="00CF2BA5"/>
    <w:rsid w:val="00CF2FE3"/>
    <w:rsid w:val="00CF3C28"/>
    <w:rsid w:val="00CF4475"/>
    <w:rsid w:val="00CF4678"/>
    <w:rsid w:val="00CF4C2A"/>
    <w:rsid w:val="00CF4C8E"/>
    <w:rsid w:val="00CF5833"/>
    <w:rsid w:val="00CF59E9"/>
    <w:rsid w:val="00CF62A2"/>
    <w:rsid w:val="00CF6902"/>
    <w:rsid w:val="00CF6968"/>
    <w:rsid w:val="00CF69A5"/>
    <w:rsid w:val="00CF7059"/>
    <w:rsid w:val="00D00C8F"/>
    <w:rsid w:val="00D01590"/>
    <w:rsid w:val="00D02525"/>
    <w:rsid w:val="00D0277E"/>
    <w:rsid w:val="00D02F9F"/>
    <w:rsid w:val="00D039AC"/>
    <w:rsid w:val="00D039B7"/>
    <w:rsid w:val="00D041E8"/>
    <w:rsid w:val="00D042E5"/>
    <w:rsid w:val="00D04903"/>
    <w:rsid w:val="00D04D92"/>
    <w:rsid w:val="00D04DE0"/>
    <w:rsid w:val="00D051F7"/>
    <w:rsid w:val="00D05726"/>
    <w:rsid w:val="00D05D6B"/>
    <w:rsid w:val="00D0612E"/>
    <w:rsid w:val="00D0649B"/>
    <w:rsid w:val="00D07A78"/>
    <w:rsid w:val="00D108F4"/>
    <w:rsid w:val="00D10A61"/>
    <w:rsid w:val="00D1116E"/>
    <w:rsid w:val="00D12A5A"/>
    <w:rsid w:val="00D133F3"/>
    <w:rsid w:val="00D13524"/>
    <w:rsid w:val="00D155EC"/>
    <w:rsid w:val="00D15FFA"/>
    <w:rsid w:val="00D163C0"/>
    <w:rsid w:val="00D16DF9"/>
    <w:rsid w:val="00D17EEC"/>
    <w:rsid w:val="00D203AC"/>
    <w:rsid w:val="00D20F08"/>
    <w:rsid w:val="00D21FC6"/>
    <w:rsid w:val="00D2259A"/>
    <w:rsid w:val="00D22609"/>
    <w:rsid w:val="00D22C1E"/>
    <w:rsid w:val="00D2459B"/>
    <w:rsid w:val="00D24B14"/>
    <w:rsid w:val="00D24DCF"/>
    <w:rsid w:val="00D2508A"/>
    <w:rsid w:val="00D254DE"/>
    <w:rsid w:val="00D2587D"/>
    <w:rsid w:val="00D26856"/>
    <w:rsid w:val="00D27CB1"/>
    <w:rsid w:val="00D30994"/>
    <w:rsid w:val="00D3248D"/>
    <w:rsid w:val="00D344D9"/>
    <w:rsid w:val="00D35512"/>
    <w:rsid w:val="00D35A1F"/>
    <w:rsid w:val="00D361D0"/>
    <w:rsid w:val="00D3631F"/>
    <w:rsid w:val="00D4000E"/>
    <w:rsid w:val="00D4027E"/>
    <w:rsid w:val="00D40B8D"/>
    <w:rsid w:val="00D40C9B"/>
    <w:rsid w:val="00D4171C"/>
    <w:rsid w:val="00D41CB9"/>
    <w:rsid w:val="00D41E23"/>
    <w:rsid w:val="00D41EF7"/>
    <w:rsid w:val="00D41F6E"/>
    <w:rsid w:val="00D43371"/>
    <w:rsid w:val="00D44DFA"/>
    <w:rsid w:val="00D45277"/>
    <w:rsid w:val="00D45801"/>
    <w:rsid w:val="00D45884"/>
    <w:rsid w:val="00D45C74"/>
    <w:rsid w:val="00D460CB"/>
    <w:rsid w:val="00D4617B"/>
    <w:rsid w:val="00D463E5"/>
    <w:rsid w:val="00D500FA"/>
    <w:rsid w:val="00D51B86"/>
    <w:rsid w:val="00D51F57"/>
    <w:rsid w:val="00D52587"/>
    <w:rsid w:val="00D526D4"/>
    <w:rsid w:val="00D52CA6"/>
    <w:rsid w:val="00D538B6"/>
    <w:rsid w:val="00D5439C"/>
    <w:rsid w:val="00D54924"/>
    <w:rsid w:val="00D54CC4"/>
    <w:rsid w:val="00D55CEF"/>
    <w:rsid w:val="00D55E05"/>
    <w:rsid w:val="00D56043"/>
    <w:rsid w:val="00D56456"/>
    <w:rsid w:val="00D56EBB"/>
    <w:rsid w:val="00D579CC"/>
    <w:rsid w:val="00D57EA3"/>
    <w:rsid w:val="00D61B2B"/>
    <w:rsid w:val="00D61D3C"/>
    <w:rsid w:val="00D61D97"/>
    <w:rsid w:val="00D61DDF"/>
    <w:rsid w:val="00D62917"/>
    <w:rsid w:val="00D63A0A"/>
    <w:rsid w:val="00D63B97"/>
    <w:rsid w:val="00D6411B"/>
    <w:rsid w:val="00D64417"/>
    <w:rsid w:val="00D647B9"/>
    <w:rsid w:val="00D66A30"/>
    <w:rsid w:val="00D67B48"/>
    <w:rsid w:val="00D7046D"/>
    <w:rsid w:val="00D711D5"/>
    <w:rsid w:val="00D71901"/>
    <w:rsid w:val="00D71E79"/>
    <w:rsid w:val="00D71F0C"/>
    <w:rsid w:val="00D73586"/>
    <w:rsid w:val="00D7377F"/>
    <w:rsid w:val="00D742A2"/>
    <w:rsid w:val="00D74939"/>
    <w:rsid w:val="00D7498A"/>
    <w:rsid w:val="00D75B2C"/>
    <w:rsid w:val="00D75D64"/>
    <w:rsid w:val="00D75F9D"/>
    <w:rsid w:val="00D76A48"/>
    <w:rsid w:val="00D7751E"/>
    <w:rsid w:val="00D77727"/>
    <w:rsid w:val="00D8048E"/>
    <w:rsid w:val="00D804B9"/>
    <w:rsid w:val="00D80695"/>
    <w:rsid w:val="00D80FBF"/>
    <w:rsid w:val="00D81D06"/>
    <w:rsid w:val="00D8271E"/>
    <w:rsid w:val="00D82929"/>
    <w:rsid w:val="00D82DA3"/>
    <w:rsid w:val="00D8387B"/>
    <w:rsid w:val="00D838D6"/>
    <w:rsid w:val="00D841B0"/>
    <w:rsid w:val="00D84BFE"/>
    <w:rsid w:val="00D85E7D"/>
    <w:rsid w:val="00D86797"/>
    <w:rsid w:val="00D87718"/>
    <w:rsid w:val="00D91D3E"/>
    <w:rsid w:val="00D91DBE"/>
    <w:rsid w:val="00D926F7"/>
    <w:rsid w:val="00D92851"/>
    <w:rsid w:val="00D92CD2"/>
    <w:rsid w:val="00D93066"/>
    <w:rsid w:val="00D94345"/>
    <w:rsid w:val="00D94A32"/>
    <w:rsid w:val="00D962F1"/>
    <w:rsid w:val="00D9685D"/>
    <w:rsid w:val="00D96A3D"/>
    <w:rsid w:val="00D9703A"/>
    <w:rsid w:val="00D97D33"/>
    <w:rsid w:val="00DA0F8E"/>
    <w:rsid w:val="00DA1EE2"/>
    <w:rsid w:val="00DA2D54"/>
    <w:rsid w:val="00DA304A"/>
    <w:rsid w:val="00DA395F"/>
    <w:rsid w:val="00DA4B47"/>
    <w:rsid w:val="00DA7266"/>
    <w:rsid w:val="00DA7C85"/>
    <w:rsid w:val="00DA7F93"/>
    <w:rsid w:val="00DB043B"/>
    <w:rsid w:val="00DB074F"/>
    <w:rsid w:val="00DB107C"/>
    <w:rsid w:val="00DB134F"/>
    <w:rsid w:val="00DB14D5"/>
    <w:rsid w:val="00DB1577"/>
    <w:rsid w:val="00DB19FB"/>
    <w:rsid w:val="00DB20FB"/>
    <w:rsid w:val="00DB2BBF"/>
    <w:rsid w:val="00DB30D2"/>
    <w:rsid w:val="00DB3A47"/>
    <w:rsid w:val="00DB463C"/>
    <w:rsid w:val="00DB488A"/>
    <w:rsid w:val="00DB4E99"/>
    <w:rsid w:val="00DB5B8A"/>
    <w:rsid w:val="00DB5E60"/>
    <w:rsid w:val="00DB64F7"/>
    <w:rsid w:val="00DB7CDC"/>
    <w:rsid w:val="00DB7F24"/>
    <w:rsid w:val="00DC05BB"/>
    <w:rsid w:val="00DC10BF"/>
    <w:rsid w:val="00DC1609"/>
    <w:rsid w:val="00DC16CD"/>
    <w:rsid w:val="00DC1AE8"/>
    <w:rsid w:val="00DC1C45"/>
    <w:rsid w:val="00DC1E9E"/>
    <w:rsid w:val="00DC21E4"/>
    <w:rsid w:val="00DC37B7"/>
    <w:rsid w:val="00DC394C"/>
    <w:rsid w:val="00DC3A59"/>
    <w:rsid w:val="00DC4F17"/>
    <w:rsid w:val="00DC5773"/>
    <w:rsid w:val="00DC6427"/>
    <w:rsid w:val="00DC694D"/>
    <w:rsid w:val="00DD032A"/>
    <w:rsid w:val="00DD1BE6"/>
    <w:rsid w:val="00DD2164"/>
    <w:rsid w:val="00DD24E8"/>
    <w:rsid w:val="00DD294C"/>
    <w:rsid w:val="00DD3045"/>
    <w:rsid w:val="00DD46A5"/>
    <w:rsid w:val="00DD55C3"/>
    <w:rsid w:val="00DD688B"/>
    <w:rsid w:val="00DD736F"/>
    <w:rsid w:val="00DD76D2"/>
    <w:rsid w:val="00DD7955"/>
    <w:rsid w:val="00DD7E69"/>
    <w:rsid w:val="00DE0202"/>
    <w:rsid w:val="00DE033A"/>
    <w:rsid w:val="00DE1A79"/>
    <w:rsid w:val="00DE2525"/>
    <w:rsid w:val="00DE26AA"/>
    <w:rsid w:val="00DE2DA3"/>
    <w:rsid w:val="00DE37F9"/>
    <w:rsid w:val="00DE4DBA"/>
    <w:rsid w:val="00DE6978"/>
    <w:rsid w:val="00DE7DF7"/>
    <w:rsid w:val="00DF1629"/>
    <w:rsid w:val="00DF1749"/>
    <w:rsid w:val="00DF1E9D"/>
    <w:rsid w:val="00DF21CA"/>
    <w:rsid w:val="00DF3051"/>
    <w:rsid w:val="00DF305C"/>
    <w:rsid w:val="00DF3934"/>
    <w:rsid w:val="00DF4400"/>
    <w:rsid w:val="00DF4D4A"/>
    <w:rsid w:val="00DF4D8A"/>
    <w:rsid w:val="00DF50C9"/>
    <w:rsid w:val="00DF5338"/>
    <w:rsid w:val="00DF5A5A"/>
    <w:rsid w:val="00DF6AF9"/>
    <w:rsid w:val="00DF6DE3"/>
    <w:rsid w:val="00DF6DFA"/>
    <w:rsid w:val="00DF7A00"/>
    <w:rsid w:val="00DF7D0C"/>
    <w:rsid w:val="00E00306"/>
    <w:rsid w:val="00E009FA"/>
    <w:rsid w:val="00E00BCB"/>
    <w:rsid w:val="00E00DC5"/>
    <w:rsid w:val="00E0147B"/>
    <w:rsid w:val="00E026C6"/>
    <w:rsid w:val="00E02A26"/>
    <w:rsid w:val="00E037E8"/>
    <w:rsid w:val="00E04446"/>
    <w:rsid w:val="00E0452F"/>
    <w:rsid w:val="00E04A24"/>
    <w:rsid w:val="00E04F41"/>
    <w:rsid w:val="00E0529C"/>
    <w:rsid w:val="00E05496"/>
    <w:rsid w:val="00E05C02"/>
    <w:rsid w:val="00E05E3C"/>
    <w:rsid w:val="00E07EB9"/>
    <w:rsid w:val="00E104FC"/>
    <w:rsid w:val="00E10916"/>
    <w:rsid w:val="00E10A0F"/>
    <w:rsid w:val="00E12C83"/>
    <w:rsid w:val="00E13495"/>
    <w:rsid w:val="00E13A6E"/>
    <w:rsid w:val="00E14568"/>
    <w:rsid w:val="00E14A3E"/>
    <w:rsid w:val="00E1542D"/>
    <w:rsid w:val="00E170F2"/>
    <w:rsid w:val="00E17216"/>
    <w:rsid w:val="00E2069B"/>
    <w:rsid w:val="00E21348"/>
    <w:rsid w:val="00E2158B"/>
    <w:rsid w:val="00E223AD"/>
    <w:rsid w:val="00E233F4"/>
    <w:rsid w:val="00E23FE1"/>
    <w:rsid w:val="00E25F1E"/>
    <w:rsid w:val="00E271FB"/>
    <w:rsid w:val="00E272B0"/>
    <w:rsid w:val="00E27479"/>
    <w:rsid w:val="00E277EC"/>
    <w:rsid w:val="00E30676"/>
    <w:rsid w:val="00E308DF"/>
    <w:rsid w:val="00E30C02"/>
    <w:rsid w:val="00E30D47"/>
    <w:rsid w:val="00E30D99"/>
    <w:rsid w:val="00E32C6D"/>
    <w:rsid w:val="00E3355A"/>
    <w:rsid w:val="00E34E7E"/>
    <w:rsid w:val="00E3522E"/>
    <w:rsid w:val="00E35C9D"/>
    <w:rsid w:val="00E35FB4"/>
    <w:rsid w:val="00E36B99"/>
    <w:rsid w:val="00E370EE"/>
    <w:rsid w:val="00E407B6"/>
    <w:rsid w:val="00E41468"/>
    <w:rsid w:val="00E42343"/>
    <w:rsid w:val="00E42401"/>
    <w:rsid w:val="00E43327"/>
    <w:rsid w:val="00E43580"/>
    <w:rsid w:val="00E47112"/>
    <w:rsid w:val="00E515FC"/>
    <w:rsid w:val="00E51A5A"/>
    <w:rsid w:val="00E524BA"/>
    <w:rsid w:val="00E53E56"/>
    <w:rsid w:val="00E53FCC"/>
    <w:rsid w:val="00E5628F"/>
    <w:rsid w:val="00E56367"/>
    <w:rsid w:val="00E56DD8"/>
    <w:rsid w:val="00E57CEF"/>
    <w:rsid w:val="00E60DFD"/>
    <w:rsid w:val="00E6110A"/>
    <w:rsid w:val="00E613B0"/>
    <w:rsid w:val="00E619DE"/>
    <w:rsid w:val="00E61DC9"/>
    <w:rsid w:val="00E61F82"/>
    <w:rsid w:val="00E62194"/>
    <w:rsid w:val="00E628CA"/>
    <w:rsid w:val="00E63AEB"/>
    <w:rsid w:val="00E63BB6"/>
    <w:rsid w:val="00E642E3"/>
    <w:rsid w:val="00E64633"/>
    <w:rsid w:val="00E64A8D"/>
    <w:rsid w:val="00E65B18"/>
    <w:rsid w:val="00E66406"/>
    <w:rsid w:val="00E67758"/>
    <w:rsid w:val="00E708F2"/>
    <w:rsid w:val="00E72FDD"/>
    <w:rsid w:val="00E73153"/>
    <w:rsid w:val="00E73853"/>
    <w:rsid w:val="00E74087"/>
    <w:rsid w:val="00E742CE"/>
    <w:rsid w:val="00E74E3D"/>
    <w:rsid w:val="00E74E96"/>
    <w:rsid w:val="00E75CD1"/>
    <w:rsid w:val="00E775C4"/>
    <w:rsid w:val="00E80307"/>
    <w:rsid w:val="00E8095B"/>
    <w:rsid w:val="00E811D0"/>
    <w:rsid w:val="00E831A2"/>
    <w:rsid w:val="00E83B5D"/>
    <w:rsid w:val="00E83F0A"/>
    <w:rsid w:val="00E857AB"/>
    <w:rsid w:val="00E8632F"/>
    <w:rsid w:val="00E86B11"/>
    <w:rsid w:val="00E86C9D"/>
    <w:rsid w:val="00E877B3"/>
    <w:rsid w:val="00E87F28"/>
    <w:rsid w:val="00E90662"/>
    <w:rsid w:val="00E90ECE"/>
    <w:rsid w:val="00E92D90"/>
    <w:rsid w:val="00E9359D"/>
    <w:rsid w:val="00E93B7A"/>
    <w:rsid w:val="00E94503"/>
    <w:rsid w:val="00E947E5"/>
    <w:rsid w:val="00E94EA2"/>
    <w:rsid w:val="00E9522C"/>
    <w:rsid w:val="00E95A75"/>
    <w:rsid w:val="00E95B0B"/>
    <w:rsid w:val="00E95B3F"/>
    <w:rsid w:val="00E96B45"/>
    <w:rsid w:val="00E96C11"/>
    <w:rsid w:val="00E97201"/>
    <w:rsid w:val="00EA00BF"/>
    <w:rsid w:val="00EA064F"/>
    <w:rsid w:val="00EA071E"/>
    <w:rsid w:val="00EA1054"/>
    <w:rsid w:val="00EA17A4"/>
    <w:rsid w:val="00EA1F72"/>
    <w:rsid w:val="00EA2348"/>
    <w:rsid w:val="00EA33E1"/>
    <w:rsid w:val="00EA4504"/>
    <w:rsid w:val="00EA565C"/>
    <w:rsid w:val="00EA75A7"/>
    <w:rsid w:val="00EA797B"/>
    <w:rsid w:val="00EA7EA2"/>
    <w:rsid w:val="00EB0159"/>
    <w:rsid w:val="00EB070D"/>
    <w:rsid w:val="00EB0AF3"/>
    <w:rsid w:val="00EB1A3A"/>
    <w:rsid w:val="00EB1D4E"/>
    <w:rsid w:val="00EB2D06"/>
    <w:rsid w:val="00EB35BD"/>
    <w:rsid w:val="00EB3700"/>
    <w:rsid w:val="00EB420A"/>
    <w:rsid w:val="00EB492D"/>
    <w:rsid w:val="00EB5F0D"/>
    <w:rsid w:val="00EB65BF"/>
    <w:rsid w:val="00EB6A5D"/>
    <w:rsid w:val="00EB7A34"/>
    <w:rsid w:val="00EB7AF5"/>
    <w:rsid w:val="00EC0291"/>
    <w:rsid w:val="00EC0656"/>
    <w:rsid w:val="00EC0981"/>
    <w:rsid w:val="00EC1D2C"/>
    <w:rsid w:val="00EC2973"/>
    <w:rsid w:val="00EC37C8"/>
    <w:rsid w:val="00EC3B02"/>
    <w:rsid w:val="00EC3EC5"/>
    <w:rsid w:val="00EC510F"/>
    <w:rsid w:val="00EC6D72"/>
    <w:rsid w:val="00EC720B"/>
    <w:rsid w:val="00EC73A9"/>
    <w:rsid w:val="00EC7BCF"/>
    <w:rsid w:val="00EC7DE4"/>
    <w:rsid w:val="00EC7FF2"/>
    <w:rsid w:val="00ED01EE"/>
    <w:rsid w:val="00ED1A43"/>
    <w:rsid w:val="00ED1AFC"/>
    <w:rsid w:val="00ED382A"/>
    <w:rsid w:val="00ED38CF"/>
    <w:rsid w:val="00ED3DA4"/>
    <w:rsid w:val="00ED480F"/>
    <w:rsid w:val="00ED54EA"/>
    <w:rsid w:val="00ED56DD"/>
    <w:rsid w:val="00ED5980"/>
    <w:rsid w:val="00ED5B16"/>
    <w:rsid w:val="00ED6A9F"/>
    <w:rsid w:val="00EE014E"/>
    <w:rsid w:val="00EE020F"/>
    <w:rsid w:val="00EE07CB"/>
    <w:rsid w:val="00EE0AF4"/>
    <w:rsid w:val="00EE0C9A"/>
    <w:rsid w:val="00EE0D52"/>
    <w:rsid w:val="00EE1052"/>
    <w:rsid w:val="00EE1A76"/>
    <w:rsid w:val="00EE1B1D"/>
    <w:rsid w:val="00EE1DAF"/>
    <w:rsid w:val="00EE20C4"/>
    <w:rsid w:val="00EE2AAA"/>
    <w:rsid w:val="00EE336A"/>
    <w:rsid w:val="00EE346A"/>
    <w:rsid w:val="00EE3493"/>
    <w:rsid w:val="00EE3A98"/>
    <w:rsid w:val="00EE4334"/>
    <w:rsid w:val="00EE5E57"/>
    <w:rsid w:val="00EE6E63"/>
    <w:rsid w:val="00EE6F80"/>
    <w:rsid w:val="00EE7FC9"/>
    <w:rsid w:val="00EF0061"/>
    <w:rsid w:val="00EF053D"/>
    <w:rsid w:val="00EF09DA"/>
    <w:rsid w:val="00EF0F60"/>
    <w:rsid w:val="00EF22AE"/>
    <w:rsid w:val="00EF24F9"/>
    <w:rsid w:val="00EF3D27"/>
    <w:rsid w:val="00EF49DC"/>
    <w:rsid w:val="00EF4B86"/>
    <w:rsid w:val="00EF5781"/>
    <w:rsid w:val="00EF681D"/>
    <w:rsid w:val="00EF6CB3"/>
    <w:rsid w:val="00EF6FE2"/>
    <w:rsid w:val="00EF71CF"/>
    <w:rsid w:val="00EF72FA"/>
    <w:rsid w:val="00EF7FEF"/>
    <w:rsid w:val="00F01CA9"/>
    <w:rsid w:val="00F03CAF"/>
    <w:rsid w:val="00F044D1"/>
    <w:rsid w:val="00F04ACE"/>
    <w:rsid w:val="00F05077"/>
    <w:rsid w:val="00F05116"/>
    <w:rsid w:val="00F05796"/>
    <w:rsid w:val="00F058F0"/>
    <w:rsid w:val="00F0604C"/>
    <w:rsid w:val="00F0624B"/>
    <w:rsid w:val="00F06900"/>
    <w:rsid w:val="00F06A79"/>
    <w:rsid w:val="00F07B89"/>
    <w:rsid w:val="00F1031A"/>
    <w:rsid w:val="00F10C27"/>
    <w:rsid w:val="00F1146E"/>
    <w:rsid w:val="00F1183C"/>
    <w:rsid w:val="00F120F1"/>
    <w:rsid w:val="00F13684"/>
    <w:rsid w:val="00F13C01"/>
    <w:rsid w:val="00F1433F"/>
    <w:rsid w:val="00F143A0"/>
    <w:rsid w:val="00F1733C"/>
    <w:rsid w:val="00F179CA"/>
    <w:rsid w:val="00F202D8"/>
    <w:rsid w:val="00F20711"/>
    <w:rsid w:val="00F21419"/>
    <w:rsid w:val="00F21E39"/>
    <w:rsid w:val="00F22203"/>
    <w:rsid w:val="00F228DF"/>
    <w:rsid w:val="00F2351F"/>
    <w:rsid w:val="00F23F5D"/>
    <w:rsid w:val="00F24642"/>
    <w:rsid w:val="00F268B7"/>
    <w:rsid w:val="00F26B14"/>
    <w:rsid w:val="00F26E64"/>
    <w:rsid w:val="00F270CC"/>
    <w:rsid w:val="00F27707"/>
    <w:rsid w:val="00F27763"/>
    <w:rsid w:val="00F279F0"/>
    <w:rsid w:val="00F3119F"/>
    <w:rsid w:val="00F32C70"/>
    <w:rsid w:val="00F331B1"/>
    <w:rsid w:val="00F33E82"/>
    <w:rsid w:val="00F34366"/>
    <w:rsid w:val="00F35323"/>
    <w:rsid w:val="00F3571F"/>
    <w:rsid w:val="00F364C7"/>
    <w:rsid w:val="00F37925"/>
    <w:rsid w:val="00F37B54"/>
    <w:rsid w:val="00F43A0D"/>
    <w:rsid w:val="00F43B7A"/>
    <w:rsid w:val="00F442BA"/>
    <w:rsid w:val="00F44B61"/>
    <w:rsid w:val="00F46556"/>
    <w:rsid w:val="00F46762"/>
    <w:rsid w:val="00F46D28"/>
    <w:rsid w:val="00F4711B"/>
    <w:rsid w:val="00F47626"/>
    <w:rsid w:val="00F50AED"/>
    <w:rsid w:val="00F5105A"/>
    <w:rsid w:val="00F51101"/>
    <w:rsid w:val="00F5126C"/>
    <w:rsid w:val="00F5166A"/>
    <w:rsid w:val="00F519B1"/>
    <w:rsid w:val="00F51A06"/>
    <w:rsid w:val="00F51B1C"/>
    <w:rsid w:val="00F51C5F"/>
    <w:rsid w:val="00F52C1B"/>
    <w:rsid w:val="00F53C33"/>
    <w:rsid w:val="00F54569"/>
    <w:rsid w:val="00F54799"/>
    <w:rsid w:val="00F55550"/>
    <w:rsid w:val="00F556C1"/>
    <w:rsid w:val="00F55903"/>
    <w:rsid w:val="00F5729E"/>
    <w:rsid w:val="00F5750D"/>
    <w:rsid w:val="00F5755E"/>
    <w:rsid w:val="00F575E8"/>
    <w:rsid w:val="00F57BAA"/>
    <w:rsid w:val="00F57E4B"/>
    <w:rsid w:val="00F61F54"/>
    <w:rsid w:val="00F630A1"/>
    <w:rsid w:val="00F63444"/>
    <w:rsid w:val="00F639D0"/>
    <w:rsid w:val="00F64518"/>
    <w:rsid w:val="00F666EA"/>
    <w:rsid w:val="00F6742E"/>
    <w:rsid w:val="00F679F8"/>
    <w:rsid w:val="00F703A7"/>
    <w:rsid w:val="00F70C54"/>
    <w:rsid w:val="00F71256"/>
    <w:rsid w:val="00F71799"/>
    <w:rsid w:val="00F729DC"/>
    <w:rsid w:val="00F72F04"/>
    <w:rsid w:val="00F739FF"/>
    <w:rsid w:val="00F744EC"/>
    <w:rsid w:val="00F746DA"/>
    <w:rsid w:val="00F748E6"/>
    <w:rsid w:val="00F76563"/>
    <w:rsid w:val="00F804E7"/>
    <w:rsid w:val="00F806DC"/>
    <w:rsid w:val="00F810DE"/>
    <w:rsid w:val="00F816F4"/>
    <w:rsid w:val="00F81702"/>
    <w:rsid w:val="00F81761"/>
    <w:rsid w:val="00F81CFB"/>
    <w:rsid w:val="00F825B1"/>
    <w:rsid w:val="00F825F0"/>
    <w:rsid w:val="00F82B01"/>
    <w:rsid w:val="00F83062"/>
    <w:rsid w:val="00F835C7"/>
    <w:rsid w:val="00F83BAA"/>
    <w:rsid w:val="00F83DA8"/>
    <w:rsid w:val="00F83E35"/>
    <w:rsid w:val="00F83FF0"/>
    <w:rsid w:val="00F84432"/>
    <w:rsid w:val="00F84FD7"/>
    <w:rsid w:val="00F8518A"/>
    <w:rsid w:val="00F859EF"/>
    <w:rsid w:val="00F85E2A"/>
    <w:rsid w:val="00F867B5"/>
    <w:rsid w:val="00F87B2E"/>
    <w:rsid w:val="00F87BDE"/>
    <w:rsid w:val="00F90455"/>
    <w:rsid w:val="00F90669"/>
    <w:rsid w:val="00F90F0B"/>
    <w:rsid w:val="00F92C4D"/>
    <w:rsid w:val="00F92E33"/>
    <w:rsid w:val="00F93BF7"/>
    <w:rsid w:val="00F93F0E"/>
    <w:rsid w:val="00F94234"/>
    <w:rsid w:val="00F943D4"/>
    <w:rsid w:val="00F94BD4"/>
    <w:rsid w:val="00F95056"/>
    <w:rsid w:val="00F9519C"/>
    <w:rsid w:val="00F95C5A"/>
    <w:rsid w:val="00F95CD0"/>
    <w:rsid w:val="00F960B5"/>
    <w:rsid w:val="00F9635B"/>
    <w:rsid w:val="00F96682"/>
    <w:rsid w:val="00F96E6C"/>
    <w:rsid w:val="00FA006E"/>
    <w:rsid w:val="00FA01A5"/>
    <w:rsid w:val="00FA08CE"/>
    <w:rsid w:val="00FA1599"/>
    <w:rsid w:val="00FA1AEE"/>
    <w:rsid w:val="00FA1EDB"/>
    <w:rsid w:val="00FA287F"/>
    <w:rsid w:val="00FA44D2"/>
    <w:rsid w:val="00FA4F49"/>
    <w:rsid w:val="00FA527E"/>
    <w:rsid w:val="00FA7D6D"/>
    <w:rsid w:val="00FA7F41"/>
    <w:rsid w:val="00FB0ECF"/>
    <w:rsid w:val="00FB0FB8"/>
    <w:rsid w:val="00FB1154"/>
    <w:rsid w:val="00FB12F6"/>
    <w:rsid w:val="00FB1439"/>
    <w:rsid w:val="00FB21D9"/>
    <w:rsid w:val="00FB34F0"/>
    <w:rsid w:val="00FB3A07"/>
    <w:rsid w:val="00FB3C10"/>
    <w:rsid w:val="00FB5022"/>
    <w:rsid w:val="00FB54D9"/>
    <w:rsid w:val="00FB5A33"/>
    <w:rsid w:val="00FB5A66"/>
    <w:rsid w:val="00FB5E70"/>
    <w:rsid w:val="00FB61F1"/>
    <w:rsid w:val="00FB66F5"/>
    <w:rsid w:val="00FB6825"/>
    <w:rsid w:val="00FB6FB6"/>
    <w:rsid w:val="00FB70AB"/>
    <w:rsid w:val="00FB7356"/>
    <w:rsid w:val="00FB7F12"/>
    <w:rsid w:val="00FC2746"/>
    <w:rsid w:val="00FC368D"/>
    <w:rsid w:val="00FC4D50"/>
    <w:rsid w:val="00FC4F37"/>
    <w:rsid w:val="00FC584B"/>
    <w:rsid w:val="00FC5893"/>
    <w:rsid w:val="00FC7F88"/>
    <w:rsid w:val="00FD06CF"/>
    <w:rsid w:val="00FD1203"/>
    <w:rsid w:val="00FD19C2"/>
    <w:rsid w:val="00FD4602"/>
    <w:rsid w:val="00FD4A96"/>
    <w:rsid w:val="00FD4C11"/>
    <w:rsid w:val="00FD5093"/>
    <w:rsid w:val="00FD5809"/>
    <w:rsid w:val="00FD6467"/>
    <w:rsid w:val="00FD6B64"/>
    <w:rsid w:val="00FD71E4"/>
    <w:rsid w:val="00FD7998"/>
    <w:rsid w:val="00FE5CE1"/>
    <w:rsid w:val="00FE5FB1"/>
    <w:rsid w:val="00FE763C"/>
    <w:rsid w:val="00FF1B67"/>
    <w:rsid w:val="00FF1D70"/>
    <w:rsid w:val="00FF1E29"/>
    <w:rsid w:val="00FF2884"/>
    <w:rsid w:val="00FF2EF5"/>
    <w:rsid w:val="00FF3A95"/>
    <w:rsid w:val="00FF489C"/>
    <w:rsid w:val="00FF499E"/>
    <w:rsid w:val="00FF4D4D"/>
    <w:rsid w:val="00FF572C"/>
    <w:rsid w:val="00FF598A"/>
    <w:rsid w:val="00FF6035"/>
    <w:rsid w:val="00FF6593"/>
    <w:rsid w:val="00FF7AC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B75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361"/>
    <w:rPr>
      <w:rFonts w:ascii="Arial" w:hAnsi="Arial"/>
      <w:szCs w:val="22"/>
      <w:lang w:val="en-US" w:eastAsia="en-US"/>
    </w:rPr>
  </w:style>
  <w:style w:type="paragraph" w:styleId="Heading1">
    <w:name w:val="heading 1"/>
    <w:basedOn w:val="Title"/>
    <w:next w:val="Normal"/>
    <w:link w:val="Heading1Char"/>
    <w:qFormat/>
    <w:rsid w:val="0045004C"/>
    <w:pPr>
      <w:outlineLvl w:val="0"/>
    </w:pPr>
  </w:style>
  <w:style w:type="paragraph" w:styleId="Heading2">
    <w:name w:val="heading 2"/>
    <w:basedOn w:val="Normal"/>
    <w:next w:val="Normal"/>
    <w:link w:val="Heading2Char"/>
    <w:unhideWhenUsed/>
    <w:qFormat/>
    <w:rsid w:val="007E2316"/>
    <w:pPr>
      <w:keepNext/>
      <w:spacing w:before="240" w:after="60"/>
      <w:jc w:val="both"/>
      <w:outlineLvl w:val="1"/>
    </w:pPr>
    <w:rPr>
      <w:rFonts w:eastAsia="Times New Roman" w:cs="Arial"/>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C1476F"/>
    <w:pPr>
      <w:tabs>
        <w:tab w:val="left" w:pos="720"/>
      </w:tabs>
      <w:spacing w:before="240" w:after="240" w:line="360" w:lineRule="auto"/>
      <w:jc w:val="center"/>
    </w:pPr>
    <w:rPr>
      <w:rFonts w:eastAsia="Times New Roman" w:cs="Arial"/>
      <w:b/>
      <w:caps/>
      <w:szCs w:val="20"/>
      <w:lang w:val="en-GB"/>
    </w:rPr>
  </w:style>
  <w:style w:type="character" w:customStyle="1" w:styleId="Heading2Char">
    <w:name w:val="Heading 2 Char"/>
    <w:link w:val="Heading2"/>
    <w:rsid w:val="007E2316"/>
    <w:rPr>
      <w:rFonts w:ascii="Arial" w:eastAsia="Times New Roman" w:hAnsi="Arial" w:cs="Arial"/>
      <w:b/>
      <w:bCs/>
      <w:i/>
      <w:iCs/>
      <w:lang w:val="en-US" w:eastAsia="en-US"/>
    </w:rPr>
  </w:style>
  <w:style w:type="paragraph" w:styleId="BalloonText">
    <w:name w:val="Balloon Text"/>
    <w:basedOn w:val="Normal"/>
    <w:link w:val="BalloonTextChar"/>
    <w:uiPriority w:val="99"/>
    <w:semiHidden/>
    <w:unhideWhenUsed/>
    <w:rsid w:val="00F55550"/>
    <w:rPr>
      <w:rFonts w:ascii="Tahoma" w:hAnsi="Tahoma" w:cs="Tahoma"/>
      <w:sz w:val="16"/>
      <w:szCs w:val="16"/>
    </w:rPr>
  </w:style>
  <w:style w:type="character" w:customStyle="1" w:styleId="BalloonTextChar">
    <w:name w:val="Balloon Text Char"/>
    <w:link w:val="BalloonText"/>
    <w:uiPriority w:val="99"/>
    <w:semiHidden/>
    <w:rsid w:val="00F55550"/>
    <w:rPr>
      <w:rFonts w:ascii="Tahoma" w:hAnsi="Tahoma" w:cs="Tahoma"/>
      <w:sz w:val="16"/>
      <w:szCs w:val="16"/>
    </w:rPr>
  </w:style>
  <w:style w:type="character" w:styleId="CommentReference">
    <w:name w:val="annotation reference"/>
    <w:uiPriority w:val="99"/>
    <w:semiHidden/>
    <w:unhideWhenUsed/>
    <w:rsid w:val="004506A7"/>
    <w:rPr>
      <w:sz w:val="16"/>
      <w:szCs w:val="16"/>
    </w:rPr>
  </w:style>
  <w:style w:type="paragraph" w:styleId="CommentSubject">
    <w:name w:val="annotation subject"/>
    <w:basedOn w:val="Normal"/>
    <w:link w:val="CommentSubjectChar"/>
    <w:uiPriority w:val="99"/>
    <w:semiHidden/>
    <w:unhideWhenUsed/>
    <w:rsid w:val="00C069B9"/>
    <w:rPr>
      <w:b/>
      <w:bCs/>
    </w:rPr>
  </w:style>
  <w:style w:type="character" w:customStyle="1" w:styleId="CommentSubjectChar">
    <w:name w:val="Comment Subject Char"/>
    <w:link w:val="CommentSubject"/>
    <w:uiPriority w:val="99"/>
    <w:semiHidden/>
    <w:rsid w:val="004506A7"/>
    <w:rPr>
      <w:b/>
      <w:bCs/>
      <w:sz w:val="20"/>
      <w:szCs w:val="20"/>
    </w:rPr>
  </w:style>
  <w:style w:type="character" w:customStyle="1" w:styleId="Heading1Char">
    <w:name w:val="Heading 1 Char"/>
    <w:link w:val="Heading1"/>
    <w:rsid w:val="0045004C"/>
    <w:rPr>
      <w:rFonts w:ascii="Arial" w:eastAsia="Times New Roman" w:hAnsi="Arial" w:cs="Arial"/>
      <w:b/>
      <w:caps/>
      <w:lang w:eastAsia="en-US"/>
    </w:rPr>
  </w:style>
  <w:style w:type="character" w:customStyle="1" w:styleId="TitleChar">
    <w:name w:val="Title Char"/>
    <w:link w:val="Title"/>
    <w:rsid w:val="00C1476F"/>
    <w:rPr>
      <w:rFonts w:ascii="Arial" w:eastAsia="Times New Roman" w:hAnsi="Arial" w:cs="Arial"/>
      <w:b/>
      <w:caps/>
      <w:lang w:eastAsia="en-US"/>
    </w:rPr>
  </w:style>
  <w:style w:type="paragraph" w:styleId="List2">
    <w:name w:val="List 2"/>
    <w:basedOn w:val="Normal"/>
    <w:uiPriority w:val="99"/>
    <w:unhideWhenUsed/>
    <w:rsid w:val="00C069B9"/>
    <w:pPr>
      <w:autoSpaceDE w:val="0"/>
      <w:autoSpaceDN w:val="0"/>
      <w:spacing w:before="120" w:after="120"/>
      <w:ind w:left="1224" w:hanging="504"/>
      <w:jc w:val="both"/>
    </w:pPr>
    <w:rPr>
      <w:rFonts w:eastAsia="Times New Roman" w:cs="Arial"/>
      <w:szCs w:val="20"/>
      <w:lang w:val="en-GB"/>
    </w:rPr>
  </w:style>
  <w:style w:type="paragraph" w:styleId="FootnoteText">
    <w:name w:val="footnote text"/>
    <w:basedOn w:val="DM"/>
    <w:link w:val="FootnoteTextChar"/>
    <w:rsid w:val="00BA3C95"/>
  </w:style>
  <w:style w:type="paragraph" w:styleId="Revision">
    <w:name w:val="Revision"/>
    <w:hidden/>
    <w:uiPriority w:val="99"/>
    <w:semiHidden/>
    <w:rsid w:val="00750FAD"/>
    <w:rPr>
      <w:sz w:val="22"/>
      <w:szCs w:val="22"/>
      <w:lang w:val="en-US" w:eastAsia="en-US"/>
    </w:rPr>
  </w:style>
  <w:style w:type="table" w:styleId="TableGrid">
    <w:name w:val="Table Grid"/>
    <w:basedOn w:val="TableNormal"/>
    <w:uiPriority w:val="39"/>
    <w:rsid w:val="00F228DF"/>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
    <w:qFormat/>
    <w:rsid w:val="00224232"/>
    <w:pPr>
      <w:numPr>
        <w:numId w:val="1"/>
      </w:numPr>
      <w:autoSpaceDE w:val="0"/>
      <w:autoSpaceDN w:val="0"/>
      <w:spacing w:before="360"/>
      <w:jc w:val="both"/>
    </w:pPr>
    <w:rPr>
      <w:rFonts w:eastAsia="Times New Roman" w:cs="Arial"/>
      <w:szCs w:val="20"/>
      <w:lang w:val="en-GB"/>
    </w:rPr>
  </w:style>
  <w:style w:type="paragraph" w:customStyle="1" w:styleId="NumberList2">
    <w:name w:val="Number List 2"/>
    <w:basedOn w:val="NumberedList"/>
    <w:rsid w:val="005453D6"/>
    <w:pPr>
      <w:numPr>
        <w:ilvl w:val="2"/>
      </w:numPr>
      <w:spacing w:before="120" w:after="120"/>
    </w:pPr>
  </w:style>
  <w:style w:type="paragraph" w:customStyle="1" w:styleId="NumberList3">
    <w:name w:val="Number List 3"/>
    <w:basedOn w:val="NumberedList"/>
    <w:qFormat/>
    <w:rsid w:val="00641F22"/>
    <w:pPr>
      <w:numPr>
        <w:ilvl w:val="3"/>
        <w:numId w:val="5"/>
      </w:numPr>
      <w:spacing w:before="120" w:after="120"/>
    </w:pPr>
  </w:style>
  <w:style w:type="paragraph" w:styleId="NoSpacing">
    <w:name w:val="No Spacing"/>
    <w:basedOn w:val="Heading1"/>
    <w:uiPriority w:val="1"/>
    <w:qFormat/>
    <w:rsid w:val="00641F22"/>
    <w:rPr>
      <w:sz w:val="2"/>
    </w:rPr>
  </w:style>
  <w:style w:type="character" w:customStyle="1" w:styleId="FootnoteTextChar">
    <w:name w:val="Footnote Text Char"/>
    <w:link w:val="FootnoteText"/>
    <w:rsid w:val="00BA3C95"/>
    <w:rPr>
      <w:rFonts w:ascii="Arial" w:hAnsi="Arial" w:cs="Arial"/>
      <w:lang w:eastAsia="en-US"/>
    </w:rPr>
  </w:style>
  <w:style w:type="character" w:styleId="FootnoteReference">
    <w:name w:val="footnote reference"/>
    <w:rsid w:val="00BA3C95"/>
    <w:rPr>
      <w:vertAlign w:val="superscript"/>
    </w:rPr>
  </w:style>
  <w:style w:type="paragraph" w:customStyle="1" w:styleId="DM">
    <w:name w:val="DM"/>
    <w:basedOn w:val="Normal"/>
    <w:qFormat/>
    <w:rsid w:val="00042D75"/>
    <w:pPr>
      <w:spacing w:after="240"/>
    </w:pPr>
    <w:rPr>
      <w:rFonts w:cs="Arial"/>
      <w:szCs w:val="20"/>
      <w:lang w:val="en-GB"/>
    </w:rPr>
  </w:style>
  <w:style w:type="paragraph" w:customStyle="1" w:styleId="DMList1">
    <w:name w:val="DM List 1"/>
    <w:basedOn w:val="Normal"/>
    <w:qFormat/>
    <w:rsid w:val="005453D6"/>
    <w:pPr>
      <w:spacing w:before="120" w:after="120"/>
      <w:ind w:left="432" w:hanging="432"/>
      <w:contextualSpacing/>
    </w:pPr>
    <w:rPr>
      <w:rFonts w:cs="Arial"/>
      <w:szCs w:val="20"/>
      <w:lang w:val="en-GB"/>
    </w:rPr>
  </w:style>
  <w:style w:type="paragraph" w:customStyle="1" w:styleId="TOSM">
    <w:name w:val="TO &amp; SM"/>
    <w:basedOn w:val="Normal"/>
    <w:qFormat/>
    <w:rsid w:val="00042D75"/>
    <w:pPr>
      <w:spacing w:after="120"/>
    </w:pPr>
    <w:rPr>
      <w:rFonts w:cs="Arial"/>
      <w:snapToGrid w:val="0"/>
      <w:szCs w:val="20"/>
    </w:rPr>
  </w:style>
  <w:style w:type="paragraph" w:styleId="EndnoteText">
    <w:name w:val="endnote text"/>
    <w:basedOn w:val="Normal"/>
    <w:link w:val="EndnoteTextChar"/>
    <w:uiPriority w:val="99"/>
    <w:semiHidden/>
    <w:unhideWhenUsed/>
    <w:rsid w:val="009814A4"/>
    <w:pPr>
      <w:widowControl w:val="0"/>
      <w:jc w:val="both"/>
    </w:pPr>
    <w:rPr>
      <w:rFonts w:ascii="Century" w:eastAsia="MS Mincho" w:hAnsi="Century"/>
      <w:kern w:val="2"/>
      <w:szCs w:val="20"/>
      <w:lang w:eastAsia="ja-JP"/>
    </w:rPr>
  </w:style>
  <w:style w:type="character" w:customStyle="1" w:styleId="EndnoteTextChar">
    <w:name w:val="Endnote Text Char"/>
    <w:link w:val="EndnoteText"/>
    <w:uiPriority w:val="99"/>
    <w:semiHidden/>
    <w:rsid w:val="009814A4"/>
    <w:rPr>
      <w:rFonts w:ascii="Century" w:eastAsia="MS Mincho" w:hAnsi="Century"/>
      <w:kern w:val="2"/>
      <w:lang w:val="en-US" w:eastAsia="ja-JP"/>
    </w:rPr>
  </w:style>
  <w:style w:type="character" w:styleId="PageNumber">
    <w:name w:val="page number"/>
    <w:uiPriority w:val="99"/>
    <w:rsid w:val="00E2158B"/>
  </w:style>
  <w:style w:type="paragraph" w:styleId="BodyText3">
    <w:name w:val="Body Text 3"/>
    <w:basedOn w:val="Normal"/>
    <w:link w:val="BodyText3Char"/>
    <w:uiPriority w:val="99"/>
    <w:semiHidden/>
    <w:unhideWhenUsed/>
    <w:rsid w:val="00E2158B"/>
    <w:pPr>
      <w:widowControl w:val="0"/>
      <w:spacing w:after="120"/>
      <w:jc w:val="both"/>
    </w:pPr>
    <w:rPr>
      <w:rFonts w:ascii="Century" w:eastAsia="MS Mincho" w:hAnsi="Century"/>
      <w:kern w:val="2"/>
      <w:sz w:val="16"/>
      <w:szCs w:val="16"/>
      <w:lang w:eastAsia="ja-JP"/>
    </w:rPr>
  </w:style>
  <w:style w:type="character" w:customStyle="1" w:styleId="BodyText3Char">
    <w:name w:val="Body Text 3 Char"/>
    <w:link w:val="BodyText3"/>
    <w:uiPriority w:val="99"/>
    <w:semiHidden/>
    <w:rsid w:val="00E2158B"/>
    <w:rPr>
      <w:rFonts w:ascii="Century" w:eastAsia="MS Mincho" w:hAnsi="Century"/>
      <w:kern w:val="2"/>
      <w:sz w:val="16"/>
      <w:szCs w:val="16"/>
      <w:lang w:val="en-US" w:eastAsia="ja-JP"/>
    </w:rPr>
  </w:style>
  <w:style w:type="character" w:styleId="Hyperlink">
    <w:name w:val="Hyperlink"/>
    <w:uiPriority w:val="99"/>
    <w:unhideWhenUsed/>
    <w:rsid w:val="00E2158B"/>
    <w:rPr>
      <w:color w:val="000000"/>
      <w:u w:val="single"/>
    </w:rPr>
  </w:style>
  <w:style w:type="paragraph" w:styleId="NormalWeb">
    <w:name w:val="Normal (Web)"/>
    <w:basedOn w:val="Normal"/>
    <w:uiPriority w:val="99"/>
    <w:unhideWhenUsed/>
    <w:rsid w:val="00E2158B"/>
    <w:pPr>
      <w:spacing w:before="100" w:beforeAutospacing="1" w:after="100" w:afterAutospacing="1"/>
    </w:pPr>
    <w:rPr>
      <w:rFonts w:ascii="Times New Roman" w:eastAsia="Times New Roman" w:hAnsi="Times New Roman"/>
      <w:color w:val="000000"/>
      <w:sz w:val="24"/>
      <w:szCs w:val="24"/>
    </w:rPr>
  </w:style>
  <w:style w:type="paragraph" w:styleId="ListBullet">
    <w:name w:val="List Bullet"/>
    <w:basedOn w:val="Normal"/>
    <w:semiHidden/>
    <w:rsid w:val="00E2158B"/>
    <w:pPr>
      <w:numPr>
        <w:numId w:val="3"/>
      </w:numPr>
      <w:jc w:val="both"/>
    </w:pPr>
    <w:rPr>
      <w:rFonts w:ascii="Times New Roman" w:eastAsia="Times New Roman" w:hAnsi="Times New Roman"/>
      <w:sz w:val="22"/>
      <w:szCs w:val="20"/>
      <w:lang w:val="en-GB"/>
    </w:rPr>
  </w:style>
  <w:style w:type="character" w:styleId="EndnoteReference">
    <w:name w:val="endnote reference"/>
    <w:uiPriority w:val="99"/>
    <w:semiHidden/>
    <w:unhideWhenUsed/>
    <w:rsid w:val="00E2158B"/>
    <w:rPr>
      <w:vertAlign w:val="superscript"/>
    </w:rPr>
  </w:style>
  <w:style w:type="numbering" w:customStyle="1" w:styleId="NoList1">
    <w:name w:val="No List1"/>
    <w:next w:val="NoList"/>
    <w:semiHidden/>
    <w:rsid w:val="00E2158B"/>
  </w:style>
  <w:style w:type="table" w:customStyle="1" w:styleId="TableGrid1">
    <w:name w:val="Table Grid1"/>
    <w:basedOn w:val="TableNormal"/>
    <w:next w:val="TableGrid"/>
    <w:rsid w:val="00E2158B"/>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
    <w:name w:val="List 1"/>
    <w:basedOn w:val="Normal"/>
    <w:rsid w:val="00E2158B"/>
    <w:pPr>
      <w:tabs>
        <w:tab w:val="left" w:pos="240"/>
      </w:tabs>
      <w:ind w:left="492" w:right="-108" w:hanging="252"/>
    </w:pPr>
    <w:rPr>
      <w:rFonts w:eastAsia="SimSun"/>
      <w:szCs w:val="24"/>
      <w:lang w:val="en-GB" w:eastAsia="zh-CN"/>
    </w:rPr>
  </w:style>
  <w:style w:type="paragraph" w:styleId="BodyTextIndent2">
    <w:name w:val="Body Text Indent 2"/>
    <w:basedOn w:val="Normal"/>
    <w:link w:val="BodyTextIndent2Char"/>
    <w:uiPriority w:val="99"/>
    <w:semiHidden/>
    <w:unhideWhenUsed/>
    <w:rsid w:val="00E2158B"/>
    <w:pPr>
      <w:spacing w:after="120" w:line="480" w:lineRule="auto"/>
      <w:ind w:left="360"/>
    </w:pPr>
    <w:rPr>
      <w:rFonts w:eastAsia="SimSun"/>
      <w:szCs w:val="24"/>
      <w:lang w:val="en-GB" w:eastAsia="zh-CN"/>
    </w:rPr>
  </w:style>
  <w:style w:type="character" w:customStyle="1" w:styleId="BodyTextIndent2Char">
    <w:name w:val="Body Text Indent 2 Char"/>
    <w:link w:val="BodyTextIndent2"/>
    <w:uiPriority w:val="99"/>
    <w:semiHidden/>
    <w:rsid w:val="00E2158B"/>
    <w:rPr>
      <w:rFonts w:ascii="Arial" w:eastAsia="SimSun" w:hAnsi="Arial"/>
      <w:szCs w:val="24"/>
      <w:lang w:eastAsia="zh-CN"/>
    </w:rPr>
  </w:style>
  <w:style w:type="paragraph" w:styleId="BodyTextIndent3">
    <w:name w:val="Body Text Indent 3"/>
    <w:basedOn w:val="Normal"/>
    <w:link w:val="BodyTextIndent3Char"/>
    <w:uiPriority w:val="99"/>
    <w:semiHidden/>
    <w:unhideWhenUsed/>
    <w:rsid w:val="00E2158B"/>
    <w:pPr>
      <w:spacing w:after="120"/>
      <w:ind w:left="360"/>
    </w:pPr>
    <w:rPr>
      <w:rFonts w:eastAsia="SimSun"/>
      <w:sz w:val="16"/>
      <w:szCs w:val="16"/>
      <w:lang w:val="en-GB" w:eastAsia="zh-CN"/>
    </w:rPr>
  </w:style>
  <w:style w:type="character" w:customStyle="1" w:styleId="BodyTextIndent3Char">
    <w:name w:val="Body Text Indent 3 Char"/>
    <w:link w:val="BodyTextIndent3"/>
    <w:uiPriority w:val="99"/>
    <w:semiHidden/>
    <w:rsid w:val="00E2158B"/>
    <w:rPr>
      <w:rFonts w:ascii="Arial" w:eastAsia="SimSun" w:hAnsi="Arial"/>
      <w:sz w:val="16"/>
      <w:szCs w:val="16"/>
      <w:lang w:eastAsia="zh-CN"/>
    </w:rPr>
  </w:style>
  <w:style w:type="paragraph" w:styleId="ListBullet4">
    <w:name w:val="List Bullet 4"/>
    <w:basedOn w:val="Normal"/>
    <w:semiHidden/>
    <w:rsid w:val="00E2158B"/>
    <w:pPr>
      <w:numPr>
        <w:numId w:val="4"/>
      </w:numPr>
      <w:tabs>
        <w:tab w:val="clear" w:pos="1209"/>
        <w:tab w:val="left" w:pos="720"/>
        <w:tab w:val="left" w:pos="1440"/>
      </w:tabs>
      <w:ind w:left="2160" w:hanging="720"/>
      <w:jc w:val="both"/>
    </w:pPr>
    <w:rPr>
      <w:rFonts w:ascii="Times New Roman" w:eastAsia="Times New Roman" w:hAnsi="Times New Roman"/>
      <w:sz w:val="22"/>
      <w:szCs w:val="20"/>
      <w:lang w:val="en-GB"/>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ascii="Arial" w:hAnsi="Arial"/>
      <w:lang w:val="en-US" w:eastAsia="en-US"/>
    </w:rPr>
  </w:style>
  <w:style w:type="paragraph" w:styleId="ListParagraph">
    <w:name w:val="List Paragraph"/>
    <w:aliases w:val="Recommendation,List Paragraph1,En tête 1,List Paragraph11,Bulleted Para,NFP GP Bulleted List,FooterText,numbered,Paragraphe de liste1,Bulletr List Paragraph,列出段落,列出段落1,List Paragraph2,List Paragraph21,Listeafsnit1,Parágrafo da Lista1,リスト段"/>
    <w:basedOn w:val="Normal"/>
    <w:link w:val="ListParagraphChar"/>
    <w:uiPriority w:val="99"/>
    <w:qFormat/>
    <w:rsid w:val="006D3162"/>
    <w:pPr>
      <w:ind w:left="720"/>
      <w:contextualSpacing/>
    </w:pPr>
    <w:rPr>
      <w:rFonts w:asciiTheme="minorHAnsi" w:eastAsiaTheme="minorEastAsia" w:hAnsiTheme="minorHAnsi" w:cstheme="minorBidi"/>
      <w:sz w:val="24"/>
      <w:szCs w:val="24"/>
    </w:rPr>
  </w:style>
  <w:style w:type="paragraph" w:styleId="Header">
    <w:name w:val="header"/>
    <w:basedOn w:val="Normal"/>
    <w:link w:val="HeaderChar"/>
    <w:unhideWhenUsed/>
    <w:rsid w:val="006D3162"/>
    <w:pPr>
      <w:tabs>
        <w:tab w:val="center" w:pos="4680"/>
        <w:tab w:val="right" w:pos="9360"/>
      </w:tabs>
    </w:pPr>
    <w:rPr>
      <w:rFonts w:asciiTheme="minorHAnsi" w:eastAsiaTheme="minorEastAsia" w:hAnsiTheme="minorHAnsi" w:cstheme="minorBidi"/>
      <w:sz w:val="24"/>
      <w:szCs w:val="24"/>
    </w:rPr>
  </w:style>
  <w:style w:type="character" w:customStyle="1" w:styleId="HeaderChar">
    <w:name w:val="Header Char"/>
    <w:basedOn w:val="DefaultParagraphFont"/>
    <w:link w:val="Header"/>
    <w:rsid w:val="006D3162"/>
    <w:rPr>
      <w:rFonts w:asciiTheme="minorHAnsi" w:eastAsiaTheme="minorEastAsia" w:hAnsiTheme="minorHAnsi" w:cstheme="minorBidi"/>
      <w:sz w:val="24"/>
      <w:szCs w:val="24"/>
      <w:lang w:val="en-US" w:eastAsia="en-US"/>
    </w:rPr>
  </w:style>
  <w:style w:type="paragraph" w:styleId="Footer">
    <w:name w:val="footer"/>
    <w:basedOn w:val="Normal"/>
    <w:link w:val="FooterChar"/>
    <w:uiPriority w:val="99"/>
    <w:unhideWhenUsed/>
    <w:rsid w:val="006D3162"/>
    <w:pPr>
      <w:tabs>
        <w:tab w:val="center" w:pos="4680"/>
        <w:tab w:val="right" w:pos="9360"/>
      </w:tabs>
    </w:pPr>
    <w:rPr>
      <w:rFonts w:asciiTheme="minorHAnsi" w:eastAsiaTheme="minorEastAsia" w:hAnsiTheme="minorHAnsi" w:cstheme="minorBidi"/>
      <w:sz w:val="24"/>
      <w:szCs w:val="24"/>
    </w:rPr>
  </w:style>
  <w:style w:type="character" w:customStyle="1" w:styleId="FooterChar">
    <w:name w:val="Footer Char"/>
    <w:basedOn w:val="DefaultParagraphFont"/>
    <w:link w:val="Footer"/>
    <w:uiPriority w:val="99"/>
    <w:rsid w:val="006D3162"/>
    <w:rPr>
      <w:rFonts w:asciiTheme="minorHAnsi" w:eastAsiaTheme="minorEastAsia" w:hAnsiTheme="minorHAnsi" w:cstheme="minorBidi"/>
      <w:sz w:val="24"/>
      <w:szCs w:val="24"/>
      <w:lang w:val="en-US" w:eastAsia="en-US"/>
    </w:rPr>
  </w:style>
  <w:style w:type="paragraph" w:customStyle="1" w:styleId="Title2">
    <w:name w:val="Title 2"/>
    <w:basedOn w:val="Normal"/>
    <w:rsid w:val="006D3162"/>
    <w:pPr>
      <w:tabs>
        <w:tab w:val="left" w:pos="720"/>
      </w:tabs>
      <w:jc w:val="center"/>
    </w:pPr>
    <w:rPr>
      <w:rFonts w:ascii="Times New Roman" w:eastAsia="Times New Roman" w:hAnsi="Times New Roman"/>
      <w:sz w:val="22"/>
      <w:szCs w:val="20"/>
      <w:u w:val="single"/>
      <w:lang w:val="en-GB" w:eastAsia="en-GB"/>
    </w:rPr>
  </w:style>
  <w:style w:type="paragraph" w:customStyle="1" w:styleId="Default">
    <w:name w:val="Default"/>
    <w:rsid w:val="006D3162"/>
    <w:pPr>
      <w:autoSpaceDE w:val="0"/>
      <w:autoSpaceDN w:val="0"/>
      <w:adjustRightInd w:val="0"/>
    </w:pPr>
    <w:rPr>
      <w:rFonts w:ascii="Georgia" w:eastAsiaTheme="minorHAnsi" w:hAnsi="Georgia" w:cs="Georgia"/>
      <w:color w:val="000000"/>
      <w:sz w:val="24"/>
      <w:szCs w:val="24"/>
      <w:lang w:eastAsia="en-US"/>
    </w:rPr>
  </w:style>
  <w:style w:type="paragraph" w:customStyle="1" w:styleId="Bullet1">
    <w:name w:val="Bullet 1"/>
    <w:basedOn w:val="Normal"/>
    <w:qFormat/>
    <w:rsid w:val="00D71E79"/>
    <w:pPr>
      <w:numPr>
        <w:numId w:val="6"/>
      </w:numPr>
      <w:autoSpaceDE w:val="0"/>
      <w:autoSpaceDN w:val="0"/>
      <w:spacing w:after="120"/>
      <w:contextualSpacing/>
    </w:pPr>
    <w:rPr>
      <w:rFonts w:eastAsia="Times New Roman"/>
      <w:szCs w:val="20"/>
      <w:lang w:val="en-GB"/>
    </w:rPr>
  </w:style>
  <w:style w:type="paragraph" w:customStyle="1" w:styleId="Text2">
    <w:name w:val="Text 2"/>
    <w:basedOn w:val="Normal"/>
    <w:link w:val="Text2Char"/>
    <w:qFormat/>
    <w:rsid w:val="00D71E79"/>
    <w:pPr>
      <w:ind w:left="1440" w:hanging="731"/>
      <w:jc w:val="both"/>
    </w:pPr>
    <w:rPr>
      <w:rFonts w:eastAsiaTheme="minorEastAsia" w:cstheme="minorBidi"/>
      <w:sz w:val="24"/>
      <w:lang w:val="en-GB"/>
    </w:rPr>
  </w:style>
  <w:style w:type="character" w:customStyle="1" w:styleId="Text2Char">
    <w:name w:val="Text 2 Char"/>
    <w:basedOn w:val="DefaultParagraphFont"/>
    <w:link w:val="Text2"/>
    <w:rsid w:val="00D71E79"/>
    <w:rPr>
      <w:rFonts w:ascii="Arial" w:eastAsiaTheme="minorEastAsia" w:hAnsi="Arial" w:cstheme="minorBidi"/>
      <w:sz w:val="24"/>
      <w:szCs w:val="22"/>
      <w:lang w:eastAsia="en-US"/>
    </w:rPr>
  </w:style>
  <w:style w:type="paragraph" w:customStyle="1" w:styleId="Text3">
    <w:name w:val="Text 3"/>
    <w:basedOn w:val="Text2"/>
    <w:link w:val="Text3Char"/>
    <w:qFormat/>
    <w:rsid w:val="00D71E79"/>
    <w:pPr>
      <w:ind w:left="2171"/>
    </w:pPr>
  </w:style>
  <w:style w:type="character" w:customStyle="1" w:styleId="Text3Char">
    <w:name w:val="Text 3 Char"/>
    <w:basedOn w:val="Text2Char"/>
    <w:link w:val="Text3"/>
    <w:rsid w:val="00D71E79"/>
    <w:rPr>
      <w:rFonts w:ascii="Arial" w:eastAsiaTheme="minorEastAsia" w:hAnsi="Arial" w:cstheme="minorBidi"/>
      <w:sz w:val="24"/>
      <w:szCs w:val="22"/>
      <w:lang w:eastAsia="en-US"/>
    </w:rPr>
  </w:style>
  <w:style w:type="paragraph" w:customStyle="1" w:styleId="List0">
    <w:name w:val="List 0"/>
    <w:basedOn w:val="Normal"/>
    <w:link w:val="List0Char"/>
    <w:rsid w:val="00C300D8"/>
    <w:pPr>
      <w:ind w:left="252" w:hanging="252"/>
    </w:pPr>
    <w:rPr>
      <w:rFonts w:eastAsia="SimSun"/>
      <w:szCs w:val="24"/>
      <w:lang w:val="en-GB" w:eastAsia="zh-CN"/>
    </w:rPr>
  </w:style>
  <w:style w:type="paragraph" w:customStyle="1" w:styleId="List0Text">
    <w:name w:val="List 0 Text"/>
    <w:basedOn w:val="Normal"/>
    <w:rsid w:val="00C300D8"/>
    <w:pPr>
      <w:ind w:left="259"/>
    </w:pPr>
    <w:rPr>
      <w:rFonts w:eastAsia="SimSun"/>
      <w:szCs w:val="24"/>
      <w:lang w:val="en-GB" w:eastAsia="zh-CN"/>
    </w:rPr>
  </w:style>
  <w:style w:type="character" w:customStyle="1" w:styleId="List0Char">
    <w:name w:val="List 0 Char"/>
    <w:link w:val="List0"/>
    <w:rsid w:val="00C300D8"/>
    <w:rPr>
      <w:rFonts w:ascii="Arial" w:eastAsia="SimSun" w:hAnsi="Arial"/>
      <w:szCs w:val="24"/>
      <w:lang w:eastAsia="zh-CN"/>
    </w:rPr>
  </w:style>
  <w:style w:type="paragraph" w:customStyle="1" w:styleId="CharCharCharCharCharCharCharCharCharCharCharCharCharCharCharCharCharCharChar">
    <w:name w:val="Char Char Char Char Char Char Char Char Char Char Char Char Char Char Char Char Char Char Char"/>
    <w:basedOn w:val="Normal"/>
    <w:rsid w:val="00C300D8"/>
    <w:pPr>
      <w:spacing w:after="160" w:line="240" w:lineRule="exact"/>
    </w:pPr>
    <w:rPr>
      <w:rFonts w:ascii="Tahoma" w:eastAsia="Times New Roman" w:hAnsi="Tahoma"/>
      <w:szCs w:val="20"/>
    </w:rPr>
  </w:style>
  <w:style w:type="paragraph" w:styleId="BodyTextIndent">
    <w:name w:val="Body Text Indent"/>
    <w:basedOn w:val="Normal"/>
    <w:link w:val="BodyTextIndentChar"/>
    <w:rsid w:val="00C300D8"/>
    <w:pPr>
      <w:widowControl w:val="0"/>
      <w:tabs>
        <w:tab w:val="left" w:pos="482"/>
      </w:tabs>
      <w:spacing w:line="160" w:lineRule="exact"/>
      <w:ind w:left="482" w:hanging="482"/>
    </w:pPr>
    <w:rPr>
      <w:rFonts w:ascii="Courier New" w:eastAsia="MS Mincho" w:hAnsi="Courier New"/>
      <w:kern w:val="2"/>
      <w:sz w:val="16"/>
      <w:szCs w:val="20"/>
      <w:lang w:eastAsia="ja-JP"/>
    </w:rPr>
  </w:style>
  <w:style w:type="character" w:customStyle="1" w:styleId="BodyTextIndentChar">
    <w:name w:val="Body Text Indent Char"/>
    <w:basedOn w:val="DefaultParagraphFont"/>
    <w:link w:val="BodyTextIndent"/>
    <w:rsid w:val="00C300D8"/>
    <w:rPr>
      <w:rFonts w:ascii="Courier New" w:eastAsia="MS Mincho" w:hAnsi="Courier New"/>
      <w:kern w:val="2"/>
      <w:sz w:val="16"/>
      <w:lang w:val="en-US" w:eastAsia="ja-JP"/>
    </w:rPr>
  </w:style>
  <w:style w:type="paragraph" w:customStyle="1" w:styleId="StyleArial10ptBefore45ptAfter27pt">
    <w:name w:val="Style Arial 10 pt Before:  45 pt After:  27 pt"/>
    <w:basedOn w:val="Normal"/>
    <w:rsid w:val="00C300D8"/>
    <w:pPr>
      <w:spacing w:before="90" w:after="54"/>
    </w:pPr>
    <w:rPr>
      <w:rFonts w:eastAsia="Times New Roman"/>
      <w:spacing w:val="-2"/>
      <w:szCs w:val="20"/>
      <w:lang w:val="en-GB"/>
    </w:rPr>
  </w:style>
  <w:style w:type="paragraph" w:customStyle="1" w:styleId="Word4095Null">
    <w:name w:val="Word4095Null"/>
    <w:rsid w:val="00C300D8"/>
    <w:pPr>
      <w:widowControl w:val="0"/>
      <w:tabs>
        <w:tab w:val="left" w:pos="-720"/>
      </w:tabs>
      <w:suppressAutoHyphens/>
      <w:autoSpaceDE w:val="0"/>
      <w:autoSpaceDN w:val="0"/>
      <w:adjustRightInd w:val="0"/>
      <w:spacing w:line="240" w:lineRule="atLeast"/>
    </w:pPr>
    <w:rPr>
      <w:rFonts w:ascii="Modern" w:eastAsia="Times New Roman" w:hAnsi="Modern"/>
      <w:lang w:val="en-US" w:eastAsia="en-US"/>
    </w:rPr>
  </w:style>
  <w:style w:type="paragraph" w:styleId="TOC1">
    <w:name w:val="toc 1"/>
    <w:basedOn w:val="Normal"/>
    <w:next w:val="Normal"/>
    <w:autoRedefine/>
    <w:rsid w:val="00C300D8"/>
    <w:pPr>
      <w:tabs>
        <w:tab w:val="left" w:pos="720"/>
        <w:tab w:val="right" w:leader="dot" w:pos="9072"/>
      </w:tabs>
      <w:spacing w:before="60" w:after="60"/>
      <w:ind w:left="720" w:right="720" w:hanging="720"/>
    </w:pPr>
    <w:rPr>
      <w:rFonts w:ascii="Times New Roman" w:eastAsia="Times New Roman" w:hAnsi="Times New Roman"/>
      <w:b/>
      <w:caps/>
      <w:sz w:val="22"/>
      <w:szCs w:val="20"/>
      <w:lang w:val="en-GB"/>
    </w:rPr>
  </w:style>
  <w:style w:type="character" w:customStyle="1" w:styleId="ListParagraphChar">
    <w:name w:val="List Paragraph Char"/>
    <w:aliases w:val="Recommendation Char,List Paragraph1 Char,En tête 1 Char,List Paragraph11 Char,Bulleted Para Char,NFP GP Bulleted List Char,FooterText Char,numbered Char,Paragraphe de liste1 Char,Bulletr List Paragraph Char,列出段落 Char,列出段落1 Char"/>
    <w:basedOn w:val="DefaultParagraphFont"/>
    <w:link w:val="ListParagraph"/>
    <w:uiPriority w:val="99"/>
    <w:qFormat/>
    <w:locked/>
    <w:rsid w:val="003D26B7"/>
    <w:rPr>
      <w:rFonts w:asciiTheme="minorHAnsi" w:eastAsiaTheme="minorEastAsia" w:hAnsiTheme="minorHAnsi" w:cstheme="minorBidi"/>
      <w:sz w:val="24"/>
      <w:szCs w:val="24"/>
      <w:lang w:val="en-US" w:eastAsia="en-US"/>
    </w:rPr>
  </w:style>
  <w:style w:type="table" w:customStyle="1" w:styleId="TableGrid2">
    <w:name w:val="Table Grid2"/>
    <w:basedOn w:val="TableNormal"/>
    <w:next w:val="TableGrid"/>
    <w:uiPriority w:val="39"/>
    <w:rsid w:val="00CD54D3"/>
    <w:rPr>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83C19"/>
    <w:rPr>
      <w:b/>
      <w:bCs/>
    </w:rPr>
  </w:style>
  <w:style w:type="character" w:styleId="Emphasis">
    <w:name w:val="Emphasis"/>
    <w:basedOn w:val="DefaultParagraphFont"/>
    <w:uiPriority w:val="20"/>
    <w:qFormat/>
    <w:rsid w:val="00183C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17927">
      <w:bodyDiv w:val="1"/>
      <w:marLeft w:val="0"/>
      <w:marRight w:val="0"/>
      <w:marTop w:val="0"/>
      <w:marBottom w:val="0"/>
      <w:divBdr>
        <w:top w:val="none" w:sz="0" w:space="0" w:color="auto"/>
        <w:left w:val="none" w:sz="0" w:space="0" w:color="auto"/>
        <w:bottom w:val="none" w:sz="0" w:space="0" w:color="auto"/>
        <w:right w:val="none" w:sz="0" w:space="0" w:color="auto"/>
      </w:divBdr>
    </w:div>
    <w:div w:id="507797476">
      <w:bodyDiv w:val="1"/>
      <w:marLeft w:val="0"/>
      <w:marRight w:val="0"/>
      <w:marTop w:val="0"/>
      <w:marBottom w:val="0"/>
      <w:divBdr>
        <w:top w:val="none" w:sz="0" w:space="0" w:color="auto"/>
        <w:left w:val="none" w:sz="0" w:space="0" w:color="auto"/>
        <w:bottom w:val="none" w:sz="0" w:space="0" w:color="auto"/>
        <w:right w:val="none" w:sz="0" w:space="0" w:color="auto"/>
      </w:divBdr>
      <w:divsChild>
        <w:div w:id="1177619524">
          <w:marLeft w:val="0"/>
          <w:marRight w:val="0"/>
          <w:marTop w:val="0"/>
          <w:marBottom w:val="0"/>
          <w:divBdr>
            <w:top w:val="none" w:sz="0" w:space="0" w:color="auto"/>
            <w:left w:val="none" w:sz="0" w:space="0" w:color="auto"/>
            <w:bottom w:val="none" w:sz="0" w:space="0" w:color="auto"/>
            <w:right w:val="none" w:sz="0" w:space="0" w:color="auto"/>
          </w:divBdr>
        </w:div>
      </w:divsChild>
    </w:div>
    <w:div w:id="1087535504">
      <w:bodyDiv w:val="1"/>
      <w:marLeft w:val="0"/>
      <w:marRight w:val="0"/>
      <w:marTop w:val="0"/>
      <w:marBottom w:val="0"/>
      <w:divBdr>
        <w:top w:val="none" w:sz="0" w:space="0" w:color="auto"/>
        <w:left w:val="none" w:sz="0" w:space="0" w:color="auto"/>
        <w:bottom w:val="none" w:sz="0" w:space="0" w:color="auto"/>
        <w:right w:val="none" w:sz="0" w:space="0" w:color="auto"/>
      </w:divBdr>
      <w:divsChild>
        <w:div w:id="287587647">
          <w:marLeft w:val="0"/>
          <w:marRight w:val="0"/>
          <w:marTop w:val="0"/>
          <w:marBottom w:val="0"/>
          <w:divBdr>
            <w:top w:val="none" w:sz="0" w:space="0" w:color="auto"/>
            <w:left w:val="none" w:sz="0" w:space="0" w:color="auto"/>
            <w:bottom w:val="none" w:sz="0" w:space="0" w:color="auto"/>
            <w:right w:val="none" w:sz="0" w:space="0" w:color="auto"/>
          </w:divBdr>
          <w:divsChild>
            <w:div w:id="10496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53785">
      <w:bodyDiv w:val="1"/>
      <w:marLeft w:val="0"/>
      <w:marRight w:val="0"/>
      <w:marTop w:val="0"/>
      <w:marBottom w:val="0"/>
      <w:divBdr>
        <w:top w:val="none" w:sz="0" w:space="0" w:color="auto"/>
        <w:left w:val="none" w:sz="0" w:space="0" w:color="auto"/>
        <w:bottom w:val="none" w:sz="0" w:space="0" w:color="auto"/>
        <w:right w:val="none" w:sz="0" w:space="0" w:color="auto"/>
      </w:divBdr>
    </w:div>
    <w:div w:id="196322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3E9A6-10A7-4360-861D-069F9CB4A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4302</Words>
  <Characters>24834</Characters>
  <Application>Microsoft Office Word</Application>
  <DocSecurity>0</DocSecurity>
  <Lines>1333</Lines>
  <Paragraphs>797</Paragraphs>
  <ScaleCrop>false</ScaleCrop>
  <HeadingPairs>
    <vt:vector size="2" baseType="variant">
      <vt:variant>
        <vt:lpstr>Title</vt:lpstr>
      </vt:variant>
      <vt:variant>
        <vt:i4>1</vt:i4>
      </vt:variant>
    </vt:vector>
  </HeadingPairs>
  <TitlesOfParts>
    <vt:vector size="1" baseType="lpstr">
      <vt:lpstr>Annex 3. Schedules of Reservations and Non-conforming Measures for Investment - Malaysia</vt:lpstr>
    </vt:vector>
  </TitlesOfParts>
  <Company/>
  <LinksUpToDate>false</LinksUpToDate>
  <CharactersWithSpaces>28457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3. Schedules of Reservations and Non-conforming Measures for Investment - Malaysia</dc:title>
  <dc:subject/>
  <dc:creator/>
  <cp:keywords>[SEC=OFFICIAL]</cp:keywords>
  <dc:description/>
  <cp:lastModifiedBy/>
  <cp:revision>1</cp:revision>
  <dcterms:created xsi:type="dcterms:W3CDTF">2023-09-28T01:48:00Z</dcterms:created>
  <dcterms:modified xsi:type="dcterms:W3CDTF">2023-09-28T01:51:00Z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Note">
    <vt:lpwstr/>
  </property>
  <property fmtid="{D5CDD505-2E9C-101B-9397-08002B2CF9AE}" pid="5" name="PMHMAC">
    <vt:lpwstr>v=2022.1;a=SHA256;h=78FB3E742FA801A54F53ABC84BC84F52435E1FFC43B57C6FC6605A64BE3D2558</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ProtectiveMarkingValue_Header">
    <vt:lpwstr>OFFICIAL</vt:lpwstr>
  </property>
  <property fmtid="{D5CDD505-2E9C-101B-9397-08002B2CF9AE}" pid="9" name="PM_OriginationTimeStamp">
    <vt:lpwstr>2023-09-28T00:45:17Z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899E4EA469A04FB023F4432B63374BB33589BF8A</vt:lpwstr>
  </property>
  <property fmtid="{D5CDD505-2E9C-101B-9397-08002B2CF9AE}" pid="13" name="PM_DisplayValueSecClassificationWithQualifier">
    <vt:lpwstr>OFFICIAL</vt:lpwstr>
  </property>
  <property fmtid="{D5CDD505-2E9C-101B-9397-08002B2CF9AE}" pid="14" name="PM_Originating_FileId">
    <vt:lpwstr>98491DE109794CE5A7B910CFF15282A6</vt:lpwstr>
  </property>
  <property fmtid="{D5CDD505-2E9C-101B-9397-08002B2CF9AE}" pid="15" name="PM_ProtectiveMarkingValue_Footer">
    <vt:lpwstr>OFFICIAL</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290C9CFCFE70E139C4500567FB5830ACF9049F26A1998DDACA65669D45D5D2AD</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91169443EA90B45A0CC0B2173CBFE81F</vt:lpwstr>
  </property>
  <property fmtid="{D5CDD505-2E9C-101B-9397-08002B2CF9AE}" pid="24" name="PM_Hash_Salt">
    <vt:lpwstr>D55073F45EF54498E08FEB6125BCB449</vt:lpwstr>
  </property>
  <property fmtid="{D5CDD505-2E9C-101B-9397-08002B2CF9AE}" pid="25" name="PM_Hash_SHA1">
    <vt:lpwstr>8EF94F137AC9A7E7094637E142E6BECCF5A74147</vt:lpwstr>
  </property>
  <property fmtid="{D5CDD505-2E9C-101B-9397-08002B2CF9AE}" pid="26" name="PM_MinimumSecurityClassification">
    <vt:lpwstr>OFFICIAL</vt:lpwstr>
  </property>
  <property fmtid="{D5CDD505-2E9C-101B-9397-08002B2CF9AE}" pid="27" name="PM_Caveats_Count">
    <vt:lpwstr>0</vt:lpwstr>
  </property>
</Properties>
</file>