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20DF" w14:textId="5F49FDDA" w:rsidR="00AD60CD" w:rsidRDefault="001C0524" w:rsidP="00884FFA">
      <w:pPr>
        <w:pStyle w:val="Title"/>
      </w:pPr>
      <w:r w:rsidRPr="003620C5">
        <w:t xml:space="preserve">ANNEX </w:t>
      </w:r>
      <w:r w:rsidR="001F425C" w:rsidRPr="003620C5">
        <w:t>4</w:t>
      </w:r>
    </w:p>
    <w:p w14:paraId="349C7AA0" w14:textId="77777777" w:rsidR="00194225" w:rsidRPr="00194225" w:rsidRDefault="00194225" w:rsidP="00194225"/>
    <w:p w14:paraId="7F00340B" w14:textId="77777777" w:rsidR="00422DED" w:rsidRPr="003620C5" w:rsidRDefault="00422DED" w:rsidP="003B3F3F">
      <w:pPr>
        <w:pStyle w:val="Title"/>
      </w:pPr>
      <w:r w:rsidRPr="003620C5">
        <w:t xml:space="preserve">SCHEDULE OF SPECIFIC COMMITMENTS ON </w:t>
      </w:r>
    </w:p>
    <w:p w14:paraId="5BB02A32" w14:textId="515C200B" w:rsidR="001C0524" w:rsidRPr="003620C5" w:rsidRDefault="001F425C" w:rsidP="003B3F3F">
      <w:pPr>
        <w:pStyle w:val="Title"/>
      </w:pPr>
      <w:r w:rsidRPr="003620C5">
        <w:t xml:space="preserve">THE </w:t>
      </w:r>
      <w:r w:rsidR="00422DED" w:rsidRPr="003620C5">
        <w:t>MOVEMENT OF NATURAL PERSONS</w:t>
      </w:r>
    </w:p>
    <w:p w14:paraId="07A76B64" w14:textId="77777777" w:rsidR="006844B0" w:rsidRPr="003620C5" w:rsidRDefault="006844B0" w:rsidP="003B3F3F">
      <w:pPr>
        <w:pStyle w:val="Title"/>
      </w:pPr>
    </w:p>
    <w:p w14:paraId="104FAC10" w14:textId="50BD76BE" w:rsidR="001C0524" w:rsidRPr="003620C5" w:rsidRDefault="00C77AF2" w:rsidP="003D3BF6">
      <w:pPr>
        <w:pStyle w:val="NoSpacing"/>
        <w:jc w:val="center"/>
        <w:rPr>
          <w:b/>
        </w:rPr>
      </w:pPr>
      <w:r w:rsidRPr="003620C5">
        <w:rPr>
          <w:b/>
        </w:rPr>
        <w:t>AUSTRALIA</w:t>
      </w:r>
    </w:p>
    <w:p w14:paraId="0F8146BF" w14:textId="77777777" w:rsidR="005E2568" w:rsidRPr="003620C5" w:rsidRDefault="005E2568" w:rsidP="003D3BF6">
      <w:pPr>
        <w:pStyle w:val="NoSpacing"/>
        <w:jc w:val="center"/>
        <w:rPr>
          <w:b/>
        </w:rPr>
      </w:pPr>
    </w:p>
    <w:p w14:paraId="7606154C" w14:textId="77777777" w:rsidR="003D3BF6" w:rsidRPr="003620C5" w:rsidRDefault="003D3BF6" w:rsidP="003D3BF6">
      <w:pPr>
        <w:pStyle w:val="NoSpacing"/>
      </w:pPr>
    </w:p>
    <w:p w14:paraId="2664F0E2" w14:textId="0A5F198B" w:rsidR="00C77AF2" w:rsidRPr="003620C5" w:rsidRDefault="00C77AF2" w:rsidP="001013F0">
      <w:pPr>
        <w:pStyle w:val="NoSpacing"/>
        <w:numPr>
          <w:ilvl w:val="0"/>
          <w:numId w:val="38"/>
        </w:numPr>
        <w:ind w:left="0" w:firstLine="0"/>
        <w:jc w:val="both"/>
      </w:pPr>
      <w:r w:rsidRPr="003620C5">
        <w:rPr>
          <w:rFonts w:cs="Arial"/>
        </w:rPr>
        <w:t>This Schedule sets out Australia’s commitments in accordance with Chapter 9 (Movement of Natural Persons). This Schedule and Chapter 9 (Movement of Natural Persons) comprise the entirety of Australia’s commitments in respect of the temporary entry and temporary stay of natural persons.</w:t>
      </w:r>
    </w:p>
    <w:p w14:paraId="517CC90C" w14:textId="77777777" w:rsidR="00C77AF2" w:rsidRPr="003620C5" w:rsidRDefault="00C77AF2" w:rsidP="001013F0">
      <w:pPr>
        <w:pStyle w:val="NoSpacing"/>
        <w:jc w:val="both"/>
      </w:pPr>
    </w:p>
    <w:p w14:paraId="51489DE4" w14:textId="0A250D1C" w:rsidR="00C77AF2" w:rsidRPr="00C77AF2" w:rsidRDefault="00C77AF2" w:rsidP="001013F0">
      <w:pPr>
        <w:pStyle w:val="NoSpacing"/>
        <w:numPr>
          <w:ilvl w:val="0"/>
          <w:numId w:val="38"/>
        </w:numPr>
        <w:ind w:left="0" w:firstLine="0"/>
        <w:jc w:val="both"/>
      </w:pPr>
      <w:r w:rsidRPr="003620C5">
        <w:t xml:space="preserve">The Schedules of other Parties shall not be used to interpret Australia’s </w:t>
      </w:r>
      <w:r w:rsidRPr="003620C5">
        <w:rPr>
          <w:rFonts w:cs="Arial"/>
        </w:rPr>
        <w:t>commitments</w:t>
      </w:r>
      <w:r w:rsidRPr="003620C5">
        <w:t xml:space="preserve"> or obligations under Chapter </w:t>
      </w:r>
      <w:r w:rsidR="00DC6BFE" w:rsidRPr="003620C5">
        <w:t>9</w:t>
      </w:r>
      <w:r w:rsidRPr="003620C5">
        <w:t xml:space="preserve"> (Movement of Natural Persons) or other chapters of this Agreement</w:t>
      </w:r>
      <w:r w:rsidRPr="00C77AF2">
        <w:t>.</w:t>
      </w:r>
    </w:p>
    <w:p w14:paraId="02622E34" w14:textId="77777777" w:rsidR="00C77AF2" w:rsidRPr="004C238D" w:rsidRDefault="00C77AF2" w:rsidP="001013F0">
      <w:pPr>
        <w:pStyle w:val="NoSpacing"/>
        <w:jc w:val="both"/>
        <w:rPr>
          <w:sz w:val="10"/>
          <w:szCs w:val="10"/>
        </w:rPr>
      </w:pPr>
    </w:p>
    <w:p w14:paraId="7BAF4041" w14:textId="77777777" w:rsidR="001B7AC3" w:rsidRPr="00625172" w:rsidRDefault="001B7AC3" w:rsidP="003B3F3F">
      <w:pPr>
        <w:ind w:left="567" w:hanging="567"/>
        <w:rPr>
          <w:rFonts w:cs="Arial"/>
        </w:rPr>
      </w:pPr>
    </w:p>
    <w:tbl>
      <w:tblPr>
        <w:tblStyle w:val="TableGrid"/>
        <w:tblW w:w="0" w:type="auto"/>
        <w:tblLook w:val="04A0" w:firstRow="1" w:lastRow="0" w:firstColumn="1" w:lastColumn="0" w:noHBand="0" w:noVBand="1"/>
      </w:tblPr>
      <w:tblGrid>
        <w:gridCol w:w="3814"/>
        <w:gridCol w:w="3765"/>
      </w:tblGrid>
      <w:tr w:rsidR="002D60A5" w14:paraId="2AFCFB8E" w14:textId="77777777" w:rsidTr="00DC6BFE">
        <w:trPr>
          <w:tblHeader/>
        </w:trPr>
        <w:tc>
          <w:tcPr>
            <w:tcW w:w="3814" w:type="dxa"/>
            <w:vAlign w:val="center"/>
          </w:tcPr>
          <w:p w14:paraId="5F26D64F" w14:textId="66476823" w:rsidR="002D60A5" w:rsidRPr="001F425C" w:rsidRDefault="00DC6BFE" w:rsidP="003D3BF6">
            <w:pPr>
              <w:spacing w:before="60" w:after="60"/>
              <w:jc w:val="center"/>
              <w:rPr>
                <w:rFonts w:cs="Arial"/>
              </w:rPr>
            </w:pPr>
            <w:r w:rsidRPr="001F425C">
              <w:rPr>
                <w:rFonts w:cs="Arial"/>
                <w:b/>
                <w:lang w:val="en-AU"/>
              </w:rPr>
              <w:t>Description of Category</w:t>
            </w:r>
          </w:p>
        </w:tc>
        <w:tc>
          <w:tcPr>
            <w:tcW w:w="3765" w:type="dxa"/>
          </w:tcPr>
          <w:p w14:paraId="6C20142A" w14:textId="77777777" w:rsidR="00DC6BFE" w:rsidRPr="001F425C" w:rsidRDefault="00DC6BFE" w:rsidP="00DC6BFE">
            <w:pPr>
              <w:spacing w:before="60" w:after="60"/>
              <w:jc w:val="center"/>
              <w:rPr>
                <w:rFonts w:cs="Arial"/>
                <w:b/>
                <w:bCs/>
                <w:lang w:val="en-US"/>
              </w:rPr>
            </w:pPr>
            <w:r w:rsidRPr="001F425C">
              <w:rPr>
                <w:rFonts w:cs="Arial"/>
                <w:b/>
                <w:bCs/>
                <w:lang w:val="en-US"/>
              </w:rPr>
              <w:t>Conditions and Limitations</w:t>
            </w:r>
          </w:p>
          <w:p w14:paraId="6FF87DBF" w14:textId="25B2917C" w:rsidR="002D60A5" w:rsidRPr="001F425C" w:rsidRDefault="00DC6BFE" w:rsidP="00DC6BFE">
            <w:pPr>
              <w:spacing w:before="60" w:after="60"/>
              <w:jc w:val="center"/>
              <w:rPr>
                <w:rFonts w:cs="Arial"/>
              </w:rPr>
            </w:pPr>
            <w:r w:rsidRPr="001F425C">
              <w:rPr>
                <w:rFonts w:cs="Arial"/>
                <w:b/>
                <w:bCs/>
                <w:lang w:val="en-AU"/>
              </w:rPr>
              <w:t>(including length of stay)</w:t>
            </w:r>
          </w:p>
        </w:tc>
      </w:tr>
      <w:tr w:rsidR="002D60A5" w14:paraId="34B14529" w14:textId="77777777" w:rsidTr="00DC6BFE">
        <w:tc>
          <w:tcPr>
            <w:tcW w:w="7579" w:type="dxa"/>
            <w:gridSpan w:val="2"/>
          </w:tcPr>
          <w:p w14:paraId="4DA7AD54" w14:textId="2FDD8098" w:rsidR="002D60A5" w:rsidRPr="002D60A5" w:rsidRDefault="002D60A5" w:rsidP="004C238D">
            <w:pPr>
              <w:pStyle w:val="ListParagraph"/>
              <w:numPr>
                <w:ilvl w:val="0"/>
                <w:numId w:val="31"/>
              </w:numPr>
              <w:spacing w:before="40" w:after="40"/>
              <w:ind w:left="720" w:hanging="720"/>
              <w:rPr>
                <w:rFonts w:cs="Arial"/>
                <w:b/>
                <w:bCs/>
              </w:rPr>
            </w:pPr>
            <w:r>
              <w:rPr>
                <w:rFonts w:cs="Arial"/>
                <w:b/>
                <w:bCs/>
              </w:rPr>
              <w:t>Business Visitor</w:t>
            </w:r>
            <w:r w:rsidR="00717751">
              <w:rPr>
                <w:rFonts w:cs="Arial"/>
                <w:b/>
                <w:bCs/>
              </w:rPr>
              <w:t>s</w:t>
            </w:r>
          </w:p>
        </w:tc>
      </w:tr>
      <w:tr w:rsidR="002D60A5" w14:paraId="60423705" w14:textId="77777777" w:rsidTr="00DC6BFE">
        <w:tc>
          <w:tcPr>
            <w:tcW w:w="3814" w:type="dxa"/>
          </w:tcPr>
          <w:p w14:paraId="6D9B4176" w14:textId="77777777" w:rsidR="00DC6BFE" w:rsidRPr="00DC6BFE" w:rsidRDefault="00DC6BFE" w:rsidP="004C238D">
            <w:pPr>
              <w:jc w:val="both"/>
              <w:rPr>
                <w:rFonts w:cs="Arial"/>
                <w:lang w:val="en-US"/>
              </w:rPr>
            </w:pPr>
            <w:r w:rsidRPr="00DC6BFE">
              <w:rPr>
                <w:rFonts w:cs="Arial"/>
                <w:b/>
                <w:bCs/>
                <w:lang w:val="en-US"/>
              </w:rPr>
              <w:t>Business visitors</w:t>
            </w:r>
            <w:r w:rsidRPr="00DC6BFE">
              <w:rPr>
                <w:rFonts w:cs="Arial"/>
                <w:lang w:val="en-US"/>
              </w:rPr>
              <w:t xml:space="preserve"> being natural persons seeking to travel to Australia for business purposes, whose remuneration and financial support for the duration of the visit must be derived from sources outside Australia and who must not engage in making direct sales to the general public or in supplying the services themselves.</w:t>
            </w:r>
          </w:p>
          <w:p w14:paraId="785ED987" w14:textId="77777777" w:rsidR="002D60A5" w:rsidRPr="004C238D" w:rsidRDefault="002D60A5" w:rsidP="004C238D">
            <w:pPr>
              <w:jc w:val="both"/>
              <w:rPr>
                <w:rFonts w:cs="Arial"/>
                <w:sz w:val="10"/>
                <w:szCs w:val="10"/>
              </w:rPr>
            </w:pPr>
          </w:p>
          <w:p w14:paraId="0FB700FA" w14:textId="7D5D1684" w:rsidR="00DC6BFE" w:rsidRPr="00717751" w:rsidRDefault="00DC6BFE" w:rsidP="004C238D">
            <w:pPr>
              <w:jc w:val="both"/>
              <w:rPr>
                <w:rFonts w:cs="Arial"/>
              </w:rPr>
            </w:pPr>
            <w:r w:rsidRPr="00FA23DE">
              <w:t xml:space="preserve">Business visitors </w:t>
            </w:r>
            <w:r w:rsidRPr="00BF6171">
              <w:t>comprise:</w:t>
            </w:r>
          </w:p>
        </w:tc>
        <w:tc>
          <w:tcPr>
            <w:tcW w:w="3765" w:type="dxa"/>
          </w:tcPr>
          <w:p w14:paraId="7AAD2A71" w14:textId="2F54DA66" w:rsidR="002D60A5" w:rsidRDefault="002D60A5" w:rsidP="004C238D">
            <w:pPr>
              <w:jc w:val="both"/>
              <w:rPr>
                <w:rFonts w:cs="Arial"/>
              </w:rPr>
            </w:pPr>
          </w:p>
        </w:tc>
      </w:tr>
      <w:tr w:rsidR="002D60A5" w14:paraId="3097DD61" w14:textId="77777777" w:rsidTr="00DC6BFE">
        <w:tc>
          <w:tcPr>
            <w:tcW w:w="3814" w:type="dxa"/>
          </w:tcPr>
          <w:p w14:paraId="37307341" w14:textId="4915EB72" w:rsidR="002D60A5" w:rsidRPr="00DC6BFE" w:rsidRDefault="00DC6BFE" w:rsidP="004C238D">
            <w:pPr>
              <w:pStyle w:val="ListParagraph"/>
              <w:numPr>
                <w:ilvl w:val="0"/>
                <w:numId w:val="39"/>
              </w:numPr>
              <w:ind w:left="360"/>
              <w:jc w:val="both"/>
              <w:rPr>
                <w:rFonts w:cs="Arial"/>
              </w:rPr>
            </w:pPr>
            <w:r w:rsidRPr="00BF6171">
              <w:t>Service sellers, as business visitors being</w:t>
            </w:r>
            <w:r w:rsidRPr="00FA23DE">
              <w:t xml:space="preserve"> </w:t>
            </w:r>
            <w:r w:rsidRPr="00BF6171">
              <w:t>natural persons not based in Australia who</w:t>
            </w:r>
            <w:r w:rsidRPr="00FA23DE">
              <w:t xml:space="preserve"> </w:t>
            </w:r>
            <w:r w:rsidRPr="00BF6171">
              <w:t>are</w:t>
            </w:r>
            <w:r w:rsidRPr="00FA23DE">
              <w:t xml:space="preserve"> </w:t>
            </w:r>
            <w:r w:rsidRPr="00BF6171">
              <w:t>sales</w:t>
            </w:r>
            <w:r w:rsidRPr="00FA23DE">
              <w:t xml:space="preserve"> </w:t>
            </w:r>
            <w:r w:rsidRPr="00BF6171">
              <w:t>representatives</w:t>
            </w:r>
            <w:r w:rsidRPr="00FA23DE">
              <w:t xml:space="preserve"> </w:t>
            </w:r>
            <w:r w:rsidRPr="00BF6171">
              <w:t>of</w:t>
            </w:r>
            <w:r w:rsidRPr="00FA23DE">
              <w:t xml:space="preserve"> </w:t>
            </w:r>
            <w:r w:rsidRPr="00BF6171">
              <w:t>a</w:t>
            </w:r>
            <w:r w:rsidRPr="00FA23DE">
              <w:t xml:space="preserve"> </w:t>
            </w:r>
            <w:r w:rsidRPr="00BF6171">
              <w:t>service</w:t>
            </w:r>
            <w:r w:rsidRPr="00FA23DE">
              <w:t xml:space="preserve"> </w:t>
            </w:r>
            <w:r w:rsidRPr="00BF6171">
              <w:t>supplier and are seeking temporary entry for</w:t>
            </w:r>
            <w:r w:rsidRPr="00FA23DE">
              <w:t xml:space="preserve"> </w:t>
            </w:r>
            <w:r w:rsidRPr="00BF6171">
              <w:t>the purpose of negotiating for the sale of</w:t>
            </w:r>
            <w:r w:rsidRPr="00FA23DE">
              <w:t xml:space="preserve"> </w:t>
            </w:r>
            <w:r w:rsidRPr="00BF6171">
              <w:t>services or entering into agreements to sell</w:t>
            </w:r>
            <w:r w:rsidRPr="00FA23DE">
              <w:t xml:space="preserve"> </w:t>
            </w:r>
            <w:r w:rsidRPr="00BF6171">
              <w:t>services</w:t>
            </w:r>
            <w:r w:rsidRPr="00FA23DE">
              <w:t xml:space="preserve"> </w:t>
            </w:r>
            <w:r w:rsidRPr="00BF6171">
              <w:t>for</w:t>
            </w:r>
            <w:r w:rsidRPr="00FA23DE">
              <w:t xml:space="preserve"> </w:t>
            </w:r>
            <w:r w:rsidRPr="00BF6171">
              <w:t>that</w:t>
            </w:r>
            <w:r w:rsidRPr="00FA23DE">
              <w:t xml:space="preserve"> </w:t>
            </w:r>
            <w:r w:rsidRPr="00BF6171">
              <w:t>service</w:t>
            </w:r>
            <w:r w:rsidRPr="00FA23DE">
              <w:t xml:space="preserve"> </w:t>
            </w:r>
            <w:r w:rsidRPr="00BF6171">
              <w:t>supplier.</w:t>
            </w:r>
          </w:p>
        </w:tc>
        <w:tc>
          <w:tcPr>
            <w:tcW w:w="3765" w:type="dxa"/>
          </w:tcPr>
          <w:p w14:paraId="58C249D9" w14:textId="769A458E" w:rsidR="002D60A5" w:rsidRPr="00717751" w:rsidRDefault="00DC6BFE" w:rsidP="004C238D">
            <w:pPr>
              <w:jc w:val="both"/>
              <w:rPr>
                <w:rFonts w:cs="Arial"/>
              </w:rPr>
            </w:pPr>
            <w:r w:rsidRPr="00FA23DE">
              <w:t xml:space="preserve">Temporary entry is </w:t>
            </w:r>
            <w:r w:rsidRPr="00BF6171">
              <w:t>for</w:t>
            </w:r>
            <w:r w:rsidRPr="00FA23DE">
              <w:t xml:space="preserve"> </w:t>
            </w:r>
            <w:r w:rsidRPr="00BF6171">
              <w:t>an</w:t>
            </w:r>
            <w:r w:rsidRPr="00FA23DE">
              <w:t xml:space="preserve"> </w:t>
            </w:r>
            <w:r w:rsidRPr="00BF6171">
              <w:t>initial</w:t>
            </w:r>
            <w:r w:rsidRPr="00FA23DE">
              <w:t xml:space="preserve"> </w:t>
            </w:r>
            <w:r w:rsidRPr="00BF6171">
              <w:t>stay</w:t>
            </w:r>
            <w:r w:rsidRPr="00FA23DE">
              <w:t xml:space="preserve"> </w:t>
            </w:r>
            <w:r w:rsidRPr="00BF6171">
              <w:t>of</w:t>
            </w:r>
            <w:r w:rsidRPr="00FA23DE">
              <w:t xml:space="preserve"> </w:t>
            </w:r>
            <w:r w:rsidRPr="00BF6171">
              <w:t>six</w:t>
            </w:r>
            <w:r w:rsidRPr="00FA23DE">
              <w:t xml:space="preserve"> </w:t>
            </w:r>
            <w:r w:rsidRPr="00BF6171">
              <w:t>months</w:t>
            </w:r>
            <w:r w:rsidRPr="00FA23DE">
              <w:t xml:space="preserve"> </w:t>
            </w:r>
            <w:r w:rsidRPr="00BF6171">
              <w:t>up</w:t>
            </w:r>
            <w:r w:rsidRPr="00FA23DE">
              <w:t xml:space="preserve"> </w:t>
            </w:r>
            <w:r w:rsidRPr="00BF6171">
              <w:t>to</w:t>
            </w:r>
            <w:r w:rsidRPr="00FA23DE">
              <w:t xml:space="preserve"> </w:t>
            </w:r>
            <w:r w:rsidRPr="00BF6171">
              <w:t>a</w:t>
            </w:r>
            <w:r w:rsidRPr="00FA23DE">
              <w:t xml:space="preserve"> </w:t>
            </w:r>
            <w:r w:rsidRPr="00BF6171">
              <w:t>maximum</w:t>
            </w:r>
            <w:r w:rsidRPr="00FA23DE">
              <w:t xml:space="preserve"> </w:t>
            </w:r>
            <w:r w:rsidRPr="00BF6171">
              <w:t>of 12</w:t>
            </w:r>
            <w:r w:rsidRPr="00FA23DE">
              <w:t xml:space="preserve"> </w:t>
            </w:r>
            <w:r w:rsidRPr="00BF6171">
              <w:t>months.</w:t>
            </w:r>
          </w:p>
        </w:tc>
      </w:tr>
      <w:tr w:rsidR="002D60A5" w14:paraId="4930F711" w14:textId="77777777" w:rsidTr="00DC6BFE">
        <w:tc>
          <w:tcPr>
            <w:tcW w:w="3814" w:type="dxa"/>
          </w:tcPr>
          <w:p w14:paraId="27A8B720" w14:textId="711783DE" w:rsidR="00717751" w:rsidRPr="00717751" w:rsidRDefault="00DC6BFE" w:rsidP="004C238D">
            <w:pPr>
              <w:pStyle w:val="ListParagraph"/>
              <w:numPr>
                <w:ilvl w:val="0"/>
                <w:numId w:val="39"/>
              </w:numPr>
              <w:ind w:left="360"/>
              <w:jc w:val="both"/>
              <w:rPr>
                <w:rFonts w:cs="Arial"/>
              </w:rPr>
            </w:pPr>
            <w:r w:rsidRPr="00BF6171">
              <w:t>Business</w:t>
            </w:r>
            <w:r w:rsidRPr="00FA23DE">
              <w:t xml:space="preserve"> </w:t>
            </w:r>
            <w:r w:rsidRPr="00BF6171">
              <w:t>visitors,</w:t>
            </w:r>
            <w:r w:rsidRPr="00FA23DE">
              <w:t xml:space="preserve"> </w:t>
            </w:r>
            <w:r w:rsidRPr="00BF6171">
              <w:t>being</w:t>
            </w:r>
            <w:r w:rsidRPr="00FA23DE">
              <w:t xml:space="preserve"> </w:t>
            </w:r>
            <w:r w:rsidRPr="00BF6171">
              <w:t>natural</w:t>
            </w:r>
            <w:r w:rsidRPr="00FA23DE">
              <w:t xml:space="preserve"> </w:t>
            </w:r>
            <w:r w:rsidRPr="00BF6171">
              <w:t>persons</w:t>
            </w:r>
            <w:r w:rsidRPr="00FA23DE">
              <w:t xml:space="preserve"> </w:t>
            </w:r>
            <w:r w:rsidRPr="00BF6171">
              <w:t>seeking to travel to Australia for the purpose</w:t>
            </w:r>
            <w:r w:rsidRPr="00FA23DE">
              <w:t xml:space="preserve"> </w:t>
            </w:r>
            <w:r w:rsidRPr="00BF6171">
              <w:t>of participating in business negotiations or</w:t>
            </w:r>
            <w:r w:rsidRPr="00FA23DE">
              <w:t xml:space="preserve"> </w:t>
            </w:r>
            <w:r w:rsidRPr="00BF6171">
              <w:t>meetings.</w:t>
            </w:r>
          </w:p>
        </w:tc>
        <w:tc>
          <w:tcPr>
            <w:tcW w:w="3765" w:type="dxa"/>
          </w:tcPr>
          <w:p w14:paraId="0E86171A" w14:textId="12DB8464" w:rsidR="002D60A5" w:rsidRDefault="00DC6BFE" w:rsidP="004C238D">
            <w:pPr>
              <w:jc w:val="both"/>
              <w:rPr>
                <w:rFonts w:cs="Arial"/>
              </w:rPr>
            </w:pPr>
            <w:r w:rsidRPr="00BF6171">
              <w:t>Temporary</w:t>
            </w:r>
            <w:r w:rsidRPr="00FA23DE">
              <w:t xml:space="preserve"> </w:t>
            </w:r>
            <w:r w:rsidRPr="00BF6171">
              <w:t>entry</w:t>
            </w:r>
            <w:r w:rsidRPr="00FA23DE">
              <w:t xml:space="preserve"> </w:t>
            </w:r>
            <w:r w:rsidRPr="00BF6171">
              <w:t>is</w:t>
            </w:r>
            <w:r w:rsidRPr="00FA23DE">
              <w:t xml:space="preserve"> </w:t>
            </w:r>
            <w:r w:rsidRPr="00BF6171">
              <w:t>for</w:t>
            </w:r>
            <w:r w:rsidRPr="00FA23DE">
              <w:t xml:space="preserve"> </w:t>
            </w:r>
            <w:r w:rsidRPr="00BF6171">
              <w:t>periods</w:t>
            </w:r>
            <w:r w:rsidRPr="00FA23DE">
              <w:t xml:space="preserve"> </w:t>
            </w:r>
            <w:r w:rsidRPr="00BF6171">
              <w:t>of</w:t>
            </w:r>
            <w:r w:rsidRPr="00FA23DE">
              <w:t xml:space="preserve"> </w:t>
            </w:r>
            <w:r w:rsidRPr="00BF6171">
              <w:t>stay</w:t>
            </w:r>
            <w:r w:rsidRPr="00FA23DE">
              <w:t xml:space="preserve"> </w:t>
            </w:r>
            <w:r w:rsidRPr="00BF6171">
              <w:t>up</w:t>
            </w:r>
            <w:r w:rsidRPr="00FA23DE">
              <w:t xml:space="preserve"> </w:t>
            </w:r>
            <w:r w:rsidRPr="00BF6171">
              <w:t>to</w:t>
            </w:r>
            <w:r w:rsidRPr="00FA23DE">
              <w:t xml:space="preserve"> </w:t>
            </w:r>
            <w:r w:rsidRPr="00BF6171">
              <w:t>a</w:t>
            </w:r>
            <w:r w:rsidRPr="00FA23DE">
              <w:t xml:space="preserve"> </w:t>
            </w:r>
            <w:r w:rsidRPr="00BF6171">
              <w:t>maximum</w:t>
            </w:r>
            <w:r w:rsidRPr="00FA23DE">
              <w:t xml:space="preserve"> </w:t>
            </w:r>
            <w:r w:rsidRPr="00BF6171">
              <w:t>of</w:t>
            </w:r>
            <w:r w:rsidRPr="00FA23DE">
              <w:t xml:space="preserve"> </w:t>
            </w:r>
            <w:r w:rsidRPr="00BF6171">
              <w:t>three</w:t>
            </w:r>
            <w:r w:rsidRPr="00FA23DE">
              <w:t xml:space="preserve"> </w:t>
            </w:r>
            <w:r w:rsidRPr="00BF6171">
              <w:t>months.</w:t>
            </w:r>
          </w:p>
        </w:tc>
      </w:tr>
      <w:tr w:rsidR="00DC6BFE" w14:paraId="79A4B6CD" w14:textId="77777777" w:rsidTr="00DC6BFE">
        <w:tc>
          <w:tcPr>
            <w:tcW w:w="3814" w:type="dxa"/>
          </w:tcPr>
          <w:p w14:paraId="691A298E" w14:textId="72B62389" w:rsidR="00DC6BFE" w:rsidRPr="00BF6171" w:rsidRDefault="00DC6BFE" w:rsidP="004C238D">
            <w:pPr>
              <w:pStyle w:val="ListParagraph"/>
              <w:numPr>
                <w:ilvl w:val="0"/>
                <w:numId w:val="39"/>
              </w:numPr>
              <w:ind w:left="360"/>
              <w:jc w:val="both"/>
            </w:pPr>
            <w:r w:rsidRPr="00BF6171">
              <w:t>Business visitors, being natural persons who</w:t>
            </w:r>
            <w:r w:rsidRPr="00FA23DE">
              <w:t xml:space="preserve"> </w:t>
            </w:r>
            <w:r w:rsidRPr="00BF6171">
              <w:t>are</w:t>
            </w:r>
            <w:r w:rsidRPr="00FA23DE">
              <w:t xml:space="preserve"> </w:t>
            </w:r>
            <w:r w:rsidRPr="00BF6171">
              <w:t>seeking</w:t>
            </w:r>
            <w:r w:rsidRPr="00FA23DE">
              <w:t xml:space="preserve"> </w:t>
            </w:r>
            <w:r w:rsidRPr="00BF6171">
              <w:t>to</w:t>
            </w:r>
            <w:r w:rsidRPr="00FA23DE">
              <w:t xml:space="preserve"> </w:t>
            </w:r>
            <w:r w:rsidRPr="00BF6171">
              <w:t>travel</w:t>
            </w:r>
            <w:r w:rsidRPr="00FA23DE">
              <w:t xml:space="preserve"> </w:t>
            </w:r>
            <w:r w:rsidRPr="00BF6171">
              <w:t>to</w:t>
            </w:r>
            <w:r w:rsidRPr="00FA23DE">
              <w:t xml:space="preserve"> </w:t>
            </w:r>
            <w:r w:rsidRPr="00BF6171">
              <w:t>Australia</w:t>
            </w:r>
            <w:r w:rsidRPr="00FA23DE">
              <w:t xml:space="preserve"> </w:t>
            </w:r>
            <w:r w:rsidRPr="00BF6171">
              <w:t>for</w:t>
            </w:r>
            <w:r w:rsidRPr="00FA23DE">
              <w:t xml:space="preserve"> </w:t>
            </w:r>
            <w:r w:rsidRPr="00BF6171">
              <w:t>business</w:t>
            </w:r>
            <w:r w:rsidRPr="00FA23DE">
              <w:t xml:space="preserve"> </w:t>
            </w:r>
            <w:r w:rsidRPr="00BF6171">
              <w:t>purposes,</w:t>
            </w:r>
            <w:r w:rsidRPr="00FA23DE">
              <w:t xml:space="preserve"> </w:t>
            </w:r>
            <w:r w:rsidRPr="00BF6171">
              <w:t>including</w:t>
            </w:r>
            <w:r w:rsidRPr="00FA23DE">
              <w:t xml:space="preserve"> </w:t>
            </w:r>
            <w:r w:rsidRPr="00BF6171">
              <w:t>investment</w:t>
            </w:r>
            <w:r w:rsidRPr="00FA23DE">
              <w:t xml:space="preserve"> </w:t>
            </w:r>
            <w:r w:rsidRPr="00BF6171">
              <w:t>purposes.</w:t>
            </w:r>
          </w:p>
        </w:tc>
        <w:tc>
          <w:tcPr>
            <w:tcW w:w="3765" w:type="dxa"/>
          </w:tcPr>
          <w:p w14:paraId="2BB92A9E" w14:textId="50B86557" w:rsidR="00DC6BFE" w:rsidRPr="00BF6171" w:rsidRDefault="00DC6BFE" w:rsidP="004C238D">
            <w:pPr>
              <w:jc w:val="both"/>
            </w:pPr>
            <w:r w:rsidRPr="00BF6171">
              <w:t>Temporary</w:t>
            </w:r>
            <w:r w:rsidRPr="00FA23DE">
              <w:t xml:space="preserve"> </w:t>
            </w:r>
            <w:r w:rsidRPr="00BF6171">
              <w:t>entry</w:t>
            </w:r>
            <w:r w:rsidRPr="00FA23DE">
              <w:t xml:space="preserve"> </w:t>
            </w:r>
            <w:r w:rsidRPr="00BF6171">
              <w:t>is</w:t>
            </w:r>
            <w:r w:rsidRPr="00FA23DE">
              <w:t xml:space="preserve"> </w:t>
            </w:r>
            <w:r w:rsidRPr="00BF6171">
              <w:t>for</w:t>
            </w:r>
            <w:r w:rsidRPr="00FA23DE">
              <w:t xml:space="preserve"> </w:t>
            </w:r>
            <w:r w:rsidRPr="00BF6171">
              <w:t>periods</w:t>
            </w:r>
            <w:r w:rsidRPr="00FA23DE">
              <w:t xml:space="preserve"> </w:t>
            </w:r>
            <w:r w:rsidRPr="00BF6171">
              <w:t>of</w:t>
            </w:r>
            <w:r w:rsidRPr="00FA23DE">
              <w:t xml:space="preserve"> </w:t>
            </w:r>
            <w:r w:rsidRPr="00BF6171">
              <w:t>stay</w:t>
            </w:r>
            <w:r w:rsidRPr="00FA23DE">
              <w:t xml:space="preserve"> </w:t>
            </w:r>
            <w:r w:rsidRPr="00BF6171">
              <w:t>up</w:t>
            </w:r>
            <w:r w:rsidRPr="00FA23DE">
              <w:t xml:space="preserve"> </w:t>
            </w:r>
            <w:r w:rsidRPr="00BF6171">
              <w:t>to</w:t>
            </w:r>
            <w:r w:rsidRPr="00FA23DE">
              <w:t xml:space="preserve"> </w:t>
            </w:r>
            <w:r w:rsidRPr="00BF6171">
              <w:t>a</w:t>
            </w:r>
            <w:r w:rsidRPr="00FA23DE">
              <w:t xml:space="preserve"> </w:t>
            </w:r>
            <w:r w:rsidRPr="00BF6171">
              <w:t>maximum</w:t>
            </w:r>
            <w:r w:rsidRPr="00FA23DE">
              <w:t xml:space="preserve"> </w:t>
            </w:r>
            <w:r w:rsidRPr="00BF6171">
              <w:t>of</w:t>
            </w:r>
            <w:r w:rsidRPr="00FA23DE">
              <w:t xml:space="preserve"> </w:t>
            </w:r>
            <w:r w:rsidRPr="00BF6171">
              <w:t>three</w:t>
            </w:r>
            <w:r w:rsidRPr="00FA23DE">
              <w:t xml:space="preserve"> </w:t>
            </w:r>
            <w:r w:rsidRPr="00BF6171">
              <w:t>months.</w:t>
            </w:r>
          </w:p>
        </w:tc>
      </w:tr>
      <w:tr w:rsidR="00DC6BFE" w14:paraId="3D986EB6" w14:textId="77777777" w:rsidTr="00DC6BFE">
        <w:tc>
          <w:tcPr>
            <w:tcW w:w="3814" w:type="dxa"/>
          </w:tcPr>
          <w:p w14:paraId="4C661196" w14:textId="4A483292" w:rsidR="001F425C" w:rsidRPr="00BF6171" w:rsidRDefault="00DC6BFE" w:rsidP="00647398">
            <w:pPr>
              <w:pStyle w:val="ListParagraph"/>
              <w:numPr>
                <w:ilvl w:val="0"/>
                <w:numId w:val="39"/>
              </w:numPr>
              <w:ind w:left="360"/>
              <w:jc w:val="both"/>
            </w:pPr>
            <w:r w:rsidRPr="00BF6171">
              <w:t>Business</w:t>
            </w:r>
            <w:r w:rsidRPr="00FA23DE">
              <w:t xml:space="preserve"> </w:t>
            </w:r>
            <w:r w:rsidRPr="00BF6171">
              <w:t>visitors,</w:t>
            </w:r>
            <w:r w:rsidRPr="00FA23DE">
              <w:t xml:space="preserve"> </w:t>
            </w:r>
            <w:r w:rsidRPr="00BF6171">
              <w:t>being</w:t>
            </w:r>
            <w:r w:rsidRPr="00FA23DE">
              <w:t xml:space="preserve"> </w:t>
            </w:r>
            <w:r w:rsidRPr="00BF6171">
              <w:t>natural</w:t>
            </w:r>
            <w:r w:rsidRPr="00FA23DE">
              <w:t xml:space="preserve"> </w:t>
            </w:r>
            <w:r w:rsidRPr="00BF6171">
              <w:t>persons</w:t>
            </w:r>
            <w:r w:rsidRPr="00FA23DE">
              <w:t xml:space="preserve"> </w:t>
            </w:r>
            <w:r w:rsidRPr="00BF6171">
              <w:t>who</w:t>
            </w:r>
            <w:r w:rsidRPr="00FA23DE">
              <w:t xml:space="preserve"> </w:t>
            </w:r>
            <w:r w:rsidRPr="00BF6171">
              <w:t>are</w:t>
            </w:r>
            <w:r w:rsidRPr="00FA23DE">
              <w:t xml:space="preserve"> </w:t>
            </w:r>
            <w:r w:rsidRPr="00BF6171">
              <w:t>seeking</w:t>
            </w:r>
            <w:r w:rsidRPr="00FA23DE">
              <w:t xml:space="preserve"> </w:t>
            </w:r>
            <w:r w:rsidRPr="00BF6171">
              <w:t>entry</w:t>
            </w:r>
            <w:r w:rsidRPr="00FA23DE">
              <w:t xml:space="preserve"> </w:t>
            </w:r>
            <w:r w:rsidRPr="00BF6171">
              <w:t>for</w:t>
            </w:r>
            <w:r w:rsidRPr="00FA23DE">
              <w:t xml:space="preserve"> </w:t>
            </w:r>
            <w:r w:rsidRPr="00BF6171">
              <w:t>the</w:t>
            </w:r>
            <w:r w:rsidRPr="00FA23DE">
              <w:t xml:space="preserve"> </w:t>
            </w:r>
            <w:r w:rsidRPr="00BF6171">
              <w:t>purposes</w:t>
            </w:r>
            <w:r w:rsidRPr="00FA23DE">
              <w:t xml:space="preserve"> </w:t>
            </w:r>
            <w:r w:rsidRPr="00BF6171">
              <w:t>of</w:t>
            </w:r>
            <w:r w:rsidRPr="00FA23DE">
              <w:t xml:space="preserve"> </w:t>
            </w:r>
            <w:r w:rsidRPr="00BF6171">
              <w:t>negotiating the sale of goods where such</w:t>
            </w:r>
            <w:r w:rsidRPr="00FA23DE">
              <w:t xml:space="preserve"> </w:t>
            </w:r>
            <w:r w:rsidRPr="00BF6171">
              <w:t xml:space="preserve">negotiations do </w:t>
            </w:r>
            <w:r w:rsidRPr="00BF6171">
              <w:lastRenderedPageBreak/>
              <w:t>not involve direct sale to the</w:t>
            </w:r>
            <w:r>
              <w:t xml:space="preserve">  </w:t>
            </w:r>
            <w:r w:rsidRPr="00FA23DE">
              <w:t xml:space="preserve"> </w:t>
            </w:r>
            <w:r w:rsidRPr="00BF6171">
              <w:t>general</w:t>
            </w:r>
            <w:r w:rsidRPr="00FA23DE">
              <w:t xml:space="preserve"> </w:t>
            </w:r>
            <w:r w:rsidRPr="00BF6171">
              <w:t>public.</w:t>
            </w:r>
          </w:p>
        </w:tc>
        <w:tc>
          <w:tcPr>
            <w:tcW w:w="3765" w:type="dxa"/>
          </w:tcPr>
          <w:p w14:paraId="02BD920B" w14:textId="14283B7F" w:rsidR="00DC6BFE" w:rsidRPr="00BF6171" w:rsidRDefault="00DC6BFE" w:rsidP="004C238D">
            <w:pPr>
              <w:jc w:val="both"/>
            </w:pPr>
            <w:r w:rsidRPr="00BF6171">
              <w:lastRenderedPageBreak/>
              <w:t>Temporary</w:t>
            </w:r>
            <w:r w:rsidRPr="00FA23DE">
              <w:t xml:space="preserve"> </w:t>
            </w:r>
            <w:r w:rsidRPr="00BF6171">
              <w:t>entry</w:t>
            </w:r>
            <w:r w:rsidRPr="00FA23DE">
              <w:t xml:space="preserve"> </w:t>
            </w:r>
            <w:r w:rsidRPr="00BF6171">
              <w:t>is</w:t>
            </w:r>
            <w:r w:rsidRPr="00FA23DE">
              <w:t xml:space="preserve"> </w:t>
            </w:r>
            <w:r w:rsidRPr="00BF6171">
              <w:t>for</w:t>
            </w:r>
            <w:r w:rsidRPr="00FA23DE">
              <w:t xml:space="preserve"> </w:t>
            </w:r>
            <w:r w:rsidRPr="00BF6171">
              <w:t>periods</w:t>
            </w:r>
            <w:r w:rsidRPr="00FA23DE">
              <w:t xml:space="preserve"> </w:t>
            </w:r>
            <w:r w:rsidRPr="00BF6171">
              <w:t>of</w:t>
            </w:r>
            <w:r w:rsidRPr="00FA23DE">
              <w:t xml:space="preserve"> </w:t>
            </w:r>
            <w:r w:rsidRPr="00BF6171">
              <w:t>stay</w:t>
            </w:r>
            <w:r w:rsidRPr="00FA23DE">
              <w:t xml:space="preserve"> </w:t>
            </w:r>
            <w:r w:rsidRPr="00BF6171">
              <w:t>up</w:t>
            </w:r>
            <w:r w:rsidRPr="00FA23DE">
              <w:t xml:space="preserve"> </w:t>
            </w:r>
            <w:r w:rsidRPr="00BF6171">
              <w:t>to</w:t>
            </w:r>
            <w:r w:rsidRPr="00FA23DE">
              <w:t xml:space="preserve"> </w:t>
            </w:r>
            <w:r w:rsidRPr="00BF6171">
              <w:t>a</w:t>
            </w:r>
            <w:r w:rsidRPr="00FA23DE">
              <w:t xml:space="preserve"> </w:t>
            </w:r>
            <w:r w:rsidRPr="00BF6171">
              <w:t>maximum</w:t>
            </w:r>
            <w:r w:rsidRPr="00FA23DE">
              <w:t xml:space="preserve"> </w:t>
            </w:r>
            <w:r w:rsidRPr="00BF6171">
              <w:t>of</w:t>
            </w:r>
            <w:r w:rsidRPr="00FA23DE">
              <w:t xml:space="preserve"> </w:t>
            </w:r>
            <w:r w:rsidRPr="00BF6171">
              <w:t>three</w:t>
            </w:r>
            <w:r w:rsidRPr="00FA23DE">
              <w:t xml:space="preserve"> </w:t>
            </w:r>
            <w:r w:rsidRPr="00BF6171">
              <w:t>months.</w:t>
            </w:r>
          </w:p>
        </w:tc>
      </w:tr>
      <w:tr w:rsidR="00DC6BFE" w14:paraId="6CBA41DE" w14:textId="77777777" w:rsidTr="00AD051A">
        <w:tc>
          <w:tcPr>
            <w:tcW w:w="7579" w:type="dxa"/>
            <w:gridSpan w:val="2"/>
          </w:tcPr>
          <w:p w14:paraId="26C8498C" w14:textId="191B5C7A" w:rsidR="00DC6BFE" w:rsidRPr="00BF6171" w:rsidRDefault="004C238D" w:rsidP="004C238D">
            <w:pPr>
              <w:pStyle w:val="ListParagraph"/>
              <w:numPr>
                <w:ilvl w:val="0"/>
                <w:numId w:val="31"/>
              </w:numPr>
              <w:spacing w:before="60" w:after="60"/>
              <w:ind w:left="720" w:hanging="720"/>
            </w:pPr>
            <w:r w:rsidRPr="00BF6171">
              <w:rPr>
                <w:b/>
              </w:rPr>
              <w:t>Intra-Corporate</w:t>
            </w:r>
            <w:r w:rsidRPr="000A2495">
              <w:rPr>
                <w:b/>
              </w:rPr>
              <w:t xml:space="preserve"> </w:t>
            </w:r>
            <w:r w:rsidRPr="00BF6171">
              <w:rPr>
                <w:b/>
              </w:rPr>
              <w:t>Transferees</w:t>
            </w:r>
          </w:p>
        </w:tc>
      </w:tr>
      <w:tr w:rsidR="00DC6BFE" w14:paraId="317865DA" w14:textId="77777777" w:rsidTr="00DC6BFE">
        <w:tc>
          <w:tcPr>
            <w:tcW w:w="3814" w:type="dxa"/>
          </w:tcPr>
          <w:p w14:paraId="364D9992" w14:textId="791B5074" w:rsidR="00DC6BFE" w:rsidRPr="00BF6171" w:rsidRDefault="004C238D" w:rsidP="004C238D">
            <w:pPr>
              <w:pStyle w:val="ListParagraph"/>
              <w:numPr>
                <w:ilvl w:val="0"/>
                <w:numId w:val="40"/>
              </w:numPr>
              <w:spacing w:before="60" w:after="60"/>
              <w:ind w:left="336"/>
              <w:jc w:val="both"/>
            </w:pPr>
            <w:r w:rsidRPr="004C238D">
              <w:rPr>
                <w:b/>
                <w:bCs/>
              </w:rPr>
              <w:t>Executives</w:t>
            </w:r>
            <w:r w:rsidRPr="000406F5">
              <w:rPr>
                <w:b/>
                <w:spacing w:val="1"/>
              </w:rPr>
              <w:t xml:space="preserve"> </w:t>
            </w:r>
            <w:r w:rsidRPr="000406F5">
              <w:t>and</w:t>
            </w:r>
            <w:r w:rsidRPr="000406F5">
              <w:rPr>
                <w:spacing w:val="1"/>
              </w:rPr>
              <w:t xml:space="preserve"> </w:t>
            </w:r>
            <w:r w:rsidRPr="000406F5">
              <w:rPr>
                <w:b/>
              </w:rPr>
              <w:t>Senior</w:t>
            </w:r>
            <w:r w:rsidRPr="000406F5">
              <w:rPr>
                <w:b/>
                <w:spacing w:val="1"/>
              </w:rPr>
              <w:t xml:space="preserve"> </w:t>
            </w:r>
            <w:r w:rsidRPr="000406F5">
              <w:rPr>
                <w:b/>
              </w:rPr>
              <w:t>Managers</w:t>
            </w:r>
            <w:r w:rsidRPr="000406F5">
              <w:rPr>
                <w:b/>
                <w:spacing w:val="1"/>
              </w:rPr>
              <w:t xml:space="preserve"> </w:t>
            </w:r>
            <w:r w:rsidRPr="000406F5">
              <w:t>being</w:t>
            </w:r>
            <w:r w:rsidRPr="000406F5">
              <w:rPr>
                <w:spacing w:val="1"/>
              </w:rPr>
              <w:t xml:space="preserve"> </w:t>
            </w:r>
            <w:r w:rsidRPr="000406F5">
              <w:t>natural persons who are employees of an</w:t>
            </w:r>
            <w:r w:rsidRPr="000406F5">
              <w:rPr>
                <w:spacing w:val="1"/>
              </w:rPr>
              <w:t xml:space="preserve"> </w:t>
            </w:r>
            <w:r w:rsidRPr="000406F5">
              <w:t>enterprise</w:t>
            </w:r>
            <w:r w:rsidRPr="000406F5">
              <w:rPr>
                <w:spacing w:val="1"/>
              </w:rPr>
              <w:t xml:space="preserve"> </w:t>
            </w:r>
            <w:r w:rsidRPr="000406F5">
              <w:t>of</w:t>
            </w:r>
            <w:r w:rsidRPr="000406F5">
              <w:rPr>
                <w:spacing w:val="1"/>
              </w:rPr>
              <w:t xml:space="preserve"> </w:t>
            </w:r>
            <w:r w:rsidRPr="000406F5">
              <w:t>another</w:t>
            </w:r>
            <w:r w:rsidRPr="000406F5">
              <w:rPr>
                <w:spacing w:val="1"/>
              </w:rPr>
              <w:t xml:space="preserve"> </w:t>
            </w:r>
            <w:r w:rsidRPr="000406F5">
              <w:t>Party</w:t>
            </w:r>
            <w:r w:rsidRPr="000406F5">
              <w:rPr>
                <w:spacing w:val="1"/>
              </w:rPr>
              <w:t xml:space="preserve"> </w:t>
            </w:r>
            <w:r w:rsidRPr="000406F5">
              <w:t>operating</w:t>
            </w:r>
            <w:r w:rsidRPr="000406F5">
              <w:rPr>
                <w:spacing w:val="1"/>
              </w:rPr>
              <w:t xml:space="preserve"> </w:t>
            </w:r>
            <w:r w:rsidRPr="000406F5">
              <w:t>lawfully and actively in Australia, and who</w:t>
            </w:r>
            <w:r w:rsidRPr="000406F5">
              <w:rPr>
                <w:spacing w:val="1"/>
              </w:rPr>
              <w:t xml:space="preserve"> </w:t>
            </w:r>
            <w:r w:rsidRPr="000406F5">
              <w:t>will</w:t>
            </w:r>
            <w:r w:rsidRPr="000406F5">
              <w:rPr>
                <w:spacing w:val="1"/>
              </w:rPr>
              <w:t xml:space="preserve"> </w:t>
            </w:r>
            <w:r w:rsidRPr="000406F5">
              <w:t>be</w:t>
            </w:r>
            <w:r w:rsidRPr="000406F5">
              <w:rPr>
                <w:spacing w:val="1"/>
              </w:rPr>
              <w:t xml:space="preserve"> </w:t>
            </w:r>
            <w:r w:rsidRPr="000406F5">
              <w:t>responsible</w:t>
            </w:r>
            <w:r w:rsidRPr="000406F5">
              <w:rPr>
                <w:spacing w:val="1"/>
              </w:rPr>
              <w:t xml:space="preserve"> </w:t>
            </w:r>
            <w:r w:rsidRPr="000406F5">
              <w:t>for</w:t>
            </w:r>
            <w:r w:rsidRPr="000406F5">
              <w:rPr>
                <w:spacing w:val="1"/>
              </w:rPr>
              <w:t xml:space="preserve"> </w:t>
            </w:r>
            <w:r w:rsidRPr="000406F5">
              <w:t>the</w:t>
            </w:r>
            <w:r w:rsidRPr="000406F5">
              <w:rPr>
                <w:spacing w:val="1"/>
              </w:rPr>
              <w:t xml:space="preserve"> </w:t>
            </w:r>
            <w:r w:rsidRPr="000406F5">
              <w:t>entire</w:t>
            </w:r>
            <w:r w:rsidRPr="000406F5">
              <w:rPr>
                <w:spacing w:val="1"/>
              </w:rPr>
              <w:t xml:space="preserve"> </w:t>
            </w:r>
            <w:r w:rsidRPr="000406F5">
              <w:t>or</w:t>
            </w:r>
            <w:r w:rsidRPr="000406F5">
              <w:rPr>
                <w:spacing w:val="1"/>
              </w:rPr>
              <w:t xml:space="preserve"> </w:t>
            </w:r>
            <w:r w:rsidRPr="000406F5">
              <w:t>a</w:t>
            </w:r>
            <w:r w:rsidRPr="000406F5">
              <w:rPr>
                <w:spacing w:val="1"/>
              </w:rPr>
              <w:t xml:space="preserve"> </w:t>
            </w:r>
            <w:r w:rsidRPr="000406F5">
              <w:t>substantial</w:t>
            </w:r>
            <w:r w:rsidRPr="000406F5">
              <w:rPr>
                <w:spacing w:val="1"/>
              </w:rPr>
              <w:t xml:space="preserve"> </w:t>
            </w:r>
            <w:r w:rsidRPr="000406F5">
              <w:t>part</w:t>
            </w:r>
            <w:r w:rsidRPr="000406F5">
              <w:rPr>
                <w:spacing w:val="1"/>
              </w:rPr>
              <w:t xml:space="preserve"> </w:t>
            </w:r>
            <w:r w:rsidRPr="000406F5">
              <w:t>of</w:t>
            </w:r>
            <w:r w:rsidRPr="000406F5">
              <w:rPr>
                <w:spacing w:val="1"/>
              </w:rPr>
              <w:t xml:space="preserve"> </w:t>
            </w:r>
            <w:r w:rsidRPr="000406F5">
              <w:t>the</w:t>
            </w:r>
            <w:r w:rsidRPr="000406F5">
              <w:rPr>
                <w:spacing w:val="1"/>
              </w:rPr>
              <w:t xml:space="preserve"> </w:t>
            </w:r>
            <w:r w:rsidRPr="000406F5">
              <w:t>enterprise’s</w:t>
            </w:r>
            <w:r w:rsidRPr="000406F5">
              <w:rPr>
                <w:spacing w:val="1"/>
              </w:rPr>
              <w:t xml:space="preserve"> </w:t>
            </w:r>
            <w:r w:rsidRPr="000406F5">
              <w:t>operations</w:t>
            </w:r>
            <w:r w:rsidRPr="000406F5">
              <w:rPr>
                <w:spacing w:val="1"/>
              </w:rPr>
              <w:t xml:space="preserve"> </w:t>
            </w:r>
            <w:r w:rsidRPr="000406F5">
              <w:t>in</w:t>
            </w:r>
            <w:r w:rsidRPr="000406F5">
              <w:rPr>
                <w:spacing w:val="1"/>
              </w:rPr>
              <w:t xml:space="preserve"> </w:t>
            </w:r>
            <w:r w:rsidRPr="000406F5">
              <w:t>Australia,</w:t>
            </w:r>
            <w:r w:rsidRPr="000406F5">
              <w:rPr>
                <w:spacing w:val="1"/>
              </w:rPr>
              <w:t xml:space="preserve"> </w:t>
            </w:r>
            <w:r w:rsidRPr="000406F5">
              <w:t>receiving</w:t>
            </w:r>
            <w:r w:rsidRPr="000406F5">
              <w:rPr>
                <w:spacing w:val="1"/>
              </w:rPr>
              <w:t xml:space="preserve"> </w:t>
            </w:r>
            <w:r w:rsidRPr="000406F5">
              <w:t>general</w:t>
            </w:r>
            <w:r w:rsidRPr="000406F5">
              <w:rPr>
                <w:spacing w:val="1"/>
              </w:rPr>
              <w:t xml:space="preserve"> </w:t>
            </w:r>
            <w:r w:rsidRPr="000406F5">
              <w:t>supervision</w:t>
            </w:r>
            <w:r w:rsidRPr="000406F5">
              <w:rPr>
                <w:spacing w:val="1"/>
              </w:rPr>
              <w:t xml:space="preserve"> </w:t>
            </w:r>
            <w:r w:rsidRPr="000406F5">
              <w:t>or</w:t>
            </w:r>
            <w:r w:rsidRPr="000406F5">
              <w:rPr>
                <w:spacing w:val="1"/>
              </w:rPr>
              <w:t xml:space="preserve"> </w:t>
            </w:r>
            <w:r w:rsidRPr="000406F5">
              <w:t>direction</w:t>
            </w:r>
            <w:r w:rsidRPr="000406F5">
              <w:rPr>
                <w:spacing w:val="1"/>
              </w:rPr>
              <w:t xml:space="preserve"> </w:t>
            </w:r>
            <w:r w:rsidRPr="000406F5">
              <w:t>principally</w:t>
            </w:r>
            <w:r w:rsidRPr="000406F5">
              <w:rPr>
                <w:spacing w:val="1"/>
              </w:rPr>
              <w:t xml:space="preserve"> </w:t>
            </w:r>
            <w:r w:rsidRPr="000406F5">
              <w:t>from</w:t>
            </w:r>
            <w:r w:rsidRPr="000406F5">
              <w:rPr>
                <w:spacing w:val="1"/>
              </w:rPr>
              <w:t xml:space="preserve"> </w:t>
            </w:r>
            <w:r w:rsidRPr="000406F5">
              <w:t>higher</w:t>
            </w:r>
            <w:r w:rsidRPr="000406F5">
              <w:rPr>
                <w:spacing w:val="1"/>
              </w:rPr>
              <w:t xml:space="preserve"> </w:t>
            </w:r>
            <w:r w:rsidRPr="000406F5">
              <w:t>level</w:t>
            </w:r>
            <w:r w:rsidRPr="000406F5">
              <w:rPr>
                <w:spacing w:val="1"/>
              </w:rPr>
              <w:t xml:space="preserve"> </w:t>
            </w:r>
            <w:r w:rsidRPr="000406F5">
              <w:t>executives,</w:t>
            </w:r>
            <w:r w:rsidRPr="000406F5">
              <w:rPr>
                <w:spacing w:val="1"/>
              </w:rPr>
              <w:t xml:space="preserve"> </w:t>
            </w:r>
            <w:r w:rsidRPr="000406F5">
              <w:t>the</w:t>
            </w:r>
            <w:r w:rsidRPr="000406F5">
              <w:rPr>
                <w:spacing w:val="1"/>
              </w:rPr>
              <w:t xml:space="preserve"> </w:t>
            </w:r>
            <w:r w:rsidRPr="000406F5">
              <w:t>board</w:t>
            </w:r>
            <w:r w:rsidRPr="000406F5">
              <w:rPr>
                <w:spacing w:val="1"/>
              </w:rPr>
              <w:t xml:space="preserve"> </w:t>
            </w:r>
            <w:r w:rsidRPr="000406F5">
              <w:t>of</w:t>
            </w:r>
            <w:r w:rsidRPr="000406F5">
              <w:rPr>
                <w:spacing w:val="1"/>
              </w:rPr>
              <w:t xml:space="preserve"> </w:t>
            </w:r>
            <w:r w:rsidRPr="000406F5">
              <w:t>directors or stockholders of the enterprise,</w:t>
            </w:r>
            <w:r w:rsidRPr="000406F5">
              <w:rPr>
                <w:spacing w:val="1"/>
              </w:rPr>
              <w:t xml:space="preserve"> </w:t>
            </w:r>
            <w:r w:rsidRPr="000406F5">
              <w:t>including</w:t>
            </w:r>
            <w:r w:rsidRPr="000406F5">
              <w:rPr>
                <w:spacing w:val="1"/>
              </w:rPr>
              <w:t xml:space="preserve"> </w:t>
            </w:r>
            <w:r w:rsidRPr="000406F5">
              <w:t>directing</w:t>
            </w:r>
            <w:r w:rsidRPr="000406F5">
              <w:rPr>
                <w:spacing w:val="1"/>
              </w:rPr>
              <w:t xml:space="preserve"> </w:t>
            </w:r>
            <w:r w:rsidRPr="000406F5">
              <w:t>the</w:t>
            </w:r>
            <w:r w:rsidRPr="000406F5">
              <w:rPr>
                <w:spacing w:val="1"/>
              </w:rPr>
              <w:t xml:space="preserve"> </w:t>
            </w:r>
            <w:r w:rsidRPr="000406F5">
              <w:t>enterprise</w:t>
            </w:r>
            <w:r w:rsidRPr="000406F5">
              <w:rPr>
                <w:spacing w:val="1"/>
              </w:rPr>
              <w:t xml:space="preserve"> </w:t>
            </w:r>
            <w:r w:rsidRPr="000406F5">
              <w:t>or</w:t>
            </w:r>
            <w:r w:rsidRPr="000406F5">
              <w:rPr>
                <w:spacing w:val="1"/>
              </w:rPr>
              <w:t xml:space="preserve"> </w:t>
            </w:r>
            <w:r w:rsidRPr="000406F5">
              <w:t>a</w:t>
            </w:r>
            <w:r w:rsidRPr="000406F5">
              <w:rPr>
                <w:spacing w:val="1"/>
              </w:rPr>
              <w:t xml:space="preserve"> </w:t>
            </w:r>
            <w:r w:rsidRPr="000406F5">
              <w:t>department or subdivision of it; supervising</w:t>
            </w:r>
            <w:r w:rsidRPr="000406F5">
              <w:rPr>
                <w:spacing w:val="1"/>
              </w:rPr>
              <w:t xml:space="preserve"> </w:t>
            </w:r>
            <w:r w:rsidRPr="000406F5">
              <w:rPr>
                <w:spacing w:val="-1"/>
              </w:rPr>
              <w:t>and</w:t>
            </w:r>
            <w:r w:rsidRPr="000406F5">
              <w:rPr>
                <w:spacing w:val="-12"/>
              </w:rPr>
              <w:t xml:space="preserve"> </w:t>
            </w:r>
            <w:r w:rsidRPr="000406F5">
              <w:rPr>
                <w:spacing w:val="-1"/>
              </w:rPr>
              <w:t>controlling</w:t>
            </w:r>
            <w:r w:rsidRPr="000406F5">
              <w:rPr>
                <w:spacing w:val="-12"/>
              </w:rPr>
              <w:t xml:space="preserve"> </w:t>
            </w:r>
            <w:r w:rsidRPr="000406F5">
              <w:rPr>
                <w:spacing w:val="-1"/>
              </w:rPr>
              <w:t>the</w:t>
            </w:r>
            <w:r w:rsidRPr="000406F5">
              <w:rPr>
                <w:spacing w:val="-13"/>
              </w:rPr>
              <w:t xml:space="preserve"> </w:t>
            </w:r>
            <w:r w:rsidRPr="000406F5">
              <w:rPr>
                <w:spacing w:val="-1"/>
              </w:rPr>
              <w:t>work</w:t>
            </w:r>
            <w:r w:rsidRPr="000406F5">
              <w:rPr>
                <w:spacing w:val="-10"/>
              </w:rPr>
              <w:t xml:space="preserve"> </w:t>
            </w:r>
            <w:r w:rsidRPr="000406F5">
              <w:rPr>
                <w:spacing w:val="-1"/>
              </w:rPr>
              <w:t>of</w:t>
            </w:r>
            <w:r w:rsidRPr="000406F5">
              <w:rPr>
                <w:spacing w:val="-13"/>
              </w:rPr>
              <w:t xml:space="preserve"> </w:t>
            </w:r>
            <w:r w:rsidRPr="000406F5">
              <w:rPr>
                <w:spacing w:val="-1"/>
              </w:rPr>
              <w:t>other</w:t>
            </w:r>
            <w:r w:rsidRPr="000406F5">
              <w:rPr>
                <w:spacing w:val="-13"/>
              </w:rPr>
              <w:t xml:space="preserve"> </w:t>
            </w:r>
            <w:r w:rsidRPr="000406F5">
              <w:rPr>
                <w:spacing w:val="-1"/>
              </w:rPr>
              <w:t>supervisory,</w:t>
            </w:r>
            <w:r w:rsidRPr="000406F5">
              <w:rPr>
                <w:spacing w:val="-53"/>
              </w:rPr>
              <w:t xml:space="preserve"> </w:t>
            </w:r>
            <w:r w:rsidRPr="000406F5">
              <w:t>professional or managerial employees; and</w:t>
            </w:r>
            <w:r w:rsidRPr="000406F5">
              <w:rPr>
                <w:spacing w:val="1"/>
              </w:rPr>
              <w:t xml:space="preserve"> </w:t>
            </w:r>
            <w:r w:rsidRPr="000406F5">
              <w:t>having the authority to establish goals and</w:t>
            </w:r>
            <w:r w:rsidRPr="000406F5">
              <w:rPr>
                <w:spacing w:val="1"/>
              </w:rPr>
              <w:t xml:space="preserve"> </w:t>
            </w:r>
            <w:r w:rsidRPr="000406F5">
              <w:t>policies of the department or subdivision of</w:t>
            </w:r>
            <w:r w:rsidRPr="000406F5">
              <w:rPr>
                <w:spacing w:val="1"/>
              </w:rPr>
              <w:t xml:space="preserve"> </w:t>
            </w:r>
            <w:r w:rsidRPr="000406F5">
              <w:t>the</w:t>
            </w:r>
            <w:r w:rsidRPr="000406F5">
              <w:rPr>
                <w:spacing w:val="-2"/>
              </w:rPr>
              <w:t xml:space="preserve"> </w:t>
            </w:r>
            <w:r w:rsidRPr="000406F5">
              <w:t>enterprise.</w:t>
            </w:r>
          </w:p>
        </w:tc>
        <w:tc>
          <w:tcPr>
            <w:tcW w:w="3765" w:type="dxa"/>
          </w:tcPr>
          <w:p w14:paraId="4E9B9FB1" w14:textId="77777777" w:rsidR="00DC6BFE" w:rsidRDefault="004C238D" w:rsidP="004C238D">
            <w:pPr>
              <w:spacing w:before="60" w:after="60"/>
              <w:jc w:val="both"/>
            </w:pPr>
            <w:r w:rsidRPr="004C238D">
              <w:t>Temporary entry and temporary stay of such natural persons is subject to employer sponsorship.</w:t>
            </w:r>
          </w:p>
          <w:p w14:paraId="5B31E49B" w14:textId="77777777" w:rsidR="004C238D" w:rsidRDefault="004C238D" w:rsidP="004C238D">
            <w:pPr>
              <w:spacing w:before="60" w:after="60"/>
              <w:jc w:val="both"/>
            </w:pPr>
          </w:p>
          <w:p w14:paraId="638BA77F" w14:textId="77777777" w:rsidR="004C238D" w:rsidRPr="004C238D" w:rsidRDefault="004C238D" w:rsidP="004C238D">
            <w:pPr>
              <w:spacing w:before="60" w:after="60"/>
              <w:jc w:val="both"/>
              <w:rPr>
                <w:lang w:val="en-US"/>
              </w:rPr>
            </w:pPr>
            <w:r w:rsidRPr="004C238D">
              <w:rPr>
                <w:lang w:val="en-US"/>
              </w:rPr>
              <w:t>Employer sponsorship requirements, including eligible occupations, may change from time to time. Full details of employer sponsorship requirements, including eligible occupations, are available on the website of the Australian government department responsible for immigration matters:</w:t>
            </w:r>
            <w:r w:rsidRPr="004C238D">
              <w:rPr>
                <w:lang w:val="en-US"/>
              </w:rPr>
              <w:br/>
            </w:r>
          </w:p>
          <w:p w14:paraId="7FA5B057" w14:textId="77777777" w:rsidR="004C238D" w:rsidRPr="004C238D" w:rsidRDefault="00AD1616" w:rsidP="004C238D">
            <w:pPr>
              <w:spacing w:before="60" w:after="60"/>
              <w:jc w:val="both"/>
              <w:rPr>
                <w:lang w:val="en-US"/>
              </w:rPr>
            </w:pPr>
            <w:hyperlink r:id="rId9">
              <w:r w:rsidR="004C238D" w:rsidRPr="004C238D">
                <w:rPr>
                  <w:rStyle w:val="Hyperlink"/>
                  <w:lang w:val="en-US"/>
                </w:rPr>
                <w:t>http://www.homeaffairs.gov.au/</w:t>
              </w:r>
            </w:hyperlink>
          </w:p>
          <w:p w14:paraId="72C80748" w14:textId="77777777" w:rsidR="004C238D" w:rsidRDefault="004C238D" w:rsidP="004C238D">
            <w:pPr>
              <w:spacing w:before="60" w:after="60"/>
              <w:jc w:val="both"/>
            </w:pPr>
          </w:p>
          <w:p w14:paraId="5A094A68" w14:textId="46EAC966" w:rsidR="004C238D" w:rsidRPr="00BF6171" w:rsidRDefault="004C238D" w:rsidP="004C238D">
            <w:pPr>
              <w:spacing w:before="60" w:after="60"/>
              <w:jc w:val="both"/>
            </w:pPr>
            <w:r w:rsidRPr="004C238D">
              <w:rPr>
                <w:lang w:val="en-AU"/>
              </w:rPr>
              <w:t>Temporary entry is for an initial period of stay of up to four years, with the possibility of further stay up to a maximum stay of 14 years.</w:t>
            </w:r>
          </w:p>
        </w:tc>
      </w:tr>
      <w:tr w:rsidR="004C238D" w14:paraId="128F8B8D" w14:textId="77777777" w:rsidTr="00DC6BFE">
        <w:tc>
          <w:tcPr>
            <w:tcW w:w="3814" w:type="dxa"/>
          </w:tcPr>
          <w:p w14:paraId="6C129063" w14:textId="024AA669" w:rsidR="004C238D" w:rsidRPr="004C238D" w:rsidRDefault="004C238D" w:rsidP="004C238D">
            <w:pPr>
              <w:pStyle w:val="ListParagraph"/>
              <w:numPr>
                <w:ilvl w:val="0"/>
                <w:numId w:val="40"/>
              </w:numPr>
              <w:spacing w:before="60" w:after="60"/>
              <w:ind w:left="336"/>
              <w:jc w:val="both"/>
              <w:rPr>
                <w:b/>
                <w:bCs/>
              </w:rPr>
            </w:pPr>
            <w:r w:rsidRPr="003715CA">
              <w:rPr>
                <w:rFonts w:cs="Arial"/>
                <w:b/>
                <w:bCs/>
              </w:rPr>
              <w:t>Specialists</w:t>
            </w:r>
            <w:r w:rsidRPr="003715CA">
              <w:rPr>
                <w:rFonts w:cs="Arial"/>
              </w:rPr>
              <w:t xml:space="preserve"> being natural persons with </w:t>
            </w:r>
            <w:r w:rsidRPr="00E030AF">
              <w:rPr>
                <w:rFonts w:eastAsia="Arial" w:cs="Arial"/>
                <w:lang w:val="en-US"/>
              </w:rPr>
              <w:t>advanced</w:t>
            </w:r>
            <w:r w:rsidRPr="003715CA">
              <w:rPr>
                <w:rFonts w:cs="Arial"/>
              </w:rPr>
              <w:t xml:space="preserve"> trade, technical or professional skills</w:t>
            </w:r>
            <w:r>
              <w:rPr>
                <w:rFonts w:cs="Arial"/>
              </w:rPr>
              <w:t xml:space="preserve"> and experience</w:t>
            </w:r>
            <w:r w:rsidRPr="003715CA">
              <w:rPr>
                <w:rFonts w:cs="Arial"/>
              </w:rPr>
              <w:t xml:space="preserve"> who are employees of an enterprise of another Party operating lawfully and actively in Australia, </w:t>
            </w:r>
            <w:r w:rsidRPr="00273F16">
              <w:rPr>
                <w:rFonts w:cs="Arial"/>
              </w:rPr>
              <w:t>who are assessed as having the necessary qualifications, skills and work experience accepted as meeting the domestic standard in Australia for their nominated occupation, and who have been employed by that employer for not less than two years immediately preceding the date of the application for temporary entry. A specialist may include members of a licensed profession.</w:t>
            </w:r>
          </w:p>
        </w:tc>
        <w:tc>
          <w:tcPr>
            <w:tcW w:w="3765" w:type="dxa"/>
          </w:tcPr>
          <w:p w14:paraId="6234C32D" w14:textId="77777777" w:rsidR="004C238D" w:rsidRDefault="004C238D" w:rsidP="004C238D">
            <w:pPr>
              <w:spacing w:before="60" w:after="60"/>
              <w:jc w:val="both"/>
            </w:pPr>
            <w:r w:rsidRPr="004C238D">
              <w:t>Temporary entry and temporary stay of such natural persons is subject to employer sponsorship.</w:t>
            </w:r>
          </w:p>
          <w:p w14:paraId="04D04D34" w14:textId="77777777" w:rsidR="004C238D" w:rsidRDefault="004C238D" w:rsidP="004C238D">
            <w:pPr>
              <w:spacing w:before="60" w:after="60"/>
              <w:jc w:val="both"/>
            </w:pPr>
          </w:p>
          <w:p w14:paraId="474483CE" w14:textId="77777777" w:rsidR="004C238D" w:rsidRPr="004C238D" w:rsidRDefault="004C238D" w:rsidP="004C238D">
            <w:pPr>
              <w:spacing w:before="60" w:after="60"/>
              <w:jc w:val="both"/>
              <w:rPr>
                <w:lang w:val="en-US"/>
              </w:rPr>
            </w:pPr>
            <w:r w:rsidRPr="004C238D">
              <w:rPr>
                <w:lang w:val="en-US"/>
              </w:rPr>
              <w:t>Employer sponsorship requirements, including eligible occupations, may change from time to time. Full details of employer sponsorship requirements, including eligible occupations, are available on the website of the Australian government department responsible for immigration matters:</w:t>
            </w:r>
          </w:p>
          <w:p w14:paraId="2A81578B" w14:textId="77777777" w:rsidR="004C238D" w:rsidRPr="004C238D" w:rsidRDefault="004C238D" w:rsidP="004C238D">
            <w:pPr>
              <w:spacing w:before="60" w:after="60"/>
              <w:jc w:val="both"/>
              <w:rPr>
                <w:lang w:val="en-US"/>
              </w:rPr>
            </w:pPr>
          </w:p>
          <w:p w14:paraId="3F0843F1" w14:textId="77777777" w:rsidR="004C238D" w:rsidRPr="004C238D" w:rsidRDefault="00AD1616" w:rsidP="004C238D">
            <w:pPr>
              <w:spacing w:before="60" w:after="60"/>
              <w:jc w:val="both"/>
              <w:rPr>
                <w:lang w:val="en-US"/>
              </w:rPr>
            </w:pPr>
            <w:hyperlink r:id="rId10">
              <w:r w:rsidR="004C238D" w:rsidRPr="004C238D">
                <w:rPr>
                  <w:rStyle w:val="Hyperlink"/>
                  <w:lang w:val="en-US"/>
                </w:rPr>
                <w:t>http://www.homeaffairs.gov.au/</w:t>
              </w:r>
            </w:hyperlink>
          </w:p>
          <w:p w14:paraId="19288D33" w14:textId="77777777" w:rsidR="004C238D" w:rsidRDefault="004C238D" w:rsidP="004C238D">
            <w:pPr>
              <w:spacing w:before="60" w:after="60"/>
              <w:jc w:val="both"/>
            </w:pPr>
          </w:p>
          <w:p w14:paraId="1F3A16F6" w14:textId="357D1D73" w:rsidR="004C238D" w:rsidRPr="004C238D" w:rsidRDefault="004C238D" w:rsidP="004C238D">
            <w:pPr>
              <w:spacing w:before="60" w:after="60"/>
              <w:jc w:val="both"/>
              <w:rPr>
                <w:lang w:val="en-US"/>
              </w:rPr>
            </w:pPr>
            <w:r w:rsidRPr="004C238D">
              <w:rPr>
                <w:lang w:val="en-US"/>
              </w:rPr>
              <w:t>Temporary entry is for periods of stay up to two years, with the possibility of further stay.</w:t>
            </w:r>
          </w:p>
        </w:tc>
      </w:tr>
    </w:tbl>
    <w:p w14:paraId="07B7F124" w14:textId="77777777" w:rsidR="004C238D" w:rsidRDefault="004C238D">
      <w:r>
        <w:br w:type="page"/>
      </w:r>
    </w:p>
    <w:tbl>
      <w:tblPr>
        <w:tblStyle w:val="TableGrid"/>
        <w:tblW w:w="0" w:type="auto"/>
        <w:tblLook w:val="04A0" w:firstRow="1" w:lastRow="0" w:firstColumn="1" w:lastColumn="0" w:noHBand="0" w:noVBand="1"/>
      </w:tblPr>
      <w:tblGrid>
        <w:gridCol w:w="3814"/>
        <w:gridCol w:w="3765"/>
      </w:tblGrid>
      <w:tr w:rsidR="004C238D" w14:paraId="1AD7A56C" w14:textId="77777777" w:rsidTr="002E2C7B">
        <w:tc>
          <w:tcPr>
            <w:tcW w:w="7579" w:type="dxa"/>
            <w:gridSpan w:val="2"/>
          </w:tcPr>
          <w:p w14:paraId="5460A646" w14:textId="389A04D3" w:rsidR="004C238D" w:rsidRPr="004C238D" w:rsidRDefault="004C238D" w:rsidP="004C238D">
            <w:pPr>
              <w:pStyle w:val="ListParagraph"/>
              <w:numPr>
                <w:ilvl w:val="0"/>
                <w:numId w:val="31"/>
              </w:numPr>
              <w:spacing w:before="60" w:after="60"/>
              <w:ind w:left="720" w:hanging="720"/>
            </w:pPr>
            <w:r w:rsidRPr="00BF6171">
              <w:rPr>
                <w:b/>
              </w:rPr>
              <w:lastRenderedPageBreak/>
              <w:t>Independent</w:t>
            </w:r>
            <w:r w:rsidRPr="000A2495">
              <w:rPr>
                <w:b/>
              </w:rPr>
              <w:t xml:space="preserve"> </w:t>
            </w:r>
            <w:r w:rsidRPr="00BF6171">
              <w:rPr>
                <w:b/>
              </w:rPr>
              <w:t>Executives</w:t>
            </w:r>
          </w:p>
        </w:tc>
      </w:tr>
      <w:tr w:rsidR="004C238D" w14:paraId="30A48C1D" w14:textId="77777777" w:rsidTr="00DC6BFE">
        <w:tc>
          <w:tcPr>
            <w:tcW w:w="3814" w:type="dxa"/>
          </w:tcPr>
          <w:p w14:paraId="384E61DB" w14:textId="1B78ED62" w:rsidR="004C238D" w:rsidRPr="004C238D" w:rsidRDefault="004C238D" w:rsidP="004C238D">
            <w:pPr>
              <w:spacing w:before="60" w:after="60"/>
              <w:jc w:val="both"/>
              <w:rPr>
                <w:rFonts w:cs="Arial"/>
                <w:b/>
                <w:bCs/>
              </w:rPr>
            </w:pPr>
            <w:r w:rsidRPr="00BF6171">
              <w:rPr>
                <w:b/>
              </w:rPr>
              <w:t xml:space="preserve">Independent executives </w:t>
            </w:r>
            <w:r w:rsidRPr="00BF6171">
              <w:t>being natural persons</w:t>
            </w:r>
            <w:r w:rsidRPr="00BF6171">
              <w:rPr>
                <w:spacing w:val="1"/>
              </w:rPr>
              <w:t xml:space="preserve"> </w:t>
            </w:r>
            <w:r w:rsidRPr="00BF6171">
              <w:rPr>
                <w:spacing w:val="-1"/>
              </w:rPr>
              <w:t>whose</w:t>
            </w:r>
            <w:r w:rsidRPr="00BF6171">
              <w:rPr>
                <w:spacing w:val="-12"/>
              </w:rPr>
              <w:t xml:space="preserve"> </w:t>
            </w:r>
            <w:r w:rsidRPr="00BF6171">
              <w:rPr>
                <w:spacing w:val="-1"/>
              </w:rPr>
              <w:t>work</w:t>
            </w:r>
            <w:r w:rsidRPr="00BF6171">
              <w:rPr>
                <w:spacing w:val="-9"/>
              </w:rPr>
              <w:t xml:space="preserve"> </w:t>
            </w:r>
            <w:r w:rsidRPr="00BF6171">
              <w:rPr>
                <w:spacing w:val="-1"/>
              </w:rPr>
              <w:t>responsibilities</w:t>
            </w:r>
            <w:r w:rsidRPr="00BF6171">
              <w:rPr>
                <w:spacing w:val="-12"/>
              </w:rPr>
              <w:t xml:space="preserve"> </w:t>
            </w:r>
            <w:r w:rsidRPr="00BF6171">
              <w:t>match</w:t>
            </w:r>
            <w:r w:rsidRPr="00BF6171">
              <w:rPr>
                <w:spacing w:val="-14"/>
              </w:rPr>
              <w:t xml:space="preserve"> </w:t>
            </w:r>
            <w:r w:rsidRPr="00BF6171">
              <w:t>the</w:t>
            </w:r>
            <w:r w:rsidRPr="00BF6171">
              <w:rPr>
                <w:spacing w:val="-13"/>
              </w:rPr>
              <w:t xml:space="preserve"> </w:t>
            </w:r>
            <w:r w:rsidRPr="00BF6171">
              <w:t>description</w:t>
            </w:r>
            <w:r w:rsidRPr="00BF6171">
              <w:rPr>
                <w:spacing w:val="-53"/>
              </w:rPr>
              <w:t xml:space="preserve"> </w:t>
            </w:r>
            <w:r w:rsidRPr="00BF6171">
              <w:t xml:space="preserve">set out below and who intend, or are </w:t>
            </w:r>
            <w:proofErr w:type="gramStart"/>
            <w:r w:rsidRPr="00BF6171">
              <w:t>responsible</w:t>
            </w:r>
            <w:r>
              <w:t xml:space="preserve"> </w:t>
            </w:r>
            <w:r w:rsidRPr="00BF6171">
              <w:rPr>
                <w:spacing w:val="-53"/>
              </w:rPr>
              <w:t xml:space="preserve"> </w:t>
            </w:r>
            <w:r w:rsidRPr="00BF6171">
              <w:t>for</w:t>
            </w:r>
            <w:proofErr w:type="gramEnd"/>
            <w:r w:rsidRPr="00BF6171">
              <w:t>,</w:t>
            </w:r>
            <w:r w:rsidRPr="00BF6171">
              <w:rPr>
                <w:spacing w:val="1"/>
              </w:rPr>
              <w:t xml:space="preserve"> </w:t>
            </w:r>
            <w:r w:rsidRPr="00BF6171">
              <w:t>the</w:t>
            </w:r>
            <w:r w:rsidRPr="00BF6171">
              <w:rPr>
                <w:spacing w:val="1"/>
              </w:rPr>
              <w:t xml:space="preserve"> </w:t>
            </w:r>
            <w:r w:rsidRPr="00BF6171">
              <w:t>establishment</w:t>
            </w:r>
            <w:r w:rsidRPr="00BF6171">
              <w:rPr>
                <w:spacing w:val="1"/>
              </w:rPr>
              <w:t xml:space="preserve"> </w:t>
            </w:r>
            <w:r w:rsidRPr="00BF6171">
              <w:t>in</w:t>
            </w:r>
            <w:r w:rsidRPr="00BF6171">
              <w:rPr>
                <w:spacing w:val="1"/>
              </w:rPr>
              <w:t xml:space="preserve"> </w:t>
            </w:r>
            <w:r w:rsidRPr="00BF6171">
              <w:t>Australia</w:t>
            </w:r>
            <w:r w:rsidRPr="004A770C">
              <w:rPr>
                <w:rFonts w:eastAsiaTheme="minorHAnsi"/>
                <w:lang w:val="en-AU"/>
              </w:rPr>
              <w:t>, of a new branch or representative office of an enterprise which has its head of operations in the territory of another Party and which has no other branch or representative office in Australia. Independent executives will be responsible for the entire or a substantial part of the enterprise’s operations in Australia, receiving general supervision or direction principally from higher level executives, the board of directors or stockholders of the enterprise, including directing the enterprise or a department or subdivision of it; supervising and controlling the work of other supervisory, professional or managerial employees; and having the authority to establish goals and policies of the department or subdivision of the enterprise</w:t>
            </w:r>
            <w:r w:rsidRPr="00BF6171">
              <w:t>.</w:t>
            </w:r>
          </w:p>
        </w:tc>
        <w:tc>
          <w:tcPr>
            <w:tcW w:w="3765" w:type="dxa"/>
          </w:tcPr>
          <w:p w14:paraId="16C8DE82" w14:textId="77777777" w:rsidR="004C238D" w:rsidRPr="004C238D" w:rsidRDefault="004C238D" w:rsidP="004C238D">
            <w:pPr>
              <w:spacing w:before="60" w:after="60"/>
              <w:jc w:val="both"/>
              <w:rPr>
                <w:lang w:val="en-US"/>
              </w:rPr>
            </w:pPr>
            <w:r w:rsidRPr="004C238D">
              <w:rPr>
                <w:lang w:val="en-US"/>
              </w:rPr>
              <w:t>Temporary entry and temporary stay of such natural persons is subject to employer sponsorship.</w:t>
            </w:r>
          </w:p>
          <w:p w14:paraId="330CDAC6" w14:textId="77777777" w:rsidR="004C238D" w:rsidRPr="004C238D" w:rsidRDefault="004C238D" w:rsidP="004C238D">
            <w:pPr>
              <w:spacing w:before="60" w:after="60"/>
              <w:jc w:val="both"/>
              <w:rPr>
                <w:lang w:val="en-US"/>
              </w:rPr>
            </w:pPr>
          </w:p>
          <w:p w14:paraId="0F31A497" w14:textId="77777777" w:rsidR="004C238D" w:rsidRPr="004C238D" w:rsidRDefault="004C238D" w:rsidP="004C238D">
            <w:pPr>
              <w:spacing w:before="60" w:after="60"/>
              <w:jc w:val="both"/>
              <w:rPr>
                <w:lang w:val="en-US"/>
              </w:rPr>
            </w:pPr>
            <w:r w:rsidRPr="004C238D">
              <w:rPr>
                <w:lang w:val="en-US"/>
              </w:rPr>
              <w:t>Employer sponsorship requirements, including eligible occupations, may change from time to time. Full details of employer sponsorship requirements, including eligible occupations, are available on the website of the Australian government department responsible for immigration matters:</w:t>
            </w:r>
          </w:p>
          <w:p w14:paraId="7E83F358" w14:textId="77777777" w:rsidR="004C238D" w:rsidRPr="004C238D" w:rsidRDefault="004C238D" w:rsidP="004C238D">
            <w:pPr>
              <w:spacing w:before="60" w:after="60"/>
              <w:jc w:val="both"/>
              <w:rPr>
                <w:lang w:val="en-US"/>
              </w:rPr>
            </w:pPr>
          </w:p>
          <w:p w14:paraId="271B638B" w14:textId="77777777" w:rsidR="004C238D" w:rsidRPr="004C238D" w:rsidRDefault="00AD1616" w:rsidP="004C238D">
            <w:pPr>
              <w:spacing w:before="60" w:after="60"/>
              <w:jc w:val="both"/>
              <w:rPr>
                <w:lang w:val="en-US"/>
              </w:rPr>
            </w:pPr>
            <w:hyperlink r:id="rId11">
              <w:r w:rsidR="004C238D" w:rsidRPr="004C238D">
                <w:rPr>
                  <w:rStyle w:val="Hyperlink"/>
                  <w:lang w:val="en-US"/>
                </w:rPr>
                <w:t>http://www.homeaffairs.gov.au/</w:t>
              </w:r>
            </w:hyperlink>
          </w:p>
          <w:p w14:paraId="60C6869D" w14:textId="77777777" w:rsidR="004C238D" w:rsidRPr="004C238D" w:rsidRDefault="004C238D" w:rsidP="004C238D">
            <w:pPr>
              <w:spacing w:before="60" w:after="60"/>
              <w:jc w:val="both"/>
              <w:rPr>
                <w:lang w:val="en-US"/>
              </w:rPr>
            </w:pPr>
          </w:p>
          <w:p w14:paraId="320CD06C" w14:textId="19E8638F" w:rsidR="004C238D" w:rsidRPr="004C238D" w:rsidRDefault="004C238D" w:rsidP="004C238D">
            <w:pPr>
              <w:spacing w:before="60" w:after="60"/>
              <w:jc w:val="both"/>
            </w:pPr>
            <w:r w:rsidRPr="004C238D">
              <w:rPr>
                <w:lang w:val="en-AU"/>
              </w:rPr>
              <w:t>Temporary entry is for periods of stay up to a maximum of two years.</w:t>
            </w:r>
          </w:p>
        </w:tc>
      </w:tr>
      <w:tr w:rsidR="004C238D" w14:paraId="74D8A5FA" w14:textId="77777777" w:rsidTr="004E4A83">
        <w:tc>
          <w:tcPr>
            <w:tcW w:w="7579" w:type="dxa"/>
            <w:gridSpan w:val="2"/>
          </w:tcPr>
          <w:p w14:paraId="7CB2DD17" w14:textId="13109367" w:rsidR="004C238D" w:rsidRPr="004C238D" w:rsidRDefault="004C238D" w:rsidP="004C238D">
            <w:pPr>
              <w:pStyle w:val="ListParagraph"/>
              <w:numPr>
                <w:ilvl w:val="0"/>
                <w:numId w:val="31"/>
              </w:numPr>
              <w:spacing w:before="60" w:after="60"/>
              <w:ind w:left="720" w:hanging="720"/>
              <w:rPr>
                <w:lang w:val="en-US"/>
              </w:rPr>
            </w:pPr>
            <w:r w:rsidRPr="00BF6171">
              <w:rPr>
                <w:b/>
              </w:rPr>
              <w:t>Contractual</w:t>
            </w:r>
            <w:r w:rsidRPr="00BF6171">
              <w:rPr>
                <w:b/>
                <w:spacing w:val="-3"/>
              </w:rPr>
              <w:t xml:space="preserve"> </w:t>
            </w:r>
            <w:r w:rsidRPr="00BF6171">
              <w:rPr>
                <w:b/>
              </w:rPr>
              <w:t>Service</w:t>
            </w:r>
            <w:r w:rsidRPr="00BF6171">
              <w:rPr>
                <w:b/>
                <w:spacing w:val="-2"/>
              </w:rPr>
              <w:t xml:space="preserve"> </w:t>
            </w:r>
            <w:r w:rsidRPr="00BF6171">
              <w:rPr>
                <w:b/>
              </w:rPr>
              <w:t>Suppliers</w:t>
            </w:r>
          </w:p>
        </w:tc>
      </w:tr>
      <w:tr w:rsidR="004C238D" w14:paraId="5BDD175C" w14:textId="77777777" w:rsidTr="00DC6BFE">
        <w:tc>
          <w:tcPr>
            <w:tcW w:w="3814" w:type="dxa"/>
          </w:tcPr>
          <w:p w14:paraId="1CA08BF6" w14:textId="77777777" w:rsidR="004C238D" w:rsidRPr="004C238D" w:rsidRDefault="004C238D" w:rsidP="004C238D">
            <w:pPr>
              <w:spacing w:before="60" w:after="60"/>
              <w:jc w:val="both"/>
              <w:rPr>
                <w:bCs/>
                <w:lang w:val="en-US"/>
              </w:rPr>
            </w:pPr>
            <w:r w:rsidRPr="004C238D">
              <w:rPr>
                <w:b/>
                <w:lang w:val="en-US"/>
              </w:rPr>
              <w:t xml:space="preserve">Contractual service suppliers </w:t>
            </w:r>
            <w:r w:rsidRPr="004C238D">
              <w:rPr>
                <w:bCs/>
                <w:lang w:val="en-US"/>
              </w:rPr>
              <w:t>(including Independent Professionals or Specialists)</w:t>
            </w:r>
          </w:p>
          <w:p w14:paraId="56262FE9" w14:textId="77777777" w:rsidR="004C238D" w:rsidRPr="004C238D" w:rsidRDefault="004C238D" w:rsidP="004C238D">
            <w:pPr>
              <w:spacing w:before="60" w:after="60"/>
              <w:jc w:val="both"/>
              <w:rPr>
                <w:bCs/>
                <w:lang w:val="en-US"/>
              </w:rPr>
            </w:pPr>
          </w:p>
          <w:p w14:paraId="1208EBCB" w14:textId="23F1B575" w:rsidR="004C238D" w:rsidRPr="004C238D" w:rsidRDefault="004C238D" w:rsidP="004C238D">
            <w:pPr>
              <w:spacing w:before="60" w:after="60"/>
              <w:jc w:val="both"/>
              <w:rPr>
                <w:bCs/>
                <w:lang w:val="en-US"/>
              </w:rPr>
            </w:pPr>
            <w:r w:rsidRPr="004C238D">
              <w:rPr>
                <w:bCs/>
                <w:lang w:val="en-US"/>
              </w:rPr>
              <w:t>Contractual service suppliers being natural persons with trade, technical or professional skills and experience who are assessed as having the necessary qualifications, skills and work experience accepted as meeting the domestic standard in Australia for their nominated occupation, and who are:</w:t>
            </w:r>
          </w:p>
          <w:p w14:paraId="7B4A7EAB" w14:textId="77777777" w:rsidR="004C238D" w:rsidRPr="004C238D" w:rsidRDefault="004C238D" w:rsidP="004C238D">
            <w:pPr>
              <w:spacing w:before="60" w:after="60"/>
              <w:jc w:val="both"/>
              <w:rPr>
                <w:bCs/>
                <w:lang w:val="en-US"/>
              </w:rPr>
            </w:pPr>
          </w:p>
          <w:p w14:paraId="73EA619A" w14:textId="77777777" w:rsidR="004C238D" w:rsidRPr="004C238D" w:rsidRDefault="004C238D" w:rsidP="004C238D">
            <w:pPr>
              <w:numPr>
                <w:ilvl w:val="0"/>
                <w:numId w:val="41"/>
              </w:numPr>
              <w:spacing w:before="60" w:after="60"/>
              <w:ind w:left="360"/>
              <w:jc w:val="both"/>
              <w:rPr>
                <w:bCs/>
                <w:lang w:val="en-US"/>
              </w:rPr>
            </w:pPr>
            <w:r w:rsidRPr="004C238D">
              <w:rPr>
                <w:bCs/>
                <w:lang w:val="en-US"/>
              </w:rPr>
              <w:t>employees of an enterprise of another Party that has concluded a contract for the supply of a service within Australia and that does not have a commercial presence within Australia; or</w:t>
            </w:r>
          </w:p>
          <w:p w14:paraId="01AF37FA" w14:textId="77777777" w:rsidR="004C238D" w:rsidRPr="004C238D" w:rsidRDefault="004C238D" w:rsidP="004C238D">
            <w:pPr>
              <w:spacing w:before="60" w:after="60"/>
              <w:jc w:val="both"/>
              <w:rPr>
                <w:bCs/>
                <w:lang w:val="en-US"/>
              </w:rPr>
            </w:pPr>
          </w:p>
          <w:p w14:paraId="70C477CE" w14:textId="3A031C01" w:rsidR="004C238D" w:rsidRPr="00BF6171" w:rsidRDefault="004C238D" w:rsidP="004C238D">
            <w:pPr>
              <w:numPr>
                <w:ilvl w:val="0"/>
                <w:numId w:val="41"/>
              </w:numPr>
              <w:spacing w:before="60" w:after="60"/>
              <w:ind w:left="360"/>
              <w:jc w:val="both"/>
              <w:rPr>
                <w:b/>
              </w:rPr>
            </w:pPr>
            <w:r w:rsidRPr="004C238D">
              <w:rPr>
                <w:bCs/>
                <w:lang w:val="en-AU"/>
              </w:rPr>
              <w:t xml:space="preserve">engaged by an enterprise lawfully and </w:t>
            </w:r>
            <w:r w:rsidRPr="004C238D">
              <w:rPr>
                <w:bCs/>
                <w:lang w:val="en-US"/>
              </w:rPr>
              <w:t>actively</w:t>
            </w:r>
            <w:r w:rsidRPr="004C238D">
              <w:rPr>
                <w:bCs/>
                <w:lang w:val="en-AU"/>
              </w:rPr>
              <w:t xml:space="preserve"> operating in Australia in order to supply a service under a contract within Australia.</w:t>
            </w:r>
          </w:p>
        </w:tc>
        <w:tc>
          <w:tcPr>
            <w:tcW w:w="3765" w:type="dxa"/>
          </w:tcPr>
          <w:p w14:paraId="14FCDFCC" w14:textId="77777777" w:rsidR="004C238D" w:rsidRPr="004C238D" w:rsidRDefault="004C238D" w:rsidP="004C238D">
            <w:pPr>
              <w:spacing w:before="60" w:after="60"/>
              <w:jc w:val="both"/>
              <w:rPr>
                <w:lang w:val="en-US"/>
              </w:rPr>
            </w:pPr>
            <w:r w:rsidRPr="004C238D">
              <w:rPr>
                <w:lang w:val="en-US"/>
              </w:rPr>
              <w:t>Temporary entry and temporary stay of such natural persons is subject to employer sponsorship.</w:t>
            </w:r>
          </w:p>
          <w:p w14:paraId="442244D7" w14:textId="77777777" w:rsidR="004C238D" w:rsidRPr="004C238D" w:rsidRDefault="004C238D" w:rsidP="004C238D">
            <w:pPr>
              <w:spacing w:before="60" w:after="60"/>
              <w:jc w:val="both"/>
              <w:rPr>
                <w:lang w:val="en-US"/>
              </w:rPr>
            </w:pPr>
          </w:p>
          <w:p w14:paraId="71B7BAA1" w14:textId="77777777" w:rsidR="004C238D" w:rsidRPr="004C238D" w:rsidRDefault="004C238D" w:rsidP="004C238D">
            <w:pPr>
              <w:spacing w:before="60" w:after="60"/>
              <w:jc w:val="both"/>
              <w:rPr>
                <w:lang w:val="en-US"/>
              </w:rPr>
            </w:pPr>
            <w:r w:rsidRPr="004C238D">
              <w:rPr>
                <w:lang w:val="en-US"/>
              </w:rPr>
              <w:t>Employer sponsorship requirements, including eligible occupations, may change from time to time. Full details of employer sponsorship requirements, including eligible occupations, are available on the website of the Australian government department responsible for immigration matters:</w:t>
            </w:r>
          </w:p>
          <w:p w14:paraId="307F9A1E" w14:textId="77777777" w:rsidR="004C238D" w:rsidRPr="004C238D" w:rsidRDefault="004C238D" w:rsidP="004C238D">
            <w:pPr>
              <w:spacing w:before="60" w:after="60"/>
              <w:jc w:val="both"/>
              <w:rPr>
                <w:lang w:val="en-US"/>
              </w:rPr>
            </w:pPr>
          </w:p>
          <w:p w14:paraId="2A482C78" w14:textId="4AE70B8D" w:rsidR="004C238D" w:rsidRPr="004C238D" w:rsidRDefault="00AD1616" w:rsidP="004C238D">
            <w:pPr>
              <w:spacing w:before="60" w:after="60"/>
              <w:jc w:val="both"/>
              <w:rPr>
                <w:lang w:val="en-US"/>
              </w:rPr>
            </w:pPr>
            <w:hyperlink r:id="rId12" w:history="1">
              <w:r w:rsidR="004C238D" w:rsidRPr="00303D91">
                <w:rPr>
                  <w:rStyle w:val="Hyperlink"/>
                  <w:lang w:val="en-US"/>
                </w:rPr>
                <w:t>http://www.homeaffairs.gov.au/</w:t>
              </w:r>
            </w:hyperlink>
            <w:r w:rsidR="004C238D">
              <w:rPr>
                <w:lang w:val="en-US"/>
              </w:rPr>
              <w:t xml:space="preserve"> </w:t>
            </w:r>
          </w:p>
          <w:p w14:paraId="2DDEBA95" w14:textId="77777777" w:rsidR="004C238D" w:rsidRPr="004C238D" w:rsidRDefault="004C238D" w:rsidP="004C238D">
            <w:pPr>
              <w:spacing w:before="60" w:after="60"/>
              <w:jc w:val="both"/>
              <w:rPr>
                <w:lang w:val="en-US"/>
              </w:rPr>
            </w:pPr>
          </w:p>
          <w:p w14:paraId="54A8A871" w14:textId="77777777" w:rsidR="004C238D" w:rsidRPr="004C238D" w:rsidRDefault="004C238D" w:rsidP="004C238D">
            <w:pPr>
              <w:spacing w:before="60" w:after="60"/>
              <w:jc w:val="both"/>
              <w:rPr>
                <w:lang w:val="en-US"/>
              </w:rPr>
            </w:pPr>
            <w:proofErr w:type="spellStart"/>
            <w:r w:rsidRPr="004C238D">
              <w:rPr>
                <w:lang w:val="en-US"/>
              </w:rPr>
              <w:t>Labour</w:t>
            </w:r>
            <w:proofErr w:type="spellEnd"/>
            <w:r w:rsidRPr="004C238D">
              <w:rPr>
                <w:lang w:val="en-US"/>
              </w:rPr>
              <w:t xml:space="preserve"> market testing may be required for some occupations, to the extent that this is not inconsistent with Australia’s commitments under the WTO.</w:t>
            </w:r>
          </w:p>
          <w:p w14:paraId="6552C75F" w14:textId="77777777" w:rsidR="004C238D" w:rsidRPr="004C238D" w:rsidRDefault="004C238D" w:rsidP="004C238D">
            <w:pPr>
              <w:spacing w:before="60" w:after="60"/>
              <w:jc w:val="both"/>
              <w:rPr>
                <w:lang w:val="en-US"/>
              </w:rPr>
            </w:pPr>
          </w:p>
          <w:p w14:paraId="3C3517C1" w14:textId="08CE8308" w:rsidR="004C238D" w:rsidRPr="004C238D" w:rsidRDefault="004C238D" w:rsidP="004C238D">
            <w:pPr>
              <w:spacing w:before="60" w:after="60"/>
              <w:jc w:val="both"/>
              <w:rPr>
                <w:lang w:val="en-US"/>
              </w:rPr>
            </w:pPr>
            <w:r w:rsidRPr="004C238D">
              <w:rPr>
                <w:lang w:val="en-US"/>
              </w:rPr>
              <w:t>Temporary entry is for periods of stay up to 12 months, with the possibility of further stay.</w:t>
            </w:r>
          </w:p>
        </w:tc>
      </w:tr>
    </w:tbl>
    <w:p w14:paraId="716C0A20" w14:textId="77777777" w:rsidR="004C238D" w:rsidRDefault="004C238D">
      <w:r>
        <w:br w:type="page"/>
      </w:r>
    </w:p>
    <w:tbl>
      <w:tblPr>
        <w:tblStyle w:val="TableGrid"/>
        <w:tblW w:w="0" w:type="auto"/>
        <w:tblLook w:val="04A0" w:firstRow="1" w:lastRow="0" w:firstColumn="1" w:lastColumn="0" w:noHBand="0" w:noVBand="1"/>
      </w:tblPr>
      <w:tblGrid>
        <w:gridCol w:w="3814"/>
        <w:gridCol w:w="3765"/>
      </w:tblGrid>
      <w:tr w:rsidR="004C238D" w14:paraId="67A767D9" w14:textId="77777777" w:rsidTr="007A09B9">
        <w:tc>
          <w:tcPr>
            <w:tcW w:w="7579" w:type="dxa"/>
            <w:gridSpan w:val="2"/>
          </w:tcPr>
          <w:p w14:paraId="34E24615" w14:textId="58B6A1DA" w:rsidR="004C238D" w:rsidRPr="004C238D" w:rsidRDefault="004C238D" w:rsidP="004C238D">
            <w:pPr>
              <w:pStyle w:val="ListParagraph"/>
              <w:numPr>
                <w:ilvl w:val="0"/>
                <w:numId w:val="31"/>
              </w:numPr>
              <w:spacing w:before="60" w:after="60"/>
              <w:ind w:left="720" w:hanging="720"/>
              <w:rPr>
                <w:lang w:val="en-US"/>
              </w:rPr>
            </w:pPr>
            <w:r w:rsidRPr="00BF6171">
              <w:rPr>
                <w:b/>
              </w:rPr>
              <w:lastRenderedPageBreak/>
              <w:t>Spouses</w:t>
            </w:r>
          </w:p>
        </w:tc>
      </w:tr>
      <w:tr w:rsidR="004C238D" w14:paraId="086A3309" w14:textId="77777777" w:rsidTr="00DC6BFE">
        <w:tc>
          <w:tcPr>
            <w:tcW w:w="3814" w:type="dxa"/>
          </w:tcPr>
          <w:p w14:paraId="31232CAA" w14:textId="7C72966F" w:rsidR="004C238D" w:rsidRPr="004C238D" w:rsidRDefault="004C238D" w:rsidP="004C238D">
            <w:pPr>
              <w:spacing w:before="60" w:after="60"/>
              <w:jc w:val="both"/>
              <w:rPr>
                <w:b/>
                <w:lang w:val="en-US"/>
              </w:rPr>
            </w:pPr>
            <w:r>
              <w:t>S</w:t>
            </w:r>
            <w:r w:rsidRPr="00BF6171">
              <w:t>pouses</w:t>
            </w:r>
            <w:r w:rsidRPr="000A2495">
              <w:t xml:space="preserve"> </w:t>
            </w:r>
            <w:r w:rsidRPr="00BF6171">
              <w:t>of</w:t>
            </w:r>
            <w:r w:rsidRPr="000A2495">
              <w:t xml:space="preserve"> </w:t>
            </w:r>
            <w:r w:rsidRPr="00BF6171">
              <w:t>temporary</w:t>
            </w:r>
            <w:r w:rsidRPr="000A2495">
              <w:t xml:space="preserve"> </w:t>
            </w:r>
            <w:r w:rsidRPr="00BF6171">
              <w:t>entrants</w:t>
            </w:r>
            <w:r w:rsidRPr="000A2495">
              <w:t xml:space="preserve"> </w:t>
            </w:r>
            <w:r w:rsidRPr="00BF6171">
              <w:t>covered</w:t>
            </w:r>
            <w:r w:rsidRPr="000A2495">
              <w:t xml:space="preserve"> </w:t>
            </w:r>
            <w:r w:rsidRPr="00BF6171">
              <w:t>by</w:t>
            </w:r>
            <w:r w:rsidRPr="000A2495">
              <w:t xml:space="preserve"> </w:t>
            </w:r>
            <w:r w:rsidRPr="00BF6171">
              <w:t>(B),</w:t>
            </w:r>
            <w:r>
              <w:t xml:space="preserve"> </w:t>
            </w:r>
            <w:r w:rsidRPr="000A2495">
              <w:t xml:space="preserve">(C) and (D) are accorded full working rights </w:t>
            </w:r>
            <w:r w:rsidRPr="00BF6171">
              <w:t>where</w:t>
            </w:r>
            <w:r w:rsidRPr="000A2495">
              <w:t xml:space="preserve"> the </w:t>
            </w:r>
            <w:r w:rsidRPr="00BF6171">
              <w:t>stay of those temporary entrants is</w:t>
            </w:r>
            <w:r>
              <w:t xml:space="preserve"> 12 months</w:t>
            </w:r>
            <w:r w:rsidRPr="00BF6171">
              <w:t xml:space="preserve"> </w:t>
            </w:r>
            <w:r w:rsidRPr="003715CA">
              <w:t>or more.</w:t>
            </w:r>
          </w:p>
        </w:tc>
        <w:tc>
          <w:tcPr>
            <w:tcW w:w="3765" w:type="dxa"/>
          </w:tcPr>
          <w:p w14:paraId="2D754F26" w14:textId="1D146913" w:rsidR="004C238D" w:rsidRPr="004C238D" w:rsidRDefault="004C238D" w:rsidP="004C238D">
            <w:pPr>
              <w:spacing w:before="60" w:after="60"/>
              <w:jc w:val="both"/>
              <w:rPr>
                <w:lang w:val="en-US"/>
              </w:rPr>
            </w:pPr>
            <w:r w:rsidRPr="00BF6171">
              <w:t>For</w:t>
            </w:r>
            <w:r w:rsidRPr="00BF6171">
              <w:rPr>
                <w:spacing w:val="1"/>
              </w:rPr>
              <w:t xml:space="preserve"> </w:t>
            </w:r>
            <w:r w:rsidRPr="00BF6171">
              <w:t>such</w:t>
            </w:r>
            <w:r w:rsidRPr="00BF6171">
              <w:rPr>
                <w:spacing w:val="1"/>
              </w:rPr>
              <w:t xml:space="preserve"> </w:t>
            </w:r>
            <w:r w:rsidRPr="00BF6171">
              <w:t>spouses,</w:t>
            </w:r>
            <w:r w:rsidRPr="00BF6171">
              <w:rPr>
                <w:spacing w:val="1"/>
              </w:rPr>
              <w:t xml:space="preserve"> </w:t>
            </w:r>
            <w:r w:rsidRPr="00BF6171">
              <w:t>temporary</w:t>
            </w:r>
            <w:r w:rsidRPr="00BF6171">
              <w:rPr>
                <w:spacing w:val="1"/>
              </w:rPr>
              <w:t xml:space="preserve"> </w:t>
            </w:r>
            <w:r w:rsidRPr="00BF6171">
              <w:t>entry</w:t>
            </w:r>
            <w:r w:rsidRPr="00BF6171">
              <w:rPr>
                <w:spacing w:val="1"/>
              </w:rPr>
              <w:t xml:space="preserve"> </w:t>
            </w:r>
            <w:r w:rsidRPr="00BF6171">
              <w:t>and</w:t>
            </w:r>
            <w:r w:rsidRPr="00BF6171">
              <w:rPr>
                <w:spacing w:val="1"/>
              </w:rPr>
              <w:t xml:space="preserve"> </w:t>
            </w:r>
            <w:r w:rsidRPr="00BF6171">
              <w:t>temporary stay is for the same period as for the</w:t>
            </w:r>
            <w:r w:rsidRPr="00BF6171">
              <w:rPr>
                <w:spacing w:val="1"/>
              </w:rPr>
              <w:t xml:space="preserve"> </w:t>
            </w:r>
            <w:r w:rsidRPr="00BF6171">
              <w:t>temporary</w:t>
            </w:r>
            <w:r w:rsidRPr="00BF6171">
              <w:rPr>
                <w:spacing w:val="-6"/>
              </w:rPr>
              <w:t xml:space="preserve"> </w:t>
            </w:r>
            <w:r w:rsidRPr="00BF6171">
              <w:t>entrant.</w:t>
            </w:r>
          </w:p>
        </w:tc>
      </w:tr>
    </w:tbl>
    <w:p w14:paraId="61E9B382" w14:textId="77777777" w:rsidR="009962A9" w:rsidRPr="00031696" w:rsidRDefault="009962A9" w:rsidP="009962A9"/>
    <w:sectPr w:rsidR="009962A9" w:rsidRPr="00031696" w:rsidSect="00C77AF2">
      <w:footerReference w:type="default" r:id="rId13"/>
      <w:headerReference w:type="first" r:id="rId14"/>
      <w:pgSz w:w="11909" w:h="16834" w:code="9"/>
      <w:pgMar w:top="2304" w:right="2160" w:bottom="1800" w:left="2160" w:header="72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5FD3" w14:textId="77777777" w:rsidR="008F31B9" w:rsidRDefault="008F31B9">
      <w:r>
        <w:separator/>
      </w:r>
    </w:p>
  </w:endnote>
  <w:endnote w:type="continuationSeparator" w:id="0">
    <w:p w14:paraId="24114F40" w14:textId="77777777" w:rsidR="008F31B9" w:rsidRDefault="008F31B9">
      <w:r>
        <w:continuationSeparator/>
      </w:r>
    </w:p>
  </w:endnote>
  <w:endnote w:type="continuationNotice" w:id="1">
    <w:p w14:paraId="4EBC90FD" w14:textId="77777777" w:rsidR="008F31B9" w:rsidRDefault="008F3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4330" w:tblpY="-39"/>
      <w:tblW w:w="0" w:type="auto"/>
      <w:tblLook w:val="04A0" w:firstRow="1" w:lastRow="0" w:firstColumn="1" w:lastColumn="0" w:noHBand="0" w:noVBand="1"/>
    </w:tblPr>
    <w:tblGrid>
      <w:gridCol w:w="4439"/>
    </w:tblGrid>
    <w:tr w:rsidR="00DD54E9" w:rsidRPr="00CF0495" w14:paraId="56A7C1AB" w14:textId="77777777" w:rsidTr="004B70A8">
      <w:trPr>
        <w:trHeight w:val="196"/>
      </w:trPr>
      <w:tc>
        <w:tcPr>
          <w:tcW w:w="4439" w:type="dxa"/>
          <w:tcBorders>
            <w:top w:val="nil"/>
            <w:left w:val="nil"/>
            <w:bottom w:val="nil"/>
            <w:right w:val="nil"/>
          </w:tcBorders>
        </w:tcPr>
        <w:p w14:paraId="4D7683B6" w14:textId="61EA36FB" w:rsidR="00DD54E9" w:rsidRPr="00AD60CD" w:rsidRDefault="00DD54E9" w:rsidP="00DD54E9">
          <w:pPr>
            <w:pStyle w:val="Footer"/>
            <w:tabs>
              <w:tab w:val="clear" w:pos="4320"/>
              <w:tab w:val="clear" w:pos="8640"/>
            </w:tabs>
          </w:pPr>
          <w:r w:rsidRPr="00AD60CD">
            <w:t>A</w:t>
          </w:r>
          <w:r w:rsidR="00500E58" w:rsidRPr="00AD60CD">
            <w:t xml:space="preserve">NNEX </w:t>
          </w:r>
          <w:r w:rsidR="00AD60CD">
            <w:t>4</w:t>
          </w:r>
          <w:r w:rsidR="00500E58" w:rsidRPr="00AD60CD">
            <w:t xml:space="preserve"> – </w:t>
          </w:r>
          <w:r w:rsidR="004C238D" w:rsidRPr="00AD60CD">
            <w:t>AUSTRALIA</w:t>
          </w:r>
          <w:r w:rsidR="00500E58" w:rsidRPr="00AD60CD">
            <w:t xml:space="preserve"> –</w:t>
          </w:r>
          <w:r w:rsidRPr="00AD60CD">
            <w:t xml:space="preserve"> </w:t>
          </w:r>
          <w:r w:rsidRPr="00AD60CD">
            <w:fldChar w:fldCharType="begin"/>
          </w:r>
          <w:r w:rsidRPr="00AD60CD">
            <w:instrText xml:space="preserve"> PAGE   \* MERGEFORMAT </w:instrText>
          </w:r>
          <w:r w:rsidRPr="00AD60CD">
            <w:fldChar w:fldCharType="separate"/>
          </w:r>
          <w:r w:rsidR="00500E58" w:rsidRPr="00AD60CD">
            <w:rPr>
              <w:noProof/>
            </w:rPr>
            <w:t>1</w:t>
          </w:r>
          <w:r w:rsidRPr="00AD60CD">
            <w:rPr>
              <w:noProof/>
            </w:rPr>
            <w:fldChar w:fldCharType="end"/>
          </w:r>
        </w:p>
      </w:tc>
    </w:tr>
  </w:tbl>
  <w:p w14:paraId="57E7E0FE" w14:textId="77777777" w:rsidR="009A4CED" w:rsidRPr="00151B2F" w:rsidRDefault="009A4CED" w:rsidP="00B66C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770A" w14:textId="77777777" w:rsidR="008F31B9" w:rsidRDefault="008F31B9">
      <w:r>
        <w:separator/>
      </w:r>
    </w:p>
  </w:footnote>
  <w:footnote w:type="continuationSeparator" w:id="0">
    <w:p w14:paraId="5FF6F5C3" w14:textId="77777777" w:rsidR="008F31B9" w:rsidRDefault="008F31B9">
      <w:r>
        <w:continuationSeparator/>
      </w:r>
    </w:p>
  </w:footnote>
  <w:footnote w:type="continuationNotice" w:id="1">
    <w:p w14:paraId="2EFCAAB8" w14:textId="77777777" w:rsidR="008F31B9" w:rsidRDefault="008F3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DC9D" w14:textId="77777777" w:rsidR="009A4CED" w:rsidRDefault="009A4CED" w:rsidP="009A4CED">
    <w:pPr>
      <w:tabs>
        <w:tab w:val="center" w:pos="6979"/>
      </w:tabs>
      <w:suppressAutoHyphens/>
      <w:jc w:val="center"/>
      <w:rPr>
        <w:rFonts w:cs="Arial"/>
        <w:b/>
        <w:bCs/>
      </w:rPr>
    </w:pPr>
  </w:p>
  <w:p w14:paraId="08085E90" w14:textId="77777777" w:rsidR="009A4CED" w:rsidRPr="00786242" w:rsidRDefault="009A4CED" w:rsidP="00E633A1">
    <w:pPr>
      <w:pStyle w:val="Heading1"/>
    </w:pPr>
    <w:r w:rsidRPr="00786242">
      <w:t>BRUNEI DARUSSALAM – SCHEDULE OF  COMMITMENTS</w:t>
    </w:r>
  </w:p>
  <w:p w14:paraId="44206087" w14:textId="77777777" w:rsidR="009A4CED" w:rsidRDefault="009A4CED" w:rsidP="009A4CED"/>
  <w:p w14:paraId="2923E6F2" w14:textId="77777777" w:rsidR="009A4CED" w:rsidRDefault="009A4CED" w:rsidP="009A4CED">
    <w:pPr>
      <w:pStyle w:val="Centered"/>
    </w:pPr>
    <w:r>
      <w:t>For the 6</w:t>
    </w:r>
    <w:r w:rsidRPr="00FF3795">
      <w:rPr>
        <w:vertAlign w:val="superscript"/>
      </w:rPr>
      <w:t>th</w:t>
    </w:r>
    <w:r>
      <w:t xml:space="preserve"> Package of Commitments under ASEAN Framework Agreement on Services</w:t>
    </w:r>
  </w:p>
  <w:p w14:paraId="615FABD4" w14:textId="77777777" w:rsidR="009A4CED" w:rsidRDefault="009A4CED" w:rsidP="009A4CED">
    <w:pPr>
      <w:pStyle w:val="Header"/>
      <w:tabs>
        <w:tab w:val="clear" w:pos="4320"/>
        <w:tab w:val="clear" w:pos="8640"/>
      </w:tabs>
    </w:pPr>
  </w:p>
  <w:p w14:paraId="2E4FBCA8" w14:textId="6E4102F0" w:rsidR="009A4CED" w:rsidRPr="00FF3795" w:rsidRDefault="009A4CED" w:rsidP="009A4CED">
    <w:pPr>
      <w:pStyle w:val="Header"/>
      <w:tabs>
        <w:tab w:val="clear" w:pos="4320"/>
        <w:tab w:val="clear" w:pos="8640"/>
      </w:tabs>
    </w:pPr>
    <w:r w:rsidRPr="00FF3795">
      <w:t>Modes of Supply:</w:t>
    </w:r>
    <w:r>
      <w:t xml:space="preserve">  </w:t>
    </w:r>
    <w:r w:rsidRPr="00FF3795">
      <w:tab/>
      <w:t>1) Cross-border supply</w:t>
    </w:r>
    <w:r>
      <w:t xml:space="preserve">   </w:t>
    </w:r>
    <w:r w:rsidRPr="00FF3795">
      <w:tab/>
      <w:t xml:space="preserve">2) Consumption </w:t>
    </w:r>
    <w:r w:rsidR="000B0F17">
      <w:t>abroad</w:t>
    </w:r>
    <w:r>
      <w:t xml:space="preserve">  </w:t>
    </w:r>
    <w:r w:rsidRPr="00FF3795">
      <w:tab/>
      <w:t>3) Commercial presence</w:t>
    </w:r>
    <w:r>
      <w:t xml:space="preserve">  </w:t>
    </w:r>
    <w:r w:rsidRPr="00FF3795">
      <w:tab/>
      <w:t>4) Presence of natural persons</w:t>
    </w:r>
  </w:p>
  <w:p w14:paraId="44054E4D" w14:textId="77777777" w:rsidR="009A4CED" w:rsidRDefault="009A4CED" w:rsidP="009A4CED">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4020"/>
      <w:gridCol w:w="4020"/>
      <w:gridCol w:w="2542"/>
    </w:tblGrid>
    <w:tr w:rsidR="009A4CED" w:rsidRPr="00E62199" w14:paraId="23FD92C4" w14:textId="77777777" w:rsidTr="009A4CED">
      <w:trPr>
        <w:tblHeader/>
      </w:trPr>
      <w:tc>
        <w:tcPr>
          <w:tcW w:w="3588" w:type="dxa"/>
          <w:tcBorders>
            <w:bottom w:val="single" w:sz="4" w:space="0" w:color="auto"/>
          </w:tcBorders>
          <w:shd w:val="clear" w:color="auto" w:fill="auto"/>
          <w:vAlign w:val="center"/>
        </w:tcPr>
        <w:p w14:paraId="1A99AE93" w14:textId="77777777" w:rsidR="009A4CED" w:rsidRPr="005E7882" w:rsidRDefault="009A4CED" w:rsidP="00E633A1">
          <w:pPr>
            <w:pStyle w:val="Heading1"/>
            <w:rPr>
              <w:rFonts w:eastAsia="SimSun"/>
            </w:rPr>
          </w:pPr>
          <w:r w:rsidRPr="005E7882">
            <w:rPr>
              <w:rFonts w:eastAsia="SimSun"/>
            </w:rPr>
            <w:t>Sector or Subsector</w:t>
          </w:r>
        </w:p>
      </w:tc>
      <w:tc>
        <w:tcPr>
          <w:tcW w:w="4020" w:type="dxa"/>
          <w:tcBorders>
            <w:bottom w:val="single" w:sz="4" w:space="0" w:color="auto"/>
          </w:tcBorders>
          <w:shd w:val="clear" w:color="auto" w:fill="auto"/>
          <w:vAlign w:val="center"/>
        </w:tcPr>
        <w:p w14:paraId="14CB05A3" w14:textId="77777777" w:rsidR="009A4CED" w:rsidRPr="005E7882" w:rsidRDefault="009A4CED" w:rsidP="00E633A1">
          <w:pPr>
            <w:pStyle w:val="Heading1"/>
            <w:rPr>
              <w:rFonts w:eastAsia="SimSun"/>
            </w:rPr>
          </w:pPr>
          <w:r w:rsidRPr="005E7882">
            <w:rPr>
              <w:rFonts w:eastAsia="SimSun"/>
            </w:rPr>
            <w:t>Limitation on</w:t>
          </w:r>
        </w:p>
        <w:p w14:paraId="4BA3F596" w14:textId="77777777" w:rsidR="009A4CED" w:rsidRPr="005E7882" w:rsidRDefault="009A4CED" w:rsidP="00E633A1">
          <w:pPr>
            <w:pStyle w:val="Heading1"/>
            <w:rPr>
              <w:rFonts w:eastAsia="SimSun"/>
            </w:rPr>
          </w:pPr>
          <w:r w:rsidRPr="005E7882">
            <w:rPr>
              <w:rFonts w:eastAsia="SimSun"/>
            </w:rPr>
            <w:t>Market Access</w:t>
          </w:r>
        </w:p>
      </w:tc>
      <w:tc>
        <w:tcPr>
          <w:tcW w:w="4020" w:type="dxa"/>
          <w:tcBorders>
            <w:bottom w:val="single" w:sz="4" w:space="0" w:color="auto"/>
          </w:tcBorders>
          <w:shd w:val="clear" w:color="auto" w:fill="auto"/>
          <w:vAlign w:val="center"/>
        </w:tcPr>
        <w:p w14:paraId="6C115E3F" w14:textId="77777777" w:rsidR="009A4CED" w:rsidRPr="005E7882" w:rsidRDefault="009A4CED" w:rsidP="00E633A1">
          <w:pPr>
            <w:pStyle w:val="Heading1"/>
            <w:rPr>
              <w:rFonts w:eastAsia="SimSun"/>
            </w:rPr>
          </w:pPr>
          <w:r w:rsidRPr="005E7882">
            <w:rPr>
              <w:rFonts w:eastAsia="SimSun"/>
            </w:rPr>
            <w:t>Limitation on</w:t>
          </w:r>
        </w:p>
        <w:p w14:paraId="71598029" w14:textId="77777777" w:rsidR="009A4CED" w:rsidRPr="005E7882" w:rsidRDefault="009A4CED" w:rsidP="00E633A1">
          <w:pPr>
            <w:pStyle w:val="Heading1"/>
            <w:rPr>
              <w:rFonts w:eastAsia="SimSun"/>
            </w:rPr>
          </w:pPr>
          <w:r w:rsidRPr="005E7882">
            <w:rPr>
              <w:rFonts w:eastAsia="SimSun"/>
            </w:rPr>
            <w:t>National Treatment</w:t>
          </w:r>
        </w:p>
      </w:tc>
      <w:tc>
        <w:tcPr>
          <w:tcW w:w="2542" w:type="dxa"/>
          <w:shd w:val="clear" w:color="auto" w:fill="auto"/>
          <w:vAlign w:val="center"/>
        </w:tcPr>
        <w:p w14:paraId="119686AE" w14:textId="77777777" w:rsidR="009A4CED" w:rsidRPr="005E7882" w:rsidRDefault="009A4CED" w:rsidP="00E633A1">
          <w:pPr>
            <w:pStyle w:val="Heading1"/>
            <w:rPr>
              <w:rFonts w:eastAsia="SimSun"/>
            </w:rPr>
          </w:pPr>
          <w:r w:rsidRPr="005E7882">
            <w:rPr>
              <w:rFonts w:eastAsia="SimSun"/>
            </w:rPr>
            <w:t>Additional</w:t>
          </w:r>
        </w:p>
        <w:p w14:paraId="56B97656" w14:textId="77777777" w:rsidR="009A4CED" w:rsidRPr="005E7882" w:rsidRDefault="009A4CED" w:rsidP="00E633A1">
          <w:pPr>
            <w:pStyle w:val="Heading1"/>
            <w:rPr>
              <w:rFonts w:eastAsia="SimSun"/>
            </w:rPr>
          </w:pPr>
          <w:r w:rsidRPr="005E7882">
            <w:rPr>
              <w:rFonts w:eastAsia="SimSun"/>
            </w:rPr>
            <w:t>Commitments</w:t>
          </w:r>
        </w:p>
      </w:tc>
    </w:tr>
  </w:tbl>
  <w:p w14:paraId="51F434A8" w14:textId="77777777" w:rsidR="009A4CED" w:rsidRPr="00284DCE" w:rsidRDefault="009A4CED" w:rsidP="009A4CED">
    <w:pPr>
      <w:pStyle w:val="Header"/>
      <w:tabs>
        <w:tab w:val="clear" w:pos="4320"/>
        <w:tab w:val="clear" w:pos="8640"/>
      </w:tabs>
      <w:rPr>
        <w:sz w:val="2"/>
      </w:rPr>
    </w:pPr>
  </w:p>
  <w:p w14:paraId="2094E780" w14:textId="77777777" w:rsidR="009A4CED" w:rsidRPr="005F4E7E" w:rsidRDefault="009A4CED" w:rsidP="009A4CED">
    <w:pPr>
      <w:tabs>
        <w:tab w:val="center" w:pos="6979"/>
      </w:tabs>
      <w:suppressAutoHyphens/>
      <w:jc w:val="center"/>
      <w:rPr>
        <w:rFonts w:cs="Arial"/>
        <w:sz w:val="2"/>
      </w:rPr>
    </w:pPr>
  </w:p>
  <w:p w14:paraId="0B81E482" w14:textId="77777777" w:rsidR="009A4CED" w:rsidRPr="005F4E7E" w:rsidRDefault="009A4CED">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902"/>
    <w:multiLevelType w:val="hybridMultilevel"/>
    <w:tmpl w:val="9AF2BFA0"/>
    <w:lvl w:ilvl="0" w:tplc="D31A1E88">
      <w:start w:val="1"/>
      <w:numFmt w:val="upp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3E61935"/>
    <w:multiLevelType w:val="hybridMultilevel"/>
    <w:tmpl w:val="5EDED7AC"/>
    <w:lvl w:ilvl="0" w:tplc="04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0A3363"/>
    <w:multiLevelType w:val="hybridMultilevel"/>
    <w:tmpl w:val="1A1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B62B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04BB3"/>
    <w:multiLevelType w:val="hybridMultilevel"/>
    <w:tmpl w:val="12D60F78"/>
    <w:lvl w:ilvl="0" w:tplc="6E4E2D66">
      <w:start w:val="1"/>
      <w:numFmt w:val="lowerRoman"/>
      <w:lvlText w:val="(%1)"/>
      <w:lvlJc w:val="left"/>
      <w:pPr>
        <w:tabs>
          <w:tab w:val="num" w:pos="397"/>
        </w:tabs>
        <w:ind w:left="397" w:hanging="397"/>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B13BE9"/>
    <w:multiLevelType w:val="hybridMultilevel"/>
    <w:tmpl w:val="27B4B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C66130"/>
    <w:multiLevelType w:val="hybridMultilevel"/>
    <w:tmpl w:val="37A2BB6E"/>
    <w:lvl w:ilvl="0" w:tplc="99225A72">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418DB"/>
    <w:multiLevelType w:val="hybridMultilevel"/>
    <w:tmpl w:val="2E026008"/>
    <w:lvl w:ilvl="0" w:tplc="F1944BCE">
      <w:start w:val="1"/>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21137"/>
    <w:multiLevelType w:val="hybridMultilevel"/>
    <w:tmpl w:val="1B4ECD88"/>
    <w:lvl w:ilvl="0" w:tplc="7C368764">
      <w:start w:val="1"/>
      <w:numFmt w:val="upperLetter"/>
      <w:lvlText w:val="%1."/>
      <w:lvlJc w:val="left"/>
      <w:pPr>
        <w:ind w:left="720" w:hanging="360"/>
      </w:pPr>
    </w:lvl>
    <w:lvl w:ilvl="1" w:tplc="B192AD84">
      <w:start w:val="1"/>
      <w:numFmt w:val="lowerLetter"/>
      <w:lvlText w:val="%2."/>
      <w:lvlJc w:val="left"/>
      <w:pPr>
        <w:ind w:left="1440" w:hanging="360"/>
      </w:pPr>
    </w:lvl>
    <w:lvl w:ilvl="2" w:tplc="4F2CE008">
      <w:start w:val="1"/>
      <w:numFmt w:val="lowerRoman"/>
      <w:lvlText w:val="%3."/>
      <w:lvlJc w:val="right"/>
      <w:pPr>
        <w:ind w:left="2160" w:hanging="180"/>
      </w:pPr>
    </w:lvl>
    <w:lvl w:ilvl="3" w:tplc="2CA8A9EE">
      <w:start w:val="1"/>
      <w:numFmt w:val="decimal"/>
      <w:lvlText w:val="%4."/>
      <w:lvlJc w:val="left"/>
      <w:pPr>
        <w:ind w:left="2880" w:hanging="360"/>
      </w:pPr>
    </w:lvl>
    <w:lvl w:ilvl="4" w:tplc="C1160AE0">
      <w:start w:val="1"/>
      <w:numFmt w:val="lowerLetter"/>
      <w:lvlText w:val="%5."/>
      <w:lvlJc w:val="left"/>
      <w:pPr>
        <w:ind w:left="3600" w:hanging="360"/>
      </w:pPr>
    </w:lvl>
    <w:lvl w:ilvl="5" w:tplc="846CB37E">
      <w:start w:val="1"/>
      <w:numFmt w:val="lowerRoman"/>
      <w:lvlText w:val="%6."/>
      <w:lvlJc w:val="right"/>
      <w:pPr>
        <w:ind w:left="4320" w:hanging="180"/>
      </w:pPr>
    </w:lvl>
    <w:lvl w:ilvl="6" w:tplc="7EE81DB6">
      <w:start w:val="1"/>
      <w:numFmt w:val="decimal"/>
      <w:lvlText w:val="%7."/>
      <w:lvlJc w:val="left"/>
      <w:pPr>
        <w:ind w:left="5040" w:hanging="360"/>
      </w:pPr>
    </w:lvl>
    <w:lvl w:ilvl="7" w:tplc="4E660CE6">
      <w:start w:val="1"/>
      <w:numFmt w:val="lowerLetter"/>
      <w:lvlText w:val="%8."/>
      <w:lvlJc w:val="left"/>
      <w:pPr>
        <w:ind w:left="5760" w:hanging="360"/>
      </w:pPr>
    </w:lvl>
    <w:lvl w:ilvl="8" w:tplc="103C3C88">
      <w:start w:val="1"/>
      <w:numFmt w:val="lowerRoman"/>
      <w:lvlText w:val="%9."/>
      <w:lvlJc w:val="right"/>
      <w:pPr>
        <w:ind w:left="6480" w:hanging="180"/>
      </w:pPr>
    </w:lvl>
  </w:abstractNum>
  <w:abstractNum w:abstractNumId="9" w15:restartNumberingAfterBreak="0">
    <w:nsid w:val="36087F96"/>
    <w:multiLevelType w:val="hybridMultilevel"/>
    <w:tmpl w:val="B54E0A7C"/>
    <w:lvl w:ilvl="0" w:tplc="0C6CDE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FD03F7"/>
    <w:multiLevelType w:val="hybridMultilevel"/>
    <w:tmpl w:val="75AA831E"/>
    <w:lvl w:ilvl="0" w:tplc="DCBEEE4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856601"/>
    <w:multiLevelType w:val="hybridMultilevel"/>
    <w:tmpl w:val="2410BE94"/>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B2654A6"/>
    <w:multiLevelType w:val="hybridMultilevel"/>
    <w:tmpl w:val="E2A8C42A"/>
    <w:lvl w:ilvl="0" w:tplc="38185F3C">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295B7B"/>
    <w:multiLevelType w:val="hybridMultilevel"/>
    <w:tmpl w:val="AC748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E331A"/>
    <w:multiLevelType w:val="hybridMultilevel"/>
    <w:tmpl w:val="55E8F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654A6F"/>
    <w:multiLevelType w:val="multilevel"/>
    <w:tmpl w:val="DFFECEB4"/>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EB5979"/>
    <w:multiLevelType w:val="hybridMultilevel"/>
    <w:tmpl w:val="8334C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8F651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8632D"/>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941F3"/>
    <w:multiLevelType w:val="hybridMultilevel"/>
    <w:tmpl w:val="AA48FE5A"/>
    <w:lvl w:ilvl="0" w:tplc="6E4E2D66">
      <w:start w:val="1"/>
      <w:numFmt w:val="lowerRoman"/>
      <w:lvlText w:val="(%1)"/>
      <w:lvlJc w:val="left"/>
      <w:pPr>
        <w:ind w:left="720" w:hanging="360"/>
      </w:pPr>
      <w:rPr>
        <w:rFonts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D061374"/>
    <w:multiLevelType w:val="hybridMultilevel"/>
    <w:tmpl w:val="E9C849E2"/>
    <w:lvl w:ilvl="0" w:tplc="9AD08828">
      <w:start w:val="1"/>
      <w:numFmt w:val="lowerRoman"/>
      <w:lvlText w:val="(%1)"/>
      <w:lvlJc w:val="left"/>
      <w:pPr>
        <w:tabs>
          <w:tab w:val="num" w:pos="397"/>
        </w:tabs>
        <w:ind w:left="397" w:hanging="397"/>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E26A48"/>
    <w:multiLevelType w:val="hybridMultilevel"/>
    <w:tmpl w:val="31C607E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1A2052"/>
    <w:multiLevelType w:val="hybridMultilevel"/>
    <w:tmpl w:val="B88458F6"/>
    <w:lvl w:ilvl="0" w:tplc="7CBCC3B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4CE2D8C"/>
    <w:multiLevelType w:val="hybridMultilevel"/>
    <w:tmpl w:val="B7FCBA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CD3F24"/>
    <w:multiLevelType w:val="hybridMultilevel"/>
    <w:tmpl w:val="1A6AA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3E14B3"/>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C2C98"/>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571CF"/>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E1AE8"/>
    <w:multiLevelType w:val="hybridMultilevel"/>
    <w:tmpl w:val="88743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3292FA3"/>
    <w:multiLevelType w:val="hybridMultilevel"/>
    <w:tmpl w:val="532883FA"/>
    <w:lvl w:ilvl="0" w:tplc="AFF61AE4">
      <w:start w:val="1"/>
      <w:numFmt w:val="lowerRoman"/>
      <w:lvlText w:val="(%1)"/>
      <w:lvlJc w:val="left"/>
      <w:pPr>
        <w:ind w:left="467" w:hanging="360"/>
      </w:pPr>
      <w:rPr>
        <w:rFonts w:ascii="Arial" w:eastAsia="Arial" w:hAnsi="Arial" w:cs="Arial" w:hint="default"/>
        <w:b w:val="0"/>
        <w:bCs w:val="0"/>
        <w:i w:val="0"/>
        <w:iCs w:val="0"/>
        <w:spacing w:val="-2"/>
        <w:w w:val="99"/>
        <w:sz w:val="20"/>
        <w:szCs w:val="20"/>
        <w:lang w:val="en-US" w:eastAsia="en-US" w:bidi="ar-SA"/>
      </w:rPr>
    </w:lvl>
    <w:lvl w:ilvl="1" w:tplc="08FC1A64">
      <w:numFmt w:val="bullet"/>
      <w:lvlText w:val="•"/>
      <w:lvlJc w:val="left"/>
      <w:pPr>
        <w:ind w:left="867" w:hanging="360"/>
      </w:pPr>
      <w:rPr>
        <w:rFonts w:hint="default"/>
        <w:lang w:val="en-US" w:eastAsia="en-US" w:bidi="ar-SA"/>
      </w:rPr>
    </w:lvl>
    <w:lvl w:ilvl="2" w:tplc="C504A1D2">
      <w:numFmt w:val="bullet"/>
      <w:lvlText w:val="•"/>
      <w:lvlJc w:val="left"/>
      <w:pPr>
        <w:ind w:left="1274" w:hanging="360"/>
      </w:pPr>
      <w:rPr>
        <w:rFonts w:hint="default"/>
        <w:lang w:val="en-US" w:eastAsia="en-US" w:bidi="ar-SA"/>
      </w:rPr>
    </w:lvl>
    <w:lvl w:ilvl="3" w:tplc="7980812C">
      <w:numFmt w:val="bullet"/>
      <w:lvlText w:val="•"/>
      <w:lvlJc w:val="left"/>
      <w:pPr>
        <w:ind w:left="1682" w:hanging="360"/>
      </w:pPr>
      <w:rPr>
        <w:rFonts w:hint="default"/>
        <w:lang w:val="en-US" w:eastAsia="en-US" w:bidi="ar-SA"/>
      </w:rPr>
    </w:lvl>
    <w:lvl w:ilvl="4" w:tplc="F59CEF9C">
      <w:numFmt w:val="bullet"/>
      <w:lvlText w:val="•"/>
      <w:lvlJc w:val="left"/>
      <w:pPr>
        <w:ind w:left="2089" w:hanging="360"/>
      </w:pPr>
      <w:rPr>
        <w:rFonts w:hint="default"/>
        <w:lang w:val="en-US" w:eastAsia="en-US" w:bidi="ar-SA"/>
      </w:rPr>
    </w:lvl>
    <w:lvl w:ilvl="5" w:tplc="F90A82F8">
      <w:numFmt w:val="bullet"/>
      <w:lvlText w:val="•"/>
      <w:lvlJc w:val="left"/>
      <w:pPr>
        <w:ind w:left="2497" w:hanging="360"/>
      </w:pPr>
      <w:rPr>
        <w:rFonts w:hint="default"/>
        <w:lang w:val="en-US" w:eastAsia="en-US" w:bidi="ar-SA"/>
      </w:rPr>
    </w:lvl>
    <w:lvl w:ilvl="6" w:tplc="FFECA4D0">
      <w:numFmt w:val="bullet"/>
      <w:lvlText w:val="•"/>
      <w:lvlJc w:val="left"/>
      <w:pPr>
        <w:ind w:left="2904" w:hanging="360"/>
      </w:pPr>
      <w:rPr>
        <w:rFonts w:hint="default"/>
        <w:lang w:val="en-US" w:eastAsia="en-US" w:bidi="ar-SA"/>
      </w:rPr>
    </w:lvl>
    <w:lvl w:ilvl="7" w:tplc="3ED607DE">
      <w:numFmt w:val="bullet"/>
      <w:lvlText w:val="•"/>
      <w:lvlJc w:val="left"/>
      <w:pPr>
        <w:ind w:left="3311" w:hanging="360"/>
      </w:pPr>
      <w:rPr>
        <w:rFonts w:hint="default"/>
        <w:lang w:val="en-US" w:eastAsia="en-US" w:bidi="ar-SA"/>
      </w:rPr>
    </w:lvl>
    <w:lvl w:ilvl="8" w:tplc="1024945C">
      <w:numFmt w:val="bullet"/>
      <w:lvlText w:val="•"/>
      <w:lvlJc w:val="left"/>
      <w:pPr>
        <w:ind w:left="3719" w:hanging="360"/>
      </w:pPr>
      <w:rPr>
        <w:rFonts w:hint="default"/>
        <w:lang w:val="en-US" w:eastAsia="en-US" w:bidi="ar-SA"/>
      </w:rPr>
    </w:lvl>
  </w:abstractNum>
  <w:abstractNum w:abstractNumId="30" w15:restartNumberingAfterBreak="0">
    <w:nsid w:val="73A97874"/>
    <w:multiLevelType w:val="hybridMultilevel"/>
    <w:tmpl w:val="979CDFA6"/>
    <w:lvl w:ilvl="0" w:tplc="6E4E2D66">
      <w:start w:val="1"/>
      <w:numFmt w:val="lowerRoman"/>
      <w:lvlText w:val="(%1)"/>
      <w:lvlJc w:val="left"/>
      <w:pPr>
        <w:ind w:left="720" w:hanging="360"/>
      </w:pPr>
      <w:rPr>
        <w:rFonts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3BE2144"/>
    <w:multiLevelType w:val="hybridMultilevel"/>
    <w:tmpl w:val="4210C0B0"/>
    <w:lvl w:ilvl="0" w:tplc="CE4CBC10">
      <w:start w:val="1"/>
      <w:numFmt w:val="lowerRoman"/>
      <w:pStyle w:val="NumberedList1"/>
      <w:lvlText w:val="(%1)"/>
      <w:lvlJc w:val="left"/>
      <w:pPr>
        <w:tabs>
          <w:tab w:val="num" w:pos="397"/>
        </w:tabs>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C022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650AB0"/>
    <w:multiLevelType w:val="hybridMultilevel"/>
    <w:tmpl w:val="0E94C96C"/>
    <w:lvl w:ilvl="0" w:tplc="EDFA2338">
      <w:start w:val="1"/>
      <w:numFmt w:val="lowerRoman"/>
      <w:lvlText w:val="(%1)"/>
      <w:lvlJc w:val="left"/>
      <w:pPr>
        <w:ind w:left="720" w:hanging="360"/>
      </w:pPr>
      <w:rPr>
        <w:rFonts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5173064">
    <w:abstractNumId w:val="8"/>
  </w:num>
  <w:num w:numId="2" w16cid:durableId="1263605352">
    <w:abstractNumId w:val="10"/>
  </w:num>
  <w:num w:numId="3" w16cid:durableId="444083704">
    <w:abstractNumId w:val="9"/>
  </w:num>
  <w:num w:numId="4" w16cid:durableId="1968271307">
    <w:abstractNumId w:val="28"/>
  </w:num>
  <w:num w:numId="5" w16cid:durableId="1090352012">
    <w:abstractNumId w:val="21"/>
  </w:num>
  <w:num w:numId="6" w16cid:durableId="120002924">
    <w:abstractNumId w:val="15"/>
  </w:num>
  <w:num w:numId="7" w16cid:durableId="950670199">
    <w:abstractNumId w:val="16"/>
  </w:num>
  <w:num w:numId="8" w16cid:durableId="2013756376">
    <w:abstractNumId w:val="2"/>
  </w:num>
  <w:num w:numId="9" w16cid:durableId="1593853423">
    <w:abstractNumId w:val="32"/>
  </w:num>
  <w:num w:numId="10" w16cid:durableId="2000768378">
    <w:abstractNumId w:val="12"/>
  </w:num>
  <w:num w:numId="11" w16cid:durableId="1899627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910319">
    <w:abstractNumId w:val="5"/>
  </w:num>
  <w:num w:numId="13" w16cid:durableId="830486663">
    <w:abstractNumId w:val="15"/>
  </w:num>
  <w:num w:numId="14" w16cid:durableId="782308438">
    <w:abstractNumId w:val="23"/>
  </w:num>
  <w:num w:numId="15" w16cid:durableId="445396171">
    <w:abstractNumId w:val="3"/>
  </w:num>
  <w:num w:numId="16" w16cid:durableId="284771319">
    <w:abstractNumId w:val="18"/>
  </w:num>
  <w:num w:numId="17" w16cid:durableId="637494833">
    <w:abstractNumId w:val="17"/>
  </w:num>
  <w:num w:numId="18" w16cid:durableId="1161459198">
    <w:abstractNumId w:val="26"/>
  </w:num>
  <w:num w:numId="19" w16cid:durableId="1116220322">
    <w:abstractNumId w:val="27"/>
  </w:num>
  <w:num w:numId="20" w16cid:durableId="1588074137">
    <w:abstractNumId w:val="25"/>
  </w:num>
  <w:num w:numId="21" w16cid:durableId="1597716425">
    <w:abstractNumId w:val="22"/>
  </w:num>
  <w:num w:numId="22" w16cid:durableId="1487815740">
    <w:abstractNumId w:val="14"/>
  </w:num>
  <w:num w:numId="23" w16cid:durableId="1542015086">
    <w:abstractNumId w:val="31"/>
  </w:num>
  <w:num w:numId="24" w16cid:durableId="1659308844">
    <w:abstractNumId w:val="31"/>
    <w:lvlOverride w:ilvl="0">
      <w:startOverride w:val="1"/>
    </w:lvlOverride>
  </w:num>
  <w:num w:numId="25" w16cid:durableId="1907522101">
    <w:abstractNumId w:val="31"/>
    <w:lvlOverride w:ilvl="0">
      <w:startOverride w:val="1"/>
    </w:lvlOverride>
  </w:num>
  <w:num w:numId="26" w16cid:durableId="273220263">
    <w:abstractNumId w:val="4"/>
  </w:num>
  <w:num w:numId="27" w16cid:durableId="673264269">
    <w:abstractNumId w:val="20"/>
  </w:num>
  <w:num w:numId="28" w16cid:durableId="1338843541">
    <w:abstractNumId w:val="6"/>
  </w:num>
  <w:num w:numId="29" w16cid:durableId="1951889354">
    <w:abstractNumId w:val="11"/>
  </w:num>
  <w:num w:numId="30" w16cid:durableId="2061323208">
    <w:abstractNumId w:val="31"/>
  </w:num>
  <w:num w:numId="31" w16cid:durableId="422999159">
    <w:abstractNumId w:val="0"/>
  </w:num>
  <w:num w:numId="32" w16cid:durableId="1072847849">
    <w:abstractNumId w:val="1"/>
  </w:num>
  <w:num w:numId="33" w16cid:durableId="4134128">
    <w:abstractNumId w:val="31"/>
    <w:lvlOverride w:ilvl="0">
      <w:startOverride w:val="1"/>
    </w:lvlOverride>
  </w:num>
  <w:num w:numId="34" w16cid:durableId="1181696457">
    <w:abstractNumId w:val="31"/>
    <w:lvlOverride w:ilvl="0">
      <w:startOverride w:val="1"/>
    </w:lvlOverride>
  </w:num>
  <w:num w:numId="35" w16cid:durableId="1951543977">
    <w:abstractNumId w:val="7"/>
  </w:num>
  <w:num w:numId="36" w16cid:durableId="1150750456">
    <w:abstractNumId w:val="24"/>
  </w:num>
  <w:num w:numId="37" w16cid:durableId="2031494246">
    <w:abstractNumId w:val="30"/>
  </w:num>
  <w:num w:numId="38" w16cid:durableId="1748763909">
    <w:abstractNumId w:val="13"/>
  </w:num>
  <w:num w:numId="39" w16cid:durableId="1005474517">
    <w:abstractNumId w:val="19"/>
  </w:num>
  <w:num w:numId="40" w16cid:durableId="864636079">
    <w:abstractNumId w:val="33"/>
  </w:num>
  <w:num w:numId="41" w16cid:durableId="11408062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EE"/>
    <w:rsid w:val="00002629"/>
    <w:rsid w:val="000028BB"/>
    <w:rsid w:val="000029E8"/>
    <w:rsid w:val="00031696"/>
    <w:rsid w:val="00052815"/>
    <w:rsid w:val="0006049E"/>
    <w:rsid w:val="00092340"/>
    <w:rsid w:val="000923E4"/>
    <w:rsid w:val="000B0F17"/>
    <w:rsid w:val="000C0A45"/>
    <w:rsid w:val="000D3F7D"/>
    <w:rsid w:val="000D4492"/>
    <w:rsid w:val="000F3802"/>
    <w:rsid w:val="001013F0"/>
    <w:rsid w:val="001022B6"/>
    <w:rsid w:val="00121826"/>
    <w:rsid w:val="00125FE9"/>
    <w:rsid w:val="00127F18"/>
    <w:rsid w:val="0013435E"/>
    <w:rsid w:val="00151B2F"/>
    <w:rsid w:val="001618F7"/>
    <w:rsid w:val="0016313C"/>
    <w:rsid w:val="00167108"/>
    <w:rsid w:val="0017695A"/>
    <w:rsid w:val="001773F7"/>
    <w:rsid w:val="00194225"/>
    <w:rsid w:val="001B57E0"/>
    <w:rsid w:val="001B7AC3"/>
    <w:rsid w:val="001C0524"/>
    <w:rsid w:val="001E153A"/>
    <w:rsid w:val="001E5427"/>
    <w:rsid w:val="001F425C"/>
    <w:rsid w:val="001F7DBB"/>
    <w:rsid w:val="002037C4"/>
    <w:rsid w:val="00205CFE"/>
    <w:rsid w:val="002113F6"/>
    <w:rsid w:val="002203EE"/>
    <w:rsid w:val="00243BB8"/>
    <w:rsid w:val="002466AD"/>
    <w:rsid w:val="0026154E"/>
    <w:rsid w:val="002716A5"/>
    <w:rsid w:val="0027237E"/>
    <w:rsid w:val="002731DD"/>
    <w:rsid w:val="00276EE0"/>
    <w:rsid w:val="002B49F2"/>
    <w:rsid w:val="002C61A3"/>
    <w:rsid w:val="002D60A5"/>
    <w:rsid w:val="002E2AB5"/>
    <w:rsid w:val="002F4931"/>
    <w:rsid w:val="003026A7"/>
    <w:rsid w:val="003050D1"/>
    <w:rsid w:val="00314B11"/>
    <w:rsid w:val="00320C9C"/>
    <w:rsid w:val="00332CF6"/>
    <w:rsid w:val="00342595"/>
    <w:rsid w:val="003530B6"/>
    <w:rsid w:val="003620C5"/>
    <w:rsid w:val="00377A63"/>
    <w:rsid w:val="003817C9"/>
    <w:rsid w:val="00383C21"/>
    <w:rsid w:val="00385A8C"/>
    <w:rsid w:val="00387019"/>
    <w:rsid w:val="0039009B"/>
    <w:rsid w:val="003A2763"/>
    <w:rsid w:val="003A39D6"/>
    <w:rsid w:val="003A662C"/>
    <w:rsid w:val="003B3F3F"/>
    <w:rsid w:val="003B73C2"/>
    <w:rsid w:val="003B7AE9"/>
    <w:rsid w:val="003B7FDE"/>
    <w:rsid w:val="003C4D58"/>
    <w:rsid w:val="003D0C83"/>
    <w:rsid w:val="003D3BF6"/>
    <w:rsid w:val="003E2DC1"/>
    <w:rsid w:val="003F366A"/>
    <w:rsid w:val="00405F33"/>
    <w:rsid w:val="00422DED"/>
    <w:rsid w:val="004245D1"/>
    <w:rsid w:val="004252DA"/>
    <w:rsid w:val="004304DB"/>
    <w:rsid w:val="00444DAF"/>
    <w:rsid w:val="004528E8"/>
    <w:rsid w:val="00473796"/>
    <w:rsid w:val="0047708A"/>
    <w:rsid w:val="00487630"/>
    <w:rsid w:val="004B709D"/>
    <w:rsid w:val="004C0C6C"/>
    <w:rsid w:val="004C238D"/>
    <w:rsid w:val="004C54C3"/>
    <w:rsid w:val="004E56B0"/>
    <w:rsid w:val="004F6B7C"/>
    <w:rsid w:val="00500E58"/>
    <w:rsid w:val="00503834"/>
    <w:rsid w:val="00512491"/>
    <w:rsid w:val="00514D7B"/>
    <w:rsid w:val="00526D7C"/>
    <w:rsid w:val="0053363F"/>
    <w:rsid w:val="00577022"/>
    <w:rsid w:val="00590050"/>
    <w:rsid w:val="00596333"/>
    <w:rsid w:val="005B10E4"/>
    <w:rsid w:val="005C14D5"/>
    <w:rsid w:val="005E2568"/>
    <w:rsid w:val="005E321C"/>
    <w:rsid w:val="005E5390"/>
    <w:rsid w:val="005F5BC3"/>
    <w:rsid w:val="00621024"/>
    <w:rsid w:val="00625172"/>
    <w:rsid w:val="006362C6"/>
    <w:rsid w:val="00646C35"/>
    <w:rsid w:val="00647398"/>
    <w:rsid w:val="00653F54"/>
    <w:rsid w:val="00671499"/>
    <w:rsid w:val="006747E2"/>
    <w:rsid w:val="006844B0"/>
    <w:rsid w:val="0068715C"/>
    <w:rsid w:val="006B5F88"/>
    <w:rsid w:val="006C4A41"/>
    <w:rsid w:val="006D360E"/>
    <w:rsid w:val="006E540E"/>
    <w:rsid w:val="00704577"/>
    <w:rsid w:val="00717751"/>
    <w:rsid w:val="007309D8"/>
    <w:rsid w:val="00757D39"/>
    <w:rsid w:val="00760042"/>
    <w:rsid w:val="007875C4"/>
    <w:rsid w:val="00795C0D"/>
    <w:rsid w:val="007A22F3"/>
    <w:rsid w:val="007B3B30"/>
    <w:rsid w:val="007C7A55"/>
    <w:rsid w:val="007D30B0"/>
    <w:rsid w:val="007E2CF6"/>
    <w:rsid w:val="007E3FC4"/>
    <w:rsid w:val="007E6AC2"/>
    <w:rsid w:val="0081298A"/>
    <w:rsid w:val="008153B0"/>
    <w:rsid w:val="008173AF"/>
    <w:rsid w:val="00821944"/>
    <w:rsid w:val="00844B84"/>
    <w:rsid w:val="008746B3"/>
    <w:rsid w:val="00884FFA"/>
    <w:rsid w:val="0089673C"/>
    <w:rsid w:val="008A3501"/>
    <w:rsid w:val="008C3B1C"/>
    <w:rsid w:val="008C59F7"/>
    <w:rsid w:val="008E5D96"/>
    <w:rsid w:val="008F31B9"/>
    <w:rsid w:val="00902729"/>
    <w:rsid w:val="009042D7"/>
    <w:rsid w:val="0090488A"/>
    <w:rsid w:val="009154BE"/>
    <w:rsid w:val="0092686F"/>
    <w:rsid w:val="00951C35"/>
    <w:rsid w:val="009610E6"/>
    <w:rsid w:val="0097360F"/>
    <w:rsid w:val="009743E8"/>
    <w:rsid w:val="009757F6"/>
    <w:rsid w:val="009962A9"/>
    <w:rsid w:val="00996A42"/>
    <w:rsid w:val="009A4CED"/>
    <w:rsid w:val="009C23A9"/>
    <w:rsid w:val="009E1251"/>
    <w:rsid w:val="009E48A8"/>
    <w:rsid w:val="009E61A6"/>
    <w:rsid w:val="009E69F6"/>
    <w:rsid w:val="009F188F"/>
    <w:rsid w:val="00A04FB3"/>
    <w:rsid w:val="00A055D8"/>
    <w:rsid w:val="00A13115"/>
    <w:rsid w:val="00A26B94"/>
    <w:rsid w:val="00A338DC"/>
    <w:rsid w:val="00A42D5F"/>
    <w:rsid w:val="00A65822"/>
    <w:rsid w:val="00AA088F"/>
    <w:rsid w:val="00AB60AE"/>
    <w:rsid w:val="00AC157E"/>
    <w:rsid w:val="00AC4DE1"/>
    <w:rsid w:val="00AD1616"/>
    <w:rsid w:val="00AD60CD"/>
    <w:rsid w:val="00AE2180"/>
    <w:rsid w:val="00AF46E3"/>
    <w:rsid w:val="00B0633A"/>
    <w:rsid w:val="00B16EBB"/>
    <w:rsid w:val="00B4301D"/>
    <w:rsid w:val="00B43703"/>
    <w:rsid w:val="00B458A8"/>
    <w:rsid w:val="00B5679C"/>
    <w:rsid w:val="00B56E2B"/>
    <w:rsid w:val="00B66C97"/>
    <w:rsid w:val="00B674A8"/>
    <w:rsid w:val="00BC3861"/>
    <w:rsid w:val="00BE7C09"/>
    <w:rsid w:val="00C01D18"/>
    <w:rsid w:val="00C10109"/>
    <w:rsid w:val="00C10D1E"/>
    <w:rsid w:val="00C1319B"/>
    <w:rsid w:val="00C1587E"/>
    <w:rsid w:val="00C15A46"/>
    <w:rsid w:val="00C20AD7"/>
    <w:rsid w:val="00C304CE"/>
    <w:rsid w:val="00C36370"/>
    <w:rsid w:val="00C41430"/>
    <w:rsid w:val="00C77AF2"/>
    <w:rsid w:val="00C80907"/>
    <w:rsid w:val="00C94A27"/>
    <w:rsid w:val="00C961C3"/>
    <w:rsid w:val="00CB7E3E"/>
    <w:rsid w:val="00CE5B93"/>
    <w:rsid w:val="00CF744C"/>
    <w:rsid w:val="00D00919"/>
    <w:rsid w:val="00D21048"/>
    <w:rsid w:val="00D358AE"/>
    <w:rsid w:val="00D36FA7"/>
    <w:rsid w:val="00D46B44"/>
    <w:rsid w:val="00D55BD9"/>
    <w:rsid w:val="00D65A1C"/>
    <w:rsid w:val="00D84118"/>
    <w:rsid w:val="00D90CA6"/>
    <w:rsid w:val="00D92584"/>
    <w:rsid w:val="00DA48DD"/>
    <w:rsid w:val="00DB7C36"/>
    <w:rsid w:val="00DC6BFE"/>
    <w:rsid w:val="00DD54E9"/>
    <w:rsid w:val="00DF12F5"/>
    <w:rsid w:val="00DF2099"/>
    <w:rsid w:val="00E23211"/>
    <w:rsid w:val="00E237F9"/>
    <w:rsid w:val="00E27C67"/>
    <w:rsid w:val="00E31788"/>
    <w:rsid w:val="00E4548F"/>
    <w:rsid w:val="00E5561A"/>
    <w:rsid w:val="00E633A1"/>
    <w:rsid w:val="00E70BEA"/>
    <w:rsid w:val="00E947E7"/>
    <w:rsid w:val="00ED6D67"/>
    <w:rsid w:val="00F20A32"/>
    <w:rsid w:val="00F325B8"/>
    <w:rsid w:val="00F36632"/>
    <w:rsid w:val="00F745B3"/>
    <w:rsid w:val="00F776C2"/>
    <w:rsid w:val="00F867D0"/>
    <w:rsid w:val="00F91220"/>
    <w:rsid w:val="00F936CA"/>
    <w:rsid w:val="00F93943"/>
    <w:rsid w:val="00FA707C"/>
    <w:rsid w:val="00FC1986"/>
    <w:rsid w:val="00FE1F1B"/>
    <w:rsid w:val="148209B4"/>
    <w:rsid w:val="1F5EB954"/>
    <w:rsid w:val="2EDEDC66"/>
    <w:rsid w:val="45B50BB1"/>
    <w:rsid w:val="4DECF314"/>
    <w:rsid w:val="57010CF8"/>
    <w:rsid w:val="71EF8272"/>
    <w:rsid w:val="7372BEE0"/>
    <w:rsid w:val="768B4057"/>
    <w:rsid w:val="77171A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7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42"/>
    <w:pPr>
      <w:autoSpaceDE w:val="0"/>
      <w:autoSpaceDN w:val="0"/>
    </w:pPr>
    <w:rPr>
      <w:rFonts w:ascii="Arial" w:eastAsia="Times New Roman" w:hAnsi="Arial"/>
      <w:lang w:eastAsia="en-US"/>
    </w:rPr>
  </w:style>
  <w:style w:type="paragraph" w:styleId="Heading1">
    <w:name w:val="heading 1"/>
    <w:basedOn w:val="Normal"/>
    <w:next w:val="Normal"/>
    <w:link w:val="Heading1Char"/>
    <w:qFormat/>
    <w:rsid w:val="00E633A1"/>
    <w:pPr>
      <w:jc w:val="center"/>
      <w:outlineLvl w:val="0"/>
    </w:pPr>
    <w:rPr>
      <w:b/>
    </w:rPr>
  </w:style>
  <w:style w:type="paragraph" w:styleId="Heading2">
    <w:name w:val="heading 2"/>
    <w:basedOn w:val="Normal"/>
    <w:next w:val="Normal"/>
    <w:link w:val="Heading2Char"/>
    <w:qFormat/>
    <w:rsid w:val="002203EE"/>
    <w:pPr>
      <w:ind w:left="360" w:hanging="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33A1"/>
    <w:rPr>
      <w:rFonts w:ascii="Arial" w:eastAsia="Times New Roman" w:hAnsi="Arial"/>
      <w:b/>
      <w:sz w:val="24"/>
      <w:lang w:eastAsia="en-US"/>
    </w:rPr>
  </w:style>
  <w:style w:type="character" w:customStyle="1" w:styleId="Heading2Char">
    <w:name w:val="Heading 2 Char"/>
    <w:link w:val="Heading2"/>
    <w:rsid w:val="002203EE"/>
    <w:rPr>
      <w:rFonts w:ascii="Arial" w:eastAsia="Times New Roman" w:hAnsi="Arial" w:cs="Times New Roman"/>
      <w:b/>
      <w:sz w:val="20"/>
      <w:szCs w:val="20"/>
    </w:rPr>
  </w:style>
  <w:style w:type="paragraph" w:styleId="Header">
    <w:name w:val="header"/>
    <w:basedOn w:val="Normal"/>
    <w:link w:val="HeaderChar"/>
    <w:rsid w:val="002203EE"/>
    <w:pPr>
      <w:tabs>
        <w:tab w:val="center" w:pos="4320"/>
        <w:tab w:val="right" w:pos="8640"/>
      </w:tabs>
    </w:pPr>
  </w:style>
  <w:style w:type="character" w:customStyle="1" w:styleId="HeaderChar">
    <w:name w:val="Header Char"/>
    <w:link w:val="Header"/>
    <w:rsid w:val="002203EE"/>
    <w:rPr>
      <w:rFonts w:ascii="Arial" w:eastAsia="Times New Roman" w:hAnsi="Arial" w:cs="Times New Roman"/>
      <w:sz w:val="20"/>
      <w:szCs w:val="20"/>
    </w:rPr>
  </w:style>
  <w:style w:type="paragraph" w:styleId="Footer">
    <w:name w:val="footer"/>
    <w:basedOn w:val="Normal"/>
    <w:link w:val="FooterChar"/>
    <w:uiPriority w:val="99"/>
    <w:rsid w:val="002203EE"/>
    <w:pPr>
      <w:tabs>
        <w:tab w:val="center" w:pos="4320"/>
        <w:tab w:val="right" w:pos="8640"/>
      </w:tabs>
    </w:pPr>
  </w:style>
  <w:style w:type="character" w:customStyle="1" w:styleId="FooterChar">
    <w:name w:val="Footer Char"/>
    <w:link w:val="Footer"/>
    <w:uiPriority w:val="99"/>
    <w:rsid w:val="002203EE"/>
    <w:rPr>
      <w:rFonts w:ascii="Arial" w:eastAsia="Times New Roman" w:hAnsi="Arial" w:cs="Times New Roman"/>
      <w:sz w:val="20"/>
      <w:szCs w:val="20"/>
    </w:rPr>
  </w:style>
  <w:style w:type="paragraph" w:customStyle="1" w:styleId="Centered">
    <w:name w:val="Centered"/>
    <w:basedOn w:val="Normal"/>
    <w:rsid w:val="002203EE"/>
    <w:pPr>
      <w:autoSpaceDE/>
      <w:autoSpaceDN/>
      <w:jc w:val="center"/>
    </w:pPr>
    <w:rPr>
      <w:rFonts w:eastAsia="SimSun"/>
      <w:lang w:eastAsia="zh-CN"/>
    </w:rPr>
  </w:style>
  <w:style w:type="paragraph" w:styleId="BalloonText">
    <w:name w:val="Balloon Text"/>
    <w:basedOn w:val="Normal"/>
    <w:link w:val="BalloonTextChar"/>
    <w:uiPriority w:val="99"/>
    <w:semiHidden/>
    <w:unhideWhenUsed/>
    <w:rsid w:val="00FE1F1B"/>
    <w:rPr>
      <w:rFonts w:ascii="Tahoma" w:hAnsi="Tahoma" w:cs="Tahoma"/>
      <w:sz w:val="16"/>
      <w:szCs w:val="16"/>
    </w:rPr>
  </w:style>
  <w:style w:type="character" w:customStyle="1" w:styleId="BalloonTextChar">
    <w:name w:val="Balloon Text Char"/>
    <w:link w:val="BalloonText"/>
    <w:uiPriority w:val="99"/>
    <w:semiHidden/>
    <w:rsid w:val="00FE1F1B"/>
    <w:rPr>
      <w:rFonts w:ascii="Tahoma" w:eastAsia="Times New Roman" w:hAnsi="Tahoma" w:cs="Tahoma"/>
      <w:sz w:val="16"/>
      <w:szCs w:val="16"/>
    </w:rPr>
  </w:style>
  <w:style w:type="paragraph" w:customStyle="1" w:styleId="Default">
    <w:name w:val="Default"/>
    <w:rsid w:val="00D8411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4118"/>
    <w:rPr>
      <w:sz w:val="16"/>
      <w:szCs w:val="16"/>
    </w:rPr>
  </w:style>
  <w:style w:type="paragraph" w:styleId="CommentSubject">
    <w:name w:val="annotation subject"/>
    <w:basedOn w:val="Normal"/>
    <w:next w:val="Normal"/>
    <w:link w:val="CommentSubjectChar"/>
    <w:uiPriority w:val="99"/>
    <w:semiHidden/>
    <w:unhideWhenUsed/>
    <w:rsid w:val="00F36632"/>
    <w:rPr>
      <w:b/>
      <w:bCs/>
    </w:rPr>
  </w:style>
  <w:style w:type="character" w:customStyle="1" w:styleId="CommentSubjectChar">
    <w:name w:val="Comment Subject Char"/>
    <w:basedOn w:val="DefaultParagraphFont"/>
    <w:link w:val="CommentSubject"/>
    <w:uiPriority w:val="99"/>
    <w:semiHidden/>
    <w:rsid w:val="00F36632"/>
    <w:rPr>
      <w:rFonts w:ascii="Arial" w:eastAsia="Times New Roman" w:hAnsi="Arial"/>
      <w:b/>
      <w:bCs/>
      <w:lang w:eastAsia="en-US"/>
    </w:rPr>
  </w:style>
  <w:style w:type="table" w:styleId="TableGrid">
    <w:name w:val="Table Grid"/>
    <w:basedOn w:val="TableNormal"/>
    <w:uiPriority w:val="39"/>
    <w:rsid w:val="000C0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33A1"/>
    <w:pPr>
      <w:jc w:val="center"/>
    </w:pPr>
    <w:rPr>
      <w:b/>
    </w:rPr>
  </w:style>
  <w:style w:type="character" w:customStyle="1" w:styleId="TitleChar">
    <w:name w:val="Title Char"/>
    <w:basedOn w:val="DefaultParagraphFont"/>
    <w:link w:val="Title"/>
    <w:uiPriority w:val="10"/>
    <w:rsid w:val="00E633A1"/>
    <w:rPr>
      <w:rFonts w:ascii="Arial" w:eastAsia="Times New Roman" w:hAnsi="Arial"/>
      <w:b/>
      <w:sz w:val="24"/>
      <w:lang w:eastAsia="en-US"/>
    </w:rPr>
  </w:style>
  <w:style w:type="paragraph" w:customStyle="1" w:styleId="NumberedList">
    <w:name w:val="Numbered List"/>
    <w:basedOn w:val="Normal"/>
    <w:qFormat/>
    <w:rsid w:val="009E61A6"/>
    <w:pPr>
      <w:numPr>
        <w:numId w:val="6"/>
      </w:numPr>
      <w:spacing w:before="300"/>
      <w:jc w:val="both"/>
    </w:pPr>
  </w:style>
  <w:style w:type="paragraph" w:customStyle="1" w:styleId="Bullet1">
    <w:name w:val="Bullet 1"/>
    <w:basedOn w:val="Normal"/>
    <w:qFormat/>
    <w:rsid w:val="00E633A1"/>
    <w:pPr>
      <w:numPr>
        <w:numId w:val="10"/>
      </w:numPr>
      <w:spacing w:after="120"/>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lang w:eastAsia="en-US"/>
    </w:rPr>
  </w:style>
  <w:style w:type="paragraph" w:customStyle="1" w:styleId="NumberedList1">
    <w:name w:val="Numbered List 1"/>
    <w:basedOn w:val="Normal"/>
    <w:qFormat/>
    <w:rsid w:val="0013435E"/>
    <w:pPr>
      <w:numPr>
        <w:numId w:val="23"/>
      </w:numPr>
    </w:pPr>
    <w:rPr>
      <w:rFonts w:cs="Arial"/>
    </w:rPr>
  </w:style>
  <w:style w:type="character" w:styleId="FootnoteReference">
    <w:name w:val="footnote reference"/>
    <w:uiPriority w:val="99"/>
    <w:rsid w:val="000D3F7D"/>
  </w:style>
  <w:style w:type="character" w:styleId="Hyperlink">
    <w:name w:val="Hyperlink"/>
    <w:basedOn w:val="DefaultParagraphFont"/>
    <w:uiPriority w:val="99"/>
    <w:unhideWhenUsed/>
    <w:rsid w:val="000F3802"/>
    <w:rPr>
      <w:color w:val="0563C1" w:themeColor="hyperlink"/>
      <w:u w:val="single"/>
    </w:rPr>
  </w:style>
  <w:style w:type="paragraph" w:styleId="ListParagraph">
    <w:name w:val="List Paragraph"/>
    <w:basedOn w:val="Normal"/>
    <w:uiPriority w:val="34"/>
    <w:qFormat/>
    <w:rsid w:val="00AF46E3"/>
    <w:pPr>
      <w:ind w:left="720"/>
      <w:contextualSpacing/>
    </w:pPr>
  </w:style>
  <w:style w:type="paragraph" w:styleId="Revision">
    <w:name w:val="Revision"/>
    <w:hidden/>
    <w:uiPriority w:val="99"/>
    <w:semiHidden/>
    <w:rsid w:val="00E27C67"/>
    <w:rPr>
      <w:rFonts w:ascii="Arial" w:eastAsia="Times New Roman" w:hAnsi="Arial"/>
      <w:lang w:eastAsia="en-US"/>
    </w:rPr>
  </w:style>
  <w:style w:type="character" w:customStyle="1" w:styleId="Term">
    <w:name w:val="Term"/>
    <w:qFormat/>
    <w:rsid w:val="00717751"/>
    <w:rPr>
      <w:b/>
    </w:rPr>
  </w:style>
  <w:style w:type="paragraph" w:styleId="NoSpacing">
    <w:name w:val="No Spacing"/>
    <w:uiPriority w:val="1"/>
    <w:qFormat/>
    <w:rsid w:val="003D3BF6"/>
    <w:pPr>
      <w:autoSpaceDE w:val="0"/>
      <w:autoSpaceDN w:val="0"/>
    </w:pPr>
    <w:rPr>
      <w:rFonts w:ascii="Arial" w:eastAsia="Times New Roman" w:hAnsi="Arial"/>
      <w:lang w:eastAsia="en-US"/>
    </w:rPr>
  </w:style>
  <w:style w:type="character" w:styleId="UnresolvedMention">
    <w:name w:val="Unresolved Mention"/>
    <w:basedOn w:val="DefaultParagraphFont"/>
    <w:uiPriority w:val="99"/>
    <w:semiHidden/>
    <w:unhideWhenUsed/>
    <w:rsid w:val="004C2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omeaffair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meaffairs.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omeaffairs.gov.au/" TargetMode="External"/><Relationship Id="rId4" Type="http://schemas.openxmlformats.org/officeDocument/2006/relationships/styles" Target="styles.xml"/><Relationship Id="rId9" Type="http://schemas.openxmlformats.org/officeDocument/2006/relationships/hyperlink" Target="http://www.homeaffairs.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822a44-1535-4924-bbe7-e585a55c7633">
      <Terms xmlns="http://schemas.microsoft.com/office/infopath/2007/PartnerControls"/>
    </lcf76f155ced4ddcb4097134ff3c332f>
    <TaxCatchAll xmlns="d89d6205-6e85-432e-97a3-fd99914d7a21" xsi:nil="true"/>
  </documentManagement>
</p:properties>
</file>

<file path=customXml/itemProps1.xml><?xml version="1.0" encoding="utf-8"?>
<ds:datastoreItem xmlns:ds="http://schemas.openxmlformats.org/officeDocument/2006/customXml" ds:itemID="{875E189E-76D4-4346-A509-6F18AC4FD275}">
  <ds:schemaRefs>
    <ds:schemaRef ds:uri="http://schemas.openxmlformats.org/officeDocument/2006/bibliography"/>
  </ds:schemaRefs>
</ds:datastoreItem>
</file>

<file path=customXml/itemProps2.xml><?xml version="1.0" encoding="utf-8"?>
<ds:datastoreItem xmlns:ds="http://schemas.openxmlformats.org/officeDocument/2006/customXml" ds:itemID="{CD2D764F-A7A1-425B-B02F-E76DFA7EEF0C}">
  <ds:schemaRefs>
    <ds:schemaRef ds:uri="http://schemas.microsoft.com/office/2006/metadata/properties"/>
    <ds:schemaRef ds:uri="http://schemas.microsoft.com/office/infopath/2007/PartnerControls"/>
    <ds:schemaRef ds:uri="23822a44-1535-4924-bbe7-e585a55c7633"/>
    <ds:schemaRef ds:uri="d89d6205-6e85-432e-97a3-fd99914d7a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6434</Characters>
  <Application>Microsoft Office Word</Application>
  <DocSecurity>0</DocSecurity>
  <Lines>241</Lines>
  <Paragraphs>50</Paragraphs>
  <ScaleCrop>false</ScaleCrop>
  <HeadingPairs>
    <vt:vector size="2" baseType="variant">
      <vt:variant>
        <vt:lpstr>Title</vt:lpstr>
      </vt:variant>
      <vt:variant>
        <vt:i4>1</vt:i4>
      </vt:variant>
    </vt:vector>
  </HeadingPairs>
  <TitlesOfParts>
    <vt:vector size="1" baseType="lpstr">
      <vt:lpstr>Annex 4. Schedules of Specific Commitments on the Movement of Natural Persons - Australia</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Schedules of Specific Commitments on the Movement of Natural Persons - Australia</dc:title>
  <dc:subject/>
  <dc:creator/>
  <cp:keywords>[SEC=OFFICIAL:Sensitive]</cp:keywords>
  <cp:lastModifiedBy/>
  <cp:revision>1</cp:revision>
  <dcterms:created xsi:type="dcterms:W3CDTF">2023-09-28T04:06:00Z</dcterms:created>
  <dcterms:modified xsi:type="dcterms:W3CDTF">2023-09-28T04:07:00Z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OFFICIAL:Sensitive</vt:lpwstr>
  </property>
  <property fmtid="{D5CDD505-2E9C-101B-9397-08002B2CF9AE}" pid="4" name="PMHMAC">
    <vt:lpwstr>v=2022.1;a=SHA256;h=B35C897F2B5E7D56A0BECF7C553AC34C1C452DFD02FC72DA2B6918F3ACBF566E</vt:lpwstr>
  </property>
  <property fmtid="{D5CDD505-2E9C-101B-9397-08002B2CF9AE}" pid="5" name="PM_Qualifier">
    <vt:lpwstr/>
  </property>
  <property fmtid="{D5CDD505-2E9C-101B-9397-08002B2CF9AE}" pid="6" name="PM_DisplayValueSecClassificationWithQualifier">
    <vt:lpwstr>OFFICIAL: Sensitive</vt:lpwstr>
  </property>
  <property fmtid="{D5CDD505-2E9C-101B-9397-08002B2CF9AE}" pid="7" name="PM_InsertionValue">
    <vt:lpwstr>OFFICIAL: Sensitive</vt:lpwstr>
  </property>
  <property fmtid="{D5CDD505-2E9C-101B-9397-08002B2CF9AE}" pid="8" name="PM_Originator_Hash_SHA1">
    <vt:lpwstr>899E4EA469A04FB023F4432B63374BB33589BF8A</vt:lpwstr>
  </property>
  <property fmtid="{D5CDD505-2E9C-101B-9397-08002B2CF9AE}" pid="9" name="PM_Originating_FileId">
    <vt:lpwstr>D59C6AC6540C488D86355D445548B935</vt:lpwstr>
  </property>
  <property fmtid="{D5CDD505-2E9C-101B-9397-08002B2CF9AE}" pid="10" name="PM_ProtectiveMarkingValue_Footer">
    <vt:lpwstr>OFFICIAL: Sensitive</vt:lpwstr>
  </property>
  <property fmtid="{D5CDD505-2E9C-101B-9397-08002B2CF9AE}" pid="11" name="PM_ProtectiveMarkingValue_Header">
    <vt:lpwstr>OFFICIAL: Sensitive</vt:lpwstr>
  </property>
  <property fmtid="{D5CDD505-2E9C-101B-9397-08002B2CF9AE}" pid="12" name="PM_OriginationTimeStamp">
    <vt:lpwstr>2023-03-14T08:28:44Z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Uuid">
    <vt:lpwstr>v=2022.2;d=gov.au;g=ABA70C08-925C-5FA3-8765-3178156983AC</vt:lpwstr>
  </property>
  <property fmtid="{D5CDD505-2E9C-101B-9397-08002B2CF9AE}" pid="20" name="PM_Hash_Version">
    <vt:lpwstr>2022.1</vt:lpwstr>
  </property>
  <property fmtid="{D5CDD505-2E9C-101B-9397-08002B2CF9AE}" pid="21" name="PM_Hash_Salt_Prev">
    <vt:lpwstr>81A52EADB5EAC1405D86A90D10A7A266</vt:lpwstr>
  </property>
  <property fmtid="{D5CDD505-2E9C-101B-9397-08002B2CF9AE}" pid="22" name="PM_Hash_Salt">
    <vt:lpwstr>69C8A0801CDBEB58715A38FC7D3B3618</vt:lpwstr>
  </property>
  <property fmtid="{D5CDD505-2E9C-101B-9397-08002B2CF9AE}" pid="23" name="PM_Hash_SHA1">
    <vt:lpwstr>B7020EB1C43163DF8427D5271BED39BBA58CCC64</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MinimumSecurityClassification">
    <vt:lpwstr>OFFICIAL:Sensitive</vt:lpwstr>
  </property>
  <property fmtid="{D5CDD505-2E9C-101B-9397-08002B2CF9AE}" pid="27" name="PM_Caveats_Count">
    <vt:lpwstr>0</vt:lpwstr>
  </property>
  <property fmtid="{D5CDD505-2E9C-101B-9397-08002B2CF9AE}" pid="28" name="PM_SecurityClassification_Prev">
    <vt:lpwstr>OFFICIAL:Sensitive</vt:lpwstr>
  </property>
  <property fmtid="{D5CDD505-2E9C-101B-9397-08002B2CF9AE}" pid="29" name="PM_Qualifier_Prev">
    <vt:lpwstr/>
  </property>
</Properties>
</file>