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CDCD2" w14:textId="52A83635" w:rsidR="001C0524" w:rsidRDefault="001C0524" w:rsidP="00CD333B">
      <w:pPr>
        <w:pStyle w:val="Title"/>
        <w:snapToGrid w:val="0"/>
      </w:pPr>
      <w:r w:rsidRPr="00625172">
        <w:t xml:space="preserve">ANNEX </w:t>
      </w:r>
      <w:r w:rsidR="0053544A">
        <w:t>4</w:t>
      </w:r>
    </w:p>
    <w:p w14:paraId="3DE47256" w14:textId="77777777" w:rsidR="00CD333B" w:rsidRPr="00CD333B" w:rsidRDefault="00CD333B" w:rsidP="00CD333B">
      <w:pPr>
        <w:snapToGrid w:val="0"/>
      </w:pPr>
    </w:p>
    <w:p w14:paraId="7F00340B" w14:textId="7F994AC6" w:rsidR="00422DED" w:rsidRPr="00625172" w:rsidRDefault="00422DED" w:rsidP="00CD333B">
      <w:pPr>
        <w:pStyle w:val="Title"/>
        <w:snapToGrid w:val="0"/>
      </w:pPr>
      <w:r w:rsidRPr="00625172">
        <w:t xml:space="preserve">SCHEDULE OF SPECIFIC COMMITMENTS ON </w:t>
      </w:r>
      <w:r w:rsidR="00F63DB7">
        <w:t>THE</w:t>
      </w:r>
    </w:p>
    <w:p w14:paraId="5BB02A32" w14:textId="2D9E7A4D" w:rsidR="001C0524" w:rsidRPr="00625172" w:rsidRDefault="00422DED" w:rsidP="00CD333B">
      <w:pPr>
        <w:pStyle w:val="Title"/>
        <w:snapToGrid w:val="0"/>
      </w:pPr>
      <w:r w:rsidRPr="00625172">
        <w:t>MOVEMENT OF NATURAL PERSONS</w:t>
      </w:r>
    </w:p>
    <w:p w14:paraId="07A76B64" w14:textId="77777777" w:rsidR="006844B0" w:rsidRPr="00625172" w:rsidRDefault="006844B0" w:rsidP="00CD333B">
      <w:pPr>
        <w:pStyle w:val="Title"/>
        <w:snapToGrid w:val="0"/>
      </w:pPr>
    </w:p>
    <w:p w14:paraId="104FAC10" w14:textId="5EC2E359" w:rsidR="001C0524" w:rsidRPr="00625172" w:rsidRDefault="00715A5C" w:rsidP="00CD333B">
      <w:pPr>
        <w:pStyle w:val="Title"/>
        <w:snapToGrid w:val="0"/>
      </w:pPr>
      <w:r w:rsidRPr="00715A5C">
        <w:t>BRUNEI DARUSSALAM</w:t>
      </w:r>
    </w:p>
    <w:p w14:paraId="6BFE165E" w14:textId="77777777" w:rsidR="003B3F3F" w:rsidRDefault="003B3F3F" w:rsidP="00CD333B">
      <w:pPr>
        <w:snapToGrid w:val="0"/>
        <w:rPr>
          <w:lang w:val="id-ID"/>
        </w:rPr>
      </w:pPr>
    </w:p>
    <w:p w14:paraId="075F1368" w14:textId="77777777" w:rsidR="00CD333B" w:rsidRPr="00625172" w:rsidRDefault="00CD333B" w:rsidP="00CD333B">
      <w:pPr>
        <w:snapToGrid w:val="0"/>
        <w:rPr>
          <w:lang w:val="id-ID"/>
        </w:rPr>
      </w:pPr>
    </w:p>
    <w:p w14:paraId="5FA5969C" w14:textId="77777777" w:rsidR="00715A5C" w:rsidRDefault="00715A5C" w:rsidP="00CD333B">
      <w:pPr>
        <w:pStyle w:val="NumberedList"/>
        <w:snapToGrid w:val="0"/>
        <w:spacing w:before="0"/>
        <w:ind w:left="0" w:firstLine="0"/>
      </w:pPr>
      <w:r>
        <w:t>This Schedule sets out Brunei Darussalam’s commitments under Chapter 9 (Movement of Natural Persons) in relation to the temporary entry and temporary stay of natural persons of another Party which apply only in relation to the categories of natural persons set out in the table of commitments below.</w:t>
      </w:r>
    </w:p>
    <w:p w14:paraId="7893BACF" w14:textId="77777777" w:rsidR="00CD333B" w:rsidRDefault="00CD333B" w:rsidP="00CD333B">
      <w:pPr>
        <w:pStyle w:val="NumberedList"/>
        <w:numPr>
          <w:ilvl w:val="0"/>
          <w:numId w:val="0"/>
        </w:numPr>
        <w:snapToGrid w:val="0"/>
        <w:spacing w:before="0"/>
        <w:ind w:left="360"/>
      </w:pPr>
    </w:p>
    <w:p w14:paraId="1E2A02C9" w14:textId="33C6A973" w:rsidR="00715A5C" w:rsidRDefault="00715A5C" w:rsidP="00CD333B">
      <w:pPr>
        <w:pStyle w:val="NumberedList"/>
        <w:snapToGrid w:val="0"/>
        <w:spacing w:before="0"/>
        <w:ind w:left="0" w:firstLine="0"/>
      </w:pPr>
      <w:r>
        <w:t xml:space="preserve">For the categories of natural persons set out in this Schedule, Brunei Darussalam specifies below terms, conditions, </w:t>
      </w:r>
      <w:proofErr w:type="gramStart"/>
      <w:r>
        <w:t>limitations</w:t>
      </w:r>
      <w:proofErr w:type="gramEnd"/>
      <w:r>
        <w:t xml:space="preserve"> and qualifications in relation to the temporary entry and temporary stay of natural persons of a Party in the territory of Brunei Darussalam.</w:t>
      </w:r>
    </w:p>
    <w:p w14:paraId="6B4D3049" w14:textId="77777777" w:rsidR="00CD333B" w:rsidRDefault="00CD333B" w:rsidP="00CD333B">
      <w:pPr>
        <w:pStyle w:val="NumberedList"/>
        <w:numPr>
          <w:ilvl w:val="0"/>
          <w:numId w:val="0"/>
        </w:numPr>
        <w:snapToGrid w:val="0"/>
        <w:spacing w:before="0"/>
        <w:ind w:left="360"/>
      </w:pPr>
    </w:p>
    <w:p w14:paraId="28B92832" w14:textId="53E19D3A" w:rsidR="00512491" w:rsidRDefault="00715A5C" w:rsidP="00CD333B">
      <w:pPr>
        <w:pStyle w:val="NumberedList"/>
        <w:snapToGrid w:val="0"/>
        <w:spacing w:before="0"/>
        <w:ind w:left="0" w:firstLine="0"/>
      </w:pPr>
      <w:r>
        <w:t xml:space="preserve">Brunei Darussalam reserves the right to adopt or maintain any measure, </w:t>
      </w:r>
      <w:proofErr w:type="gramStart"/>
      <w:r>
        <w:t>condition</w:t>
      </w:r>
      <w:proofErr w:type="gramEnd"/>
      <w:r>
        <w:t xml:space="preserve"> or commitment in respect of requirements of requisite visa for temporary entry and temporary stay as provided under Article 5 (Schedules of </w:t>
      </w:r>
      <w:r w:rsidR="00B01084">
        <w:t xml:space="preserve">Specific </w:t>
      </w:r>
      <w:r>
        <w:t xml:space="preserve">Commitments </w:t>
      </w:r>
      <w:r w:rsidR="00B01084">
        <w:t>on the Movement of Natural Persons</w:t>
      </w:r>
      <w:r>
        <w:t xml:space="preserve">) </w:t>
      </w:r>
      <w:r w:rsidR="00D121AC">
        <w:t xml:space="preserve">of Chapter 9 (Movement of Natural Persons) </w:t>
      </w:r>
      <w:r>
        <w:t>for the categories of intra-corporate transferees as specified in the table of commitments below</w:t>
      </w:r>
      <w:r w:rsidR="0053544A">
        <w:t>.</w:t>
      </w:r>
    </w:p>
    <w:p w14:paraId="7BAF4041" w14:textId="77777777" w:rsidR="001B7AC3" w:rsidRPr="00625172" w:rsidRDefault="001B7AC3" w:rsidP="00F22EEB">
      <w:pPr>
        <w:snapToGrid w:val="0"/>
        <w:rPr>
          <w:rFonts w:cs="Arial"/>
        </w:rPr>
      </w:pPr>
    </w:p>
    <w:tbl>
      <w:tblPr>
        <w:tblStyle w:val="TableGrid"/>
        <w:tblW w:w="0" w:type="auto"/>
        <w:tblLook w:val="04A0" w:firstRow="1" w:lastRow="0" w:firstColumn="1" w:lastColumn="0" w:noHBand="0" w:noVBand="1"/>
      </w:tblPr>
      <w:tblGrid>
        <w:gridCol w:w="3746"/>
        <w:gridCol w:w="3833"/>
      </w:tblGrid>
      <w:tr w:rsidR="002D60A5" w14:paraId="2AFCFB8E" w14:textId="77777777" w:rsidTr="00345094">
        <w:trPr>
          <w:tblHeader/>
        </w:trPr>
        <w:tc>
          <w:tcPr>
            <w:tcW w:w="3746" w:type="dxa"/>
            <w:vAlign w:val="center"/>
          </w:tcPr>
          <w:p w14:paraId="5F26D64F" w14:textId="1E03E451" w:rsidR="002D60A5" w:rsidRDefault="000C777D" w:rsidP="00CD333B">
            <w:pPr>
              <w:snapToGrid w:val="0"/>
              <w:jc w:val="center"/>
              <w:rPr>
                <w:rFonts w:cs="Arial"/>
              </w:rPr>
            </w:pPr>
            <w:r w:rsidRPr="000C777D">
              <w:rPr>
                <w:rFonts w:cs="Arial"/>
                <w:b/>
              </w:rPr>
              <w:t>Description of Category</w:t>
            </w:r>
          </w:p>
        </w:tc>
        <w:tc>
          <w:tcPr>
            <w:tcW w:w="3833" w:type="dxa"/>
            <w:vAlign w:val="center"/>
          </w:tcPr>
          <w:p w14:paraId="5EAF5B14" w14:textId="77777777" w:rsidR="002D60A5" w:rsidRPr="00625172" w:rsidRDefault="002D60A5" w:rsidP="00CD333B">
            <w:pPr>
              <w:snapToGrid w:val="0"/>
              <w:jc w:val="center"/>
              <w:rPr>
                <w:rFonts w:cs="Arial"/>
                <w:b/>
              </w:rPr>
            </w:pPr>
            <w:r w:rsidRPr="00625172">
              <w:rPr>
                <w:rFonts w:cs="Arial"/>
                <w:b/>
              </w:rPr>
              <w:t>Conditions and Limitations</w:t>
            </w:r>
          </w:p>
          <w:p w14:paraId="6FF87DBF" w14:textId="084601E2" w:rsidR="002D60A5" w:rsidRDefault="002D60A5" w:rsidP="00CD333B">
            <w:pPr>
              <w:snapToGrid w:val="0"/>
              <w:jc w:val="center"/>
              <w:rPr>
                <w:rFonts w:cs="Arial"/>
              </w:rPr>
            </w:pPr>
            <w:r w:rsidRPr="00625172">
              <w:rPr>
                <w:rFonts w:cs="Arial"/>
                <w:b/>
              </w:rPr>
              <w:t>(</w:t>
            </w:r>
            <w:proofErr w:type="gramStart"/>
            <w:r w:rsidRPr="00625172">
              <w:rPr>
                <w:rFonts w:cs="Arial"/>
                <w:b/>
              </w:rPr>
              <w:t>including</w:t>
            </w:r>
            <w:proofErr w:type="gramEnd"/>
            <w:r w:rsidRPr="00625172">
              <w:rPr>
                <w:rFonts w:cs="Arial"/>
                <w:b/>
              </w:rPr>
              <w:t xml:space="preserve"> length of stay)</w:t>
            </w:r>
          </w:p>
        </w:tc>
      </w:tr>
      <w:tr w:rsidR="002D60A5" w14:paraId="34B14529" w14:textId="77777777" w:rsidTr="00345094">
        <w:tc>
          <w:tcPr>
            <w:tcW w:w="7579" w:type="dxa"/>
            <w:gridSpan w:val="2"/>
          </w:tcPr>
          <w:p w14:paraId="4DA7AD54" w14:textId="7162F0F9" w:rsidR="002D60A5" w:rsidRPr="002D60A5" w:rsidRDefault="000C777D" w:rsidP="00CD333B">
            <w:pPr>
              <w:pStyle w:val="ListParagraph"/>
              <w:numPr>
                <w:ilvl w:val="0"/>
                <w:numId w:val="31"/>
              </w:numPr>
              <w:snapToGrid w:val="0"/>
              <w:ind w:left="720" w:hanging="720"/>
              <w:contextualSpacing w:val="0"/>
              <w:rPr>
                <w:rFonts w:cs="Arial"/>
                <w:b/>
                <w:bCs/>
              </w:rPr>
            </w:pPr>
            <w:r w:rsidRPr="000C777D">
              <w:rPr>
                <w:rFonts w:cs="Arial"/>
                <w:b/>
                <w:bCs/>
              </w:rPr>
              <w:t>Intra-Corporate Transferees</w:t>
            </w:r>
          </w:p>
        </w:tc>
      </w:tr>
      <w:tr w:rsidR="002D60A5" w14:paraId="60423705" w14:textId="77777777" w:rsidTr="00345094">
        <w:tc>
          <w:tcPr>
            <w:tcW w:w="3746" w:type="dxa"/>
          </w:tcPr>
          <w:p w14:paraId="1ADFAB61" w14:textId="77777777" w:rsidR="00715A5C" w:rsidRPr="00BF2223" w:rsidRDefault="00715A5C" w:rsidP="00CD333B">
            <w:pPr>
              <w:snapToGrid w:val="0"/>
              <w:rPr>
                <w:rFonts w:eastAsia="Arial"/>
                <w:u w:val="single"/>
              </w:rPr>
            </w:pPr>
            <w:r w:rsidRPr="00BF2223">
              <w:rPr>
                <w:rFonts w:eastAsia="Arial"/>
                <w:u w:val="single"/>
              </w:rPr>
              <w:t>Definition:</w:t>
            </w:r>
          </w:p>
          <w:p w14:paraId="26BB9E84" w14:textId="77777777" w:rsidR="00715A5C" w:rsidRPr="00715A5C" w:rsidRDefault="00715A5C" w:rsidP="00CD333B">
            <w:pPr>
              <w:snapToGrid w:val="0"/>
              <w:jc w:val="both"/>
              <w:rPr>
                <w:rFonts w:cs="Arial"/>
              </w:rPr>
            </w:pPr>
            <w:r w:rsidRPr="00715A5C">
              <w:rPr>
                <w:rFonts w:cs="Arial"/>
                <w:b/>
                <w:bCs/>
              </w:rPr>
              <w:t xml:space="preserve">Executives, </w:t>
            </w:r>
            <w:proofErr w:type="gramStart"/>
            <w:r w:rsidRPr="00715A5C">
              <w:rPr>
                <w:rFonts w:cs="Arial"/>
                <w:b/>
                <w:bCs/>
              </w:rPr>
              <w:t>managers</w:t>
            </w:r>
            <w:proofErr w:type="gramEnd"/>
            <w:r w:rsidRPr="00715A5C">
              <w:rPr>
                <w:rFonts w:cs="Arial"/>
                <w:b/>
                <w:bCs/>
              </w:rPr>
              <w:t xml:space="preserve"> or specialists</w:t>
            </w:r>
            <w:r w:rsidRPr="00715A5C">
              <w:rPr>
                <w:rFonts w:cs="Arial"/>
              </w:rPr>
              <w:t>:</w:t>
            </w:r>
          </w:p>
          <w:p w14:paraId="1B797896" w14:textId="77777777" w:rsidR="00715A5C" w:rsidRPr="00715A5C" w:rsidRDefault="00715A5C" w:rsidP="00CD333B">
            <w:pPr>
              <w:snapToGrid w:val="0"/>
              <w:ind w:left="333" w:hanging="333"/>
              <w:jc w:val="both"/>
              <w:rPr>
                <w:rFonts w:cs="Arial"/>
              </w:rPr>
            </w:pPr>
            <w:r w:rsidRPr="00715A5C">
              <w:rPr>
                <w:rFonts w:cs="Arial"/>
              </w:rPr>
              <w:t>(</w:t>
            </w:r>
            <w:proofErr w:type="spellStart"/>
            <w:r w:rsidRPr="00715A5C">
              <w:rPr>
                <w:rFonts w:cs="Arial"/>
              </w:rPr>
              <w:t>i</w:t>
            </w:r>
            <w:proofErr w:type="spellEnd"/>
            <w:r w:rsidRPr="00715A5C">
              <w:rPr>
                <w:rFonts w:cs="Arial"/>
              </w:rPr>
              <w:t>)</w:t>
            </w:r>
            <w:r w:rsidRPr="00715A5C">
              <w:rPr>
                <w:rFonts w:cs="Arial"/>
              </w:rPr>
              <w:tab/>
              <w:t>who are employees of a firm that provides services within Brunei Darussalam through a branch, subsidiary or affiliate established in Brunei Darussalam; and</w:t>
            </w:r>
          </w:p>
          <w:p w14:paraId="1E13D5EE" w14:textId="77777777" w:rsidR="00715A5C" w:rsidRPr="00715A5C" w:rsidRDefault="00715A5C" w:rsidP="00CD333B">
            <w:pPr>
              <w:snapToGrid w:val="0"/>
              <w:ind w:left="333" w:hanging="333"/>
              <w:jc w:val="both"/>
              <w:rPr>
                <w:rFonts w:cs="Arial"/>
              </w:rPr>
            </w:pPr>
          </w:p>
          <w:p w14:paraId="7A02D137" w14:textId="77777777" w:rsidR="00715A5C" w:rsidRPr="00715A5C" w:rsidRDefault="00715A5C" w:rsidP="00CD333B">
            <w:pPr>
              <w:snapToGrid w:val="0"/>
              <w:ind w:left="333" w:hanging="333"/>
              <w:jc w:val="both"/>
              <w:rPr>
                <w:rFonts w:cs="Arial"/>
              </w:rPr>
            </w:pPr>
            <w:r w:rsidRPr="00715A5C">
              <w:rPr>
                <w:rFonts w:cs="Arial"/>
              </w:rPr>
              <w:t>(ii)</w:t>
            </w:r>
            <w:r w:rsidRPr="00715A5C">
              <w:rPr>
                <w:rFonts w:cs="Arial"/>
              </w:rPr>
              <w:tab/>
              <w:t>who have been in the prior employment of their firms outside Brunei Darussalam for a period of not less than one year immediately preceding the date of their application for admission and who are one of the following:</w:t>
            </w:r>
          </w:p>
          <w:p w14:paraId="59212F4D" w14:textId="77777777" w:rsidR="00715A5C" w:rsidRPr="00715A5C" w:rsidRDefault="00715A5C" w:rsidP="00CD333B">
            <w:pPr>
              <w:snapToGrid w:val="0"/>
              <w:jc w:val="both"/>
              <w:rPr>
                <w:rFonts w:cs="Arial"/>
              </w:rPr>
            </w:pPr>
          </w:p>
          <w:p w14:paraId="692094C8" w14:textId="77777777" w:rsidR="00715A5C" w:rsidRPr="00715A5C" w:rsidRDefault="00715A5C" w:rsidP="00CD333B">
            <w:pPr>
              <w:snapToGrid w:val="0"/>
              <w:jc w:val="both"/>
              <w:rPr>
                <w:rFonts w:cs="Arial"/>
              </w:rPr>
            </w:pPr>
            <w:r w:rsidRPr="00715A5C">
              <w:rPr>
                <w:rFonts w:cs="Arial"/>
                <w:b/>
                <w:bCs/>
              </w:rPr>
              <w:t>Executives</w:t>
            </w:r>
            <w:r w:rsidRPr="00715A5C">
              <w:rPr>
                <w:rFonts w:cs="Arial"/>
              </w:rPr>
              <w:t>:</w:t>
            </w:r>
          </w:p>
          <w:p w14:paraId="34CE177E" w14:textId="0EA3F013" w:rsidR="002D60A5" w:rsidRDefault="00715A5C" w:rsidP="00CD333B">
            <w:pPr>
              <w:snapToGrid w:val="0"/>
              <w:jc w:val="both"/>
              <w:rPr>
                <w:rFonts w:cs="Arial"/>
              </w:rPr>
            </w:pPr>
            <w:r w:rsidRPr="00715A5C">
              <w:rPr>
                <w:rFonts w:cs="Arial"/>
                <w:u w:val="single"/>
              </w:rPr>
              <w:t>Definition</w:t>
            </w:r>
            <w:r w:rsidRPr="00715A5C">
              <w:rPr>
                <w:rFonts w:cs="Arial"/>
              </w:rPr>
              <w:t xml:space="preserve">: Natural persons within an organisation who primarily direct the management of the organisation, exercise wide latitude in decision-making and receive only general supervision or direction from higher-level executives, the board of directors or stockholders of the business. Executives would not directly perform tasks related to the actual provision of </w:t>
            </w:r>
            <w:r w:rsidRPr="00715A5C">
              <w:rPr>
                <w:rFonts w:cs="Arial"/>
              </w:rPr>
              <w:lastRenderedPageBreak/>
              <w:t>the service or services of the organisation.</w:t>
            </w:r>
          </w:p>
          <w:p w14:paraId="71C2507F" w14:textId="77777777" w:rsidR="00715A5C" w:rsidRDefault="00715A5C" w:rsidP="00CD333B">
            <w:pPr>
              <w:snapToGrid w:val="0"/>
              <w:jc w:val="both"/>
              <w:rPr>
                <w:rFonts w:cs="Arial"/>
              </w:rPr>
            </w:pPr>
          </w:p>
          <w:p w14:paraId="5706186C" w14:textId="77777777" w:rsidR="00715A5C" w:rsidRPr="00715A5C" w:rsidRDefault="00715A5C" w:rsidP="00CD333B">
            <w:pPr>
              <w:snapToGrid w:val="0"/>
              <w:jc w:val="both"/>
              <w:rPr>
                <w:rFonts w:cs="Arial"/>
              </w:rPr>
            </w:pPr>
            <w:r w:rsidRPr="00715A5C">
              <w:rPr>
                <w:rFonts w:cs="Arial"/>
                <w:b/>
                <w:bCs/>
              </w:rPr>
              <w:t>Managers</w:t>
            </w:r>
            <w:r w:rsidRPr="00715A5C">
              <w:rPr>
                <w:rFonts w:cs="Arial"/>
              </w:rPr>
              <w:t>:</w:t>
            </w:r>
          </w:p>
          <w:p w14:paraId="1FE3D2FC" w14:textId="77777777" w:rsidR="00715A5C" w:rsidRPr="00715A5C" w:rsidRDefault="00715A5C" w:rsidP="00CD333B">
            <w:pPr>
              <w:snapToGrid w:val="0"/>
              <w:jc w:val="both"/>
              <w:rPr>
                <w:rFonts w:cs="Arial"/>
              </w:rPr>
            </w:pPr>
            <w:r w:rsidRPr="00715A5C">
              <w:rPr>
                <w:rFonts w:cs="Arial"/>
                <w:u w:val="single"/>
              </w:rPr>
              <w:t>Definition</w:t>
            </w:r>
            <w:r w:rsidRPr="00715A5C">
              <w:rPr>
                <w:rFonts w:cs="Arial"/>
              </w:rPr>
              <w:t xml:space="preserve">: Natural persons within an organisation who primarily direct the organisation, or a department of sub-division of the organisation, supervising and controlling the work of other supervisory, </w:t>
            </w:r>
            <w:proofErr w:type="gramStart"/>
            <w:r w:rsidRPr="00715A5C">
              <w:rPr>
                <w:rFonts w:cs="Arial"/>
              </w:rPr>
              <w:t>professional</w:t>
            </w:r>
            <w:proofErr w:type="gramEnd"/>
            <w:r w:rsidRPr="00715A5C">
              <w:rPr>
                <w:rFonts w:cs="Arial"/>
              </w:rPr>
              <w:t xml:space="preserve"> or managerial employees, who have the authority to hire and fire or commend hiring, firing or other personnel actions (such as promotion or leave authorisation), and exercise discretionary authority over day-to-day operations. This does not include first-line supervisors, unless the employees supervised are professionals, nor does it include employees who primarily perform tasks necessary for the provision of these services.</w:t>
            </w:r>
          </w:p>
          <w:p w14:paraId="0221C8AB" w14:textId="77777777" w:rsidR="00715A5C" w:rsidRPr="00715A5C" w:rsidRDefault="00715A5C" w:rsidP="00CD333B">
            <w:pPr>
              <w:snapToGrid w:val="0"/>
              <w:jc w:val="both"/>
              <w:rPr>
                <w:rFonts w:cs="Arial"/>
              </w:rPr>
            </w:pPr>
          </w:p>
          <w:p w14:paraId="651C07A9" w14:textId="77777777" w:rsidR="00715A5C" w:rsidRPr="00715A5C" w:rsidRDefault="00715A5C" w:rsidP="00CD333B">
            <w:pPr>
              <w:snapToGrid w:val="0"/>
              <w:jc w:val="both"/>
              <w:rPr>
                <w:rFonts w:cs="Arial"/>
              </w:rPr>
            </w:pPr>
            <w:r w:rsidRPr="00715A5C">
              <w:rPr>
                <w:rFonts w:cs="Arial"/>
                <w:b/>
                <w:bCs/>
              </w:rPr>
              <w:t>Specialists</w:t>
            </w:r>
          </w:p>
          <w:p w14:paraId="0FB700FA" w14:textId="09802DE7" w:rsidR="00715A5C" w:rsidRPr="000C777D" w:rsidRDefault="00715A5C" w:rsidP="00CD333B">
            <w:pPr>
              <w:snapToGrid w:val="0"/>
              <w:jc w:val="both"/>
              <w:rPr>
                <w:rFonts w:cs="Arial"/>
              </w:rPr>
            </w:pPr>
            <w:r w:rsidRPr="00715A5C">
              <w:rPr>
                <w:rFonts w:cs="Arial"/>
                <w:u w:val="single"/>
              </w:rPr>
              <w:t>Definition</w:t>
            </w:r>
            <w:r w:rsidRPr="00715A5C">
              <w:rPr>
                <w:rFonts w:cs="Arial"/>
              </w:rPr>
              <w:t xml:space="preserve">: Naturals persons within an organisation who possess knowledge at an advance level of expertise and who possess priority knowledge of the organisation’s service, research equipment, </w:t>
            </w:r>
            <w:proofErr w:type="gramStart"/>
            <w:r w:rsidRPr="00715A5C">
              <w:rPr>
                <w:rFonts w:cs="Arial"/>
              </w:rPr>
              <w:t>techniques</w:t>
            </w:r>
            <w:proofErr w:type="gramEnd"/>
            <w:r w:rsidRPr="00715A5C">
              <w:rPr>
                <w:rFonts w:cs="Arial"/>
              </w:rPr>
              <w:t xml:space="preserve"> or management skills (Specialists may include members of licensed professions).</w:t>
            </w:r>
          </w:p>
        </w:tc>
        <w:tc>
          <w:tcPr>
            <w:tcW w:w="3833" w:type="dxa"/>
          </w:tcPr>
          <w:p w14:paraId="2EBDE6F6" w14:textId="77777777" w:rsidR="00715A5C" w:rsidRPr="00715A5C" w:rsidRDefault="00715A5C" w:rsidP="00CD333B">
            <w:pPr>
              <w:snapToGrid w:val="0"/>
              <w:jc w:val="both"/>
              <w:rPr>
                <w:rFonts w:cs="Arial"/>
              </w:rPr>
            </w:pPr>
            <w:r w:rsidRPr="00715A5C">
              <w:rPr>
                <w:rFonts w:cs="Arial"/>
              </w:rPr>
              <w:lastRenderedPageBreak/>
              <w:t>Entry for these intra-corporate transferees is limited to a three-year period that may be extended for up to two additional years for a total period not exceeding five years.</w:t>
            </w:r>
          </w:p>
          <w:p w14:paraId="46522463" w14:textId="77777777" w:rsidR="00715A5C" w:rsidRPr="00715A5C" w:rsidRDefault="00715A5C" w:rsidP="00CD333B">
            <w:pPr>
              <w:snapToGrid w:val="0"/>
              <w:jc w:val="both"/>
              <w:rPr>
                <w:rFonts w:cs="Arial"/>
              </w:rPr>
            </w:pPr>
          </w:p>
          <w:p w14:paraId="584ACC92" w14:textId="11599736" w:rsidR="00715A5C" w:rsidRPr="00715A5C" w:rsidRDefault="00715A5C" w:rsidP="00CD333B">
            <w:pPr>
              <w:snapToGrid w:val="0"/>
              <w:jc w:val="both"/>
              <w:rPr>
                <w:rFonts w:cs="Arial"/>
              </w:rPr>
            </w:pPr>
            <w:r w:rsidRPr="00715A5C">
              <w:rPr>
                <w:rFonts w:cs="Arial"/>
              </w:rPr>
              <w:t>Entry shall be granted subject to terms, conditions or limitations as prescribed under Brunei Darussalam’s immigration laws and regulations.</w:t>
            </w:r>
          </w:p>
          <w:p w14:paraId="4896D860" w14:textId="77777777" w:rsidR="00715A5C" w:rsidRPr="00715A5C" w:rsidRDefault="00715A5C" w:rsidP="00CD333B">
            <w:pPr>
              <w:snapToGrid w:val="0"/>
              <w:jc w:val="both"/>
              <w:rPr>
                <w:rFonts w:cs="Arial"/>
              </w:rPr>
            </w:pPr>
          </w:p>
          <w:p w14:paraId="7AAD2A71" w14:textId="15171465" w:rsidR="002D60A5" w:rsidRDefault="00715A5C" w:rsidP="00CD333B">
            <w:pPr>
              <w:snapToGrid w:val="0"/>
              <w:jc w:val="both"/>
              <w:rPr>
                <w:rFonts w:cs="Arial"/>
              </w:rPr>
            </w:pPr>
            <w:r w:rsidRPr="00715A5C">
              <w:rPr>
                <w:rFonts w:cs="Arial"/>
              </w:rPr>
              <w:t xml:space="preserve">Entry shall only be granted for intra-corporate transferees supplying a service listed in </w:t>
            </w:r>
            <w:r w:rsidR="00D345EA">
              <w:rPr>
                <w:rFonts w:cs="Arial"/>
              </w:rPr>
              <w:t>Appendix</w:t>
            </w:r>
            <w:r w:rsidR="00474E93" w:rsidRPr="00715A5C">
              <w:rPr>
                <w:rFonts w:cs="Arial"/>
              </w:rPr>
              <w:t xml:space="preserve"> A.</w:t>
            </w:r>
          </w:p>
        </w:tc>
      </w:tr>
    </w:tbl>
    <w:p w14:paraId="3A20F0F4" w14:textId="77777777" w:rsidR="00715A5C" w:rsidRDefault="00715A5C" w:rsidP="00CD333B">
      <w:pPr>
        <w:snapToGrid w:val="0"/>
        <w:sectPr w:rsidR="00715A5C" w:rsidSect="00D10B63">
          <w:footerReference w:type="default" r:id="rId9"/>
          <w:headerReference w:type="first" r:id="rId10"/>
          <w:pgSz w:w="11909" w:h="16834" w:code="9"/>
          <w:pgMar w:top="2304" w:right="2160" w:bottom="1800" w:left="2160" w:header="720" w:footer="720" w:gutter="0"/>
          <w:cols w:space="720"/>
          <w:docGrid w:linePitch="272"/>
        </w:sectPr>
      </w:pPr>
    </w:p>
    <w:p w14:paraId="06243AFE" w14:textId="76D3BEEC" w:rsidR="00715A5C" w:rsidRDefault="00D345EA" w:rsidP="00CD333B">
      <w:pPr>
        <w:pStyle w:val="Title"/>
        <w:snapToGrid w:val="0"/>
      </w:pPr>
      <w:r>
        <w:lastRenderedPageBreak/>
        <w:t>Appendix</w:t>
      </w:r>
      <w:r w:rsidR="00715A5C" w:rsidRPr="00715A5C">
        <w:t xml:space="preserve"> A</w:t>
      </w:r>
    </w:p>
    <w:p w14:paraId="47E419CE" w14:textId="77777777" w:rsidR="00CD333B" w:rsidRPr="00CD333B" w:rsidRDefault="00CD333B" w:rsidP="00CD333B"/>
    <w:p w14:paraId="34CD7FFD" w14:textId="77777777" w:rsidR="00715A5C" w:rsidRPr="00715A5C" w:rsidRDefault="00715A5C" w:rsidP="00CD333B">
      <w:pPr>
        <w:pStyle w:val="Title"/>
        <w:snapToGrid w:val="0"/>
      </w:pPr>
      <w:r w:rsidRPr="00715A5C">
        <w:t xml:space="preserve">SECTORAL SPECIFIC COMMITMENTS FOR </w:t>
      </w:r>
    </w:p>
    <w:p w14:paraId="36F7E03D" w14:textId="476CD252" w:rsidR="00715A5C" w:rsidRPr="00715A5C" w:rsidRDefault="00715A5C" w:rsidP="00CD333B">
      <w:pPr>
        <w:pStyle w:val="Title"/>
        <w:snapToGrid w:val="0"/>
      </w:pPr>
      <w:r w:rsidRPr="00715A5C">
        <w:t>INTRA-CORPORATE TRANSFEREES</w:t>
      </w:r>
    </w:p>
    <w:p w14:paraId="5E626651" w14:textId="77777777" w:rsidR="00715A5C" w:rsidRPr="00BA2A71" w:rsidRDefault="00715A5C" w:rsidP="00CD333B">
      <w:pPr>
        <w:snapToGrid w:val="0"/>
        <w:rPr>
          <w:rFonts w:eastAsia="Arial"/>
          <w:b/>
        </w:rPr>
      </w:pPr>
    </w:p>
    <w:p w14:paraId="7FFC0950" w14:textId="77777777" w:rsidR="00715A5C" w:rsidRDefault="00715A5C" w:rsidP="00CD333B">
      <w:pPr>
        <w:snapToGrid w:val="0"/>
        <w:rPr>
          <w:rFonts w:eastAsia="Arial"/>
        </w:rPr>
      </w:pPr>
    </w:p>
    <w:tbl>
      <w:tblPr>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3150"/>
      </w:tblGrid>
      <w:tr w:rsidR="00715A5C" w:rsidRPr="00F67DF0" w14:paraId="62326EA8" w14:textId="77777777" w:rsidTr="00715A5C">
        <w:trPr>
          <w:trHeight w:val="206"/>
        </w:trPr>
        <w:tc>
          <w:tcPr>
            <w:tcW w:w="4405" w:type="dxa"/>
            <w:shd w:val="clear" w:color="auto" w:fill="auto"/>
            <w:vAlign w:val="bottom"/>
          </w:tcPr>
          <w:p w14:paraId="02FE44BE" w14:textId="77777777" w:rsidR="00715A5C" w:rsidRPr="00F67DF0" w:rsidRDefault="00715A5C" w:rsidP="00CD333B">
            <w:pPr>
              <w:snapToGrid w:val="0"/>
              <w:jc w:val="center"/>
              <w:rPr>
                <w:rFonts w:ascii="Times New Roman" w:hAnsi="Times New Roman"/>
                <w:sz w:val="18"/>
              </w:rPr>
            </w:pPr>
            <w:r w:rsidRPr="00F67DF0">
              <w:rPr>
                <w:rFonts w:eastAsia="Arial"/>
                <w:b/>
              </w:rPr>
              <w:t>Sector or Subsector</w:t>
            </w:r>
          </w:p>
        </w:tc>
        <w:tc>
          <w:tcPr>
            <w:tcW w:w="3150" w:type="dxa"/>
            <w:shd w:val="clear" w:color="auto" w:fill="auto"/>
          </w:tcPr>
          <w:p w14:paraId="6F9FD81B" w14:textId="77777777" w:rsidR="00715A5C" w:rsidRPr="00F67DF0" w:rsidRDefault="00715A5C" w:rsidP="00CD333B">
            <w:pPr>
              <w:snapToGrid w:val="0"/>
              <w:jc w:val="center"/>
              <w:rPr>
                <w:rFonts w:eastAsia="Arial"/>
              </w:rPr>
            </w:pPr>
            <w:r w:rsidRPr="00F67DF0">
              <w:rPr>
                <w:rFonts w:eastAsia="Arial"/>
                <w:b/>
              </w:rPr>
              <w:t>Conditions and Limitations</w:t>
            </w:r>
          </w:p>
        </w:tc>
      </w:tr>
      <w:tr w:rsidR="00715A5C" w:rsidRPr="00F67DF0" w14:paraId="1FD35CD5" w14:textId="77777777" w:rsidTr="00715A5C">
        <w:trPr>
          <w:trHeight w:val="989"/>
        </w:trPr>
        <w:tc>
          <w:tcPr>
            <w:tcW w:w="4405" w:type="dxa"/>
            <w:shd w:val="clear" w:color="auto" w:fill="auto"/>
            <w:vAlign w:val="bottom"/>
          </w:tcPr>
          <w:p w14:paraId="43CC14B3" w14:textId="77777777" w:rsidR="00715A5C" w:rsidRPr="00F67DF0" w:rsidRDefault="00715A5C" w:rsidP="00CD333B">
            <w:pPr>
              <w:snapToGrid w:val="0"/>
              <w:ind w:left="540"/>
              <w:rPr>
                <w:rFonts w:ascii="Symbol" w:eastAsia="Symbol" w:hAnsi="Symbol"/>
              </w:rPr>
            </w:pPr>
          </w:p>
          <w:p w14:paraId="0742DF90" w14:textId="77777777" w:rsidR="00715A5C" w:rsidRPr="00F67DF0" w:rsidRDefault="00715A5C" w:rsidP="00CD333B">
            <w:pPr>
              <w:numPr>
                <w:ilvl w:val="0"/>
                <w:numId w:val="37"/>
              </w:numPr>
              <w:autoSpaceDE/>
              <w:autoSpaceDN/>
              <w:snapToGrid w:val="0"/>
              <w:ind w:left="246" w:hanging="270"/>
              <w:jc w:val="both"/>
              <w:rPr>
                <w:rFonts w:ascii="Symbol" w:eastAsia="Symbol" w:hAnsi="Symbol"/>
              </w:rPr>
            </w:pPr>
            <w:r w:rsidRPr="00F67DF0">
              <w:rPr>
                <w:rFonts w:eastAsia="Arial"/>
              </w:rPr>
              <w:t>Auditing Services;</w:t>
            </w:r>
          </w:p>
          <w:p w14:paraId="2B874432" w14:textId="77777777" w:rsidR="00715A5C" w:rsidRPr="00F67DF0" w:rsidRDefault="00715A5C" w:rsidP="00CD333B">
            <w:pPr>
              <w:numPr>
                <w:ilvl w:val="0"/>
                <w:numId w:val="37"/>
              </w:numPr>
              <w:autoSpaceDE/>
              <w:autoSpaceDN/>
              <w:snapToGrid w:val="0"/>
              <w:ind w:left="246" w:hanging="270"/>
              <w:jc w:val="both"/>
              <w:rPr>
                <w:rFonts w:ascii="Symbol" w:eastAsia="Symbol" w:hAnsi="Symbol"/>
              </w:rPr>
            </w:pPr>
            <w:r w:rsidRPr="00F67DF0">
              <w:rPr>
                <w:rFonts w:eastAsia="Arial"/>
              </w:rPr>
              <w:t>Architectural Services;</w:t>
            </w:r>
          </w:p>
          <w:p w14:paraId="7F50046F" w14:textId="77777777" w:rsidR="00715A5C" w:rsidRPr="00F67DF0" w:rsidRDefault="00715A5C" w:rsidP="00CD333B">
            <w:pPr>
              <w:numPr>
                <w:ilvl w:val="0"/>
                <w:numId w:val="37"/>
              </w:numPr>
              <w:autoSpaceDE/>
              <w:autoSpaceDN/>
              <w:snapToGrid w:val="0"/>
              <w:ind w:left="246" w:hanging="270"/>
              <w:jc w:val="both"/>
              <w:rPr>
                <w:rFonts w:ascii="Symbol" w:eastAsia="Symbol" w:hAnsi="Symbol"/>
              </w:rPr>
            </w:pPr>
            <w:r w:rsidRPr="00F67DF0">
              <w:rPr>
                <w:rFonts w:eastAsia="Arial"/>
              </w:rPr>
              <w:t>Engineering Services;</w:t>
            </w:r>
          </w:p>
          <w:p w14:paraId="3BC70119" w14:textId="79082094" w:rsidR="00715A5C" w:rsidRPr="00F67DF0" w:rsidRDefault="0053544A" w:rsidP="00CD333B">
            <w:pPr>
              <w:numPr>
                <w:ilvl w:val="0"/>
                <w:numId w:val="37"/>
              </w:numPr>
              <w:autoSpaceDE/>
              <w:autoSpaceDN/>
              <w:snapToGrid w:val="0"/>
              <w:ind w:left="246" w:hanging="270"/>
              <w:jc w:val="both"/>
              <w:rPr>
                <w:rFonts w:eastAsia="Arial"/>
              </w:rPr>
            </w:pPr>
            <w:proofErr w:type="spellStart"/>
            <w:r w:rsidRPr="00F67DF0">
              <w:rPr>
                <w:rFonts w:eastAsia="Arial"/>
              </w:rPr>
              <w:t>Integrated</w:t>
            </w:r>
            <w:r w:rsidRPr="00F67DF0">
              <w:rPr>
                <w:rFonts w:ascii="Symbol" w:eastAsia="Symbol" w:hAnsi="Symbol"/>
              </w:rPr>
              <w:t></w:t>
            </w:r>
            <w:r w:rsidRPr="00F67DF0">
              <w:rPr>
                <w:rFonts w:eastAsia="Arial"/>
              </w:rPr>
              <w:t>Engineering</w:t>
            </w:r>
            <w:proofErr w:type="spellEnd"/>
            <w:r w:rsidR="00715A5C" w:rsidRPr="00F67DF0">
              <w:rPr>
                <w:rFonts w:eastAsia="Arial"/>
              </w:rPr>
              <w:t xml:space="preserve"> Services, which is only applicable to the following sectors:</w:t>
            </w:r>
          </w:p>
          <w:p w14:paraId="5C81EFC7" w14:textId="77777777" w:rsidR="00715A5C" w:rsidRPr="00F67DF0" w:rsidRDefault="00715A5C" w:rsidP="00CD333B">
            <w:pPr>
              <w:snapToGrid w:val="0"/>
              <w:ind w:left="246"/>
              <w:jc w:val="both"/>
              <w:rPr>
                <w:rFonts w:eastAsia="Arial"/>
              </w:rPr>
            </w:pPr>
          </w:p>
          <w:p w14:paraId="7FD87B02" w14:textId="77777777" w:rsidR="00715A5C" w:rsidRPr="00F67DF0" w:rsidRDefault="00715A5C" w:rsidP="00CD333B">
            <w:pPr>
              <w:numPr>
                <w:ilvl w:val="0"/>
                <w:numId w:val="36"/>
              </w:numPr>
              <w:autoSpaceDE/>
              <w:autoSpaceDN/>
              <w:snapToGrid w:val="0"/>
              <w:ind w:left="720"/>
              <w:jc w:val="both"/>
              <w:rPr>
                <w:rFonts w:eastAsia="Arial"/>
              </w:rPr>
            </w:pPr>
            <w:r w:rsidRPr="00F67DF0">
              <w:rPr>
                <w:rFonts w:eastAsia="Arial"/>
              </w:rPr>
              <w:t>for Transportation Infrastructure Turnkey Projects;</w:t>
            </w:r>
          </w:p>
          <w:p w14:paraId="2EF3F423" w14:textId="77777777" w:rsidR="00715A5C" w:rsidRPr="00F67DF0" w:rsidRDefault="00715A5C" w:rsidP="00CD333B">
            <w:pPr>
              <w:numPr>
                <w:ilvl w:val="0"/>
                <w:numId w:val="36"/>
              </w:numPr>
              <w:autoSpaceDE/>
              <w:autoSpaceDN/>
              <w:snapToGrid w:val="0"/>
              <w:ind w:left="720"/>
              <w:jc w:val="both"/>
              <w:rPr>
                <w:rFonts w:eastAsia="Arial"/>
              </w:rPr>
            </w:pPr>
            <w:r w:rsidRPr="00F67DF0">
              <w:rPr>
                <w:rFonts w:eastAsia="Arial"/>
              </w:rPr>
              <w:t>for Water Supply and Sanitation Works</w:t>
            </w:r>
          </w:p>
          <w:p w14:paraId="5FE9B8A8" w14:textId="77777777" w:rsidR="00715A5C" w:rsidRPr="00F67DF0" w:rsidRDefault="00715A5C" w:rsidP="00CD333B">
            <w:pPr>
              <w:numPr>
                <w:ilvl w:val="0"/>
                <w:numId w:val="36"/>
              </w:numPr>
              <w:autoSpaceDE/>
              <w:autoSpaceDN/>
              <w:snapToGrid w:val="0"/>
              <w:ind w:left="720"/>
              <w:jc w:val="both"/>
              <w:rPr>
                <w:rFonts w:eastAsia="Arial"/>
              </w:rPr>
            </w:pPr>
            <w:r w:rsidRPr="00F67DF0">
              <w:rPr>
                <w:rFonts w:eastAsia="Arial"/>
              </w:rPr>
              <w:t>Turnkey Projects;</w:t>
            </w:r>
          </w:p>
          <w:p w14:paraId="245DEBFC" w14:textId="77777777" w:rsidR="00715A5C" w:rsidRPr="00F67DF0" w:rsidRDefault="00715A5C" w:rsidP="00CD333B">
            <w:pPr>
              <w:numPr>
                <w:ilvl w:val="0"/>
                <w:numId w:val="36"/>
              </w:numPr>
              <w:autoSpaceDE/>
              <w:autoSpaceDN/>
              <w:snapToGrid w:val="0"/>
              <w:ind w:left="720"/>
              <w:jc w:val="both"/>
              <w:rPr>
                <w:rFonts w:eastAsia="Arial"/>
              </w:rPr>
            </w:pPr>
            <w:r w:rsidRPr="00F67DF0">
              <w:rPr>
                <w:rFonts w:eastAsia="Arial"/>
              </w:rPr>
              <w:t>for the Construction of Manufacturing</w:t>
            </w:r>
          </w:p>
          <w:p w14:paraId="4232EC0D" w14:textId="77777777" w:rsidR="00715A5C" w:rsidRPr="00F67DF0" w:rsidRDefault="00715A5C" w:rsidP="00CD333B">
            <w:pPr>
              <w:numPr>
                <w:ilvl w:val="0"/>
                <w:numId w:val="36"/>
              </w:numPr>
              <w:autoSpaceDE/>
              <w:autoSpaceDN/>
              <w:snapToGrid w:val="0"/>
              <w:ind w:left="720"/>
              <w:jc w:val="both"/>
              <w:rPr>
                <w:rFonts w:eastAsia="Arial"/>
              </w:rPr>
            </w:pPr>
            <w:r w:rsidRPr="00F67DF0">
              <w:rPr>
                <w:rFonts w:eastAsia="Arial"/>
              </w:rPr>
              <w:t>Turnkey Projects; and</w:t>
            </w:r>
          </w:p>
          <w:p w14:paraId="36968FD5" w14:textId="77777777" w:rsidR="00715A5C" w:rsidRPr="00F67DF0" w:rsidRDefault="00715A5C" w:rsidP="00CD333B">
            <w:pPr>
              <w:numPr>
                <w:ilvl w:val="0"/>
                <w:numId w:val="36"/>
              </w:numPr>
              <w:autoSpaceDE/>
              <w:autoSpaceDN/>
              <w:snapToGrid w:val="0"/>
              <w:ind w:left="720"/>
              <w:jc w:val="both"/>
              <w:rPr>
                <w:rFonts w:eastAsia="Arial"/>
              </w:rPr>
            </w:pPr>
            <w:r w:rsidRPr="00F67DF0">
              <w:rPr>
                <w:rFonts w:eastAsia="Arial"/>
              </w:rPr>
              <w:t>for Other Turnkey Projects;</w:t>
            </w:r>
          </w:p>
          <w:p w14:paraId="4918A171" w14:textId="77777777" w:rsidR="00715A5C" w:rsidRPr="00F67DF0" w:rsidRDefault="00715A5C" w:rsidP="00CD333B">
            <w:pPr>
              <w:snapToGrid w:val="0"/>
              <w:ind w:left="246"/>
              <w:jc w:val="both"/>
              <w:rPr>
                <w:rFonts w:eastAsia="Arial"/>
              </w:rPr>
            </w:pPr>
          </w:p>
          <w:p w14:paraId="50F63554" w14:textId="77777777" w:rsidR="00715A5C" w:rsidRPr="006B7264" w:rsidRDefault="00715A5C" w:rsidP="00CD333B">
            <w:pPr>
              <w:numPr>
                <w:ilvl w:val="0"/>
                <w:numId w:val="38"/>
              </w:numPr>
              <w:autoSpaceDE/>
              <w:autoSpaceDN/>
              <w:snapToGrid w:val="0"/>
              <w:ind w:left="246" w:hanging="270"/>
              <w:jc w:val="both"/>
              <w:rPr>
                <w:rFonts w:eastAsia="Arial"/>
              </w:rPr>
            </w:pPr>
            <w:r w:rsidRPr="006B7264">
              <w:rPr>
                <w:rFonts w:eastAsia="Arial"/>
              </w:rPr>
              <w:t>Urban Planning and Landscape architectural services;</w:t>
            </w:r>
          </w:p>
          <w:p w14:paraId="1068CA16" w14:textId="77777777" w:rsidR="00715A5C" w:rsidRPr="00F67DF0" w:rsidRDefault="00715A5C" w:rsidP="00CD333B">
            <w:pPr>
              <w:numPr>
                <w:ilvl w:val="0"/>
                <w:numId w:val="38"/>
              </w:numPr>
              <w:autoSpaceDE/>
              <w:autoSpaceDN/>
              <w:snapToGrid w:val="0"/>
              <w:ind w:left="246" w:hanging="270"/>
              <w:jc w:val="both"/>
              <w:rPr>
                <w:rFonts w:eastAsia="Arial"/>
              </w:rPr>
            </w:pPr>
            <w:r w:rsidRPr="00F67DF0">
              <w:rPr>
                <w:rFonts w:eastAsia="Arial"/>
              </w:rPr>
              <w:t>Medical and Dental Services;</w:t>
            </w:r>
          </w:p>
          <w:p w14:paraId="1F1D570E" w14:textId="77777777" w:rsidR="00715A5C" w:rsidRPr="00F22EEB" w:rsidRDefault="00715A5C" w:rsidP="00F22EEB">
            <w:pPr>
              <w:numPr>
                <w:ilvl w:val="0"/>
                <w:numId w:val="38"/>
              </w:numPr>
              <w:autoSpaceDE/>
              <w:autoSpaceDN/>
              <w:snapToGrid w:val="0"/>
              <w:ind w:left="246" w:hanging="270"/>
              <w:jc w:val="both"/>
              <w:rPr>
                <w:rFonts w:eastAsia="Arial"/>
              </w:rPr>
            </w:pPr>
            <w:r w:rsidRPr="00F22EEB">
              <w:rPr>
                <w:rFonts w:eastAsia="Arial"/>
              </w:rPr>
              <w:t>Veterinary Services;</w:t>
            </w:r>
          </w:p>
          <w:p w14:paraId="43A17C3E" w14:textId="77777777" w:rsidR="00715A5C" w:rsidRPr="00F67DF0" w:rsidRDefault="00715A5C" w:rsidP="00CD333B">
            <w:pPr>
              <w:numPr>
                <w:ilvl w:val="0"/>
                <w:numId w:val="38"/>
              </w:numPr>
              <w:autoSpaceDE/>
              <w:autoSpaceDN/>
              <w:snapToGrid w:val="0"/>
              <w:ind w:left="246" w:hanging="270"/>
              <w:jc w:val="both"/>
              <w:rPr>
                <w:rFonts w:eastAsia="Arial"/>
              </w:rPr>
            </w:pPr>
            <w:r w:rsidRPr="00F67DF0">
              <w:rPr>
                <w:rFonts w:eastAsia="Arial"/>
              </w:rPr>
              <w:t>Computer and Related Services;</w:t>
            </w:r>
          </w:p>
          <w:p w14:paraId="25282D4B" w14:textId="77777777" w:rsidR="00715A5C" w:rsidRPr="00F67DF0" w:rsidRDefault="00715A5C" w:rsidP="00CD333B">
            <w:pPr>
              <w:numPr>
                <w:ilvl w:val="0"/>
                <w:numId w:val="38"/>
              </w:numPr>
              <w:autoSpaceDE/>
              <w:autoSpaceDN/>
              <w:snapToGrid w:val="0"/>
              <w:ind w:left="246" w:hanging="270"/>
              <w:jc w:val="both"/>
              <w:rPr>
                <w:rFonts w:eastAsia="Arial"/>
              </w:rPr>
            </w:pPr>
            <w:r w:rsidRPr="00F67DF0">
              <w:rPr>
                <w:rFonts w:eastAsia="Arial"/>
              </w:rPr>
              <w:t>Research and Development Services;</w:t>
            </w:r>
          </w:p>
          <w:p w14:paraId="115E56C3" w14:textId="77777777" w:rsidR="00715A5C" w:rsidRPr="006B7264" w:rsidRDefault="00715A5C" w:rsidP="00CD333B">
            <w:pPr>
              <w:numPr>
                <w:ilvl w:val="0"/>
                <w:numId w:val="38"/>
              </w:numPr>
              <w:autoSpaceDE/>
              <w:autoSpaceDN/>
              <w:snapToGrid w:val="0"/>
              <w:ind w:left="246" w:hanging="270"/>
              <w:jc w:val="both"/>
              <w:rPr>
                <w:rFonts w:eastAsia="Arial"/>
              </w:rPr>
            </w:pPr>
            <w:r w:rsidRPr="006B7264">
              <w:rPr>
                <w:rFonts w:eastAsia="Arial"/>
              </w:rPr>
              <w:t xml:space="preserve">Rental or </w:t>
            </w:r>
            <w:r w:rsidRPr="00F22EEB">
              <w:rPr>
                <w:rFonts w:eastAsia="Arial"/>
              </w:rPr>
              <w:t>Leasing Services</w:t>
            </w:r>
            <w:r w:rsidRPr="006B7264">
              <w:rPr>
                <w:rFonts w:eastAsia="Arial"/>
                <w:w w:val="99"/>
              </w:rPr>
              <w:t xml:space="preserve"> </w:t>
            </w:r>
            <w:r w:rsidRPr="006B7264">
              <w:rPr>
                <w:rFonts w:eastAsia="Arial"/>
              </w:rPr>
              <w:t>Relating to Aircraft without operators;</w:t>
            </w:r>
          </w:p>
          <w:p w14:paraId="6B333960" w14:textId="77777777" w:rsidR="00715A5C" w:rsidRPr="00F67DF0" w:rsidRDefault="00715A5C" w:rsidP="00CD333B">
            <w:pPr>
              <w:numPr>
                <w:ilvl w:val="0"/>
                <w:numId w:val="38"/>
              </w:numPr>
              <w:autoSpaceDE/>
              <w:autoSpaceDN/>
              <w:snapToGrid w:val="0"/>
              <w:ind w:left="246" w:hanging="270"/>
              <w:jc w:val="both"/>
              <w:rPr>
                <w:rFonts w:eastAsia="Arial"/>
              </w:rPr>
            </w:pPr>
            <w:r w:rsidRPr="00F67DF0">
              <w:rPr>
                <w:rFonts w:eastAsia="Arial"/>
              </w:rPr>
              <w:t>Other Business Services;</w:t>
            </w:r>
          </w:p>
          <w:p w14:paraId="272CFD1B" w14:textId="77777777" w:rsidR="00715A5C" w:rsidRPr="00F67DF0" w:rsidRDefault="00715A5C" w:rsidP="00CD333B">
            <w:pPr>
              <w:numPr>
                <w:ilvl w:val="0"/>
                <w:numId w:val="38"/>
              </w:numPr>
              <w:autoSpaceDE/>
              <w:autoSpaceDN/>
              <w:snapToGrid w:val="0"/>
              <w:ind w:left="246" w:hanging="270"/>
              <w:jc w:val="both"/>
              <w:rPr>
                <w:rFonts w:eastAsia="Arial"/>
              </w:rPr>
            </w:pPr>
            <w:r w:rsidRPr="00F67DF0">
              <w:rPr>
                <w:rFonts w:eastAsia="Arial"/>
              </w:rPr>
              <w:t>Courier Services;</w:t>
            </w:r>
          </w:p>
          <w:p w14:paraId="03F6B793" w14:textId="77777777" w:rsidR="00715A5C" w:rsidRPr="00F67DF0" w:rsidRDefault="00715A5C" w:rsidP="00CD333B">
            <w:pPr>
              <w:numPr>
                <w:ilvl w:val="0"/>
                <w:numId w:val="38"/>
              </w:numPr>
              <w:autoSpaceDE/>
              <w:autoSpaceDN/>
              <w:snapToGrid w:val="0"/>
              <w:ind w:left="246" w:hanging="270"/>
              <w:jc w:val="both"/>
              <w:rPr>
                <w:rFonts w:eastAsia="Arial"/>
              </w:rPr>
            </w:pPr>
            <w:r w:rsidRPr="00F67DF0">
              <w:rPr>
                <w:rFonts w:eastAsia="Arial"/>
              </w:rPr>
              <w:t>Telecommunication Services;</w:t>
            </w:r>
          </w:p>
          <w:p w14:paraId="2AED2FCF" w14:textId="77777777" w:rsidR="00715A5C" w:rsidRPr="00F67DF0" w:rsidRDefault="00715A5C" w:rsidP="00CD333B">
            <w:pPr>
              <w:numPr>
                <w:ilvl w:val="0"/>
                <w:numId w:val="38"/>
              </w:numPr>
              <w:autoSpaceDE/>
              <w:autoSpaceDN/>
              <w:snapToGrid w:val="0"/>
              <w:ind w:left="246" w:hanging="270"/>
              <w:jc w:val="both"/>
              <w:rPr>
                <w:rFonts w:eastAsia="Arial"/>
              </w:rPr>
            </w:pPr>
            <w:r w:rsidRPr="00F67DF0">
              <w:rPr>
                <w:rFonts w:eastAsia="Arial"/>
              </w:rPr>
              <w:t>Construction Work for Buildings;</w:t>
            </w:r>
          </w:p>
          <w:p w14:paraId="684FF4E2" w14:textId="77777777" w:rsidR="00715A5C" w:rsidRPr="00F67DF0" w:rsidRDefault="00715A5C" w:rsidP="00CD333B">
            <w:pPr>
              <w:numPr>
                <w:ilvl w:val="0"/>
                <w:numId w:val="38"/>
              </w:numPr>
              <w:autoSpaceDE/>
              <w:autoSpaceDN/>
              <w:snapToGrid w:val="0"/>
              <w:ind w:left="246" w:hanging="270"/>
              <w:jc w:val="both"/>
              <w:rPr>
                <w:rFonts w:eastAsia="Arial"/>
              </w:rPr>
            </w:pPr>
            <w:r w:rsidRPr="00F67DF0">
              <w:rPr>
                <w:rFonts w:eastAsia="Arial"/>
              </w:rPr>
              <w:t>Construction Work for Civil Engineering;</w:t>
            </w:r>
          </w:p>
          <w:p w14:paraId="5E727664" w14:textId="6BEA70AE" w:rsidR="00715A5C" w:rsidRPr="00F67DF0" w:rsidRDefault="00715A5C" w:rsidP="00CD333B">
            <w:pPr>
              <w:numPr>
                <w:ilvl w:val="0"/>
                <w:numId w:val="38"/>
              </w:numPr>
              <w:autoSpaceDE/>
              <w:autoSpaceDN/>
              <w:snapToGrid w:val="0"/>
              <w:ind w:left="246" w:hanging="270"/>
              <w:jc w:val="both"/>
              <w:rPr>
                <w:rFonts w:eastAsia="Arial"/>
              </w:rPr>
            </w:pPr>
            <w:r w:rsidRPr="00F67DF0">
              <w:rPr>
                <w:rFonts w:eastAsia="Arial"/>
              </w:rPr>
              <w:t xml:space="preserve">Assembly and Erection </w:t>
            </w:r>
            <w:r w:rsidR="00474E93">
              <w:rPr>
                <w:rFonts w:eastAsia="Arial"/>
              </w:rPr>
              <w:t xml:space="preserve">of Prefabricated </w:t>
            </w:r>
            <w:r w:rsidRPr="00F67DF0">
              <w:rPr>
                <w:rFonts w:eastAsia="Arial"/>
              </w:rPr>
              <w:t>Constructions;</w:t>
            </w:r>
          </w:p>
          <w:p w14:paraId="6834B092" w14:textId="77777777" w:rsidR="00715A5C" w:rsidRPr="00F67DF0" w:rsidRDefault="00715A5C" w:rsidP="00CD333B">
            <w:pPr>
              <w:numPr>
                <w:ilvl w:val="0"/>
                <w:numId w:val="38"/>
              </w:numPr>
              <w:autoSpaceDE/>
              <w:autoSpaceDN/>
              <w:snapToGrid w:val="0"/>
              <w:ind w:left="246" w:hanging="270"/>
              <w:jc w:val="both"/>
              <w:rPr>
                <w:rFonts w:eastAsia="Arial"/>
              </w:rPr>
            </w:pPr>
            <w:r w:rsidRPr="00F67DF0">
              <w:rPr>
                <w:rFonts w:eastAsia="Arial"/>
              </w:rPr>
              <w:t>Installation Work;</w:t>
            </w:r>
          </w:p>
          <w:p w14:paraId="4866AD80" w14:textId="77777777" w:rsidR="00715A5C" w:rsidRPr="00F67DF0" w:rsidRDefault="00715A5C" w:rsidP="00CD333B">
            <w:pPr>
              <w:numPr>
                <w:ilvl w:val="0"/>
                <w:numId w:val="38"/>
              </w:numPr>
              <w:autoSpaceDE/>
              <w:autoSpaceDN/>
              <w:snapToGrid w:val="0"/>
              <w:ind w:left="246" w:hanging="270"/>
              <w:jc w:val="both"/>
              <w:rPr>
                <w:rFonts w:eastAsia="Arial"/>
              </w:rPr>
            </w:pPr>
            <w:r w:rsidRPr="00F67DF0">
              <w:rPr>
                <w:rFonts w:eastAsia="Arial"/>
              </w:rPr>
              <w:t>Building Completion and Finishing Work;</w:t>
            </w:r>
          </w:p>
          <w:p w14:paraId="261AE6E3" w14:textId="77777777" w:rsidR="00715A5C" w:rsidRPr="00F67DF0" w:rsidRDefault="00715A5C" w:rsidP="00CD333B">
            <w:pPr>
              <w:numPr>
                <w:ilvl w:val="0"/>
                <w:numId w:val="38"/>
              </w:numPr>
              <w:autoSpaceDE/>
              <w:autoSpaceDN/>
              <w:snapToGrid w:val="0"/>
              <w:ind w:left="246" w:hanging="270"/>
              <w:jc w:val="both"/>
              <w:rPr>
                <w:rFonts w:eastAsia="Arial"/>
              </w:rPr>
            </w:pPr>
            <w:r w:rsidRPr="00F67DF0">
              <w:rPr>
                <w:rFonts w:eastAsia="Arial"/>
              </w:rPr>
              <w:t>Pre-erection work at Construction Site;</w:t>
            </w:r>
          </w:p>
          <w:p w14:paraId="71184EB4" w14:textId="77777777" w:rsidR="00715A5C" w:rsidRPr="00F67DF0" w:rsidRDefault="00715A5C" w:rsidP="00CD333B">
            <w:pPr>
              <w:numPr>
                <w:ilvl w:val="0"/>
                <w:numId w:val="38"/>
              </w:numPr>
              <w:autoSpaceDE/>
              <w:autoSpaceDN/>
              <w:snapToGrid w:val="0"/>
              <w:ind w:left="246" w:hanging="270"/>
              <w:jc w:val="both"/>
              <w:rPr>
                <w:rFonts w:eastAsia="Arial"/>
              </w:rPr>
            </w:pPr>
            <w:r w:rsidRPr="00F67DF0">
              <w:rPr>
                <w:rFonts w:eastAsia="Arial"/>
              </w:rPr>
              <w:t>Special Trade Construction;</w:t>
            </w:r>
          </w:p>
          <w:p w14:paraId="5783C961" w14:textId="5236EC58" w:rsidR="00715A5C" w:rsidRPr="00715A5C" w:rsidRDefault="00715A5C" w:rsidP="00CD333B">
            <w:pPr>
              <w:numPr>
                <w:ilvl w:val="0"/>
                <w:numId w:val="38"/>
              </w:numPr>
              <w:tabs>
                <w:tab w:val="left" w:pos="280"/>
              </w:tabs>
              <w:autoSpaceDE/>
              <w:autoSpaceDN/>
              <w:snapToGrid w:val="0"/>
              <w:ind w:left="246" w:hanging="270"/>
              <w:jc w:val="both"/>
              <w:rPr>
                <w:rFonts w:eastAsia="Arial"/>
              </w:rPr>
            </w:pPr>
            <w:r w:rsidRPr="00715A5C">
              <w:rPr>
                <w:rFonts w:eastAsia="Arial"/>
              </w:rPr>
              <w:t>Renting Services related to Equipment for</w:t>
            </w:r>
            <w:r>
              <w:rPr>
                <w:rFonts w:eastAsia="Arial"/>
              </w:rPr>
              <w:t xml:space="preserve"> </w:t>
            </w:r>
            <w:r w:rsidRPr="00715A5C">
              <w:rPr>
                <w:rFonts w:eastAsia="Arial"/>
              </w:rPr>
              <w:t>Construction or Demolition of Building or Civil Engineering Works with Operator;</w:t>
            </w:r>
          </w:p>
          <w:p w14:paraId="75D168E6" w14:textId="77777777" w:rsidR="00715A5C" w:rsidRPr="00F67DF0" w:rsidRDefault="00715A5C" w:rsidP="00CD333B">
            <w:pPr>
              <w:numPr>
                <w:ilvl w:val="0"/>
                <w:numId w:val="38"/>
              </w:numPr>
              <w:tabs>
                <w:tab w:val="left" w:pos="280"/>
              </w:tabs>
              <w:autoSpaceDE/>
              <w:autoSpaceDN/>
              <w:snapToGrid w:val="0"/>
              <w:ind w:left="246" w:hanging="270"/>
              <w:jc w:val="both"/>
              <w:rPr>
                <w:rFonts w:eastAsia="Arial"/>
              </w:rPr>
            </w:pPr>
            <w:r w:rsidRPr="00F67DF0">
              <w:rPr>
                <w:rFonts w:eastAsia="Arial"/>
              </w:rPr>
              <w:t>Educational Services;</w:t>
            </w:r>
          </w:p>
          <w:p w14:paraId="7DB23783" w14:textId="77777777" w:rsidR="00715A5C" w:rsidRPr="00F67DF0" w:rsidRDefault="00715A5C" w:rsidP="00CD333B">
            <w:pPr>
              <w:numPr>
                <w:ilvl w:val="0"/>
                <w:numId w:val="38"/>
              </w:numPr>
              <w:tabs>
                <w:tab w:val="left" w:pos="280"/>
              </w:tabs>
              <w:autoSpaceDE/>
              <w:autoSpaceDN/>
              <w:snapToGrid w:val="0"/>
              <w:ind w:left="246" w:hanging="270"/>
              <w:jc w:val="both"/>
              <w:rPr>
                <w:rFonts w:eastAsia="Arial"/>
              </w:rPr>
            </w:pPr>
            <w:r w:rsidRPr="00F67DF0">
              <w:rPr>
                <w:rFonts w:eastAsia="Arial"/>
              </w:rPr>
              <w:t>Environmental Services;</w:t>
            </w:r>
          </w:p>
          <w:p w14:paraId="39089573" w14:textId="77777777" w:rsidR="00715A5C" w:rsidRPr="00F67DF0" w:rsidRDefault="00715A5C" w:rsidP="00CD333B">
            <w:pPr>
              <w:numPr>
                <w:ilvl w:val="0"/>
                <w:numId w:val="38"/>
              </w:numPr>
              <w:tabs>
                <w:tab w:val="left" w:pos="280"/>
              </w:tabs>
              <w:autoSpaceDE/>
              <w:autoSpaceDN/>
              <w:snapToGrid w:val="0"/>
              <w:ind w:left="246" w:hanging="270"/>
              <w:jc w:val="both"/>
              <w:rPr>
                <w:rFonts w:eastAsia="Arial"/>
              </w:rPr>
            </w:pPr>
            <w:r w:rsidRPr="00F67DF0">
              <w:rPr>
                <w:rFonts w:eastAsia="Arial"/>
              </w:rPr>
              <w:t>Financial Services;</w:t>
            </w:r>
          </w:p>
          <w:p w14:paraId="4CF14377" w14:textId="77777777" w:rsidR="00715A5C" w:rsidRDefault="00715A5C" w:rsidP="00CD333B">
            <w:pPr>
              <w:numPr>
                <w:ilvl w:val="0"/>
                <w:numId w:val="38"/>
              </w:numPr>
              <w:tabs>
                <w:tab w:val="left" w:pos="280"/>
              </w:tabs>
              <w:autoSpaceDE/>
              <w:autoSpaceDN/>
              <w:snapToGrid w:val="0"/>
              <w:ind w:left="246" w:hanging="270"/>
              <w:jc w:val="both"/>
              <w:rPr>
                <w:rFonts w:eastAsia="Arial"/>
              </w:rPr>
            </w:pPr>
            <w:r w:rsidRPr="006B7264">
              <w:rPr>
                <w:rFonts w:eastAsia="Arial"/>
              </w:rPr>
              <w:t>Health Related and Social Services, except</w:t>
            </w:r>
            <w:r>
              <w:rPr>
                <w:rFonts w:eastAsia="Arial"/>
              </w:rPr>
              <w:t xml:space="preserve"> </w:t>
            </w:r>
            <w:r w:rsidRPr="006B7264">
              <w:rPr>
                <w:rFonts w:eastAsia="Arial"/>
              </w:rPr>
              <w:t>for Social Services; and</w:t>
            </w:r>
          </w:p>
          <w:p w14:paraId="18379996" w14:textId="734DE700" w:rsidR="00715A5C" w:rsidRPr="00F67DF0" w:rsidRDefault="00715A5C" w:rsidP="00F22EEB">
            <w:pPr>
              <w:numPr>
                <w:ilvl w:val="0"/>
                <w:numId w:val="38"/>
              </w:numPr>
              <w:tabs>
                <w:tab w:val="left" w:pos="280"/>
              </w:tabs>
              <w:autoSpaceDE/>
              <w:autoSpaceDN/>
              <w:snapToGrid w:val="0"/>
              <w:ind w:left="246" w:hanging="270"/>
              <w:jc w:val="both"/>
              <w:rPr>
                <w:rFonts w:eastAsia="Arial"/>
                <w:b/>
              </w:rPr>
            </w:pPr>
            <w:r w:rsidRPr="006B7264">
              <w:rPr>
                <w:rFonts w:eastAsia="Arial"/>
              </w:rPr>
              <w:t>Transportation Services.</w:t>
            </w:r>
          </w:p>
        </w:tc>
        <w:tc>
          <w:tcPr>
            <w:tcW w:w="3150" w:type="dxa"/>
            <w:shd w:val="clear" w:color="auto" w:fill="auto"/>
          </w:tcPr>
          <w:p w14:paraId="280BDB79" w14:textId="77777777" w:rsidR="00715A5C" w:rsidRPr="00F67DF0" w:rsidRDefault="00715A5C" w:rsidP="00CD333B">
            <w:pPr>
              <w:snapToGrid w:val="0"/>
              <w:ind w:left="138" w:right="275"/>
              <w:jc w:val="both"/>
              <w:rPr>
                <w:rFonts w:eastAsia="Arial"/>
              </w:rPr>
            </w:pPr>
          </w:p>
          <w:p w14:paraId="69EF6B79" w14:textId="65619CAA" w:rsidR="00715A5C" w:rsidRDefault="00715A5C" w:rsidP="00CD333B">
            <w:pPr>
              <w:snapToGrid w:val="0"/>
              <w:ind w:right="275"/>
              <w:jc w:val="both"/>
              <w:rPr>
                <w:rFonts w:eastAsia="Arial"/>
              </w:rPr>
            </w:pPr>
            <w:r w:rsidRPr="00F67DF0">
              <w:rPr>
                <w:rFonts w:eastAsia="Arial"/>
              </w:rPr>
              <w:t xml:space="preserve">In the case of </w:t>
            </w:r>
            <w:r w:rsidR="002E4E57">
              <w:rPr>
                <w:rFonts w:eastAsia="Arial"/>
              </w:rPr>
              <w:t>a</w:t>
            </w:r>
            <w:r w:rsidRPr="00F67DF0">
              <w:rPr>
                <w:rFonts w:eastAsia="Arial"/>
              </w:rPr>
              <w:t>rchitects:</w:t>
            </w:r>
          </w:p>
          <w:p w14:paraId="20FAFBD7" w14:textId="77777777" w:rsidR="00715A5C" w:rsidRPr="00F67DF0" w:rsidRDefault="00715A5C" w:rsidP="00CD333B">
            <w:pPr>
              <w:snapToGrid w:val="0"/>
              <w:ind w:left="138" w:right="275"/>
              <w:jc w:val="both"/>
              <w:rPr>
                <w:rFonts w:eastAsia="Arial"/>
              </w:rPr>
            </w:pPr>
          </w:p>
          <w:p w14:paraId="579C3CBF" w14:textId="6CC40E81" w:rsidR="00715A5C" w:rsidRPr="00F67DF0" w:rsidRDefault="00715A5C" w:rsidP="00CD333B">
            <w:pPr>
              <w:snapToGrid w:val="0"/>
              <w:ind w:left="-19"/>
              <w:jc w:val="both"/>
              <w:rPr>
                <w:rFonts w:eastAsia="Arial"/>
              </w:rPr>
            </w:pPr>
            <w:r w:rsidRPr="00F67DF0">
              <w:rPr>
                <w:rFonts w:eastAsia="Arial"/>
              </w:rPr>
              <w:t xml:space="preserve">The licensed practicing architects should have recognised academic and professional qualifications and be registered as a “qualified person” with the Ministry of Development in Brunei Darussalam. For greater certainty, qualified persons or </w:t>
            </w:r>
            <w:r w:rsidR="00DA4D7A">
              <w:rPr>
                <w:rFonts w:eastAsia="Arial"/>
              </w:rPr>
              <w:t>l</w:t>
            </w:r>
            <w:r w:rsidRPr="00F67DF0">
              <w:rPr>
                <w:rFonts w:eastAsia="Arial"/>
              </w:rPr>
              <w:t>icensed architects are required to register if they have resided in Brunei Darussalam and practicing with a local licensed architect for a period of one year.</w:t>
            </w:r>
          </w:p>
        </w:tc>
      </w:tr>
    </w:tbl>
    <w:p w14:paraId="78CF85B8" w14:textId="26DA8BB5" w:rsidR="00345094" w:rsidRDefault="00345094" w:rsidP="00CD333B">
      <w:pPr>
        <w:snapToGrid w:val="0"/>
      </w:pPr>
    </w:p>
    <w:sectPr w:rsidR="00345094" w:rsidSect="00D10B63">
      <w:pgSz w:w="11909" w:h="16834" w:code="9"/>
      <w:pgMar w:top="2304" w:right="2160" w:bottom="1800" w:left="21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7D08" w14:textId="77777777" w:rsidR="004A2176" w:rsidRDefault="004A2176">
      <w:r>
        <w:separator/>
      </w:r>
    </w:p>
  </w:endnote>
  <w:endnote w:type="continuationSeparator" w:id="0">
    <w:p w14:paraId="38793EEC" w14:textId="77777777" w:rsidR="004A2176" w:rsidRDefault="004A2176">
      <w:r>
        <w:continuationSeparator/>
      </w:r>
    </w:p>
  </w:endnote>
  <w:endnote w:type="continuationNotice" w:id="1">
    <w:p w14:paraId="3DA93A84" w14:textId="77777777" w:rsidR="004A2176" w:rsidRDefault="004A2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Spec="center" w:tblpY="-39"/>
      <w:tblW w:w="0" w:type="auto"/>
      <w:tblLook w:val="04A0" w:firstRow="1" w:lastRow="0" w:firstColumn="1" w:lastColumn="0" w:noHBand="0" w:noVBand="1"/>
    </w:tblPr>
    <w:tblGrid>
      <w:gridCol w:w="4439"/>
    </w:tblGrid>
    <w:tr w:rsidR="00DD54E9" w:rsidRPr="00CF0495" w14:paraId="56A7C1AB" w14:textId="77777777" w:rsidTr="00715A5C">
      <w:trPr>
        <w:trHeight w:val="196"/>
      </w:trPr>
      <w:tc>
        <w:tcPr>
          <w:tcW w:w="4439" w:type="dxa"/>
          <w:tcBorders>
            <w:top w:val="nil"/>
            <w:left w:val="nil"/>
            <w:bottom w:val="nil"/>
            <w:right w:val="nil"/>
          </w:tcBorders>
        </w:tcPr>
        <w:p w14:paraId="4D7683B6" w14:textId="764D5C97" w:rsidR="00DD54E9" w:rsidRPr="00CF0495" w:rsidRDefault="00DD54E9" w:rsidP="00715A5C">
          <w:pPr>
            <w:pStyle w:val="Footer"/>
            <w:tabs>
              <w:tab w:val="clear" w:pos="4320"/>
              <w:tab w:val="clear" w:pos="8640"/>
            </w:tabs>
            <w:jc w:val="center"/>
          </w:pPr>
          <w:r>
            <w:t>A</w:t>
          </w:r>
          <w:r w:rsidR="00500E58">
            <w:t xml:space="preserve">NNEX </w:t>
          </w:r>
          <w:r w:rsidR="001C35BB">
            <w:t>4</w:t>
          </w:r>
          <w:r w:rsidR="00F22EEB">
            <w:t xml:space="preserve"> </w:t>
          </w:r>
          <w:r w:rsidR="00500E58">
            <w:t xml:space="preserve">– </w:t>
          </w:r>
          <w:r w:rsidR="00715A5C">
            <w:t>BRUNEI DARUSSALAM</w:t>
          </w:r>
          <w:r w:rsidR="00500E58">
            <w:t xml:space="preserve"> –</w:t>
          </w:r>
          <w:r>
            <w:t xml:space="preserve"> </w:t>
          </w:r>
          <w:r w:rsidRPr="00CF0495">
            <w:fldChar w:fldCharType="begin"/>
          </w:r>
          <w:r w:rsidRPr="00CF0495">
            <w:instrText xml:space="preserve"> PAGE   \* MERGEFORMAT </w:instrText>
          </w:r>
          <w:r w:rsidRPr="00CF0495">
            <w:fldChar w:fldCharType="separate"/>
          </w:r>
          <w:r w:rsidR="008B7633">
            <w:rPr>
              <w:noProof/>
            </w:rPr>
            <w:t>3</w:t>
          </w:r>
          <w:r w:rsidRPr="00CF0495">
            <w:rPr>
              <w:noProof/>
            </w:rPr>
            <w:fldChar w:fldCharType="end"/>
          </w:r>
        </w:p>
      </w:tc>
    </w:tr>
  </w:tbl>
  <w:p w14:paraId="57E7E0FE" w14:textId="77777777" w:rsidR="009A4CED" w:rsidRPr="00151B2F" w:rsidRDefault="009A4CED" w:rsidP="00B66C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23C1" w14:textId="77777777" w:rsidR="004A2176" w:rsidRDefault="004A2176">
      <w:r>
        <w:separator/>
      </w:r>
    </w:p>
  </w:footnote>
  <w:footnote w:type="continuationSeparator" w:id="0">
    <w:p w14:paraId="3192853F" w14:textId="77777777" w:rsidR="004A2176" w:rsidRDefault="004A2176">
      <w:r>
        <w:continuationSeparator/>
      </w:r>
    </w:p>
  </w:footnote>
  <w:footnote w:type="continuationNotice" w:id="1">
    <w:p w14:paraId="106B4EEF" w14:textId="77777777" w:rsidR="004A2176" w:rsidRDefault="004A2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DC9D" w14:textId="77777777" w:rsidR="009A4CED" w:rsidRDefault="009A4CED" w:rsidP="009A4CED">
    <w:pPr>
      <w:tabs>
        <w:tab w:val="center" w:pos="6979"/>
      </w:tabs>
      <w:suppressAutoHyphens/>
      <w:jc w:val="center"/>
      <w:rPr>
        <w:rFonts w:cs="Arial"/>
        <w:b/>
        <w:bCs/>
      </w:rPr>
    </w:pPr>
  </w:p>
  <w:p w14:paraId="08085E90" w14:textId="77777777" w:rsidR="009A4CED" w:rsidRPr="00786242" w:rsidRDefault="009A4CED" w:rsidP="00E633A1">
    <w:pPr>
      <w:pStyle w:val="Heading1"/>
    </w:pPr>
    <w:r w:rsidRPr="00786242">
      <w:t>BRUNEI DARUSSALAM – SCHEDULE OF  COMMITMENTS</w:t>
    </w:r>
  </w:p>
  <w:p w14:paraId="44206087" w14:textId="77777777" w:rsidR="009A4CED" w:rsidRDefault="009A4CED" w:rsidP="009A4CED"/>
  <w:p w14:paraId="2923E6F2" w14:textId="77777777" w:rsidR="009A4CED" w:rsidRDefault="009A4CED" w:rsidP="009A4CED">
    <w:pPr>
      <w:pStyle w:val="Centered"/>
    </w:pPr>
    <w:r>
      <w:t>For the 6</w:t>
    </w:r>
    <w:r w:rsidRPr="00FF3795">
      <w:rPr>
        <w:vertAlign w:val="superscript"/>
      </w:rPr>
      <w:t>th</w:t>
    </w:r>
    <w:r>
      <w:t xml:space="preserve"> Package of Commitments under ASEAN Framework Agreement on Services</w:t>
    </w:r>
  </w:p>
  <w:p w14:paraId="615FABD4" w14:textId="77777777" w:rsidR="009A4CED" w:rsidRDefault="009A4CED" w:rsidP="009A4CED">
    <w:pPr>
      <w:pStyle w:val="Header"/>
      <w:tabs>
        <w:tab w:val="clear" w:pos="4320"/>
        <w:tab w:val="clear" w:pos="8640"/>
      </w:tabs>
    </w:pPr>
  </w:p>
  <w:p w14:paraId="2E4FBCA8" w14:textId="6E4102F0" w:rsidR="009A4CED" w:rsidRPr="00FF3795" w:rsidRDefault="009A4CED" w:rsidP="009A4CED">
    <w:pPr>
      <w:pStyle w:val="Header"/>
      <w:tabs>
        <w:tab w:val="clear" w:pos="4320"/>
        <w:tab w:val="clear" w:pos="8640"/>
      </w:tabs>
    </w:pPr>
    <w:r w:rsidRPr="00FF3795">
      <w:t>Modes of Supply:</w:t>
    </w:r>
    <w:r>
      <w:t xml:space="preserve">  </w:t>
    </w:r>
    <w:r w:rsidRPr="00FF3795">
      <w:tab/>
      <w:t>1) Cross-border supply</w:t>
    </w:r>
    <w:r>
      <w:t xml:space="preserve">   </w:t>
    </w:r>
    <w:r w:rsidRPr="00FF3795">
      <w:tab/>
      <w:t xml:space="preserve">2) Consumption </w:t>
    </w:r>
    <w:r w:rsidR="000B0F17">
      <w:t>abroad</w:t>
    </w:r>
    <w:r>
      <w:t xml:space="preserve">  </w:t>
    </w:r>
    <w:r w:rsidRPr="00FF3795">
      <w:tab/>
      <w:t>3) Commercial presence</w:t>
    </w:r>
    <w:r>
      <w:t xml:space="preserve">  </w:t>
    </w:r>
    <w:r w:rsidRPr="00FF3795">
      <w:tab/>
      <w:t>4) Presence of natural persons</w:t>
    </w:r>
  </w:p>
  <w:p w14:paraId="44054E4D" w14:textId="77777777" w:rsidR="009A4CED" w:rsidRDefault="009A4CED" w:rsidP="009A4CED">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8"/>
      <w:gridCol w:w="4020"/>
      <w:gridCol w:w="4020"/>
      <w:gridCol w:w="2542"/>
    </w:tblGrid>
    <w:tr w:rsidR="009A4CED" w:rsidRPr="00E62199" w14:paraId="23FD92C4" w14:textId="77777777" w:rsidTr="009A4CED">
      <w:trPr>
        <w:tblHeader/>
      </w:trPr>
      <w:tc>
        <w:tcPr>
          <w:tcW w:w="3588" w:type="dxa"/>
          <w:tcBorders>
            <w:bottom w:val="single" w:sz="4" w:space="0" w:color="auto"/>
          </w:tcBorders>
          <w:shd w:val="clear" w:color="auto" w:fill="auto"/>
          <w:vAlign w:val="center"/>
        </w:tcPr>
        <w:p w14:paraId="1A99AE93" w14:textId="77777777" w:rsidR="009A4CED" w:rsidRPr="005E7882" w:rsidRDefault="009A4CED" w:rsidP="00E633A1">
          <w:pPr>
            <w:pStyle w:val="Heading1"/>
            <w:rPr>
              <w:rFonts w:eastAsia="SimSun"/>
            </w:rPr>
          </w:pPr>
          <w:r w:rsidRPr="005E7882">
            <w:rPr>
              <w:rFonts w:eastAsia="SimSun"/>
            </w:rPr>
            <w:t>Sector or Subsector</w:t>
          </w:r>
        </w:p>
      </w:tc>
      <w:tc>
        <w:tcPr>
          <w:tcW w:w="4020" w:type="dxa"/>
          <w:tcBorders>
            <w:bottom w:val="single" w:sz="4" w:space="0" w:color="auto"/>
          </w:tcBorders>
          <w:shd w:val="clear" w:color="auto" w:fill="auto"/>
          <w:vAlign w:val="center"/>
        </w:tcPr>
        <w:p w14:paraId="14CB05A3" w14:textId="77777777" w:rsidR="009A4CED" w:rsidRPr="005E7882" w:rsidRDefault="009A4CED" w:rsidP="00E633A1">
          <w:pPr>
            <w:pStyle w:val="Heading1"/>
            <w:rPr>
              <w:rFonts w:eastAsia="SimSun"/>
            </w:rPr>
          </w:pPr>
          <w:r w:rsidRPr="005E7882">
            <w:rPr>
              <w:rFonts w:eastAsia="SimSun"/>
            </w:rPr>
            <w:t>Limitation on</w:t>
          </w:r>
        </w:p>
        <w:p w14:paraId="4BA3F596" w14:textId="77777777" w:rsidR="009A4CED" w:rsidRPr="005E7882" w:rsidRDefault="009A4CED" w:rsidP="00E633A1">
          <w:pPr>
            <w:pStyle w:val="Heading1"/>
            <w:rPr>
              <w:rFonts w:eastAsia="SimSun"/>
            </w:rPr>
          </w:pPr>
          <w:r w:rsidRPr="005E7882">
            <w:rPr>
              <w:rFonts w:eastAsia="SimSun"/>
            </w:rPr>
            <w:t>Market Access</w:t>
          </w:r>
        </w:p>
      </w:tc>
      <w:tc>
        <w:tcPr>
          <w:tcW w:w="4020" w:type="dxa"/>
          <w:tcBorders>
            <w:bottom w:val="single" w:sz="4" w:space="0" w:color="auto"/>
          </w:tcBorders>
          <w:shd w:val="clear" w:color="auto" w:fill="auto"/>
          <w:vAlign w:val="center"/>
        </w:tcPr>
        <w:p w14:paraId="6C115E3F" w14:textId="77777777" w:rsidR="009A4CED" w:rsidRPr="005E7882" w:rsidRDefault="009A4CED" w:rsidP="00E633A1">
          <w:pPr>
            <w:pStyle w:val="Heading1"/>
            <w:rPr>
              <w:rFonts w:eastAsia="SimSun"/>
            </w:rPr>
          </w:pPr>
          <w:r w:rsidRPr="005E7882">
            <w:rPr>
              <w:rFonts w:eastAsia="SimSun"/>
            </w:rPr>
            <w:t>Limitation on</w:t>
          </w:r>
        </w:p>
        <w:p w14:paraId="71598029" w14:textId="77777777" w:rsidR="009A4CED" w:rsidRPr="005E7882" w:rsidRDefault="009A4CED" w:rsidP="00E633A1">
          <w:pPr>
            <w:pStyle w:val="Heading1"/>
            <w:rPr>
              <w:rFonts w:eastAsia="SimSun"/>
            </w:rPr>
          </w:pPr>
          <w:r w:rsidRPr="005E7882">
            <w:rPr>
              <w:rFonts w:eastAsia="SimSun"/>
            </w:rPr>
            <w:t>National Treatment</w:t>
          </w:r>
        </w:p>
      </w:tc>
      <w:tc>
        <w:tcPr>
          <w:tcW w:w="2542" w:type="dxa"/>
          <w:shd w:val="clear" w:color="auto" w:fill="auto"/>
          <w:vAlign w:val="center"/>
        </w:tcPr>
        <w:p w14:paraId="119686AE" w14:textId="77777777" w:rsidR="009A4CED" w:rsidRPr="005E7882" w:rsidRDefault="009A4CED" w:rsidP="00E633A1">
          <w:pPr>
            <w:pStyle w:val="Heading1"/>
            <w:rPr>
              <w:rFonts w:eastAsia="SimSun"/>
            </w:rPr>
          </w:pPr>
          <w:r w:rsidRPr="005E7882">
            <w:rPr>
              <w:rFonts w:eastAsia="SimSun"/>
            </w:rPr>
            <w:t>Additional</w:t>
          </w:r>
        </w:p>
        <w:p w14:paraId="56B97656" w14:textId="77777777" w:rsidR="009A4CED" w:rsidRPr="005E7882" w:rsidRDefault="009A4CED" w:rsidP="00E633A1">
          <w:pPr>
            <w:pStyle w:val="Heading1"/>
            <w:rPr>
              <w:rFonts w:eastAsia="SimSun"/>
            </w:rPr>
          </w:pPr>
          <w:r w:rsidRPr="005E7882">
            <w:rPr>
              <w:rFonts w:eastAsia="SimSun"/>
            </w:rPr>
            <w:t>Commitments</w:t>
          </w:r>
        </w:p>
      </w:tc>
    </w:tr>
  </w:tbl>
  <w:p w14:paraId="51F434A8" w14:textId="77777777" w:rsidR="009A4CED" w:rsidRPr="00284DCE" w:rsidRDefault="009A4CED" w:rsidP="009A4CED">
    <w:pPr>
      <w:pStyle w:val="Header"/>
      <w:tabs>
        <w:tab w:val="clear" w:pos="4320"/>
        <w:tab w:val="clear" w:pos="8640"/>
      </w:tabs>
      <w:rPr>
        <w:sz w:val="2"/>
      </w:rPr>
    </w:pPr>
  </w:p>
  <w:p w14:paraId="2094E780" w14:textId="77777777" w:rsidR="009A4CED" w:rsidRPr="005F4E7E" w:rsidRDefault="009A4CED" w:rsidP="009A4CED">
    <w:pPr>
      <w:tabs>
        <w:tab w:val="center" w:pos="6979"/>
      </w:tabs>
      <w:suppressAutoHyphens/>
      <w:jc w:val="center"/>
      <w:rPr>
        <w:rFonts w:cs="Arial"/>
        <w:sz w:val="2"/>
      </w:rPr>
    </w:pPr>
  </w:p>
  <w:p w14:paraId="0B81E482" w14:textId="77777777" w:rsidR="009A4CED" w:rsidRPr="005F4E7E" w:rsidRDefault="009A4CED">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902"/>
    <w:multiLevelType w:val="hybridMultilevel"/>
    <w:tmpl w:val="9AF2BFA0"/>
    <w:lvl w:ilvl="0" w:tplc="D31A1E88">
      <w:start w:val="1"/>
      <w:numFmt w:val="upperLetter"/>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D703160"/>
    <w:multiLevelType w:val="hybridMultilevel"/>
    <w:tmpl w:val="CDF01CA6"/>
    <w:lvl w:ilvl="0" w:tplc="943C3372">
      <w:start w:val="1"/>
      <w:numFmt w:val="bullet"/>
      <w:lvlText w:val="-"/>
      <w:lvlJc w:val="left"/>
      <w:pPr>
        <w:ind w:left="980" w:hanging="360"/>
      </w:pPr>
      <w:rPr>
        <w:rFonts w:ascii="Times New Roman" w:eastAsia="Times New Roman" w:hAnsi="Times New Roman" w:cs="Times New Roman"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2" w15:restartNumberingAfterBreak="0">
    <w:nsid w:val="13E61935"/>
    <w:multiLevelType w:val="hybridMultilevel"/>
    <w:tmpl w:val="613A8D6A"/>
    <w:lvl w:ilvl="0" w:tplc="D1962668">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A0A3363"/>
    <w:multiLevelType w:val="hybridMultilevel"/>
    <w:tmpl w:val="1A1A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633D3"/>
    <w:multiLevelType w:val="hybridMultilevel"/>
    <w:tmpl w:val="E256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B62B3"/>
    <w:multiLevelType w:val="hybridMultilevel"/>
    <w:tmpl w:val="28522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F7607"/>
    <w:multiLevelType w:val="hybridMultilevel"/>
    <w:tmpl w:val="6E6ED1A2"/>
    <w:lvl w:ilvl="0" w:tplc="E9A2A80E">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25304BB3"/>
    <w:multiLevelType w:val="hybridMultilevel"/>
    <w:tmpl w:val="12D60F78"/>
    <w:lvl w:ilvl="0" w:tplc="6E4E2D66">
      <w:start w:val="1"/>
      <w:numFmt w:val="lowerRoman"/>
      <w:lvlText w:val="(%1)"/>
      <w:lvlJc w:val="left"/>
      <w:pPr>
        <w:tabs>
          <w:tab w:val="num" w:pos="397"/>
        </w:tabs>
        <w:ind w:left="397" w:hanging="397"/>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B13BE9"/>
    <w:multiLevelType w:val="hybridMultilevel"/>
    <w:tmpl w:val="27B4B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C66130"/>
    <w:multiLevelType w:val="hybridMultilevel"/>
    <w:tmpl w:val="37A2BB6E"/>
    <w:lvl w:ilvl="0" w:tplc="99225A72">
      <w:start w:val="1"/>
      <w:numFmt w:val="lowerRoman"/>
      <w:lvlText w:val="(%1)"/>
      <w:lvlJc w:val="left"/>
      <w:pPr>
        <w:ind w:left="1080" w:hanging="72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21137"/>
    <w:multiLevelType w:val="hybridMultilevel"/>
    <w:tmpl w:val="1B4ECD88"/>
    <w:lvl w:ilvl="0" w:tplc="7C368764">
      <w:start w:val="1"/>
      <w:numFmt w:val="upperLetter"/>
      <w:lvlText w:val="%1."/>
      <w:lvlJc w:val="left"/>
      <w:pPr>
        <w:ind w:left="720" w:hanging="360"/>
      </w:pPr>
    </w:lvl>
    <w:lvl w:ilvl="1" w:tplc="B192AD84">
      <w:start w:val="1"/>
      <w:numFmt w:val="lowerLetter"/>
      <w:lvlText w:val="%2."/>
      <w:lvlJc w:val="left"/>
      <w:pPr>
        <w:ind w:left="1440" w:hanging="360"/>
      </w:pPr>
    </w:lvl>
    <w:lvl w:ilvl="2" w:tplc="4F2CE008">
      <w:start w:val="1"/>
      <w:numFmt w:val="lowerRoman"/>
      <w:lvlText w:val="%3."/>
      <w:lvlJc w:val="right"/>
      <w:pPr>
        <w:ind w:left="2160" w:hanging="180"/>
      </w:pPr>
    </w:lvl>
    <w:lvl w:ilvl="3" w:tplc="2CA8A9EE">
      <w:start w:val="1"/>
      <w:numFmt w:val="decimal"/>
      <w:lvlText w:val="%4."/>
      <w:lvlJc w:val="left"/>
      <w:pPr>
        <w:ind w:left="2880" w:hanging="360"/>
      </w:pPr>
    </w:lvl>
    <w:lvl w:ilvl="4" w:tplc="C1160AE0">
      <w:start w:val="1"/>
      <w:numFmt w:val="lowerLetter"/>
      <w:lvlText w:val="%5."/>
      <w:lvlJc w:val="left"/>
      <w:pPr>
        <w:ind w:left="3600" w:hanging="360"/>
      </w:pPr>
    </w:lvl>
    <w:lvl w:ilvl="5" w:tplc="846CB37E">
      <w:start w:val="1"/>
      <w:numFmt w:val="lowerRoman"/>
      <w:lvlText w:val="%6."/>
      <w:lvlJc w:val="right"/>
      <w:pPr>
        <w:ind w:left="4320" w:hanging="180"/>
      </w:pPr>
    </w:lvl>
    <w:lvl w:ilvl="6" w:tplc="7EE81DB6">
      <w:start w:val="1"/>
      <w:numFmt w:val="decimal"/>
      <w:lvlText w:val="%7."/>
      <w:lvlJc w:val="left"/>
      <w:pPr>
        <w:ind w:left="5040" w:hanging="360"/>
      </w:pPr>
    </w:lvl>
    <w:lvl w:ilvl="7" w:tplc="4E660CE6">
      <w:start w:val="1"/>
      <w:numFmt w:val="lowerLetter"/>
      <w:lvlText w:val="%8."/>
      <w:lvlJc w:val="left"/>
      <w:pPr>
        <w:ind w:left="5760" w:hanging="360"/>
      </w:pPr>
    </w:lvl>
    <w:lvl w:ilvl="8" w:tplc="103C3C88">
      <w:start w:val="1"/>
      <w:numFmt w:val="lowerRoman"/>
      <w:lvlText w:val="%9."/>
      <w:lvlJc w:val="right"/>
      <w:pPr>
        <w:ind w:left="6480" w:hanging="180"/>
      </w:pPr>
    </w:lvl>
  </w:abstractNum>
  <w:abstractNum w:abstractNumId="11" w15:restartNumberingAfterBreak="0">
    <w:nsid w:val="36087F96"/>
    <w:multiLevelType w:val="hybridMultilevel"/>
    <w:tmpl w:val="B54E0A7C"/>
    <w:lvl w:ilvl="0" w:tplc="0C6CDE0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8FD03F7"/>
    <w:multiLevelType w:val="hybridMultilevel"/>
    <w:tmpl w:val="75AA831E"/>
    <w:lvl w:ilvl="0" w:tplc="DCBEEE4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856601"/>
    <w:multiLevelType w:val="hybridMultilevel"/>
    <w:tmpl w:val="2410BE94"/>
    <w:lvl w:ilvl="0" w:tplc="D1962668">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B2654A6"/>
    <w:multiLevelType w:val="hybridMultilevel"/>
    <w:tmpl w:val="E2A8C42A"/>
    <w:lvl w:ilvl="0" w:tplc="38185F3C">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4E331A"/>
    <w:multiLevelType w:val="hybridMultilevel"/>
    <w:tmpl w:val="55E8F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35AEE"/>
    <w:multiLevelType w:val="hybridMultilevel"/>
    <w:tmpl w:val="59C0B336"/>
    <w:lvl w:ilvl="0" w:tplc="08090001">
      <w:start w:val="1"/>
      <w:numFmt w:val="bullet"/>
      <w:lvlText w:val=""/>
      <w:lvlJc w:val="left"/>
      <w:pPr>
        <w:ind w:left="980" w:hanging="360"/>
      </w:pPr>
      <w:rPr>
        <w:rFonts w:ascii="Symbol" w:hAnsi="Symbo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17" w15:restartNumberingAfterBreak="0">
    <w:nsid w:val="43654A6F"/>
    <w:multiLevelType w:val="multilevel"/>
    <w:tmpl w:val="DFFECEB4"/>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EB5979"/>
    <w:multiLevelType w:val="hybridMultilevel"/>
    <w:tmpl w:val="8334C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8F6513"/>
    <w:multiLevelType w:val="hybridMultilevel"/>
    <w:tmpl w:val="28522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8632D"/>
    <w:multiLevelType w:val="hybridMultilevel"/>
    <w:tmpl w:val="84344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61374"/>
    <w:multiLevelType w:val="hybridMultilevel"/>
    <w:tmpl w:val="E9C849E2"/>
    <w:lvl w:ilvl="0" w:tplc="9AD08828">
      <w:start w:val="1"/>
      <w:numFmt w:val="lowerRoman"/>
      <w:lvlText w:val="(%1)"/>
      <w:lvlJc w:val="left"/>
      <w:pPr>
        <w:tabs>
          <w:tab w:val="num" w:pos="397"/>
        </w:tabs>
        <w:ind w:left="397" w:hanging="397"/>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E26A48"/>
    <w:multiLevelType w:val="hybridMultilevel"/>
    <w:tmpl w:val="31C607E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11A2052"/>
    <w:multiLevelType w:val="hybridMultilevel"/>
    <w:tmpl w:val="B88458F6"/>
    <w:lvl w:ilvl="0" w:tplc="7CBCC3B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4CE2D8C"/>
    <w:multiLevelType w:val="hybridMultilevel"/>
    <w:tmpl w:val="B7FCBA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3E14B3"/>
    <w:multiLevelType w:val="hybridMultilevel"/>
    <w:tmpl w:val="84344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C2C98"/>
    <w:multiLevelType w:val="hybridMultilevel"/>
    <w:tmpl w:val="84344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9571CF"/>
    <w:multiLevelType w:val="hybridMultilevel"/>
    <w:tmpl w:val="28522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BE1AE8"/>
    <w:multiLevelType w:val="hybridMultilevel"/>
    <w:tmpl w:val="887434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3BE2144"/>
    <w:multiLevelType w:val="hybridMultilevel"/>
    <w:tmpl w:val="4210C0B0"/>
    <w:lvl w:ilvl="0" w:tplc="CE4CBC10">
      <w:start w:val="1"/>
      <w:numFmt w:val="lowerRoman"/>
      <w:pStyle w:val="NumberedList1"/>
      <w:lvlText w:val="(%1)"/>
      <w:lvlJc w:val="left"/>
      <w:pPr>
        <w:tabs>
          <w:tab w:val="num" w:pos="397"/>
        </w:tabs>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C022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6926195">
    <w:abstractNumId w:val="10"/>
  </w:num>
  <w:num w:numId="2" w16cid:durableId="1198541516">
    <w:abstractNumId w:val="12"/>
  </w:num>
  <w:num w:numId="3" w16cid:durableId="773129688">
    <w:abstractNumId w:val="11"/>
  </w:num>
  <w:num w:numId="4" w16cid:durableId="326444479">
    <w:abstractNumId w:val="28"/>
  </w:num>
  <w:num w:numId="5" w16cid:durableId="1270431302">
    <w:abstractNumId w:val="22"/>
  </w:num>
  <w:num w:numId="6" w16cid:durableId="2141417816">
    <w:abstractNumId w:val="17"/>
  </w:num>
  <w:num w:numId="7" w16cid:durableId="776675142">
    <w:abstractNumId w:val="18"/>
  </w:num>
  <w:num w:numId="8" w16cid:durableId="1366714389">
    <w:abstractNumId w:val="3"/>
  </w:num>
  <w:num w:numId="9" w16cid:durableId="128981900">
    <w:abstractNumId w:val="30"/>
  </w:num>
  <w:num w:numId="10" w16cid:durableId="1894651762">
    <w:abstractNumId w:val="14"/>
  </w:num>
  <w:num w:numId="11" w16cid:durableId="16219593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0339198">
    <w:abstractNumId w:val="8"/>
  </w:num>
  <w:num w:numId="13" w16cid:durableId="1701399673">
    <w:abstractNumId w:val="17"/>
  </w:num>
  <w:num w:numId="14" w16cid:durableId="623345077">
    <w:abstractNumId w:val="24"/>
  </w:num>
  <w:num w:numId="15" w16cid:durableId="1793089150">
    <w:abstractNumId w:val="5"/>
  </w:num>
  <w:num w:numId="16" w16cid:durableId="492066531">
    <w:abstractNumId w:val="20"/>
  </w:num>
  <w:num w:numId="17" w16cid:durableId="1900020968">
    <w:abstractNumId w:val="19"/>
  </w:num>
  <w:num w:numId="18" w16cid:durableId="1496871744">
    <w:abstractNumId w:val="26"/>
  </w:num>
  <w:num w:numId="19" w16cid:durableId="935477005">
    <w:abstractNumId w:val="27"/>
  </w:num>
  <w:num w:numId="20" w16cid:durableId="955334709">
    <w:abstractNumId w:val="25"/>
  </w:num>
  <w:num w:numId="21" w16cid:durableId="483934697">
    <w:abstractNumId w:val="23"/>
  </w:num>
  <w:num w:numId="22" w16cid:durableId="844323048">
    <w:abstractNumId w:val="15"/>
  </w:num>
  <w:num w:numId="23" w16cid:durableId="612828633">
    <w:abstractNumId w:val="29"/>
  </w:num>
  <w:num w:numId="24" w16cid:durableId="170219789">
    <w:abstractNumId w:val="29"/>
    <w:lvlOverride w:ilvl="0">
      <w:startOverride w:val="1"/>
    </w:lvlOverride>
  </w:num>
  <w:num w:numId="25" w16cid:durableId="1601988592">
    <w:abstractNumId w:val="29"/>
    <w:lvlOverride w:ilvl="0">
      <w:startOverride w:val="1"/>
    </w:lvlOverride>
  </w:num>
  <w:num w:numId="26" w16cid:durableId="1510876754">
    <w:abstractNumId w:val="7"/>
  </w:num>
  <w:num w:numId="27" w16cid:durableId="285428521">
    <w:abstractNumId w:val="21"/>
  </w:num>
  <w:num w:numId="28" w16cid:durableId="1206136313">
    <w:abstractNumId w:val="9"/>
  </w:num>
  <w:num w:numId="29" w16cid:durableId="1351495452">
    <w:abstractNumId w:val="13"/>
  </w:num>
  <w:num w:numId="30" w16cid:durableId="241332800">
    <w:abstractNumId w:val="29"/>
  </w:num>
  <w:num w:numId="31" w16cid:durableId="137039390">
    <w:abstractNumId w:val="0"/>
  </w:num>
  <w:num w:numId="32" w16cid:durableId="2005665497">
    <w:abstractNumId w:val="2"/>
  </w:num>
  <w:num w:numId="33" w16cid:durableId="1324507174">
    <w:abstractNumId w:val="29"/>
    <w:lvlOverride w:ilvl="0">
      <w:startOverride w:val="1"/>
    </w:lvlOverride>
  </w:num>
  <w:num w:numId="34" w16cid:durableId="1546478716">
    <w:abstractNumId w:val="29"/>
    <w:lvlOverride w:ilvl="0">
      <w:startOverride w:val="1"/>
    </w:lvlOverride>
  </w:num>
  <w:num w:numId="35" w16cid:durableId="2136174090">
    <w:abstractNumId w:val="6"/>
  </w:num>
  <w:num w:numId="36" w16cid:durableId="1241134080">
    <w:abstractNumId w:val="1"/>
  </w:num>
  <w:num w:numId="37" w16cid:durableId="966203216">
    <w:abstractNumId w:val="16"/>
  </w:num>
  <w:num w:numId="38" w16cid:durableId="753743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EE"/>
    <w:rsid w:val="00002629"/>
    <w:rsid w:val="000028BB"/>
    <w:rsid w:val="000029E8"/>
    <w:rsid w:val="00031696"/>
    <w:rsid w:val="00052815"/>
    <w:rsid w:val="0006049E"/>
    <w:rsid w:val="00092340"/>
    <w:rsid w:val="000923E4"/>
    <w:rsid w:val="000B0F17"/>
    <w:rsid w:val="000C0A45"/>
    <w:rsid w:val="000C777D"/>
    <w:rsid w:val="000D3F7D"/>
    <w:rsid w:val="000D4492"/>
    <w:rsid w:val="000F3802"/>
    <w:rsid w:val="001022B6"/>
    <w:rsid w:val="00121826"/>
    <w:rsid w:val="00125FE9"/>
    <w:rsid w:val="00127F18"/>
    <w:rsid w:val="0013435E"/>
    <w:rsid w:val="00151B2F"/>
    <w:rsid w:val="00151B78"/>
    <w:rsid w:val="001618F7"/>
    <w:rsid w:val="0016313C"/>
    <w:rsid w:val="00167108"/>
    <w:rsid w:val="0017695A"/>
    <w:rsid w:val="00185C4D"/>
    <w:rsid w:val="001B57E0"/>
    <w:rsid w:val="001B7AC3"/>
    <w:rsid w:val="001C0524"/>
    <w:rsid w:val="001C1015"/>
    <w:rsid w:val="001C35BB"/>
    <w:rsid w:val="001E153A"/>
    <w:rsid w:val="001E5427"/>
    <w:rsid w:val="001F7DBB"/>
    <w:rsid w:val="002037C4"/>
    <w:rsid w:val="00205CFE"/>
    <w:rsid w:val="002113F6"/>
    <w:rsid w:val="002203EE"/>
    <w:rsid w:val="00243BB8"/>
    <w:rsid w:val="0026154E"/>
    <w:rsid w:val="002716A5"/>
    <w:rsid w:val="0027237E"/>
    <w:rsid w:val="002731DD"/>
    <w:rsid w:val="00276EE0"/>
    <w:rsid w:val="002B49F2"/>
    <w:rsid w:val="002C61A3"/>
    <w:rsid w:val="002D60A5"/>
    <w:rsid w:val="002E2AB5"/>
    <w:rsid w:val="002E4E57"/>
    <w:rsid w:val="002F4931"/>
    <w:rsid w:val="003026A7"/>
    <w:rsid w:val="003050D1"/>
    <w:rsid w:val="00314B11"/>
    <w:rsid w:val="00320C9C"/>
    <w:rsid w:val="00332CF6"/>
    <w:rsid w:val="00342595"/>
    <w:rsid w:val="00345094"/>
    <w:rsid w:val="00377A63"/>
    <w:rsid w:val="003817C9"/>
    <w:rsid w:val="00383C21"/>
    <w:rsid w:val="00385A8C"/>
    <w:rsid w:val="00387019"/>
    <w:rsid w:val="0039009B"/>
    <w:rsid w:val="003A2763"/>
    <w:rsid w:val="003A39D6"/>
    <w:rsid w:val="003B3F3F"/>
    <w:rsid w:val="003B73C2"/>
    <w:rsid w:val="003B7AE9"/>
    <w:rsid w:val="003B7FDE"/>
    <w:rsid w:val="003C4D58"/>
    <w:rsid w:val="003D0C83"/>
    <w:rsid w:val="003E2DC1"/>
    <w:rsid w:val="003F366A"/>
    <w:rsid w:val="00405F33"/>
    <w:rsid w:val="00422DED"/>
    <w:rsid w:val="004245D1"/>
    <w:rsid w:val="004252DA"/>
    <w:rsid w:val="004304DB"/>
    <w:rsid w:val="00444DAF"/>
    <w:rsid w:val="004528E8"/>
    <w:rsid w:val="00473796"/>
    <w:rsid w:val="00474E93"/>
    <w:rsid w:val="0047708A"/>
    <w:rsid w:val="00487630"/>
    <w:rsid w:val="004A2176"/>
    <w:rsid w:val="004B709D"/>
    <w:rsid w:val="004C0C6C"/>
    <w:rsid w:val="004F6B7C"/>
    <w:rsid w:val="004F736D"/>
    <w:rsid w:val="00500E58"/>
    <w:rsid w:val="00503834"/>
    <w:rsid w:val="00512491"/>
    <w:rsid w:val="00514D7B"/>
    <w:rsid w:val="00526D7C"/>
    <w:rsid w:val="0053363F"/>
    <w:rsid w:val="0053544A"/>
    <w:rsid w:val="00555468"/>
    <w:rsid w:val="00577022"/>
    <w:rsid w:val="00585C1D"/>
    <w:rsid w:val="00590050"/>
    <w:rsid w:val="005B10E4"/>
    <w:rsid w:val="005B76FE"/>
    <w:rsid w:val="005C14D5"/>
    <w:rsid w:val="005D47EE"/>
    <w:rsid w:val="005E321C"/>
    <w:rsid w:val="005E5390"/>
    <w:rsid w:val="0061517A"/>
    <w:rsid w:val="00615655"/>
    <w:rsid w:val="00621024"/>
    <w:rsid w:val="00625172"/>
    <w:rsid w:val="00646C35"/>
    <w:rsid w:val="00653F54"/>
    <w:rsid w:val="006844B0"/>
    <w:rsid w:val="0068715C"/>
    <w:rsid w:val="006A7DB9"/>
    <w:rsid w:val="006B5F88"/>
    <w:rsid w:val="006C4A41"/>
    <w:rsid w:val="006D360E"/>
    <w:rsid w:val="006E540E"/>
    <w:rsid w:val="007024D0"/>
    <w:rsid w:val="00704577"/>
    <w:rsid w:val="00715A5C"/>
    <w:rsid w:val="007309D8"/>
    <w:rsid w:val="00757D39"/>
    <w:rsid w:val="00760042"/>
    <w:rsid w:val="007875C4"/>
    <w:rsid w:val="00795C0D"/>
    <w:rsid w:val="007A22F3"/>
    <w:rsid w:val="007B3B30"/>
    <w:rsid w:val="007C7A55"/>
    <w:rsid w:val="007D30B0"/>
    <w:rsid w:val="007E2CF6"/>
    <w:rsid w:val="007E6AC2"/>
    <w:rsid w:val="007F02D5"/>
    <w:rsid w:val="0081298A"/>
    <w:rsid w:val="008153B0"/>
    <w:rsid w:val="00821944"/>
    <w:rsid w:val="00844B84"/>
    <w:rsid w:val="008746B3"/>
    <w:rsid w:val="00877F7B"/>
    <w:rsid w:val="0089673C"/>
    <w:rsid w:val="008A3501"/>
    <w:rsid w:val="008B7633"/>
    <w:rsid w:val="008C3B1C"/>
    <w:rsid w:val="008C59F7"/>
    <w:rsid w:val="008E5D96"/>
    <w:rsid w:val="008F5B6D"/>
    <w:rsid w:val="00902729"/>
    <w:rsid w:val="009042D7"/>
    <w:rsid w:val="0090488A"/>
    <w:rsid w:val="009154BE"/>
    <w:rsid w:val="0092686F"/>
    <w:rsid w:val="00951C35"/>
    <w:rsid w:val="009610E6"/>
    <w:rsid w:val="0097360F"/>
    <w:rsid w:val="009743E8"/>
    <w:rsid w:val="009757F6"/>
    <w:rsid w:val="00995D6A"/>
    <w:rsid w:val="009962A9"/>
    <w:rsid w:val="009A4CED"/>
    <w:rsid w:val="009C23A9"/>
    <w:rsid w:val="009E1251"/>
    <w:rsid w:val="009E48A8"/>
    <w:rsid w:val="009E61A6"/>
    <w:rsid w:val="009F188F"/>
    <w:rsid w:val="00A04FB3"/>
    <w:rsid w:val="00A055D8"/>
    <w:rsid w:val="00A13115"/>
    <w:rsid w:val="00A26B94"/>
    <w:rsid w:val="00A338DC"/>
    <w:rsid w:val="00A42D5F"/>
    <w:rsid w:val="00A65822"/>
    <w:rsid w:val="00A84D5F"/>
    <w:rsid w:val="00AA088F"/>
    <w:rsid w:val="00AB60AE"/>
    <w:rsid w:val="00AC4DE1"/>
    <w:rsid w:val="00AE2180"/>
    <w:rsid w:val="00AF46E3"/>
    <w:rsid w:val="00B01084"/>
    <w:rsid w:val="00B16EBB"/>
    <w:rsid w:val="00B372EE"/>
    <w:rsid w:val="00B4301D"/>
    <w:rsid w:val="00B43703"/>
    <w:rsid w:val="00B458A8"/>
    <w:rsid w:val="00B5679C"/>
    <w:rsid w:val="00B56E2B"/>
    <w:rsid w:val="00B66C97"/>
    <w:rsid w:val="00BE7C09"/>
    <w:rsid w:val="00C01D18"/>
    <w:rsid w:val="00C10109"/>
    <w:rsid w:val="00C10D1E"/>
    <w:rsid w:val="00C1319B"/>
    <w:rsid w:val="00C15A46"/>
    <w:rsid w:val="00C304CE"/>
    <w:rsid w:val="00C36370"/>
    <w:rsid w:val="00C41430"/>
    <w:rsid w:val="00C80907"/>
    <w:rsid w:val="00C94A27"/>
    <w:rsid w:val="00C961C3"/>
    <w:rsid w:val="00CC2939"/>
    <w:rsid w:val="00CD333B"/>
    <w:rsid w:val="00CE5B93"/>
    <w:rsid w:val="00CF744C"/>
    <w:rsid w:val="00D00919"/>
    <w:rsid w:val="00D10ABA"/>
    <w:rsid w:val="00D10B63"/>
    <w:rsid w:val="00D121AC"/>
    <w:rsid w:val="00D21048"/>
    <w:rsid w:val="00D31A5C"/>
    <w:rsid w:val="00D345EA"/>
    <w:rsid w:val="00D358AE"/>
    <w:rsid w:val="00D36FA7"/>
    <w:rsid w:val="00D46B44"/>
    <w:rsid w:val="00D55BD9"/>
    <w:rsid w:val="00D65A1C"/>
    <w:rsid w:val="00D84118"/>
    <w:rsid w:val="00D90CA6"/>
    <w:rsid w:val="00D92584"/>
    <w:rsid w:val="00DA48DD"/>
    <w:rsid w:val="00DA4D7A"/>
    <w:rsid w:val="00DB7C36"/>
    <w:rsid w:val="00DD54E9"/>
    <w:rsid w:val="00DE5397"/>
    <w:rsid w:val="00DE5700"/>
    <w:rsid w:val="00DF12F5"/>
    <w:rsid w:val="00DF2099"/>
    <w:rsid w:val="00E23211"/>
    <w:rsid w:val="00E237F9"/>
    <w:rsid w:val="00E5561A"/>
    <w:rsid w:val="00E633A1"/>
    <w:rsid w:val="00E70BEA"/>
    <w:rsid w:val="00E947E7"/>
    <w:rsid w:val="00EB715C"/>
    <w:rsid w:val="00ED6D67"/>
    <w:rsid w:val="00EE71C5"/>
    <w:rsid w:val="00F20A32"/>
    <w:rsid w:val="00F22B85"/>
    <w:rsid w:val="00F22EEB"/>
    <w:rsid w:val="00F325B8"/>
    <w:rsid w:val="00F36632"/>
    <w:rsid w:val="00F63DB7"/>
    <w:rsid w:val="00F745B3"/>
    <w:rsid w:val="00F776C2"/>
    <w:rsid w:val="00F867D0"/>
    <w:rsid w:val="00F91220"/>
    <w:rsid w:val="00F936CA"/>
    <w:rsid w:val="00F93943"/>
    <w:rsid w:val="00FA707C"/>
    <w:rsid w:val="00FC1986"/>
    <w:rsid w:val="00FE1F1B"/>
    <w:rsid w:val="1F5EB954"/>
    <w:rsid w:val="2EDEDC66"/>
    <w:rsid w:val="45B50BB1"/>
    <w:rsid w:val="4DECF314"/>
    <w:rsid w:val="57010CF8"/>
    <w:rsid w:val="71EF8272"/>
    <w:rsid w:val="768B4057"/>
    <w:rsid w:val="77171A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17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0042"/>
    <w:pPr>
      <w:autoSpaceDE w:val="0"/>
      <w:autoSpaceDN w:val="0"/>
    </w:pPr>
    <w:rPr>
      <w:rFonts w:ascii="Arial" w:eastAsia="Times New Roman" w:hAnsi="Arial"/>
      <w:lang w:eastAsia="en-US"/>
    </w:rPr>
  </w:style>
  <w:style w:type="paragraph" w:styleId="Heading1">
    <w:name w:val="heading 1"/>
    <w:basedOn w:val="Normal"/>
    <w:next w:val="Normal"/>
    <w:link w:val="Heading1Char"/>
    <w:qFormat/>
    <w:rsid w:val="00E633A1"/>
    <w:pPr>
      <w:jc w:val="center"/>
      <w:outlineLvl w:val="0"/>
    </w:pPr>
    <w:rPr>
      <w:b/>
    </w:rPr>
  </w:style>
  <w:style w:type="paragraph" w:styleId="Heading2">
    <w:name w:val="heading 2"/>
    <w:basedOn w:val="Normal"/>
    <w:next w:val="Normal"/>
    <w:link w:val="Heading2Char"/>
    <w:qFormat/>
    <w:rsid w:val="002203EE"/>
    <w:pPr>
      <w:ind w:left="360" w:hanging="3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33A1"/>
    <w:rPr>
      <w:rFonts w:ascii="Arial" w:eastAsia="Times New Roman" w:hAnsi="Arial"/>
      <w:b/>
      <w:sz w:val="24"/>
      <w:lang w:eastAsia="en-US"/>
    </w:rPr>
  </w:style>
  <w:style w:type="character" w:customStyle="1" w:styleId="Heading2Char">
    <w:name w:val="Heading 2 Char"/>
    <w:link w:val="Heading2"/>
    <w:rsid w:val="002203EE"/>
    <w:rPr>
      <w:rFonts w:ascii="Arial" w:eastAsia="Times New Roman" w:hAnsi="Arial" w:cs="Times New Roman"/>
      <w:b/>
      <w:sz w:val="20"/>
      <w:szCs w:val="20"/>
    </w:rPr>
  </w:style>
  <w:style w:type="paragraph" w:styleId="Header">
    <w:name w:val="header"/>
    <w:basedOn w:val="Normal"/>
    <w:link w:val="HeaderChar"/>
    <w:rsid w:val="002203EE"/>
    <w:pPr>
      <w:tabs>
        <w:tab w:val="center" w:pos="4320"/>
        <w:tab w:val="right" w:pos="8640"/>
      </w:tabs>
    </w:pPr>
  </w:style>
  <w:style w:type="character" w:customStyle="1" w:styleId="HeaderChar">
    <w:name w:val="Header Char"/>
    <w:link w:val="Header"/>
    <w:rsid w:val="002203EE"/>
    <w:rPr>
      <w:rFonts w:ascii="Arial" w:eastAsia="Times New Roman" w:hAnsi="Arial" w:cs="Times New Roman"/>
      <w:sz w:val="20"/>
      <w:szCs w:val="20"/>
    </w:rPr>
  </w:style>
  <w:style w:type="paragraph" w:styleId="Footer">
    <w:name w:val="footer"/>
    <w:basedOn w:val="Normal"/>
    <w:link w:val="FooterChar"/>
    <w:uiPriority w:val="99"/>
    <w:rsid w:val="002203EE"/>
    <w:pPr>
      <w:tabs>
        <w:tab w:val="center" w:pos="4320"/>
        <w:tab w:val="right" w:pos="8640"/>
      </w:tabs>
    </w:pPr>
  </w:style>
  <w:style w:type="character" w:customStyle="1" w:styleId="FooterChar">
    <w:name w:val="Footer Char"/>
    <w:link w:val="Footer"/>
    <w:uiPriority w:val="99"/>
    <w:rsid w:val="002203EE"/>
    <w:rPr>
      <w:rFonts w:ascii="Arial" w:eastAsia="Times New Roman" w:hAnsi="Arial" w:cs="Times New Roman"/>
      <w:sz w:val="20"/>
      <w:szCs w:val="20"/>
    </w:rPr>
  </w:style>
  <w:style w:type="paragraph" w:customStyle="1" w:styleId="Centered">
    <w:name w:val="Centered"/>
    <w:basedOn w:val="Normal"/>
    <w:rsid w:val="002203EE"/>
    <w:pPr>
      <w:autoSpaceDE/>
      <w:autoSpaceDN/>
      <w:jc w:val="center"/>
    </w:pPr>
    <w:rPr>
      <w:rFonts w:eastAsia="SimSun"/>
      <w:lang w:eastAsia="zh-CN"/>
    </w:rPr>
  </w:style>
  <w:style w:type="paragraph" w:styleId="BalloonText">
    <w:name w:val="Balloon Text"/>
    <w:basedOn w:val="Normal"/>
    <w:link w:val="BalloonTextChar"/>
    <w:uiPriority w:val="99"/>
    <w:semiHidden/>
    <w:unhideWhenUsed/>
    <w:rsid w:val="00FE1F1B"/>
    <w:rPr>
      <w:rFonts w:ascii="Tahoma" w:hAnsi="Tahoma" w:cs="Tahoma"/>
      <w:sz w:val="16"/>
      <w:szCs w:val="16"/>
    </w:rPr>
  </w:style>
  <w:style w:type="character" w:customStyle="1" w:styleId="BalloonTextChar">
    <w:name w:val="Balloon Text Char"/>
    <w:link w:val="BalloonText"/>
    <w:uiPriority w:val="99"/>
    <w:semiHidden/>
    <w:rsid w:val="00FE1F1B"/>
    <w:rPr>
      <w:rFonts w:ascii="Tahoma" w:eastAsia="Times New Roman" w:hAnsi="Tahoma" w:cs="Tahoma"/>
      <w:sz w:val="16"/>
      <w:szCs w:val="16"/>
    </w:rPr>
  </w:style>
  <w:style w:type="paragraph" w:customStyle="1" w:styleId="Default">
    <w:name w:val="Default"/>
    <w:rsid w:val="00D8411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4118"/>
    <w:rPr>
      <w:sz w:val="16"/>
      <w:szCs w:val="16"/>
    </w:rPr>
  </w:style>
  <w:style w:type="paragraph" w:styleId="CommentSubject">
    <w:name w:val="annotation subject"/>
    <w:basedOn w:val="Normal"/>
    <w:next w:val="Normal"/>
    <w:link w:val="CommentSubjectChar"/>
    <w:uiPriority w:val="99"/>
    <w:semiHidden/>
    <w:unhideWhenUsed/>
    <w:rsid w:val="00F36632"/>
    <w:rPr>
      <w:b/>
      <w:bCs/>
    </w:rPr>
  </w:style>
  <w:style w:type="character" w:customStyle="1" w:styleId="CommentSubjectChar">
    <w:name w:val="Comment Subject Char"/>
    <w:basedOn w:val="DefaultParagraphFont"/>
    <w:link w:val="CommentSubject"/>
    <w:uiPriority w:val="99"/>
    <w:semiHidden/>
    <w:rsid w:val="00F36632"/>
    <w:rPr>
      <w:rFonts w:ascii="Arial" w:eastAsia="Times New Roman" w:hAnsi="Arial"/>
      <w:b/>
      <w:bCs/>
      <w:lang w:eastAsia="en-US"/>
    </w:rPr>
  </w:style>
  <w:style w:type="table" w:styleId="TableGrid">
    <w:name w:val="Table Grid"/>
    <w:basedOn w:val="TableNormal"/>
    <w:uiPriority w:val="39"/>
    <w:rsid w:val="000C0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33A1"/>
    <w:pPr>
      <w:jc w:val="center"/>
    </w:pPr>
    <w:rPr>
      <w:b/>
    </w:rPr>
  </w:style>
  <w:style w:type="character" w:customStyle="1" w:styleId="TitleChar">
    <w:name w:val="Title Char"/>
    <w:basedOn w:val="DefaultParagraphFont"/>
    <w:link w:val="Title"/>
    <w:uiPriority w:val="10"/>
    <w:rsid w:val="00E633A1"/>
    <w:rPr>
      <w:rFonts w:ascii="Arial" w:eastAsia="Times New Roman" w:hAnsi="Arial"/>
      <w:b/>
      <w:sz w:val="24"/>
      <w:lang w:eastAsia="en-US"/>
    </w:rPr>
  </w:style>
  <w:style w:type="paragraph" w:customStyle="1" w:styleId="NumberedList">
    <w:name w:val="Numbered List"/>
    <w:basedOn w:val="Normal"/>
    <w:qFormat/>
    <w:rsid w:val="009E61A6"/>
    <w:pPr>
      <w:numPr>
        <w:numId w:val="6"/>
      </w:numPr>
      <w:spacing w:before="300"/>
      <w:jc w:val="both"/>
    </w:pPr>
  </w:style>
  <w:style w:type="paragraph" w:customStyle="1" w:styleId="Bullet1">
    <w:name w:val="Bullet 1"/>
    <w:basedOn w:val="Normal"/>
    <w:qFormat/>
    <w:rsid w:val="00E633A1"/>
    <w:pPr>
      <w:numPr>
        <w:numId w:val="10"/>
      </w:numPr>
      <w:spacing w:after="120"/>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Arial" w:eastAsia="Times New Roman" w:hAnsi="Arial"/>
      <w:lang w:eastAsia="en-US"/>
    </w:rPr>
  </w:style>
  <w:style w:type="paragraph" w:customStyle="1" w:styleId="NumberedList1">
    <w:name w:val="Numbered List 1"/>
    <w:basedOn w:val="Normal"/>
    <w:qFormat/>
    <w:rsid w:val="0013435E"/>
    <w:pPr>
      <w:numPr>
        <w:numId w:val="23"/>
      </w:numPr>
    </w:pPr>
    <w:rPr>
      <w:rFonts w:cs="Arial"/>
    </w:rPr>
  </w:style>
  <w:style w:type="character" w:styleId="FootnoteReference">
    <w:name w:val="footnote reference"/>
    <w:uiPriority w:val="99"/>
    <w:rsid w:val="000D3F7D"/>
  </w:style>
  <w:style w:type="character" w:styleId="Hyperlink">
    <w:name w:val="Hyperlink"/>
    <w:basedOn w:val="DefaultParagraphFont"/>
    <w:uiPriority w:val="99"/>
    <w:unhideWhenUsed/>
    <w:rsid w:val="000F3802"/>
    <w:rPr>
      <w:color w:val="0563C1" w:themeColor="hyperlink"/>
      <w:u w:val="single"/>
    </w:rPr>
  </w:style>
  <w:style w:type="paragraph" w:styleId="ListParagraph">
    <w:name w:val="List Paragraph"/>
    <w:basedOn w:val="Normal"/>
    <w:uiPriority w:val="34"/>
    <w:qFormat/>
    <w:rsid w:val="00AF46E3"/>
    <w:pPr>
      <w:ind w:left="720"/>
      <w:contextualSpacing/>
    </w:pPr>
  </w:style>
  <w:style w:type="paragraph" w:styleId="Revision">
    <w:name w:val="Revision"/>
    <w:hidden/>
    <w:uiPriority w:val="99"/>
    <w:semiHidden/>
    <w:rsid w:val="007024D0"/>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7B652-66A7-0E40-9FB7-DFB9B8AE945C}">
  <ds:schemaRefs>
    <ds:schemaRef ds:uri="http://schemas.openxmlformats.org/officeDocument/2006/bibliography"/>
  </ds:schemaRefs>
</ds:datastoreItem>
</file>

<file path=customXml/itemProps2.xml><?xml version="1.0" encoding="utf-8"?>
<ds:datastoreItem xmlns:ds="http://schemas.openxmlformats.org/officeDocument/2006/customXml" ds:itemID="{CD2D764F-A7A1-425B-B02F-E76DFA7EEF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4475</Characters>
  <Application>Microsoft Office Word</Application>
  <DocSecurity>0</DocSecurity>
  <Lines>170</Lines>
  <Paragraphs>63</Paragraphs>
  <ScaleCrop>false</ScaleCrop>
  <HeadingPairs>
    <vt:vector size="2" baseType="variant">
      <vt:variant>
        <vt:lpstr>Title</vt:lpstr>
      </vt:variant>
      <vt:variant>
        <vt:i4>1</vt:i4>
      </vt:variant>
    </vt:vector>
  </HeadingPairs>
  <TitlesOfParts>
    <vt:vector size="1" baseType="lpstr">
      <vt:lpstr>Annex 4. Schedules of Specific Commitments on the Movement of Natural Persons - Brunei Darussalam</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Schedules of Specific Commitments on the Movement of Natural Persons - Brunei Darussalam</dc:title>
  <dc:subject/>
  <dc:creator/>
  <cp:keywords>[SEC=OFFICIAL:Sensitive]</cp:keywords>
  <cp:lastModifiedBy/>
  <cp:revision>1</cp:revision>
  <dcterms:created xsi:type="dcterms:W3CDTF">2023-09-28T04:12:00Z</dcterms:created>
  <dcterms:modified xsi:type="dcterms:W3CDTF">2023-09-28T04:13:00Z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OFFICIAL:Sensitive</vt:lpwstr>
  </property>
  <property fmtid="{D5CDD505-2E9C-101B-9397-08002B2CF9AE}" pid="4" name="PMHMAC">
    <vt:lpwstr>v=2022.1;a=SHA256;h=4FF8F7B6879C702984A54B65E8598353BF262E97209138457DADE55CC9BEF0FB</vt:lpwstr>
  </property>
  <property fmtid="{D5CDD505-2E9C-101B-9397-08002B2CF9AE}" pid="5" name="PM_Qualifier">
    <vt:lpwstr/>
  </property>
  <property fmtid="{D5CDD505-2E9C-101B-9397-08002B2CF9AE}" pid="6" name="PM_DisplayValueSecClassificationWithQualifier">
    <vt:lpwstr>OFFICIAL: Sensitive</vt:lpwstr>
  </property>
  <property fmtid="{D5CDD505-2E9C-101B-9397-08002B2CF9AE}" pid="7" name="PM_InsertionValue">
    <vt:lpwstr>OFFICIAL: Sensitive</vt:lpwstr>
  </property>
  <property fmtid="{D5CDD505-2E9C-101B-9397-08002B2CF9AE}" pid="8" name="PM_Originator_Hash_SHA1">
    <vt:lpwstr>899E4EA469A04FB023F4432B63374BB33589BF8A</vt:lpwstr>
  </property>
  <property fmtid="{D5CDD505-2E9C-101B-9397-08002B2CF9AE}" pid="9" name="PM_Originating_FileId">
    <vt:lpwstr>916CE99C95E649ADB6B7FCDDAB634FD9</vt:lpwstr>
  </property>
  <property fmtid="{D5CDD505-2E9C-101B-9397-08002B2CF9AE}" pid="10" name="PM_ProtectiveMarkingValue_Footer">
    <vt:lpwstr>OFFICIAL: Sensitive</vt:lpwstr>
  </property>
  <property fmtid="{D5CDD505-2E9C-101B-9397-08002B2CF9AE}" pid="11" name="PM_ProtectiveMarkingValue_Header">
    <vt:lpwstr>OFFICIAL: Sensitive</vt:lpwstr>
  </property>
  <property fmtid="{D5CDD505-2E9C-101B-9397-08002B2CF9AE}" pid="12" name="PM_OriginationTimeStamp">
    <vt:lpwstr>2023-05-25T02:07:55Z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 Sensitive</vt:lpwstr>
  </property>
  <property fmtid="{D5CDD505-2E9C-101B-9397-08002B2CF9AE}" pid="19" name="PMUuid">
    <vt:lpwstr>v=2022.2;d=gov.au;g=ABA70C08-925C-5FA3-8765-3178156983AC</vt:lpwstr>
  </property>
  <property fmtid="{D5CDD505-2E9C-101B-9397-08002B2CF9AE}" pid="20" name="PM_Hash_Version">
    <vt:lpwstr>2022.1</vt:lpwstr>
  </property>
  <property fmtid="{D5CDD505-2E9C-101B-9397-08002B2CF9AE}" pid="21" name="PM_Hash_Salt_Prev">
    <vt:lpwstr>EB4A5B8CA94FA54B22D30DC1944B0EA4</vt:lpwstr>
  </property>
  <property fmtid="{D5CDD505-2E9C-101B-9397-08002B2CF9AE}" pid="22" name="PM_Hash_Salt">
    <vt:lpwstr>45C0F663754B188BBD5F208C12CFCA39</vt:lpwstr>
  </property>
  <property fmtid="{D5CDD505-2E9C-101B-9397-08002B2CF9AE}" pid="23" name="PM_Hash_SHA1">
    <vt:lpwstr>D2B10D97B7F9823BB428E1A60C5F2A8EC6E14A86</vt:lpwstr>
  </property>
  <property fmtid="{D5CDD505-2E9C-101B-9397-08002B2CF9AE}" pid="24" name="PM_OriginatorUserAccountName_SHA256">
    <vt:lpwstr>290C9CFCFE70E139C4500567FB5830ACF9049F26A1998DDACA65669D45D5D2AD</vt:lpwstr>
  </property>
  <property fmtid="{D5CDD505-2E9C-101B-9397-08002B2CF9AE}" pid="25" name="PM_OriginatorDomainName_SHA256">
    <vt:lpwstr>6F3591835F3B2A8A025B00B5BA6418010DA3A17C9C26EA9C049FFD28039489A2</vt:lpwstr>
  </property>
  <property fmtid="{D5CDD505-2E9C-101B-9397-08002B2CF9AE}" pid="26" name="PM_MinimumSecurityClassification">
    <vt:lpwstr>OFFICIAL:Sensitive</vt:lpwstr>
  </property>
  <property fmtid="{D5CDD505-2E9C-101B-9397-08002B2CF9AE}" pid="27" name="PM_SecurityClassification_Prev">
    <vt:lpwstr>OFFICIAL:Sensitive</vt:lpwstr>
  </property>
  <property fmtid="{D5CDD505-2E9C-101B-9397-08002B2CF9AE}" pid="28" name="PM_Qualifier_Prev">
    <vt:lpwstr/>
  </property>
  <property fmtid="{D5CDD505-2E9C-101B-9397-08002B2CF9AE}" pid="29" name="PM_Caveats_Count">
    <vt:lpwstr>0</vt:lpwstr>
  </property>
</Properties>
</file>