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D6606" w14:textId="58FF3937" w:rsidR="00AC2016" w:rsidRDefault="001C0524" w:rsidP="00225B68">
      <w:pPr>
        <w:pStyle w:val="Title"/>
      </w:pPr>
      <w:r w:rsidRPr="00625172">
        <w:t xml:space="preserve">ANNEX </w:t>
      </w:r>
      <w:r w:rsidR="00AC2016">
        <w:t>4</w:t>
      </w:r>
    </w:p>
    <w:p w14:paraId="5242D80F" w14:textId="77777777" w:rsidR="003C7A6D" w:rsidRPr="003C7A6D" w:rsidRDefault="003C7A6D" w:rsidP="003C7A6D"/>
    <w:p w14:paraId="7F00340B" w14:textId="77777777" w:rsidR="00422DED" w:rsidRPr="00625172" w:rsidRDefault="00422DED" w:rsidP="00225B68">
      <w:pPr>
        <w:pStyle w:val="Title"/>
      </w:pPr>
      <w:r w:rsidRPr="00625172">
        <w:t xml:space="preserve">SCHEDULE OF SPECIFIC COMMITMENTS ON </w:t>
      </w:r>
    </w:p>
    <w:p w14:paraId="5BB02A32" w14:textId="4552658D" w:rsidR="001C0524" w:rsidRPr="00625172" w:rsidRDefault="008B6530" w:rsidP="00225B68">
      <w:pPr>
        <w:pStyle w:val="Title"/>
      </w:pPr>
      <w:r>
        <w:t xml:space="preserve">THE </w:t>
      </w:r>
      <w:r w:rsidR="00422DED" w:rsidRPr="00625172">
        <w:t>MOVEMENT OF NATURAL PERSONS</w:t>
      </w:r>
    </w:p>
    <w:p w14:paraId="07A76B64" w14:textId="77777777" w:rsidR="006844B0" w:rsidRPr="00625172" w:rsidRDefault="006844B0" w:rsidP="00225B68">
      <w:pPr>
        <w:pStyle w:val="Title"/>
      </w:pPr>
    </w:p>
    <w:p w14:paraId="104FAC10" w14:textId="44BDF022" w:rsidR="001C0524" w:rsidRPr="00625172" w:rsidRDefault="00512491" w:rsidP="00225B68">
      <w:pPr>
        <w:pStyle w:val="Title"/>
      </w:pPr>
      <w:r>
        <w:t>NEW ZEALAND</w:t>
      </w:r>
    </w:p>
    <w:p w14:paraId="0991935C" w14:textId="30DB66A8" w:rsidR="007309D8" w:rsidRDefault="007309D8" w:rsidP="00225B68">
      <w:pPr>
        <w:rPr>
          <w:lang w:val="id-ID"/>
        </w:rPr>
      </w:pPr>
    </w:p>
    <w:p w14:paraId="6BFE165E" w14:textId="77777777" w:rsidR="003B3F3F" w:rsidRPr="00625172" w:rsidRDefault="003B3F3F" w:rsidP="00225B68">
      <w:pPr>
        <w:rPr>
          <w:lang w:val="id-ID"/>
        </w:rPr>
      </w:pPr>
    </w:p>
    <w:p w14:paraId="63A8B72C" w14:textId="5916E3B8" w:rsidR="000F3802" w:rsidRDefault="00512491" w:rsidP="00225B68">
      <w:pPr>
        <w:pStyle w:val="NumberedList"/>
        <w:spacing w:before="0"/>
        <w:ind w:left="0" w:firstLine="0"/>
      </w:pPr>
      <w:r w:rsidRPr="00512491">
        <w:t>This Schedule sets out New Zealand’s specific commitments in accordance with Chapter 9 (Movement of Natural Persons) for the temporary entry of natural persons of another Party covered under Article 2 (Scope</w:t>
      </w:r>
      <w:r>
        <w:t>)</w:t>
      </w:r>
      <w:r w:rsidR="00F30685">
        <w:t xml:space="preserve"> of Chapter 9 (Movement of Natural Persons)</w:t>
      </w:r>
      <w:r w:rsidR="000F3802" w:rsidRPr="00625172">
        <w:t>.</w:t>
      </w:r>
    </w:p>
    <w:p w14:paraId="5E2B028D" w14:textId="77777777" w:rsidR="00225B68" w:rsidRPr="00625172" w:rsidRDefault="00225B68" w:rsidP="00225B68">
      <w:pPr>
        <w:pStyle w:val="NumberedList"/>
        <w:numPr>
          <w:ilvl w:val="0"/>
          <w:numId w:val="0"/>
        </w:numPr>
        <w:spacing w:before="0"/>
      </w:pPr>
    </w:p>
    <w:p w14:paraId="6FDB9373" w14:textId="7497A632" w:rsidR="00512491" w:rsidRDefault="00512491" w:rsidP="00225B68">
      <w:pPr>
        <w:pStyle w:val="NumberedList"/>
        <w:spacing w:before="0"/>
        <w:ind w:left="0" w:firstLine="0"/>
      </w:pPr>
      <w:r w:rsidRPr="00512491">
        <w:t xml:space="preserve">This Schedule and </w:t>
      </w:r>
      <w:r w:rsidR="00F30685">
        <w:t>Chapter 9 (</w:t>
      </w:r>
      <w:r w:rsidRPr="00512491">
        <w:t>Movement of Natural Persons</w:t>
      </w:r>
      <w:r w:rsidR="00F30685">
        <w:t>)</w:t>
      </w:r>
      <w:r w:rsidRPr="00512491">
        <w:t xml:space="preserve"> comprise the entirety of New Zealand’s commitments in respect of the temporary entry or temporary stay of a natural person of another Party</w:t>
      </w:r>
      <w:r>
        <w:t>.</w:t>
      </w:r>
    </w:p>
    <w:p w14:paraId="337CEF3B" w14:textId="77777777" w:rsidR="00225B68" w:rsidRDefault="00225B68" w:rsidP="00225B68">
      <w:pPr>
        <w:pStyle w:val="NumberedList"/>
        <w:numPr>
          <w:ilvl w:val="0"/>
          <w:numId w:val="0"/>
        </w:numPr>
        <w:spacing w:before="0"/>
      </w:pPr>
    </w:p>
    <w:p w14:paraId="28B92832" w14:textId="330DCCF7" w:rsidR="00512491" w:rsidRDefault="00512491" w:rsidP="00225B68">
      <w:pPr>
        <w:pStyle w:val="NumberedList"/>
        <w:spacing w:before="0"/>
        <w:ind w:left="0" w:firstLine="0"/>
      </w:pPr>
      <w:r w:rsidRPr="0006049E">
        <w:t>For</w:t>
      </w:r>
      <w:r>
        <w:t xml:space="preserve"> </w:t>
      </w:r>
      <w:r w:rsidRPr="0006049E">
        <w:t>greater</w:t>
      </w:r>
      <w:r>
        <w:t xml:space="preserve"> </w:t>
      </w:r>
      <w:r w:rsidRPr="0006049E">
        <w:t>certainty,</w:t>
      </w:r>
      <w:r>
        <w:t xml:space="preserve"> Most-Favoured-Nation Treatment in accordance with Article </w:t>
      </w:r>
      <w:r w:rsidR="00173572">
        <w:t>9</w:t>
      </w:r>
      <w:r>
        <w:t xml:space="preserve"> (Most-Favoured-Nation Treatment) </w:t>
      </w:r>
      <w:r w:rsidR="00AC2016">
        <w:t xml:space="preserve">of Chapter 8 (Trade in Services) </w:t>
      </w:r>
      <w:r w:rsidRPr="0006049E">
        <w:t>do</w:t>
      </w:r>
      <w:r w:rsidR="00CB154E">
        <w:t>es</w:t>
      </w:r>
      <w:r>
        <w:t xml:space="preserve"> </w:t>
      </w:r>
      <w:r w:rsidRPr="0006049E">
        <w:t>not</w:t>
      </w:r>
      <w:r>
        <w:t xml:space="preserve"> </w:t>
      </w:r>
      <w:r w:rsidRPr="0006049E">
        <w:t>apply</w:t>
      </w:r>
      <w:r>
        <w:t xml:space="preserve"> </w:t>
      </w:r>
      <w:r w:rsidRPr="0006049E">
        <w:t>to</w:t>
      </w:r>
      <w:r>
        <w:t xml:space="preserve"> </w:t>
      </w:r>
      <w:r w:rsidRPr="0006049E">
        <w:t>this</w:t>
      </w:r>
      <w:r>
        <w:t xml:space="preserve"> S</w:t>
      </w:r>
      <w:r w:rsidRPr="0006049E">
        <w:t>chedule</w:t>
      </w:r>
      <w:r>
        <w:t>.</w:t>
      </w:r>
    </w:p>
    <w:p w14:paraId="232E3599" w14:textId="77777777" w:rsidR="00225B68" w:rsidRDefault="00225B68" w:rsidP="00225B68">
      <w:pPr>
        <w:pStyle w:val="NumberedList"/>
        <w:numPr>
          <w:ilvl w:val="0"/>
          <w:numId w:val="0"/>
        </w:numPr>
        <w:spacing w:before="0"/>
      </w:pPr>
    </w:p>
    <w:p w14:paraId="508919DC" w14:textId="5AF2798E" w:rsidR="00512491" w:rsidRDefault="00512491" w:rsidP="00225B68">
      <w:pPr>
        <w:pStyle w:val="NumberedList"/>
        <w:spacing w:before="0"/>
        <w:ind w:left="0" w:firstLine="0"/>
      </w:pPr>
      <w:r w:rsidRPr="000D3F7D">
        <w:t xml:space="preserve">Notwithstanding the commitments set out </w:t>
      </w:r>
      <w:r w:rsidRPr="00B05C9A">
        <w:t>below,</w:t>
      </w:r>
      <w:r w:rsidRPr="000D3F7D">
        <w:t xml:space="preserve"> New Zealand remains unbound in cases of labour</w:t>
      </w:r>
      <w:r>
        <w:t xml:space="preserve"> or </w:t>
      </w:r>
      <w:r w:rsidRPr="000D3F7D">
        <w:t>management disputes, and also with respect to ships’ crews</w:t>
      </w:r>
      <w:r>
        <w:t>.</w:t>
      </w:r>
    </w:p>
    <w:p w14:paraId="0A51B3FA" w14:textId="77777777" w:rsidR="00225B68" w:rsidRDefault="00225B68" w:rsidP="00225B68">
      <w:pPr>
        <w:pStyle w:val="NumberedList"/>
        <w:numPr>
          <w:ilvl w:val="0"/>
          <w:numId w:val="0"/>
        </w:numPr>
        <w:spacing w:before="0"/>
      </w:pPr>
    </w:p>
    <w:p w14:paraId="59D644E0" w14:textId="3ECAEF78" w:rsidR="000029E8" w:rsidRPr="00625172" w:rsidRDefault="00512491" w:rsidP="00225B68">
      <w:pPr>
        <w:pStyle w:val="NumberedList"/>
        <w:spacing w:before="0"/>
        <w:ind w:left="0" w:firstLine="0"/>
      </w:pPr>
      <w:r w:rsidRPr="00512491">
        <w:t>With respect to audio-visual services, New Zealand immigration instructions stipulate a special procedure for the granting of visas to entertainers, performing artists and associated support personnel for work purposes. To be eligible for a work visa or work permit, those applicants must come within the policy guidelines agreed to between the Minister of Immigration, independent promoters, agents or producers, and the relevant performing artists’ unions</w:t>
      </w:r>
      <w:r w:rsidR="000F3802" w:rsidRPr="00625172">
        <w:t>.</w:t>
      </w:r>
    </w:p>
    <w:p w14:paraId="6EA4E9D2" w14:textId="209E805D" w:rsidR="00E633A1" w:rsidRDefault="00E633A1" w:rsidP="00225B68">
      <w:pPr>
        <w:ind w:left="567" w:hanging="567"/>
        <w:rPr>
          <w:rFonts w:cs="Arial"/>
        </w:rPr>
      </w:pPr>
    </w:p>
    <w:p w14:paraId="7BAF4041" w14:textId="77777777" w:rsidR="001B7AC3" w:rsidRPr="00625172" w:rsidRDefault="001B7AC3" w:rsidP="003B3F3F">
      <w:pPr>
        <w:ind w:left="567" w:hanging="567"/>
        <w:rPr>
          <w:rFonts w:cs="Arial"/>
        </w:rPr>
      </w:pPr>
    </w:p>
    <w:tbl>
      <w:tblPr>
        <w:tblStyle w:val="TableGrid"/>
        <w:tblW w:w="0" w:type="auto"/>
        <w:tblLook w:val="04A0" w:firstRow="1" w:lastRow="0" w:firstColumn="1" w:lastColumn="0" w:noHBand="0" w:noVBand="1"/>
      </w:tblPr>
      <w:tblGrid>
        <w:gridCol w:w="3870"/>
        <w:gridCol w:w="3709"/>
      </w:tblGrid>
      <w:tr w:rsidR="002D60A5" w14:paraId="2AFCFB8E" w14:textId="77777777" w:rsidTr="004F0A51">
        <w:trPr>
          <w:tblHeader/>
        </w:trPr>
        <w:tc>
          <w:tcPr>
            <w:tcW w:w="3870" w:type="dxa"/>
            <w:vAlign w:val="center"/>
          </w:tcPr>
          <w:p w14:paraId="5F26D64F" w14:textId="1B9BAB9A" w:rsidR="002D60A5" w:rsidRDefault="002D60A5" w:rsidP="00054F8A">
            <w:pPr>
              <w:spacing w:before="60" w:after="60"/>
              <w:jc w:val="center"/>
              <w:rPr>
                <w:rFonts w:cs="Arial"/>
              </w:rPr>
            </w:pPr>
            <w:r w:rsidRPr="00AC2016">
              <w:rPr>
                <w:rFonts w:cs="Arial"/>
                <w:b/>
              </w:rPr>
              <w:t>Entry in the following categories only</w:t>
            </w:r>
          </w:p>
        </w:tc>
        <w:tc>
          <w:tcPr>
            <w:tcW w:w="3709" w:type="dxa"/>
          </w:tcPr>
          <w:p w14:paraId="5EAF5B14" w14:textId="77777777" w:rsidR="002D60A5" w:rsidRPr="00625172" w:rsidRDefault="002D60A5" w:rsidP="00054F8A">
            <w:pPr>
              <w:spacing w:before="60" w:after="60"/>
              <w:jc w:val="center"/>
              <w:rPr>
                <w:rFonts w:cs="Arial"/>
                <w:b/>
              </w:rPr>
            </w:pPr>
            <w:r w:rsidRPr="00625172">
              <w:rPr>
                <w:rFonts w:cs="Arial"/>
                <w:b/>
              </w:rPr>
              <w:t>Conditions and Limitations</w:t>
            </w:r>
          </w:p>
          <w:p w14:paraId="6FF87DBF" w14:textId="084601E2" w:rsidR="002D60A5" w:rsidRDefault="002D60A5" w:rsidP="00054F8A">
            <w:pPr>
              <w:spacing w:before="60" w:after="60"/>
              <w:jc w:val="center"/>
              <w:rPr>
                <w:rFonts w:cs="Arial"/>
              </w:rPr>
            </w:pPr>
            <w:r w:rsidRPr="00625172">
              <w:rPr>
                <w:rFonts w:cs="Arial"/>
                <w:b/>
              </w:rPr>
              <w:t>(including length of stay)</w:t>
            </w:r>
          </w:p>
        </w:tc>
      </w:tr>
      <w:tr w:rsidR="002D60A5" w14:paraId="34B14529" w14:textId="77777777" w:rsidTr="004F0A51">
        <w:tc>
          <w:tcPr>
            <w:tcW w:w="7579" w:type="dxa"/>
            <w:gridSpan w:val="2"/>
          </w:tcPr>
          <w:p w14:paraId="4DA7AD54" w14:textId="33DFA615" w:rsidR="002D60A5" w:rsidRPr="002D60A5" w:rsidRDefault="002D60A5" w:rsidP="000124AE">
            <w:pPr>
              <w:pStyle w:val="ListParagraph"/>
              <w:numPr>
                <w:ilvl w:val="0"/>
                <w:numId w:val="31"/>
              </w:numPr>
              <w:spacing w:before="60" w:after="60"/>
              <w:ind w:left="720" w:hanging="720"/>
              <w:rPr>
                <w:rFonts w:cs="Arial"/>
                <w:b/>
                <w:bCs/>
              </w:rPr>
            </w:pPr>
            <w:r>
              <w:rPr>
                <w:rFonts w:cs="Arial"/>
                <w:b/>
                <w:bCs/>
              </w:rPr>
              <w:t>Business Visitor</w:t>
            </w:r>
          </w:p>
        </w:tc>
      </w:tr>
      <w:tr w:rsidR="002D60A5" w14:paraId="60423705" w14:textId="77777777" w:rsidTr="004F0A51">
        <w:tc>
          <w:tcPr>
            <w:tcW w:w="3870" w:type="dxa"/>
          </w:tcPr>
          <w:p w14:paraId="014E2F01" w14:textId="534A0425" w:rsidR="002D60A5" w:rsidRPr="002D60A5" w:rsidRDefault="002D60A5" w:rsidP="002D60A5">
            <w:pPr>
              <w:jc w:val="both"/>
              <w:rPr>
                <w:rFonts w:cs="Arial"/>
                <w:u w:val="single"/>
              </w:rPr>
            </w:pPr>
            <w:r w:rsidRPr="002D60A5">
              <w:rPr>
                <w:rFonts w:cs="Arial"/>
                <w:u w:val="single"/>
              </w:rPr>
              <w:t>Definition:</w:t>
            </w:r>
          </w:p>
          <w:p w14:paraId="2F6DFD2D" w14:textId="77777777" w:rsidR="002D60A5" w:rsidRPr="002D60A5" w:rsidRDefault="002D60A5" w:rsidP="002D60A5">
            <w:pPr>
              <w:jc w:val="both"/>
              <w:rPr>
                <w:rFonts w:cs="Arial"/>
              </w:rPr>
            </w:pPr>
            <w:r w:rsidRPr="002D60A5">
              <w:rPr>
                <w:rFonts w:cs="Arial"/>
                <w:b/>
              </w:rPr>
              <w:t>Business Visitors</w:t>
            </w:r>
            <w:r w:rsidRPr="002D60A5">
              <w:rPr>
                <w:rFonts w:cs="Arial"/>
              </w:rPr>
              <w:t xml:space="preserve"> comprise a business person: </w:t>
            </w:r>
          </w:p>
          <w:p w14:paraId="29966996" w14:textId="77777777" w:rsidR="002D60A5" w:rsidRPr="002D60A5" w:rsidRDefault="002D60A5" w:rsidP="002D60A5">
            <w:pPr>
              <w:jc w:val="both"/>
              <w:rPr>
                <w:rFonts w:cs="Arial"/>
              </w:rPr>
            </w:pPr>
          </w:p>
          <w:p w14:paraId="0A5D745A" w14:textId="5D9CD23B" w:rsidR="002D60A5" w:rsidRPr="002D60A5" w:rsidRDefault="002D60A5" w:rsidP="002D60A5">
            <w:pPr>
              <w:pStyle w:val="ListParagraph"/>
              <w:numPr>
                <w:ilvl w:val="0"/>
                <w:numId w:val="32"/>
              </w:numPr>
              <w:ind w:left="360"/>
              <w:jc w:val="both"/>
              <w:rPr>
                <w:rFonts w:cs="Arial"/>
              </w:rPr>
            </w:pPr>
            <w:r w:rsidRPr="002D60A5">
              <w:rPr>
                <w:rFonts w:cs="Arial"/>
              </w:rPr>
              <w:t>who is seeking temporary entry to New Zealand for business purposes, such as:</w:t>
            </w:r>
          </w:p>
          <w:p w14:paraId="3E455C27" w14:textId="77777777" w:rsidR="002D60A5" w:rsidRPr="002D60A5" w:rsidRDefault="002D60A5" w:rsidP="00BB07BE">
            <w:pPr>
              <w:ind w:firstLine="720"/>
              <w:jc w:val="both"/>
              <w:rPr>
                <w:rFonts w:cs="Arial"/>
              </w:rPr>
            </w:pPr>
          </w:p>
          <w:p w14:paraId="05ED0FE3" w14:textId="77777777" w:rsidR="002D60A5" w:rsidRPr="002D60A5" w:rsidRDefault="002D60A5" w:rsidP="002D60A5">
            <w:pPr>
              <w:numPr>
                <w:ilvl w:val="0"/>
                <w:numId w:val="24"/>
              </w:numPr>
              <w:tabs>
                <w:tab w:val="clear" w:pos="397"/>
              </w:tabs>
              <w:ind w:left="720" w:hanging="360"/>
              <w:jc w:val="both"/>
              <w:rPr>
                <w:rFonts w:cs="Arial"/>
              </w:rPr>
            </w:pPr>
            <w:r w:rsidRPr="002D60A5">
              <w:rPr>
                <w:rFonts w:cs="Arial"/>
              </w:rPr>
              <w:t>for the purpose of negotiating and concluding the sale of goods or services, but is not engaged in making direct sales to the general public or in supplying goods or services themselves; or</w:t>
            </w:r>
          </w:p>
          <w:p w14:paraId="72872CD0" w14:textId="77777777" w:rsidR="002D60A5" w:rsidRPr="002D60A5" w:rsidRDefault="002D60A5" w:rsidP="002D60A5">
            <w:pPr>
              <w:jc w:val="both"/>
              <w:rPr>
                <w:rFonts w:cs="Arial"/>
              </w:rPr>
            </w:pPr>
          </w:p>
          <w:p w14:paraId="46CF0DFD" w14:textId="32FF5AF1" w:rsidR="002D60A5" w:rsidRPr="002D60A5" w:rsidRDefault="002D60A5" w:rsidP="002D60A5">
            <w:pPr>
              <w:numPr>
                <w:ilvl w:val="0"/>
                <w:numId w:val="24"/>
              </w:numPr>
              <w:tabs>
                <w:tab w:val="clear" w:pos="397"/>
              </w:tabs>
              <w:ind w:left="720" w:hanging="360"/>
              <w:jc w:val="both"/>
              <w:rPr>
                <w:rFonts w:cs="Arial"/>
                <w:lang w:val="id-ID"/>
              </w:rPr>
            </w:pPr>
            <w:r w:rsidRPr="002D60A5">
              <w:rPr>
                <w:rFonts w:cs="Arial"/>
              </w:rPr>
              <w:t xml:space="preserve">as an investor, or duly authorised representative of an investor, for </w:t>
            </w:r>
            <w:r w:rsidRPr="002D60A5">
              <w:rPr>
                <w:rFonts w:cs="Arial"/>
              </w:rPr>
              <w:lastRenderedPageBreak/>
              <w:t xml:space="preserve">the purpose of establishing, expanding, monitoring or disposing of an investment, but not with the intention of establishing or operating any business on the business visitor’s own account; </w:t>
            </w:r>
          </w:p>
          <w:p w14:paraId="10588871" w14:textId="77777777" w:rsidR="002D60A5" w:rsidRPr="002D60A5" w:rsidRDefault="002D60A5" w:rsidP="002D60A5">
            <w:pPr>
              <w:jc w:val="both"/>
              <w:rPr>
                <w:rFonts w:cs="Arial"/>
                <w:lang w:val="id-ID"/>
              </w:rPr>
            </w:pPr>
          </w:p>
          <w:p w14:paraId="2F770F40" w14:textId="4CECFA45" w:rsidR="002D60A5" w:rsidRPr="002D60A5" w:rsidRDefault="002D60A5" w:rsidP="002D60A5">
            <w:pPr>
              <w:pStyle w:val="ListParagraph"/>
              <w:numPr>
                <w:ilvl w:val="0"/>
                <w:numId w:val="32"/>
              </w:numPr>
              <w:ind w:left="360"/>
              <w:jc w:val="both"/>
              <w:rPr>
                <w:rFonts w:cs="Arial"/>
                <w:lang w:val="mi-NZ"/>
              </w:rPr>
            </w:pPr>
            <w:r w:rsidRPr="002D60A5">
              <w:rPr>
                <w:rFonts w:cs="Arial"/>
                <w:lang w:val="mi-NZ"/>
              </w:rPr>
              <w:t xml:space="preserve">who is </w:t>
            </w:r>
            <w:r w:rsidRPr="002D60A5">
              <w:rPr>
                <w:rFonts w:cs="Arial"/>
              </w:rPr>
              <w:t>not</w:t>
            </w:r>
            <w:r w:rsidRPr="002D60A5">
              <w:rPr>
                <w:rFonts w:cs="Arial"/>
                <w:lang w:val="mi-NZ"/>
              </w:rPr>
              <w:t xml:space="preserve"> seeking to enter the labour market of New Zealand; and </w:t>
            </w:r>
          </w:p>
          <w:p w14:paraId="0590C692" w14:textId="77777777" w:rsidR="002D60A5" w:rsidRPr="002D60A5" w:rsidRDefault="002D60A5" w:rsidP="002D60A5">
            <w:pPr>
              <w:jc w:val="both"/>
              <w:rPr>
                <w:rFonts w:cs="Arial"/>
                <w:lang w:val="mi-NZ"/>
              </w:rPr>
            </w:pPr>
          </w:p>
          <w:p w14:paraId="5C4AC3BB" w14:textId="077CF99A" w:rsidR="002D60A5" w:rsidRPr="002D60A5" w:rsidRDefault="002D60A5" w:rsidP="002D60A5">
            <w:pPr>
              <w:pStyle w:val="ListParagraph"/>
              <w:numPr>
                <w:ilvl w:val="0"/>
                <w:numId w:val="32"/>
              </w:numPr>
              <w:ind w:left="360"/>
              <w:jc w:val="both"/>
              <w:rPr>
                <w:rFonts w:cs="Arial"/>
              </w:rPr>
            </w:pPr>
            <w:r w:rsidRPr="002D60A5">
              <w:rPr>
                <w:rFonts w:cs="Arial"/>
                <w:lang w:val="mi-NZ"/>
              </w:rPr>
              <w:t>whose principal place of business, actual place of remuneration and predominant place of accrual of profits remain outside New Zealand</w:t>
            </w:r>
            <w:r w:rsidR="001B7AC3">
              <w:rPr>
                <w:rFonts w:cs="Arial"/>
                <w:lang w:val="mi-NZ"/>
              </w:rPr>
              <w:t>.</w:t>
            </w:r>
          </w:p>
          <w:p w14:paraId="0FB700FA" w14:textId="54FBD5ED" w:rsidR="002D60A5" w:rsidRPr="002D60A5" w:rsidRDefault="002D60A5" w:rsidP="002D60A5">
            <w:pPr>
              <w:jc w:val="both"/>
              <w:rPr>
                <w:rFonts w:cs="Arial"/>
              </w:rPr>
            </w:pPr>
          </w:p>
        </w:tc>
        <w:tc>
          <w:tcPr>
            <w:tcW w:w="3709" w:type="dxa"/>
          </w:tcPr>
          <w:p w14:paraId="7AAD2A71" w14:textId="761E2C43" w:rsidR="002D60A5" w:rsidRDefault="002D60A5" w:rsidP="002D60A5">
            <w:pPr>
              <w:jc w:val="both"/>
              <w:rPr>
                <w:rFonts w:cs="Arial"/>
              </w:rPr>
            </w:pPr>
            <w:r w:rsidRPr="002D60A5">
              <w:rPr>
                <w:rFonts w:cs="Arial"/>
              </w:rPr>
              <w:lastRenderedPageBreak/>
              <w:t>Entry for a period not exceeding in aggregate three months in any calendar year.</w:t>
            </w:r>
          </w:p>
        </w:tc>
      </w:tr>
      <w:tr w:rsidR="002D60A5" w14:paraId="107A197C" w14:textId="77777777" w:rsidTr="004F0A51">
        <w:tc>
          <w:tcPr>
            <w:tcW w:w="7579" w:type="dxa"/>
            <w:gridSpan w:val="2"/>
          </w:tcPr>
          <w:p w14:paraId="77D70F7D" w14:textId="1DAF4798" w:rsidR="002D60A5" w:rsidRPr="002D60A5" w:rsidRDefault="002D60A5" w:rsidP="000124AE">
            <w:pPr>
              <w:pStyle w:val="ListParagraph"/>
              <w:numPr>
                <w:ilvl w:val="0"/>
                <w:numId w:val="31"/>
              </w:numPr>
              <w:spacing w:before="60" w:after="60"/>
              <w:ind w:left="720" w:hanging="720"/>
              <w:rPr>
                <w:rFonts w:cs="Arial"/>
                <w:b/>
                <w:bCs/>
              </w:rPr>
            </w:pPr>
            <w:r w:rsidRPr="002D60A5">
              <w:rPr>
                <w:rFonts w:cs="Arial"/>
                <w:b/>
                <w:bCs/>
                <w:lang w:val="en-US"/>
              </w:rPr>
              <w:t>Intra-Corporate Transferee</w:t>
            </w:r>
          </w:p>
        </w:tc>
      </w:tr>
      <w:tr w:rsidR="002D60A5" w14:paraId="3097DD61" w14:textId="77777777" w:rsidTr="004F0A51">
        <w:tc>
          <w:tcPr>
            <w:tcW w:w="3870" w:type="dxa"/>
          </w:tcPr>
          <w:p w14:paraId="3545457D" w14:textId="77777777" w:rsidR="002D60A5" w:rsidRPr="002D60A5" w:rsidRDefault="002D60A5" w:rsidP="002D60A5">
            <w:pPr>
              <w:jc w:val="both"/>
              <w:rPr>
                <w:rFonts w:cs="Arial"/>
                <w:u w:val="single"/>
              </w:rPr>
            </w:pPr>
            <w:r w:rsidRPr="002D60A5">
              <w:rPr>
                <w:rFonts w:cs="Arial"/>
                <w:u w:val="single"/>
              </w:rPr>
              <w:t>Definition:</w:t>
            </w:r>
          </w:p>
          <w:p w14:paraId="3D8798FD" w14:textId="3FA210CC" w:rsidR="002D60A5" w:rsidRPr="002D60A5" w:rsidRDefault="002D60A5" w:rsidP="002D60A5">
            <w:pPr>
              <w:jc w:val="both"/>
              <w:rPr>
                <w:rFonts w:cs="Arial"/>
              </w:rPr>
            </w:pPr>
            <w:r w:rsidRPr="002D60A5">
              <w:rPr>
                <w:rFonts w:cs="Arial"/>
              </w:rPr>
              <w:t>An executive, manager or specialist:</w:t>
            </w:r>
          </w:p>
          <w:p w14:paraId="1604EDD1" w14:textId="77777777" w:rsidR="002D60A5" w:rsidRPr="002D60A5" w:rsidRDefault="002D60A5" w:rsidP="002D60A5">
            <w:pPr>
              <w:jc w:val="both"/>
              <w:rPr>
                <w:rFonts w:cs="Arial"/>
              </w:rPr>
            </w:pPr>
          </w:p>
          <w:p w14:paraId="56241E7A" w14:textId="07F194FC" w:rsidR="002D60A5" w:rsidRPr="002D60A5" w:rsidRDefault="00106FD3" w:rsidP="00AC2016">
            <w:pPr>
              <w:jc w:val="both"/>
            </w:pPr>
            <w:r>
              <w:t xml:space="preserve">(a) </w:t>
            </w:r>
            <w:r w:rsidR="002D60A5" w:rsidRPr="002D60A5">
              <w:t>who is an employee of a goods supplier, service supplier, or investor of another Party with a commercial presence in New Zealand; and</w:t>
            </w:r>
          </w:p>
          <w:p w14:paraId="42B206F6" w14:textId="77777777" w:rsidR="002D60A5" w:rsidRPr="002D60A5" w:rsidRDefault="002D60A5" w:rsidP="002D60A5">
            <w:pPr>
              <w:jc w:val="both"/>
              <w:rPr>
                <w:rFonts w:cs="Arial"/>
              </w:rPr>
            </w:pPr>
          </w:p>
          <w:p w14:paraId="22D39BD1" w14:textId="55CB96B4" w:rsidR="002D60A5" w:rsidRPr="002D60A5" w:rsidRDefault="00106FD3" w:rsidP="00AC2016">
            <w:pPr>
              <w:jc w:val="both"/>
              <w:rPr>
                <w:rFonts w:cs="Arial"/>
                <w:lang w:val="en-US"/>
              </w:rPr>
            </w:pPr>
            <w:r>
              <w:rPr>
                <w:rFonts w:cs="Arial"/>
              </w:rPr>
              <w:t xml:space="preserve">(b) </w:t>
            </w:r>
            <w:r w:rsidR="002D60A5" w:rsidRPr="002D60A5">
              <w:rPr>
                <w:rFonts w:cs="Arial"/>
              </w:rPr>
              <w:t>whose salary and any related payments are paid entirely by the service supplier or enterprise that employs the intra-corporate transferee.</w:t>
            </w:r>
          </w:p>
          <w:p w14:paraId="37307341" w14:textId="77777777" w:rsidR="002D60A5" w:rsidRDefault="002D60A5" w:rsidP="002D60A5">
            <w:pPr>
              <w:jc w:val="both"/>
              <w:rPr>
                <w:rFonts w:cs="Arial"/>
              </w:rPr>
            </w:pPr>
          </w:p>
        </w:tc>
        <w:tc>
          <w:tcPr>
            <w:tcW w:w="3709" w:type="dxa"/>
          </w:tcPr>
          <w:p w14:paraId="542289EE" w14:textId="77777777" w:rsidR="002D60A5" w:rsidRPr="002D60A5" w:rsidRDefault="002D60A5" w:rsidP="002D60A5">
            <w:pPr>
              <w:jc w:val="both"/>
              <w:rPr>
                <w:rFonts w:cs="Arial"/>
              </w:rPr>
            </w:pPr>
            <w:r w:rsidRPr="002D60A5">
              <w:rPr>
                <w:rFonts w:cs="Arial"/>
                <w:b/>
                <w:bCs/>
              </w:rPr>
              <w:t>Executive</w:t>
            </w:r>
            <w:r w:rsidRPr="002D60A5">
              <w:rPr>
                <w:rFonts w:cs="Arial"/>
              </w:rPr>
              <w:t>:</w:t>
            </w:r>
          </w:p>
          <w:p w14:paraId="4C125118" w14:textId="6D827506" w:rsidR="002D60A5" w:rsidRPr="002D60A5" w:rsidRDefault="002D60A5" w:rsidP="002D60A5">
            <w:pPr>
              <w:jc w:val="both"/>
              <w:rPr>
                <w:rFonts w:cs="Arial"/>
              </w:rPr>
            </w:pPr>
            <w:r w:rsidRPr="002D60A5">
              <w:rPr>
                <w:rFonts w:cs="Arial"/>
                <w:u w:val="single"/>
              </w:rPr>
              <w:t>Definition</w:t>
            </w:r>
            <w:r w:rsidRPr="002D60A5">
              <w:rPr>
                <w:rFonts w:cs="Arial"/>
              </w:rPr>
              <w:t>: A natural person of another Party who primarily directs the management of an enterprise, exercises wide latitude in decision making, and receives only general supervision or direction from higher level executives, the board of directors or stockholders of the enterprise. An executive would not directly perform tasks related to the actual provision of the service or the operation of the enterprise.</w:t>
            </w:r>
          </w:p>
          <w:p w14:paraId="75BDD331" w14:textId="77777777" w:rsidR="002D60A5" w:rsidRPr="004F0A51" w:rsidRDefault="002D60A5" w:rsidP="002D60A5">
            <w:pPr>
              <w:jc w:val="both"/>
              <w:rPr>
                <w:rFonts w:cs="Arial"/>
                <w:sz w:val="10"/>
                <w:szCs w:val="10"/>
              </w:rPr>
            </w:pPr>
          </w:p>
          <w:p w14:paraId="0E5BF7F7" w14:textId="77777777" w:rsidR="002D60A5" w:rsidRPr="002D60A5" w:rsidRDefault="002D60A5" w:rsidP="002D60A5">
            <w:pPr>
              <w:jc w:val="both"/>
              <w:rPr>
                <w:rFonts w:cs="Arial"/>
              </w:rPr>
            </w:pPr>
            <w:r w:rsidRPr="002D60A5">
              <w:rPr>
                <w:rFonts w:cs="Arial"/>
              </w:rPr>
              <w:t>Entry for a period of initial stay up to a maximum of three years for an executive who has been employed by their employer for at least 12 months prior to their proposed transfer to New Zealand.</w:t>
            </w:r>
          </w:p>
          <w:p w14:paraId="79446743" w14:textId="77777777" w:rsidR="002D60A5" w:rsidRPr="004F0A51" w:rsidRDefault="002D60A5" w:rsidP="002D60A5">
            <w:pPr>
              <w:jc w:val="both"/>
              <w:rPr>
                <w:rFonts w:cs="Arial"/>
                <w:sz w:val="10"/>
                <w:szCs w:val="10"/>
              </w:rPr>
            </w:pPr>
          </w:p>
          <w:p w14:paraId="503A7FCF" w14:textId="77777777" w:rsidR="002D60A5" w:rsidRPr="002D60A5" w:rsidRDefault="002D60A5" w:rsidP="002D60A5">
            <w:pPr>
              <w:jc w:val="both"/>
              <w:rPr>
                <w:rFonts w:cs="Arial"/>
              </w:rPr>
            </w:pPr>
            <w:r w:rsidRPr="002D60A5">
              <w:rPr>
                <w:rFonts w:cs="Arial"/>
                <w:b/>
                <w:bCs/>
              </w:rPr>
              <w:t>Manager</w:t>
            </w:r>
            <w:r w:rsidRPr="002D60A5">
              <w:rPr>
                <w:rFonts w:cs="Arial"/>
              </w:rPr>
              <w:t>:</w:t>
            </w:r>
          </w:p>
          <w:p w14:paraId="6F45F573" w14:textId="73CEB68B" w:rsidR="002D60A5" w:rsidRPr="002D60A5" w:rsidRDefault="002D60A5" w:rsidP="002D60A5">
            <w:pPr>
              <w:jc w:val="both"/>
              <w:rPr>
                <w:rFonts w:cs="Arial"/>
              </w:rPr>
            </w:pPr>
            <w:r w:rsidRPr="002D60A5">
              <w:rPr>
                <w:rFonts w:cs="Arial"/>
                <w:u w:val="single"/>
              </w:rPr>
              <w:t>Definition</w:t>
            </w:r>
            <w:r w:rsidRPr="002D60A5">
              <w:rPr>
                <w:rFonts w:cs="Arial"/>
              </w:rPr>
              <w:t xml:space="preserve">: A natural person of another Party who will be responsible for or directs the entire or a substantial part of the operations of the enterprise in New Zealand, receiving general supervision or direction principally from higher level executives, the board of directors or stockholders of the enterprise; supervising and controlling the work of other supervisory, professional or managerial employees; and having the authority to establish goals and policies </w:t>
            </w:r>
            <w:r w:rsidRPr="002D60A5">
              <w:rPr>
                <w:rFonts w:cs="Arial"/>
              </w:rPr>
              <w:lastRenderedPageBreak/>
              <w:t>of the entire or a substantial part of the operations of the enterprise.</w:t>
            </w:r>
          </w:p>
          <w:p w14:paraId="3C8E0B3F" w14:textId="77777777" w:rsidR="002D60A5" w:rsidRPr="002D60A5" w:rsidRDefault="002D60A5" w:rsidP="002D60A5">
            <w:pPr>
              <w:jc w:val="both"/>
              <w:rPr>
                <w:rFonts w:cs="Arial"/>
              </w:rPr>
            </w:pPr>
            <w:r w:rsidRPr="002D60A5">
              <w:rPr>
                <w:rFonts w:cs="Arial"/>
              </w:rPr>
              <w:t>Entry for a period of initial stay up to a maximum of three years for a manager who has been employed by their employer for at least 12 months prior to their proposed transfer to New Zealand.</w:t>
            </w:r>
          </w:p>
          <w:p w14:paraId="30523379" w14:textId="77777777" w:rsidR="002D60A5" w:rsidRPr="002D60A5" w:rsidRDefault="002D60A5" w:rsidP="002D60A5">
            <w:pPr>
              <w:jc w:val="both"/>
              <w:rPr>
                <w:rFonts w:cs="Arial"/>
                <w:lang w:val="en-US"/>
              </w:rPr>
            </w:pPr>
          </w:p>
          <w:p w14:paraId="5C8D7CA7" w14:textId="77777777" w:rsidR="002D60A5" w:rsidRPr="002D60A5" w:rsidRDefault="002D60A5" w:rsidP="002D60A5">
            <w:pPr>
              <w:jc w:val="both"/>
              <w:rPr>
                <w:rFonts w:cs="Arial"/>
                <w:b/>
                <w:bCs/>
              </w:rPr>
            </w:pPr>
            <w:r w:rsidRPr="002D60A5">
              <w:rPr>
                <w:rFonts w:cs="Arial"/>
                <w:b/>
                <w:bCs/>
              </w:rPr>
              <w:t>Specialist</w:t>
            </w:r>
          </w:p>
          <w:p w14:paraId="3AF3E863" w14:textId="3FB8199A" w:rsidR="002D60A5" w:rsidRPr="002D60A5" w:rsidRDefault="002D60A5" w:rsidP="002D60A5">
            <w:pPr>
              <w:jc w:val="both"/>
              <w:rPr>
                <w:rFonts w:cs="Arial"/>
              </w:rPr>
            </w:pPr>
            <w:r w:rsidRPr="002D60A5">
              <w:rPr>
                <w:rFonts w:cs="Arial"/>
                <w:u w:val="single"/>
              </w:rPr>
              <w:t>Definition</w:t>
            </w:r>
            <w:r w:rsidRPr="002D60A5">
              <w:rPr>
                <w:rFonts w:cs="Arial"/>
              </w:rPr>
              <w:t>: A natural person of another Party with advanced trade, technical or professional skills within an organisation who possesses knowledge at an advanced level of technical expertise, and who possesses proprietary knowledge of the organisation’s service, research equipment, techniques or management.</w:t>
            </w:r>
          </w:p>
          <w:p w14:paraId="3A26F003" w14:textId="77777777" w:rsidR="002D60A5" w:rsidRPr="002D60A5" w:rsidRDefault="002D60A5" w:rsidP="002D60A5">
            <w:pPr>
              <w:jc w:val="both"/>
              <w:rPr>
                <w:rFonts w:cs="Arial"/>
                <w:u w:val="single"/>
              </w:rPr>
            </w:pPr>
          </w:p>
          <w:p w14:paraId="02D278F6" w14:textId="4E8AED6C" w:rsidR="002D60A5" w:rsidRPr="002D60A5" w:rsidRDefault="002D60A5" w:rsidP="002D60A5">
            <w:pPr>
              <w:jc w:val="both"/>
              <w:rPr>
                <w:rFonts w:cs="Arial"/>
              </w:rPr>
            </w:pPr>
            <w:r w:rsidRPr="002D60A5">
              <w:rPr>
                <w:rFonts w:cs="Arial"/>
              </w:rPr>
              <w:t>Such specialists are responsible for or employed in a particular aspect of an organisation’s operations in New Zealand. Skills are assessed in terms of the applicant’s employment experience, qualifications and suitability for the position.</w:t>
            </w:r>
          </w:p>
          <w:p w14:paraId="5F772EFC" w14:textId="77777777" w:rsidR="002D60A5" w:rsidRPr="002D60A5" w:rsidRDefault="002D60A5" w:rsidP="002D60A5">
            <w:pPr>
              <w:jc w:val="both"/>
              <w:rPr>
                <w:rFonts w:cs="Arial"/>
                <w:lang w:val="en-US"/>
              </w:rPr>
            </w:pPr>
          </w:p>
          <w:p w14:paraId="7A526D89" w14:textId="77777777" w:rsidR="002D60A5" w:rsidRPr="002D60A5" w:rsidRDefault="002D60A5" w:rsidP="002D60A5">
            <w:pPr>
              <w:jc w:val="both"/>
              <w:rPr>
                <w:rFonts w:cs="Arial"/>
                <w:lang w:val="en-US"/>
              </w:rPr>
            </w:pPr>
            <w:r w:rsidRPr="002D60A5">
              <w:rPr>
                <w:rFonts w:cs="Arial"/>
              </w:rPr>
              <w:t>Entry for a period of initial stay up to a maximum of three years.</w:t>
            </w:r>
          </w:p>
          <w:p w14:paraId="58C249D9" w14:textId="77777777" w:rsidR="002D60A5" w:rsidRDefault="002D60A5" w:rsidP="00E633A1">
            <w:pPr>
              <w:rPr>
                <w:rFonts w:cs="Arial"/>
              </w:rPr>
            </w:pPr>
          </w:p>
        </w:tc>
      </w:tr>
      <w:tr w:rsidR="002D60A5" w14:paraId="14BCBCEE" w14:textId="77777777" w:rsidTr="004F0A51">
        <w:tc>
          <w:tcPr>
            <w:tcW w:w="7579" w:type="dxa"/>
            <w:gridSpan w:val="2"/>
          </w:tcPr>
          <w:p w14:paraId="2A658C1B" w14:textId="629911DC" w:rsidR="002D60A5" w:rsidRPr="002D60A5" w:rsidRDefault="002D60A5" w:rsidP="000124AE">
            <w:pPr>
              <w:pStyle w:val="ListParagraph"/>
              <w:numPr>
                <w:ilvl w:val="0"/>
                <w:numId w:val="31"/>
              </w:numPr>
              <w:spacing w:before="60" w:after="60"/>
              <w:ind w:left="720" w:hanging="720"/>
              <w:rPr>
                <w:rFonts w:cs="Arial"/>
                <w:b/>
                <w:bCs/>
              </w:rPr>
            </w:pPr>
            <w:r w:rsidRPr="002D60A5">
              <w:rPr>
                <w:rFonts w:cs="Arial"/>
                <w:b/>
                <w:bCs/>
              </w:rPr>
              <w:lastRenderedPageBreak/>
              <w:t>Installer or Servicer</w:t>
            </w:r>
          </w:p>
        </w:tc>
      </w:tr>
      <w:tr w:rsidR="002D60A5" w14:paraId="4930F711" w14:textId="77777777" w:rsidTr="004F0A51">
        <w:tc>
          <w:tcPr>
            <w:tcW w:w="3870" w:type="dxa"/>
          </w:tcPr>
          <w:p w14:paraId="3774F9D2" w14:textId="77777777" w:rsidR="002D60A5" w:rsidRPr="002D60A5" w:rsidRDefault="002D60A5" w:rsidP="002D60A5">
            <w:pPr>
              <w:tabs>
                <w:tab w:val="left" w:pos="930"/>
              </w:tabs>
              <w:jc w:val="both"/>
              <w:rPr>
                <w:rFonts w:cs="Arial"/>
                <w:u w:val="single"/>
              </w:rPr>
            </w:pPr>
            <w:r w:rsidRPr="002D60A5">
              <w:rPr>
                <w:rFonts w:cs="Arial"/>
                <w:u w:val="single"/>
              </w:rPr>
              <w:t>Definition:</w:t>
            </w:r>
          </w:p>
          <w:p w14:paraId="1DA0B91E" w14:textId="77777777" w:rsidR="002D60A5" w:rsidRPr="002D60A5" w:rsidRDefault="002D60A5" w:rsidP="002D60A5">
            <w:pPr>
              <w:tabs>
                <w:tab w:val="left" w:pos="930"/>
              </w:tabs>
              <w:jc w:val="both"/>
              <w:rPr>
                <w:rFonts w:cs="Arial"/>
              </w:rPr>
            </w:pPr>
            <w:r w:rsidRPr="002D60A5">
              <w:rPr>
                <w:rFonts w:cs="Arial"/>
              </w:rPr>
              <w:t>A natural person of another Party who is an installer or servicer of machinery or equipment, where such installation or servicing by the supplying company is a condition of purchase of the said machinery or equipment. An installer or servicer cannot perform services which are not related to the service activity which is the subject of the contract.</w:t>
            </w:r>
          </w:p>
          <w:p w14:paraId="27A8B720" w14:textId="659C9F54" w:rsidR="002D60A5" w:rsidRDefault="002D60A5" w:rsidP="002D60A5">
            <w:pPr>
              <w:tabs>
                <w:tab w:val="left" w:pos="930"/>
              </w:tabs>
              <w:rPr>
                <w:rFonts w:cs="Arial"/>
              </w:rPr>
            </w:pPr>
          </w:p>
        </w:tc>
        <w:tc>
          <w:tcPr>
            <w:tcW w:w="3709" w:type="dxa"/>
          </w:tcPr>
          <w:p w14:paraId="0E86171A" w14:textId="1DFDD9E9" w:rsidR="002D60A5" w:rsidRDefault="002D60A5" w:rsidP="00E633A1">
            <w:pPr>
              <w:rPr>
                <w:rFonts w:cs="Arial"/>
              </w:rPr>
            </w:pPr>
            <w:r w:rsidRPr="009C111E">
              <w:rPr>
                <w:rFonts w:cs="Arial"/>
              </w:rPr>
              <w:t xml:space="preserve">Entry for periods not exceeding three months in any </w:t>
            </w:r>
            <w:r>
              <w:rPr>
                <w:rFonts w:cs="Arial"/>
              </w:rPr>
              <w:t>12</w:t>
            </w:r>
            <w:r w:rsidRPr="009C111E">
              <w:rPr>
                <w:rFonts w:cs="Arial"/>
              </w:rPr>
              <w:t>-month period.</w:t>
            </w:r>
          </w:p>
        </w:tc>
      </w:tr>
    </w:tbl>
    <w:p w14:paraId="40172514" w14:textId="77777777" w:rsidR="004F0A51" w:rsidRDefault="004F0A51">
      <w:r>
        <w:br w:type="page"/>
      </w:r>
    </w:p>
    <w:tbl>
      <w:tblPr>
        <w:tblStyle w:val="TableGrid"/>
        <w:tblW w:w="0" w:type="auto"/>
        <w:tblLook w:val="04A0" w:firstRow="1" w:lastRow="0" w:firstColumn="1" w:lastColumn="0" w:noHBand="0" w:noVBand="1"/>
      </w:tblPr>
      <w:tblGrid>
        <w:gridCol w:w="3870"/>
        <w:gridCol w:w="3709"/>
      </w:tblGrid>
      <w:tr w:rsidR="002D60A5" w14:paraId="28BB87CD" w14:textId="77777777" w:rsidTr="004F0A51">
        <w:tc>
          <w:tcPr>
            <w:tcW w:w="7579" w:type="dxa"/>
            <w:gridSpan w:val="2"/>
          </w:tcPr>
          <w:p w14:paraId="21FAAC95" w14:textId="00D9D6EE" w:rsidR="002D60A5" w:rsidRDefault="002D60A5" w:rsidP="000124AE">
            <w:pPr>
              <w:pStyle w:val="ListParagraph"/>
              <w:numPr>
                <w:ilvl w:val="0"/>
                <w:numId w:val="31"/>
              </w:numPr>
              <w:spacing w:before="60" w:after="60"/>
              <w:ind w:left="720" w:hanging="720"/>
              <w:rPr>
                <w:rFonts w:cs="Arial"/>
              </w:rPr>
            </w:pPr>
            <w:r w:rsidRPr="009C111E">
              <w:rPr>
                <w:rFonts w:cs="Arial"/>
                <w:b/>
                <w:bCs/>
              </w:rPr>
              <w:lastRenderedPageBreak/>
              <w:t>Independent Service Supplier</w:t>
            </w:r>
          </w:p>
        </w:tc>
      </w:tr>
      <w:tr w:rsidR="002D60A5" w14:paraId="29CE070B" w14:textId="77777777" w:rsidTr="004F0A51">
        <w:tc>
          <w:tcPr>
            <w:tcW w:w="3870" w:type="dxa"/>
          </w:tcPr>
          <w:p w14:paraId="687BC193" w14:textId="77777777" w:rsidR="002D60A5" w:rsidRPr="002D60A5" w:rsidRDefault="002D60A5" w:rsidP="002D60A5">
            <w:pPr>
              <w:jc w:val="both"/>
              <w:rPr>
                <w:rFonts w:cs="Arial"/>
                <w:u w:val="single"/>
              </w:rPr>
            </w:pPr>
            <w:r w:rsidRPr="002D60A5">
              <w:rPr>
                <w:rFonts w:cs="Arial"/>
                <w:u w:val="single"/>
              </w:rPr>
              <w:t>Definition:</w:t>
            </w:r>
          </w:p>
          <w:p w14:paraId="0A989925" w14:textId="755A9B1A" w:rsidR="002D60A5" w:rsidRPr="002D60A5" w:rsidRDefault="002D60A5" w:rsidP="001B7AC3">
            <w:pPr>
              <w:jc w:val="both"/>
              <w:rPr>
                <w:rFonts w:cs="Arial"/>
              </w:rPr>
            </w:pPr>
            <w:r w:rsidRPr="002D60A5">
              <w:rPr>
                <w:rFonts w:cs="Arial"/>
              </w:rPr>
              <w:t>A self-employed services supplier working on a contractual basis, without a requirement for</w:t>
            </w:r>
            <w:r w:rsidR="004F0A51">
              <w:rPr>
                <w:rFonts w:cs="Arial"/>
              </w:rPr>
              <w:t xml:space="preserve"> </w:t>
            </w:r>
            <w:r w:rsidRPr="002D60A5">
              <w:rPr>
                <w:rFonts w:cs="Arial"/>
              </w:rPr>
              <w:t>commercial presence.</w:t>
            </w:r>
          </w:p>
          <w:p w14:paraId="1B37E5E7" w14:textId="77777777" w:rsidR="002D60A5" w:rsidRPr="002D60A5" w:rsidRDefault="002D60A5" w:rsidP="001B7AC3">
            <w:pPr>
              <w:jc w:val="both"/>
              <w:rPr>
                <w:rFonts w:cs="Arial"/>
              </w:rPr>
            </w:pPr>
          </w:p>
          <w:p w14:paraId="4A7B9101" w14:textId="77777777" w:rsidR="002D60A5" w:rsidRPr="002D60A5" w:rsidRDefault="002D60A5" w:rsidP="001B7AC3">
            <w:pPr>
              <w:jc w:val="both"/>
              <w:rPr>
                <w:rFonts w:cs="Arial"/>
              </w:rPr>
            </w:pPr>
            <w:r w:rsidRPr="002D60A5">
              <w:rPr>
                <w:rFonts w:cs="Arial"/>
              </w:rPr>
              <w:t>In the following category only:</w:t>
            </w:r>
          </w:p>
          <w:p w14:paraId="0176B526" w14:textId="77777777" w:rsidR="002D60A5" w:rsidRPr="002D60A5" w:rsidRDefault="002D60A5" w:rsidP="001B7AC3">
            <w:pPr>
              <w:jc w:val="both"/>
              <w:rPr>
                <w:rFonts w:cs="Arial"/>
              </w:rPr>
            </w:pPr>
          </w:p>
          <w:p w14:paraId="421027DB" w14:textId="77777777" w:rsidR="002D60A5" w:rsidRPr="002D60A5" w:rsidRDefault="002D60A5" w:rsidP="001B7AC3">
            <w:pPr>
              <w:jc w:val="both"/>
              <w:rPr>
                <w:rFonts w:cs="Arial"/>
                <w:b/>
                <w:bCs/>
              </w:rPr>
            </w:pPr>
            <w:r w:rsidRPr="002D60A5">
              <w:rPr>
                <w:rFonts w:cs="Arial"/>
                <w:b/>
                <w:bCs/>
              </w:rPr>
              <w:t>Independent Professional:</w:t>
            </w:r>
          </w:p>
          <w:p w14:paraId="00D5C71E" w14:textId="77777777" w:rsidR="002D60A5" w:rsidRPr="002D60A5" w:rsidRDefault="002D60A5" w:rsidP="001B7AC3">
            <w:pPr>
              <w:jc w:val="both"/>
              <w:rPr>
                <w:rFonts w:cs="Arial"/>
              </w:rPr>
            </w:pPr>
            <w:r w:rsidRPr="002D60A5">
              <w:rPr>
                <w:rFonts w:cs="Arial"/>
                <w:u w:val="single"/>
              </w:rPr>
              <w:t>Definition</w:t>
            </w:r>
            <w:r w:rsidRPr="002D60A5">
              <w:rPr>
                <w:rFonts w:cs="Arial"/>
              </w:rPr>
              <w:t>:</w:t>
            </w:r>
          </w:p>
          <w:p w14:paraId="24447E93" w14:textId="77777777" w:rsidR="002D60A5" w:rsidRPr="002D60A5" w:rsidRDefault="002D60A5" w:rsidP="001B7AC3">
            <w:pPr>
              <w:jc w:val="both"/>
              <w:rPr>
                <w:rFonts w:cs="Arial"/>
              </w:rPr>
            </w:pPr>
            <w:r w:rsidRPr="002D60A5">
              <w:rPr>
                <w:rFonts w:cs="Arial"/>
              </w:rPr>
              <w:t>A self-employed natural person of another Party with advanced technical or professional skills, without the requirement for a commercial presence, working under a valid contract in New Zealand.</w:t>
            </w:r>
          </w:p>
          <w:p w14:paraId="72B89B7A" w14:textId="77777777" w:rsidR="002D60A5" w:rsidRPr="002D60A5" w:rsidRDefault="002D60A5" w:rsidP="001B7AC3">
            <w:pPr>
              <w:jc w:val="both"/>
              <w:rPr>
                <w:rFonts w:cs="Arial"/>
              </w:rPr>
            </w:pPr>
          </w:p>
          <w:p w14:paraId="2F318701" w14:textId="77777777" w:rsidR="002D60A5" w:rsidRPr="002D60A5" w:rsidRDefault="002D60A5" w:rsidP="001B7AC3">
            <w:pPr>
              <w:jc w:val="both"/>
              <w:rPr>
                <w:rFonts w:cs="Arial"/>
              </w:rPr>
            </w:pPr>
            <w:r w:rsidRPr="002D60A5">
              <w:rPr>
                <w:rFonts w:cs="Arial"/>
              </w:rPr>
              <w:t>An independent professional must also have:</w:t>
            </w:r>
          </w:p>
          <w:p w14:paraId="1A14EDFC" w14:textId="77777777" w:rsidR="002D60A5" w:rsidRPr="002D60A5" w:rsidRDefault="002D60A5" w:rsidP="001B7AC3">
            <w:pPr>
              <w:jc w:val="both"/>
              <w:rPr>
                <w:rFonts w:cs="Arial"/>
              </w:rPr>
            </w:pPr>
          </w:p>
          <w:p w14:paraId="2FFA8E00" w14:textId="7F2CDFE2" w:rsidR="002D60A5" w:rsidRPr="002D60A5" w:rsidRDefault="00106FD3" w:rsidP="00AC2016">
            <w:pPr>
              <w:jc w:val="both"/>
            </w:pPr>
            <w:r>
              <w:t xml:space="preserve">(a) </w:t>
            </w:r>
            <w:r w:rsidR="002D60A5" w:rsidRPr="002D60A5">
              <w:t>a qualification resulting from three or more years of formal post-secondary school education leading to a recognised degree or diploma</w:t>
            </w:r>
            <w:r w:rsidR="00881EBE">
              <w:t>;</w:t>
            </w:r>
            <w:r w:rsidR="002D60A5" w:rsidRPr="002D60A5">
              <w:t xml:space="preserve"> and </w:t>
            </w:r>
          </w:p>
          <w:p w14:paraId="3A266B58" w14:textId="77777777" w:rsidR="002D60A5" w:rsidRPr="002D60A5" w:rsidRDefault="002D60A5" w:rsidP="001B7AC3">
            <w:pPr>
              <w:jc w:val="both"/>
              <w:rPr>
                <w:rFonts w:cs="Arial"/>
              </w:rPr>
            </w:pPr>
          </w:p>
          <w:p w14:paraId="6EF0E489" w14:textId="1168EE3C" w:rsidR="002D60A5" w:rsidRPr="002D60A5" w:rsidRDefault="00106FD3" w:rsidP="00AC2016">
            <w:pPr>
              <w:jc w:val="both"/>
              <w:rPr>
                <w:rFonts w:cs="Arial"/>
              </w:rPr>
            </w:pPr>
            <w:r>
              <w:rPr>
                <w:rFonts w:cs="Arial"/>
              </w:rPr>
              <w:t xml:space="preserve">(b) </w:t>
            </w:r>
            <w:r w:rsidR="002D60A5" w:rsidRPr="002D60A5">
              <w:rPr>
                <w:rFonts w:cs="Arial"/>
              </w:rPr>
              <w:t>six or more years of experience.</w:t>
            </w:r>
          </w:p>
          <w:p w14:paraId="2A7C463F" w14:textId="77777777" w:rsidR="002D60A5" w:rsidRPr="002D60A5" w:rsidRDefault="002D60A5" w:rsidP="001B7AC3">
            <w:pPr>
              <w:jc w:val="both"/>
              <w:rPr>
                <w:rFonts w:cs="Arial"/>
              </w:rPr>
            </w:pPr>
          </w:p>
          <w:p w14:paraId="7C9F96B4" w14:textId="612EF8A6" w:rsidR="002D60A5" w:rsidRPr="002D60A5" w:rsidRDefault="002D60A5" w:rsidP="001B7AC3">
            <w:pPr>
              <w:jc w:val="both"/>
              <w:rPr>
                <w:rFonts w:cs="Arial"/>
              </w:rPr>
            </w:pPr>
            <w:r w:rsidRPr="002D60A5">
              <w:rPr>
                <w:rFonts w:cs="Arial"/>
              </w:rPr>
              <w:t>Both (</w:t>
            </w:r>
            <w:r w:rsidR="00106FD3">
              <w:rPr>
                <w:rFonts w:cs="Arial"/>
              </w:rPr>
              <w:t>a</w:t>
            </w:r>
            <w:r w:rsidRPr="002D60A5">
              <w:rPr>
                <w:rFonts w:cs="Arial"/>
              </w:rPr>
              <w:t>) and (</w:t>
            </w:r>
            <w:r w:rsidR="00106FD3">
              <w:rPr>
                <w:rFonts w:cs="Arial"/>
              </w:rPr>
              <w:t>b</w:t>
            </w:r>
            <w:r w:rsidRPr="002D60A5">
              <w:rPr>
                <w:rFonts w:cs="Arial"/>
              </w:rPr>
              <w:t>) must be in the field in which the independent professional wishes to supply his or her professional services.</w:t>
            </w:r>
            <w:r w:rsidRPr="002D60A5">
              <w:rPr>
                <w:rFonts w:cs="Arial"/>
                <w:vertAlign w:val="superscript"/>
              </w:rPr>
              <w:footnoteReference w:id="2"/>
            </w:r>
          </w:p>
          <w:p w14:paraId="7D04C054" w14:textId="77777777" w:rsidR="002D60A5" w:rsidRDefault="002D60A5" w:rsidP="002D60A5">
            <w:pPr>
              <w:jc w:val="both"/>
              <w:rPr>
                <w:rFonts w:cs="Arial"/>
              </w:rPr>
            </w:pPr>
          </w:p>
        </w:tc>
        <w:tc>
          <w:tcPr>
            <w:tcW w:w="3709" w:type="dxa"/>
          </w:tcPr>
          <w:p w14:paraId="3A535419" w14:textId="353936ED" w:rsidR="002D60A5" w:rsidRDefault="002D60A5" w:rsidP="00106FD3">
            <w:pPr>
              <w:jc w:val="both"/>
              <w:rPr>
                <w:rFonts w:cs="Arial"/>
              </w:rPr>
            </w:pPr>
            <w:r w:rsidRPr="002D60A5">
              <w:rPr>
                <w:rFonts w:cs="Arial"/>
              </w:rPr>
              <w:t>In respect of the services sectors set out in Appendix A of New Zealand’s Schedule of Reservations and Non-Conforming Measures for Investment and Services, only and subject to economic needs tests, entry for a period of stay up to a maximum of 12 months.</w:t>
            </w:r>
          </w:p>
        </w:tc>
      </w:tr>
    </w:tbl>
    <w:p w14:paraId="61E9B382" w14:textId="77777777" w:rsidR="009962A9" w:rsidRPr="00031696" w:rsidRDefault="009962A9" w:rsidP="009962A9"/>
    <w:sectPr w:rsidR="009962A9" w:rsidRPr="00031696" w:rsidSect="00FE233F">
      <w:footerReference w:type="default" r:id="rId9"/>
      <w:headerReference w:type="first" r:id="rId10"/>
      <w:pgSz w:w="11909" w:h="16834" w:code="9"/>
      <w:pgMar w:top="2304" w:right="2160" w:bottom="1800" w:left="2160" w:header="720" w:footer="8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451AF" w14:textId="77777777" w:rsidR="00445A05" w:rsidRDefault="00445A05">
      <w:r>
        <w:separator/>
      </w:r>
    </w:p>
  </w:endnote>
  <w:endnote w:type="continuationSeparator" w:id="0">
    <w:p w14:paraId="1F5BCB76" w14:textId="77777777" w:rsidR="00445A05" w:rsidRDefault="00445A05">
      <w:r>
        <w:continuationSeparator/>
      </w:r>
    </w:p>
  </w:endnote>
  <w:endnote w:type="continuationNotice" w:id="1">
    <w:p w14:paraId="527E292C" w14:textId="77777777" w:rsidR="00445A05" w:rsidRDefault="00445A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horzAnchor="page" w:tblpX="4330" w:tblpY="-39"/>
      <w:tblW w:w="0" w:type="auto"/>
      <w:tblLook w:val="04A0" w:firstRow="1" w:lastRow="0" w:firstColumn="1" w:lastColumn="0" w:noHBand="0" w:noVBand="1"/>
    </w:tblPr>
    <w:tblGrid>
      <w:gridCol w:w="4439"/>
    </w:tblGrid>
    <w:tr w:rsidR="00DD54E9" w:rsidRPr="00CF0495" w14:paraId="56A7C1AB" w14:textId="77777777" w:rsidTr="004B70A8">
      <w:trPr>
        <w:trHeight w:val="196"/>
      </w:trPr>
      <w:tc>
        <w:tcPr>
          <w:tcW w:w="4439" w:type="dxa"/>
          <w:tcBorders>
            <w:top w:val="nil"/>
            <w:left w:val="nil"/>
            <w:bottom w:val="nil"/>
            <w:right w:val="nil"/>
          </w:tcBorders>
        </w:tcPr>
        <w:p w14:paraId="4D7683B6" w14:textId="172618E1" w:rsidR="00DD54E9" w:rsidRPr="00CF0495" w:rsidRDefault="00DD54E9" w:rsidP="00DD54E9">
          <w:pPr>
            <w:pStyle w:val="Footer"/>
            <w:tabs>
              <w:tab w:val="clear" w:pos="4320"/>
              <w:tab w:val="clear" w:pos="8640"/>
            </w:tabs>
          </w:pPr>
          <w:r>
            <w:t>A</w:t>
          </w:r>
          <w:r w:rsidR="00500E58">
            <w:t xml:space="preserve">NNEX </w:t>
          </w:r>
          <w:r w:rsidR="00AC2016">
            <w:t>4</w:t>
          </w:r>
          <w:r w:rsidR="00500E58">
            <w:t xml:space="preserve"> – </w:t>
          </w:r>
          <w:r w:rsidR="00512491">
            <w:t>NEW ZEALAND</w:t>
          </w:r>
          <w:r w:rsidR="00500E58">
            <w:t xml:space="preserve"> –</w:t>
          </w:r>
          <w:r>
            <w:t xml:space="preserve"> </w:t>
          </w:r>
          <w:r w:rsidRPr="00CF0495">
            <w:fldChar w:fldCharType="begin"/>
          </w:r>
          <w:r w:rsidRPr="00CF0495">
            <w:instrText xml:space="preserve"> PAGE   \* MERGEFORMAT </w:instrText>
          </w:r>
          <w:r w:rsidRPr="00CF0495">
            <w:fldChar w:fldCharType="separate"/>
          </w:r>
          <w:r w:rsidR="00B067B4">
            <w:rPr>
              <w:noProof/>
            </w:rPr>
            <w:t>4</w:t>
          </w:r>
          <w:r w:rsidRPr="00CF0495">
            <w:rPr>
              <w:noProof/>
            </w:rPr>
            <w:fldChar w:fldCharType="end"/>
          </w:r>
        </w:p>
      </w:tc>
    </w:tr>
  </w:tbl>
  <w:p w14:paraId="57E7E0FE" w14:textId="77777777" w:rsidR="009A4CED" w:rsidRPr="00151B2F" w:rsidRDefault="009A4CED" w:rsidP="00B66C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F1B19" w14:textId="77777777" w:rsidR="00445A05" w:rsidRDefault="00445A05">
      <w:r>
        <w:separator/>
      </w:r>
    </w:p>
  </w:footnote>
  <w:footnote w:type="continuationSeparator" w:id="0">
    <w:p w14:paraId="31A8D687" w14:textId="77777777" w:rsidR="00445A05" w:rsidRDefault="00445A05">
      <w:r>
        <w:continuationSeparator/>
      </w:r>
    </w:p>
  </w:footnote>
  <w:footnote w:type="continuationNotice" w:id="1">
    <w:p w14:paraId="2B60094B" w14:textId="77777777" w:rsidR="00445A05" w:rsidRDefault="00445A05"/>
  </w:footnote>
  <w:footnote w:id="2">
    <w:p w14:paraId="116583F6" w14:textId="2626EC8A" w:rsidR="002D60A5" w:rsidRPr="00C16613" w:rsidRDefault="002D60A5" w:rsidP="004F0A51">
      <w:pPr>
        <w:adjustRightInd w:val="0"/>
        <w:jc w:val="both"/>
        <w:rPr>
          <w:rFonts w:cs="Arial"/>
          <w:sz w:val="16"/>
          <w:szCs w:val="16"/>
        </w:rPr>
      </w:pPr>
      <w:r w:rsidRPr="00C16613">
        <w:rPr>
          <w:rStyle w:val="FootnoteReference"/>
          <w:rFonts w:cs="Arial"/>
          <w:sz w:val="16"/>
          <w:szCs w:val="16"/>
          <w:vertAlign w:val="superscript"/>
        </w:rPr>
        <w:footnoteRef/>
      </w:r>
      <w:r w:rsidRPr="00C16613">
        <w:rPr>
          <w:rFonts w:cs="Arial"/>
          <w:sz w:val="16"/>
          <w:szCs w:val="16"/>
        </w:rPr>
        <w:t xml:space="preserve"> </w:t>
      </w:r>
      <w:r w:rsidR="00AC2016" w:rsidRPr="00C16613">
        <w:rPr>
          <w:rFonts w:cs="Arial"/>
          <w:sz w:val="16"/>
          <w:szCs w:val="16"/>
        </w:rPr>
        <w:t xml:space="preserve"> </w:t>
      </w:r>
      <w:r w:rsidRPr="00C16613">
        <w:rPr>
          <w:rFonts w:cs="Arial"/>
          <w:sz w:val="16"/>
          <w:szCs w:val="16"/>
        </w:rPr>
        <w:t>These qualifications must be recognised by the appropriate New Zealand authority where under New Zealand law such recognition is a condition of the provision of that service in New Zealand.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CDC9D" w14:textId="77777777" w:rsidR="009A4CED" w:rsidRDefault="009A4CED" w:rsidP="009A4CED">
    <w:pPr>
      <w:tabs>
        <w:tab w:val="center" w:pos="6979"/>
      </w:tabs>
      <w:suppressAutoHyphens/>
      <w:jc w:val="center"/>
      <w:rPr>
        <w:rFonts w:cs="Arial"/>
        <w:b/>
        <w:bCs/>
      </w:rPr>
    </w:pPr>
  </w:p>
  <w:p w14:paraId="08085E90" w14:textId="77777777" w:rsidR="009A4CED" w:rsidRPr="00786242" w:rsidRDefault="009A4CED" w:rsidP="00E633A1">
    <w:pPr>
      <w:pStyle w:val="Heading1"/>
    </w:pPr>
    <w:r w:rsidRPr="00786242">
      <w:t xml:space="preserve">BRUNEI DARUSSALAM – SCHEDULE </w:t>
    </w:r>
    <w:proofErr w:type="gramStart"/>
    <w:r w:rsidRPr="00786242">
      <w:t>OF  COMMITMENTS</w:t>
    </w:r>
    <w:proofErr w:type="gramEnd"/>
  </w:p>
  <w:p w14:paraId="44206087" w14:textId="77777777" w:rsidR="009A4CED" w:rsidRDefault="009A4CED" w:rsidP="009A4CED"/>
  <w:p w14:paraId="2923E6F2" w14:textId="77777777" w:rsidR="009A4CED" w:rsidRDefault="009A4CED" w:rsidP="009A4CED">
    <w:pPr>
      <w:pStyle w:val="Centered"/>
    </w:pPr>
    <w:r>
      <w:t>For the 6</w:t>
    </w:r>
    <w:r w:rsidRPr="00FF3795">
      <w:rPr>
        <w:vertAlign w:val="superscript"/>
      </w:rPr>
      <w:t>th</w:t>
    </w:r>
    <w:r>
      <w:t xml:space="preserve"> Package of Commitments under ASEAN Framework Agreement on Services</w:t>
    </w:r>
  </w:p>
  <w:p w14:paraId="615FABD4" w14:textId="77777777" w:rsidR="009A4CED" w:rsidRDefault="009A4CED" w:rsidP="009A4CED">
    <w:pPr>
      <w:pStyle w:val="Header"/>
      <w:tabs>
        <w:tab w:val="clear" w:pos="4320"/>
        <w:tab w:val="clear" w:pos="8640"/>
      </w:tabs>
    </w:pPr>
  </w:p>
  <w:p w14:paraId="2E4FBCA8" w14:textId="6E4102F0" w:rsidR="009A4CED" w:rsidRPr="00FF3795" w:rsidRDefault="009A4CED" w:rsidP="009A4CED">
    <w:pPr>
      <w:pStyle w:val="Header"/>
      <w:tabs>
        <w:tab w:val="clear" w:pos="4320"/>
        <w:tab w:val="clear" w:pos="8640"/>
      </w:tabs>
    </w:pPr>
    <w:r w:rsidRPr="00FF3795">
      <w:t>Modes of Supply:</w:t>
    </w:r>
    <w:r>
      <w:t xml:space="preserve">  </w:t>
    </w:r>
    <w:r w:rsidRPr="00FF3795">
      <w:tab/>
      <w:t>1) Cross-border supply</w:t>
    </w:r>
    <w:r>
      <w:t xml:space="preserve">   </w:t>
    </w:r>
    <w:r w:rsidRPr="00FF3795">
      <w:tab/>
      <w:t xml:space="preserve">2) Consumption </w:t>
    </w:r>
    <w:r w:rsidR="000B0F17">
      <w:t>abroad</w:t>
    </w:r>
    <w:r>
      <w:t xml:space="preserve">  </w:t>
    </w:r>
    <w:r w:rsidRPr="00FF3795">
      <w:tab/>
      <w:t>3) Commercial presence</w:t>
    </w:r>
    <w:r>
      <w:t xml:space="preserve">  </w:t>
    </w:r>
    <w:r w:rsidRPr="00FF3795">
      <w:tab/>
      <w:t>4) Presence of natural persons</w:t>
    </w:r>
  </w:p>
  <w:p w14:paraId="44054E4D" w14:textId="77777777" w:rsidR="009A4CED" w:rsidRDefault="009A4CED" w:rsidP="009A4CED">
    <w:pPr>
      <w:pStyle w:val="Header"/>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8"/>
      <w:gridCol w:w="4020"/>
      <w:gridCol w:w="4020"/>
      <w:gridCol w:w="2542"/>
    </w:tblGrid>
    <w:tr w:rsidR="009A4CED" w:rsidRPr="00E62199" w14:paraId="23FD92C4" w14:textId="77777777" w:rsidTr="009A4CED">
      <w:trPr>
        <w:tblHeader/>
      </w:trPr>
      <w:tc>
        <w:tcPr>
          <w:tcW w:w="3588" w:type="dxa"/>
          <w:tcBorders>
            <w:bottom w:val="single" w:sz="4" w:space="0" w:color="auto"/>
          </w:tcBorders>
          <w:shd w:val="clear" w:color="auto" w:fill="auto"/>
          <w:vAlign w:val="center"/>
        </w:tcPr>
        <w:p w14:paraId="1A99AE93" w14:textId="77777777" w:rsidR="009A4CED" w:rsidRPr="005E7882" w:rsidRDefault="009A4CED" w:rsidP="00E633A1">
          <w:pPr>
            <w:pStyle w:val="Heading1"/>
            <w:rPr>
              <w:rFonts w:eastAsia="SimSun"/>
            </w:rPr>
          </w:pPr>
          <w:r w:rsidRPr="005E7882">
            <w:rPr>
              <w:rFonts w:eastAsia="SimSun"/>
            </w:rPr>
            <w:t>Sector or Subsector</w:t>
          </w:r>
        </w:p>
      </w:tc>
      <w:tc>
        <w:tcPr>
          <w:tcW w:w="4020" w:type="dxa"/>
          <w:tcBorders>
            <w:bottom w:val="single" w:sz="4" w:space="0" w:color="auto"/>
          </w:tcBorders>
          <w:shd w:val="clear" w:color="auto" w:fill="auto"/>
          <w:vAlign w:val="center"/>
        </w:tcPr>
        <w:p w14:paraId="14CB05A3" w14:textId="77777777" w:rsidR="009A4CED" w:rsidRPr="005E7882" w:rsidRDefault="009A4CED" w:rsidP="00E633A1">
          <w:pPr>
            <w:pStyle w:val="Heading1"/>
            <w:rPr>
              <w:rFonts w:eastAsia="SimSun"/>
            </w:rPr>
          </w:pPr>
          <w:r w:rsidRPr="005E7882">
            <w:rPr>
              <w:rFonts w:eastAsia="SimSun"/>
            </w:rPr>
            <w:t>Limitation on</w:t>
          </w:r>
        </w:p>
        <w:p w14:paraId="4BA3F596" w14:textId="77777777" w:rsidR="009A4CED" w:rsidRPr="005E7882" w:rsidRDefault="009A4CED" w:rsidP="00E633A1">
          <w:pPr>
            <w:pStyle w:val="Heading1"/>
            <w:rPr>
              <w:rFonts w:eastAsia="SimSun"/>
            </w:rPr>
          </w:pPr>
          <w:r w:rsidRPr="005E7882">
            <w:rPr>
              <w:rFonts w:eastAsia="SimSun"/>
            </w:rPr>
            <w:t>Market Access</w:t>
          </w:r>
        </w:p>
      </w:tc>
      <w:tc>
        <w:tcPr>
          <w:tcW w:w="4020" w:type="dxa"/>
          <w:tcBorders>
            <w:bottom w:val="single" w:sz="4" w:space="0" w:color="auto"/>
          </w:tcBorders>
          <w:shd w:val="clear" w:color="auto" w:fill="auto"/>
          <w:vAlign w:val="center"/>
        </w:tcPr>
        <w:p w14:paraId="6C115E3F" w14:textId="77777777" w:rsidR="009A4CED" w:rsidRPr="005E7882" w:rsidRDefault="009A4CED" w:rsidP="00E633A1">
          <w:pPr>
            <w:pStyle w:val="Heading1"/>
            <w:rPr>
              <w:rFonts w:eastAsia="SimSun"/>
            </w:rPr>
          </w:pPr>
          <w:r w:rsidRPr="005E7882">
            <w:rPr>
              <w:rFonts w:eastAsia="SimSun"/>
            </w:rPr>
            <w:t>Limitation on</w:t>
          </w:r>
        </w:p>
        <w:p w14:paraId="71598029" w14:textId="77777777" w:rsidR="009A4CED" w:rsidRPr="005E7882" w:rsidRDefault="009A4CED" w:rsidP="00E633A1">
          <w:pPr>
            <w:pStyle w:val="Heading1"/>
            <w:rPr>
              <w:rFonts w:eastAsia="SimSun"/>
            </w:rPr>
          </w:pPr>
          <w:r w:rsidRPr="005E7882">
            <w:rPr>
              <w:rFonts w:eastAsia="SimSun"/>
            </w:rPr>
            <w:t>National Treatment</w:t>
          </w:r>
        </w:p>
      </w:tc>
      <w:tc>
        <w:tcPr>
          <w:tcW w:w="2542" w:type="dxa"/>
          <w:shd w:val="clear" w:color="auto" w:fill="auto"/>
          <w:vAlign w:val="center"/>
        </w:tcPr>
        <w:p w14:paraId="119686AE" w14:textId="77777777" w:rsidR="009A4CED" w:rsidRPr="005E7882" w:rsidRDefault="009A4CED" w:rsidP="00E633A1">
          <w:pPr>
            <w:pStyle w:val="Heading1"/>
            <w:rPr>
              <w:rFonts w:eastAsia="SimSun"/>
            </w:rPr>
          </w:pPr>
          <w:r w:rsidRPr="005E7882">
            <w:rPr>
              <w:rFonts w:eastAsia="SimSun"/>
            </w:rPr>
            <w:t>Additional</w:t>
          </w:r>
        </w:p>
        <w:p w14:paraId="56B97656" w14:textId="77777777" w:rsidR="009A4CED" w:rsidRPr="005E7882" w:rsidRDefault="009A4CED" w:rsidP="00E633A1">
          <w:pPr>
            <w:pStyle w:val="Heading1"/>
            <w:rPr>
              <w:rFonts w:eastAsia="SimSun"/>
            </w:rPr>
          </w:pPr>
          <w:r w:rsidRPr="005E7882">
            <w:rPr>
              <w:rFonts w:eastAsia="SimSun"/>
            </w:rPr>
            <w:t>Commitments</w:t>
          </w:r>
        </w:p>
      </w:tc>
    </w:tr>
  </w:tbl>
  <w:p w14:paraId="51F434A8" w14:textId="77777777" w:rsidR="009A4CED" w:rsidRPr="00284DCE" w:rsidRDefault="009A4CED" w:rsidP="009A4CED">
    <w:pPr>
      <w:pStyle w:val="Header"/>
      <w:tabs>
        <w:tab w:val="clear" w:pos="4320"/>
        <w:tab w:val="clear" w:pos="8640"/>
      </w:tabs>
      <w:rPr>
        <w:sz w:val="2"/>
      </w:rPr>
    </w:pPr>
  </w:p>
  <w:p w14:paraId="2094E780" w14:textId="77777777" w:rsidR="009A4CED" w:rsidRPr="005F4E7E" w:rsidRDefault="009A4CED" w:rsidP="009A4CED">
    <w:pPr>
      <w:tabs>
        <w:tab w:val="center" w:pos="6979"/>
      </w:tabs>
      <w:suppressAutoHyphens/>
      <w:jc w:val="center"/>
      <w:rPr>
        <w:rFonts w:cs="Arial"/>
        <w:sz w:val="2"/>
      </w:rPr>
    </w:pPr>
  </w:p>
  <w:p w14:paraId="0B81E482" w14:textId="77777777" w:rsidR="009A4CED" w:rsidRPr="005F4E7E" w:rsidRDefault="009A4CED">
    <w:pP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A5902"/>
    <w:multiLevelType w:val="hybridMultilevel"/>
    <w:tmpl w:val="9AF2BFA0"/>
    <w:lvl w:ilvl="0" w:tplc="D31A1E88">
      <w:start w:val="1"/>
      <w:numFmt w:val="upperLetter"/>
      <w:lvlText w:val="%1."/>
      <w:lvlJc w:val="left"/>
      <w:pPr>
        <w:ind w:left="360" w:hanging="360"/>
      </w:pPr>
      <w:rPr>
        <w:b/>
        <w:bCs/>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 w15:restartNumberingAfterBreak="0">
    <w:nsid w:val="13E61935"/>
    <w:multiLevelType w:val="hybridMultilevel"/>
    <w:tmpl w:val="613A8D6A"/>
    <w:lvl w:ilvl="0" w:tplc="D1962668">
      <w:start w:val="1"/>
      <w:numFmt w:val="lowerLetter"/>
      <w:lvlText w:val="(%1)"/>
      <w:lvlJc w:val="left"/>
      <w:pPr>
        <w:ind w:left="720" w:hanging="360"/>
      </w:pPr>
      <w:rPr>
        <w:rFonts w:ascii="Arial" w:hAnsi="Arial" w:cs="Arial"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A0A3363"/>
    <w:multiLevelType w:val="hybridMultilevel"/>
    <w:tmpl w:val="1A1A9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DB62B3"/>
    <w:multiLevelType w:val="hybridMultilevel"/>
    <w:tmpl w:val="28522D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304BB3"/>
    <w:multiLevelType w:val="hybridMultilevel"/>
    <w:tmpl w:val="12D60F78"/>
    <w:lvl w:ilvl="0" w:tplc="6E4E2D66">
      <w:start w:val="1"/>
      <w:numFmt w:val="lowerRoman"/>
      <w:lvlText w:val="(%1)"/>
      <w:lvlJc w:val="left"/>
      <w:pPr>
        <w:tabs>
          <w:tab w:val="num" w:pos="397"/>
        </w:tabs>
        <w:ind w:left="397" w:hanging="397"/>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CB13BE9"/>
    <w:multiLevelType w:val="hybridMultilevel"/>
    <w:tmpl w:val="27B4B0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0C66130"/>
    <w:multiLevelType w:val="hybridMultilevel"/>
    <w:tmpl w:val="37A2BB6E"/>
    <w:lvl w:ilvl="0" w:tplc="99225A72">
      <w:start w:val="1"/>
      <w:numFmt w:val="lowerRoman"/>
      <w:lvlText w:val="(%1)"/>
      <w:lvlJc w:val="left"/>
      <w:pPr>
        <w:ind w:left="1080" w:hanging="720"/>
      </w:pPr>
      <w:rPr>
        <w:rFonts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C21137"/>
    <w:multiLevelType w:val="hybridMultilevel"/>
    <w:tmpl w:val="1B4ECD88"/>
    <w:lvl w:ilvl="0" w:tplc="7C368764">
      <w:start w:val="1"/>
      <w:numFmt w:val="upperLetter"/>
      <w:lvlText w:val="%1."/>
      <w:lvlJc w:val="left"/>
      <w:pPr>
        <w:ind w:left="720" w:hanging="360"/>
      </w:pPr>
    </w:lvl>
    <w:lvl w:ilvl="1" w:tplc="B192AD84">
      <w:start w:val="1"/>
      <w:numFmt w:val="lowerLetter"/>
      <w:lvlText w:val="%2."/>
      <w:lvlJc w:val="left"/>
      <w:pPr>
        <w:ind w:left="1440" w:hanging="360"/>
      </w:pPr>
    </w:lvl>
    <w:lvl w:ilvl="2" w:tplc="4F2CE008">
      <w:start w:val="1"/>
      <w:numFmt w:val="lowerRoman"/>
      <w:lvlText w:val="%3."/>
      <w:lvlJc w:val="right"/>
      <w:pPr>
        <w:ind w:left="2160" w:hanging="180"/>
      </w:pPr>
    </w:lvl>
    <w:lvl w:ilvl="3" w:tplc="2CA8A9EE">
      <w:start w:val="1"/>
      <w:numFmt w:val="decimal"/>
      <w:lvlText w:val="%4."/>
      <w:lvlJc w:val="left"/>
      <w:pPr>
        <w:ind w:left="2880" w:hanging="360"/>
      </w:pPr>
    </w:lvl>
    <w:lvl w:ilvl="4" w:tplc="C1160AE0">
      <w:start w:val="1"/>
      <w:numFmt w:val="lowerLetter"/>
      <w:lvlText w:val="%5."/>
      <w:lvlJc w:val="left"/>
      <w:pPr>
        <w:ind w:left="3600" w:hanging="360"/>
      </w:pPr>
    </w:lvl>
    <w:lvl w:ilvl="5" w:tplc="846CB37E">
      <w:start w:val="1"/>
      <w:numFmt w:val="lowerRoman"/>
      <w:lvlText w:val="%6."/>
      <w:lvlJc w:val="right"/>
      <w:pPr>
        <w:ind w:left="4320" w:hanging="180"/>
      </w:pPr>
    </w:lvl>
    <w:lvl w:ilvl="6" w:tplc="7EE81DB6">
      <w:start w:val="1"/>
      <w:numFmt w:val="decimal"/>
      <w:lvlText w:val="%7."/>
      <w:lvlJc w:val="left"/>
      <w:pPr>
        <w:ind w:left="5040" w:hanging="360"/>
      </w:pPr>
    </w:lvl>
    <w:lvl w:ilvl="7" w:tplc="4E660CE6">
      <w:start w:val="1"/>
      <w:numFmt w:val="lowerLetter"/>
      <w:lvlText w:val="%8."/>
      <w:lvlJc w:val="left"/>
      <w:pPr>
        <w:ind w:left="5760" w:hanging="360"/>
      </w:pPr>
    </w:lvl>
    <w:lvl w:ilvl="8" w:tplc="103C3C88">
      <w:start w:val="1"/>
      <w:numFmt w:val="lowerRoman"/>
      <w:lvlText w:val="%9."/>
      <w:lvlJc w:val="right"/>
      <w:pPr>
        <w:ind w:left="6480" w:hanging="180"/>
      </w:pPr>
    </w:lvl>
  </w:abstractNum>
  <w:abstractNum w:abstractNumId="8" w15:restartNumberingAfterBreak="0">
    <w:nsid w:val="36087F96"/>
    <w:multiLevelType w:val="hybridMultilevel"/>
    <w:tmpl w:val="B54E0A7C"/>
    <w:lvl w:ilvl="0" w:tplc="0C6CDE0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8FD03F7"/>
    <w:multiLevelType w:val="hybridMultilevel"/>
    <w:tmpl w:val="75AA831E"/>
    <w:lvl w:ilvl="0" w:tplc="DCBEEE46">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9856601"/>
    <w:multiLevelType w:val="hybridMultilevel"/>
    <w:tmpl w:val="2410BE94"/>
    <w:lvl w:ilvl="0" w:tplc="D1962668">
      <w:start w:val="1"/>
      <w:numFmt w:val="lowerLetter"/>
      <w:lvlText w:val="(%1)"/>
      <w:lvlJc w:val="left"/>
      <w:pPr>
        <w:ind w:left="720" w:hanging="360"/>
      </w:pPr>
      <w:rPr>
        <w:rFonts w:ascii="Arial" w:hAnsi="Arial" w:cs="Arial"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3B2654A6"/>
    <w:multiLevelType w:val="hybridMultilevel"/>
    <w:tmpl w:val="E2A8C42A"/>
    <w:lvl w:ilvl="0" w:tplc="38185F3C">
      <w:start w:val="1"/>
      <w:numFmt w:val="bullet"/>
      <w:pStyle w:val="Bullet1"/>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04E331A"/>
    <w:multiLevelType w:val="hybridMultilevel"/>
    <w:tmpl w:val="55E8FD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654A6F"/>
    <w:multiLevelType w:val="multilevel"/>
    <w:tmpl w:val="DFFECEB4"/>
    <w:lvl w:ilvl="0">
      <w:start w:val="1"/>
      <w:numFmt w:val="decimal"/>
      <w:pStyle w:val="NumberedLis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6EB5979"/>
    <w:multiLevelType w:val="hybridMultilevel"/>
    <w:tmpl w:val="8334C3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8F6513"/>
    <w:multiLevelType w:val="hybridMultilevel"/>
    <w:tmpl w:val="28522D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F8632D"/>
    <w:multiLevelType w:val="hybridMultilevel"/>
    <w:tmpl w:val="843443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061374"/>
    <w:multiLevelType w:val="hybridMultilevel"/>
    <w:tmpl w:val="E9C849E2"/>
    <w:lvl w:ilvl="0" w:tplc="9AD08828">
      <w:start w:val="1"/>
      <w:numFmt w:val="lowerRoman"/>
      <w:lvlText w:val="(%1)"/>
      <w:lvlJc w:val="left"/>
      <w:pPr>
        <w:tabs>
          <w:tab w:val="num" w:pos="397"/>
        </w:tabs>
        <w:ind w:left="397" w:hanging="397"/>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EE26A48"/>
    <w:multiLevelType w:val="hybridMultilevel"/>
    <w:tmpl w:val="31C607E2"/>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11A2052"/>
    <w:multiLevelType w:val="hybridMultilevel"/>
    <w:tmpl w:val="B88458F6"/>
    <w:lvl w:ilvl="0" w:tplc="7CBCC3BC">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54CE2D8C"/>
    <w:multiLevelType w:val="hybridMultilevel"/>
    <w:tmpl w:val="B7FCBA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B3E14B3"/>
    <w:multiLevelType w:val="hybridMultilevel"/>
    <w:tmpl w:val="843443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4C2C98"/>
    <w:multiLevelType w:val="hybridMultilevel"/>
    <w:tmpl w:val="843443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9571CF"/>
    <w:multiLevelType w:val="hybridMultilevel"/>
    <w:tmpl w:val="28522D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BE1AE8"/>
    <w:multiLevelType w:val="hybridMultilevel"/>
    <w:tmpl w:val="887434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3BE2144"/>
    <w:multiLevelType w:val="hybridMultilevel"/>
    <w:tmpl w:val="4210C0B0"/>
    <w:lvl w:ilvl="0" w:tplc="CE4CBC10">
      <w:start w:val="1"/>
      <w:numFmt w:val="lowerRoman"/>
      <w:pStyle w:val="NumberedList1"/>
      <w:lvlText w:val="(%1)"/>
      <w:lvlJc w:val="left"/>
      <w:pPr>
        <w:tabs>
          <w:tab w:val="num" w:pos="397"/>
        </w:tabs>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C022D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10217758">
    <w:abstractNumId w:val="7"/>
  </w:num>
  <w:num w:numId="2" w16cid:durableId="1462769658">
    <w:abstractNumId w:val="9"/>
  </w:num>
  <w:num w:numId="3" w16cid:durableId="329135938">
    <w:abstractNumId w:val="8"/>
  </w:num>
  <w:num w:numId="4" w16cid:durableId="1267034428">
    <w:abstractNumId w:val="24"/>
  </w:num>
  <w:num w:numId="5" w16cid:durableId="1643922372">
    <w:abstractNumId w:val="18"/>
  </w:num>
  <w:num w:numId="6" w16cid:durableId="28339414">
    <w:abstractNumId w:val="13"/>
  </w:num>
  <w:num w:numId="7" w16cid:durableId="909273879">
    <w:abstractNumId w:val="14"/>
  </w:num>
  <w:num w:numId="8" w16cid:durableId="467164746">
    <w:abstractNumId w:val="2"/>
  </w:num>
  <w:num w:numId="9" w16cid:durableId="1834905295">
    <w:abstractNumId w:val="26"/>
  </w:num>
  <w:num w:numId="10" w16cid:durableId="1341545296">
    <w:abstractNumId w:val="11"/>
  </w:num>
  <w:num w:numId="11" w16cid:durableId="8918926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71162468">
    <w:abstractNumId w:val="5"/>
  </w:num>
  <w:num w:numId="13" w16cid:durableId="1601911575">
    <w:abstractNumId w:val="13"/>
  </w:num>
  <w:num w:numId="14" w16cid:durableId="872378457">
    <w:abstractNumId w:val="20"/>
  </w:num>
  <w:num w:numId="15" w16cid:durableId="1172334738">
    <w:abstractNumId w:val="3"/>
  </w:num>
  <w:num w:numId="16" w16cid:durableId="1669399803">
    <w:abstractNumId w:val="16"/>
  </w:num>
  <w:num w:numId="17" w16cid:durableId="2069915913">
    <w:abstractNumId w:val="15"/>
  </w:num>
  <w:num w:numId="18" w16cid:durableId="624316871">
    <w:abstractNumId w:val="22"/>
  </w:num>
  <w:num w:numId="19" w16cid:durableId="1176001174">
    <w:abstractNumId w:val="23"/>
  </w:num>
  <w:num w:numId="20" w16cid:durableId="521210358">
    <w:abstractNumId w:val="21"/>
  </w:num>
  <w:num w:numId="21" w16cid:durableId="1754819383">
    <w:abstractNumId w:val="19"/>
  </w:num>
  <w:num w:numId="22" w16cid:durableId="659042419">
    <w:abstractNumId w:val="12"/>
  </w:num>
  <w:num w:numId="23" w16cid:durableId="1967805996">
    <w:abstractNumId w:val="25"/>
  </w:num>
  <w:num w:numId="24" w16cid:durableId="310602386">
    <w:abstractNumId w:val="25"/>
    <w:lvlOverride w:ilvl="0">
      <w:startOverride w:val="1"/>
    </w:lvlOverride>
  </w:num>
  <w:num w:numId="25" w16cid:durableId="1761176528">
    <w:abstractNumId w:val="25"/>
    <w:lvlOverride w:ilvl="0">
      <w:startOverride w:val="1"/>
    </w:lvlOverride>
  </w:num>
  <w:num w:numId="26" w16cid:durableId="989095818">
    <w:abstractNumId w:val="4"/>
  </w:num>
  <w:num w:numId="27" w16cid:durableId="2039116424">
    <w:abstractNumId w:val="17"/>
  </w:num>
  <w:num w:numId="28" w16cid:durableId="628705268">
    <w:abstractNumId w:val="6"/>
  </w:num>
  <w:num w:numId="29" w16cid:durableId="2070761346">
    <w:abstractNumId w:val="10"/>
  </w:num>
  <w:num w:numId="30" w16cid:durableId="1288273729">
    <w:abstractNumId w:val="25"/>
  </w:num>
  <w:num w:numId="31" w16cid:durableId="1851405641">
    <w:abstractNumId w:val="0"/>
  </w:num>
  <w:num w:numId="32" w16cid:durableId="99837730">
    <w:abstractNumId w:val="1"/>
  </w:num>
  <w:num w:numId="33" w16cid:durableId="634991897">
    <w:abstractNumId w:val="25"/>
    <w:lvlOverride w:ilvl="0">
      <w:startOverride w:val="1"/>
    </w:lvlOverride>
  </w:num>
  <w:num w:numId="34" w16cid:durableId="987513007">
    <w:abstractNumId w:val="2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3EE"/>
    <w:rsid w:val="00002629"/>
    <w:rsid w:val="000028BB"/>
    <w:rsid w:val="000029E8"/>
    <w:rsid w:val="000124AE"/>
    <w:rsid w:val="00031696"/>
    <w:rsid w:val="00052815"/>
    <w:rsid w:val="00054F8A"/>
    <w:rsid w:val="0006049E"/>
    <w:rsid w:val="00092340"/>
    <w:rsid w:val="000923E4"/>
    <w:rsid w:val="000B0F17"/>
    <w:rsid w:val="000C0A45"/>
    <w:rsid w:val="000D3F7D"/>
    <w:rsid w:val="000D4492"/>
    <w:rsid w:val="000F3802"/>
    <w:rsid w:val="001022B6"/>
    <w:rsid w:val="00106FD3"/>
    <w:rsid w:val="00121826"/>
    <w:rsid w:val="00125FE9"/>
    <w:rsid w:val="00127F18"/>
    <w:rsid w:val="0013435E"/>
    <w:rsid w:val="00151B2F"/>
    <w:rsid w:val="001618F7"/>
    <w:rsid w:val="0016313C"/>
    <w:rsid w:val="00167108"/>
    <w:rsid w:val="00173572"/>
    <w:rsid w:val="0017695A"/>
    <w:rsid w:val="001B57E0"/>
    <w:rsid w:val="001B7AC3"/>
    <w:rsid w:val="001C0524"/>
    <w:rsid w:val="001C68D7"/>
    <w:rsid w:val="001E153A"/>
    <w:rsid w:val="001E5427"/>
    <w:rsid w:val="001F7DBB"/>
    <w:rsid w:val="002037C4"/>
    <w:rsid w:val="00205CFE"/>
    <w:rsid w:val="002113F6"/>
    <w:rsid w:val="002203EE"/>
    <w:rsid w:val="00225B68"/>
    <w:rsid w:val="00243BB8"/>
    <w:rsid w:val="0026154E"/>
    <w:rsid w:val="002716A5"/>
    <w:rsid w:val="0027237E"/>
    <w:rsid w:val="002731DD"/>
    <w:rsid w:val="00276EE0"/>
    <w:rsid w:val="002B49F2"/>
    <w:rsid w:val="002C61A3"/>
    <w:rsid w:val="002D60A5"/>
    <w:rsid w:val="002E2AB5"/>
    <w:rsid w:val="002F4931"/>
    <w:rsid w:val="003026A7"/>
    <w:rsid w:val="003050D1"/>
    <w:rsid w:val="00314B11"/>
    <w:rsid w:val="00320C9C"/>
    <w:rsid w:val="00332CF6"/>
    <w:rsid w:val="00342595"/>
    <w:rsid w:val="00377A63"/>
    <w:rsid w:val="003817C9"/>
    <w:rsid w:val="00383C21"/>
    <w:rsid w:val="00385A8C"/>
    <w:rsid w:val="00387019"/>
    <w:rsid w:val="0039009B"/>
    <w:rsid w:val="003A2763"/>
    <w:rsid w:val="003A39D6"/>
    <w:rsid w:val="003B3F3F"/>
    <w:rsid w:val="003B73C2"/>
    <w:rsid w:val="003B7AE9"/>
    <w:rsid w:val="003B7FDE"/>
    <w:rsid w:val="003C4D58"/>
    <w:rsid w:val="003C7A6D"/>
    <w:rsid w:val="003D0C83"/>
    <w:rsid w:val="003E2DC1"/>
    <w:rsid w:val="003F31E3"/>
    <w:rsid w:val="003F366A"/>
    <w:rsid w:val="00405F33"/>
    <w:rsid w:val="00422DED"/>
    <w:rsid w:val="004245D1"/>
    <w:rsid w:val="004252DA"/>
    <w:rsid w:val="004304DB"/>
    <w:rsid w:val="004373EC"/>
    <w:rsid w:val="00444DAF"/>
    <w:rsid w:val="00445A05"/>
    <w:rsid w:val="004528E8"/>
    <w:rsid w:val="00473796"/>
    <w:rsid w:val="0047708A"/>
    <w:rsid w:val="00487630"/>
    <w:rsid w:val="004B709D"/>
    <w:rsid w:val="004C0C6C"/>
    <w:rsid w:val="004F0A51"/>
    <w:rsid w:val="004F57D2"/>
    <w:rsid w:val="004F6B7C"/>
    <w:rsid w:val="00500E58"/>
    <w:rsid w:val="00503834"/>
    <w:rsid w:val="0050633A"/>
    <w:rsid w:val="00512491"/>
    <w:rsid w:val="00514D7B"/>
    <w:rsid w:val="00526D7C"/>
    <w:rsid w:val="0053363F"/>
    <w:rsid w:val="00577022"/>
    <w:rsid w:val="00590050"/>
    <w:rsid w:val="005B10E4"/>
    <w:rsid w:val="005C14D5"/>
    <w:rsid w:val="005E321C"/>
    <w:rsid w:val="005E5390"/>
    <w:rsid w:val="00621024"/>
    <w:rsid w:val="00625172"/>
    <w:rsid w:val="00633E28"/>
    <w:rsid w:val="00646C35"/>
    <w:rsid w:val="00653F54"/>
    <w:rsid w:val="006844B0"/>
    <w:rsid w:val="0068715C"/>
    <w:rsid w:val="006B5F88"/>
    <w:rsid w:val="006C4A41"/>
    <w:rsid w:val="006D360E"/>
    <w:rsid w:val="006E540E"/>
    <w:rsid w:val="00704577"/>
    <w:rsid w:val="007309D8"/>
    <w:rsid w:val="00757D39"/>
    <w:rsid w:val="00760042"/>
    <w:rsid w:val="00766E60"/>
    <w:rsid w:val="007875C4"/>
    <w:rsid w:val="00795C0D"/>
    <w:rsid w:val="007A22F3"/>
    <w:rsid w:val="007B3B30"/>
    <w:rsid w:val="007C243A"/>
    <w:rsid w:val="007C7A55"/>
    <w:rsid w:val="007D30B0"/>
    <w:rsid w:val="007E2CF6"/>
    <w:rsid w:val="007E6AC2"/>
    <w:rsid w:val="0081298A"/>
    <w:rsid w:val="008153B0"/>
    <w:rsid w:val="00821944"/>
    <w:rsid w:val="00844B84"/>
    <w:rsid w:val="008746B3"/>
    <w:rsid w:val="00875A35"/>
    <w:rsid w:val="00881EBE"/>
    <w:rsid w:val="0089673C"/>
    <w:rsid w:val="008A3501"/>
    <w:rsid w:val="008B6530"/>
    <w:rsid w:val="008C3B1C"/>
    <w:rsid w:val="008C59F7"/>
    <w:rsid w:val="008E5D96"/>
    <w:rsid w:val="00902729"/>
    <w:rsid w:val="009042D7"/>
    <w:rsid w:val="0090488A"/>
    <w:rsid w:val="009154BE"/>
    <w:rsid w:val="0092686F"/>
    <w:rsid w:val="00951C35"/>
    <w:rsid w:val="009610E6"/>
    <w:rsid w:val="0097360F"/>
    <w:rsid w:val="009743E8"/>
    <w:rsid w:val="009757F6"/>
    <w:rsid w:val="009962A9"/>
    <w:rsid w:val="009A4CED"/>
    <w:rsid w:val="009C23A9"/>
    <w:rsid w:val="009E1251"/>
    <w:rsid w:val="009E48A8"/>
    <w:rsid w:val="009E61A6"/>
    <w:rsid w:val="009F188F"/>
    <w:rsid w:val="00A04FB3"/>
    <w:rsid w:val="00A055D8"/>
    <w:rsid w:val="00A13115"/>
    <w:rsid w:val="00A26B94"/>
    <w:rsid w:val="00A338DC"/>
    <w:rsid w:val="00A42D5F"/>
    <w:rsid w:val="00A65822"/>
    <w:rsid w:val="00AA088F"/>
    <w:rsid w:val="00AB60AE"/>
    <w:rsid w:val="00AC2016"/>
    <w:rsid w:val="00AC2A97"/>
    <w:rsid w:val="00AC4DE1"/>
    <w:rsid w:val="00AE2180"/>
    <w:rsid w:val="00AF46E3"/>
    <w:rsid w:val="00B067B4"/>
    <w:rsid w:val="00B16EBB"/>
    <w:rsid w:val="00B4301D"/>
    <w:rsid w:val="00B43703"/>
    <w:rsid w:val="00B458A8"/>
    <w:rsid w:val="00B5679C"/>
    <w:rsid w:val="00B56E2B"/>
    <w:rsid w:val="00B66C97"/>
    <w:rsid w:val="00BB07BE"/>
    <w:rsid w:val="00BE7C09"/>
    <w:rsid w:val="00C01D18"/>
    <w:rsid w:val="00C10109"/>
    <w:rsid w:val="00C10D1E"/>
    <w:rsid w:val="00C1319B"/>
    <w:rsid w:val="00C15A46"/>
    <w:rsid w:val="00C16613"/>
    <w:rsid w:val="00C22DDE"/>
    <w:rsid w:val="00C304CE"/>
    <w:rsid w:val="00C36370"/>
    <w:rsid w:val="00C41430"/>
    <w:rsid w:val="00C80907"/>
    <w:rsid w:val="00C94A27"/>
    <w:rsid w:val="00C961C3"/>
    <w:rsid w:val="00CB154E"/>
    <w:rsid w:val="00CE5B93"/>
    <w:rsid w:val="00CF744C"/>
    <w:rsid w:val="00D00919"/>
    <w:rsid w:val="00D01E52"/>
    <w:rsid w:val="00D21048"/>
    <w:rsid w:val="00D358AE"/>
    <w:rsid w:val="00D36FA7"/>
    <w:rsid w:val="00D46B44"/>
    <w:rsid w:val="00D55BD9"/>
    <w:rsid w:val="00D65A1C"/>
    <w:rsid w:val="00D84118"/>
    <w:rsid w:val="00D90CA6"/>
    <w:rsid w:val="00D92584"/>
    <w:rsid w:val="00DA48DD"/>
    <w:rsid w:val="00DB7C36"/>
    <w:rsid w:val="00DD54E9"/>
    <w:rsid w:val="00DF1019"/>
    <w:rsid w:val="00DF12F5"/>
    <w:rsid w:val="00DF2099"/>
    <w:rsid w:val="00E052D4"/>
    <w:rsid w:val="00E23211"/>
    <w:rsid w:val="00E237F9"/>
    <w:rsid w:val="00E5561A"/>
    <w:rsid w:val="00E633A1"/>
    <w:rsid w:val="00E70BEA"/>
    <w:rsid w:val="00E947E7"/>
    <w:rsid w:val="00EA7D47"/>
    <w:rsid w:val="00ED6D67"/>
    <w:rsid w:val="00F108B2"/>
    <w:rsid w:val="00F14424"/>
    <w:rsid w:val="00F20A32"/>
    <w:rsid w:val="00F2250E"/>
    <w:rsid w:val="00F30685"/>
    <w:rsid w:val="00F325B8"/>
    <w:rsid w:val="00F36632"/>
    <w:rsid w:val="00F745B3"/>
    <w:rsid w:val="00F776C2"/>
    <w:rsid w:val="00F867D0"/>
    <w:rsid w:val="00F91220"/>
    <w:rsid w:val="00F936CA"/>
    <w:rsid w:val="00F93943"/>
    <w:rsid w:val="00FA707C"/>
    <w:rsid w:val="00FC1986"/>
    <w:rsid w:val="00FE1F1B"/>
    <w:rsid w:val="00FE233F"/>
    <w:rsid w:val="1F5EB954"/>
    <w:rsid w:val="2EDEDC66"/>
    <w:rsid w:val="45B50BB1"/>
    <w:rsid w:val="4DECF314"/>
    <w:rsid w:val="57010CF8"/>
    <w:rsid w:val="71EF8272"/>
    <w:rsid w:val="768B4057"/>
    <w:rsid w:val="77171A6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50171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042"/>
    <w:pPr>
      <w:autoSpaceDE w:val="0"/>
      <w:autoSpaceDN w:val="0"/>
    </w:pPr>
    <w:rPr>
      <w:rFonts w:ascii="Arial" w:eastAsia="Times New Roman" w:hAnsi="Arial"/>
      <w:lang w:eastAsia="en-US"/>
    </w:rPr>
  </w:style>
  <w:style w:type="paragraph" w:styleId="Heading1">
    <w:name w:val="heading 1"/>
    <w:basedOn w:val="Normal"/>
    <w:next w:val="Normal"/>
    <w:link w:val="Heading1Char"/>
    <w:qFormat/>
    <w:rsid w:val="00E633A1"/>
    <w:pPr>
      <w:jc w:val="center"/>
      <w:outlineLvl w:val="0"/>
    </w:pPr>
    <w:rPr>
      <w:b/>
    </w:rPr>
  </w:style>
  <w:style w:type="paragraph" w:styleId="Heading2">
    <w:name w:val="heading 2"/>
    <w:basedOn w:val="Normal"/>
    <w:next w:val="Normal"/>
    <w:link w:val="Heading2Char"/>
    <w:qFormat/>
    <w:rsid w:val="002203EE"/>
    <w:pPr>
      <w:ind w:left="360" w:hanging="36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633A1"/>
    <w:rPr>
      <w:rFonts w:ascii="Arial" w:eastAsia="Times New Roman" w:hAnsi="Arial"/>
      <w:b/>
      <w:sz w:val="24"/>
      <w:lang w:eastAsia="en-US"/>
    </w:rPr>
  </w:style>
  <w:style w:type="character" w:customStyle="1" w:styleId="Heading2Char">
    <w:name w:val="Heading 2 Char"/>
    <w:link w:val="Heading2"/>
    <w:rsid w:val="002203EE"/>
    <w:rPr>
      <w:rFonts w:ascii="Arial" w:eastAsia="Times New Roman" w:hAnsi="Arial" w:cs="Times New Roman"/>
      <w:b/>
      <w:sz w:val="20"/>
      <w:szCs w:val="20"/>
    </w:rPr>
  </w:style>
  <w:style w:type="paragraph" w:styleId="Header">
    <w:name w:val="header"/>
    <w:basedOn w:val="Normal"/>
    <w:link w:val="HeaderChar"/>
    <w:rsid w:val="002203EE"/>
    <w:pPr>
      <w:tabs>
        <w:tab w:val="center" w:pos="4320"/>
        <w:tab w:val="right" w:pos="8640"/>
      </w:tabs>
    </w:pPr>
  </w:style>
  <w:style w:type="character" w:customStyle="1" w:styleId="HeaderChar">
    <w:name w:val="Header Char"/>
    <w:link w:val="Header"/>
    <w:rsid w:val="002203EE"/>
    <w:rPr>
      <w:rFonts w:ascii="Arial" w:eastAsia="Times New Roman" w:hAnsi="Arial" w:cs="Times New Roman"/>
      <w:sz w:val="20"/>
      <w:szCs w:val="20"/>
    </w:rPr>
  </w:style>
  <w:style w:type="paragraph" w:styleId="Footer">
    <w:name w:val="footer"/>
    <w:basedOn w:val="Normal"/>
    <w:link w:val="FooterChar"/>
    <w:uiPriority w:val="99"/>
    <w:rsid w:val="002203EE"/>
    <w:pPr>
      <w:tabs>
        <w:tab w:val="center" w:pos="4320"/>
        <w:tab w:val="right" w:pos="8640"/>
      </w:tabs>
    </w:pPr>
  </w:style>
  <w:style w:type="character" w:customStyle="1" w:styleId="FooterChar">
    <w:name w:val="Footer Char"/>
    <w:link w:val="Footer"/>
    <w:uiPriority w:val="99"/>
    <w:rsid w:val="002203EE"/>
    <w:rPr>
      <w:rFonts w:ascii="Arial" w:eastAsia="Times New Roman" w:hAnsi="Arial" w:cs="Times New Roman"/>
      <w:sz w:val="20"/>
      <w:szCs w:val="20"/>
    </w:rPr>
  </w:style>
  <w:style w:type="paragraph" w:customStyle="1" w:styleId="Centered">
    <w:name w:val="Centered"/>
    <w:basedOn w:val="Normal"/>
    <w:rsid w:val="002203EE"/>
    <w:pPr>
      <w:autoSpaceDE/>
      <w:autoSpaceDN/>
      <w:jc w:val="center"/>
    </w:pPr>
    <w:rPr>
      <w:rFonts w:eastAsia="SimSun"/>
      <w:lang w:eastAsia="zh-CN"/>
    </w:rPr>
  </w:style>
  <w:style w:type="paragraph" w:styleId="BalloonText">
    <w:name w:val="Balloon Text"/>
    <w:basedOn w:val="Normal"/>
    <w:link w:val="BalloonTextChar"/>
    <w:uiPriority w:val="99"/>
    <w:semiHidden/>
    <w:unhideWhenUsed/>
    <w:rsid w:val="00FE1F1B"/>
    <w:rPr>
      <w:rFonts w:ascii="Tahoma" w:hAnsi="Tahoma" w:cs="Tahoma"/>
      <w:sz w:val="16"/>
      <w:szCs w:val="16"/>
    </w:rPr>
  </w:style>
  <w:style w:type="character" w:customStyle="1" w:styleId="BalloonTextChar">
    <w:name w:val="Balloon Text Char"/>
    <w:link w:val="BalloonText"/>
    <w:uiPriority w:val="99"/>
    <w:semiHidden/>
    <w:rsid w:val="00FE1F1B"/>
    <w:rPr>
      <w:rFonts w:ascii="Tahoma" w:eastAsia="Times New Roman" w:hAnsi="Tahoma" w:cs="Tahoma"/>
      <w:sz w:val="16"/>
      <w:szCs w:val="16"/>
    </w:rPr>
  </w:style>
  <w:style w:type="paragraph" w:customStyle="1" w:styleId="Default">
    <w:name w:val="Default"/>
    <w:rsid w:val="00D84118"/>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D84118"/>
    <w:rPr>
      <w:sz w:val="16"/>
      <w:szCs w:val="16"/>
    </w:rPr>
  </w:style>
  <w:style w:type="paragraph" w:styleId="CommentSubject">
    <w:name w:val="annotation subject"/>
    <w:basedOn w:val="Normal"/>
    <w:next w:val="Normal"/>
    <w:link w:val="CommentSubjectChar"/>
    <w:uiPriority w:val="99"/>
    <w:semiHidden/>
    <w:unhideWhenUsed/>
    <w:rsid w:val="00F36632"/>
    <w:rPr>
      <w:b/>
      <w:bCs/>
    </w:rPr>
  </w:style>
  <w:style w:type="character" w:customStyle="1" w:styleId="CommentSubjectChar">
    <w:name w:val="Comment Subject Char"/>
    <w:basedOn w:val="DefaultParagraphFont"/>
    <w:link w:val="CommentSubject"/>
    <w:uiPriority w:val="99"/>
    <w:semiHidden/>
    <w:rsid w:val="00F36632"/>
    <w:rPr>
      <w:rFonts w:ascii="Arial" w:eastAsia="Times New Roman" w:hAnsi="Arial"/>
      <w:b/>
      <w:bCs/>
      <w:lang w:eastAsia="en-US"/>
    </w:rPr>
  </w:style>
  <w:style w:type="table" w:styleId="TableGrid">
    <w:name w:val="Table Grid"/>
    <w:basedOn w:val="TableNormal"/>
    <w:uiPriority w:val="39"/>
    <w:rsid w:val="000C0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633A1"/>
    <w:pPr>
      <w:jc w:val="center"/>
    </w:pPr>
    <w:rPr>
      <w:b/>
    </w:rPr>
  </w:style>
  <w:style w:type="character" w:customStyle="1" w:styleId="TitleChar">
    <w:name w:val="Title Char"/>
    <w:basedOn w:val="DefaultParagraphFont"/>
    <w:link w:val="Title"/>
    <w:uiPriority w:val="10"/>
    <w:rsid w:val="00E633A1"/>
    <w:rPr>
      <w:rFonts w:ascii="Arial" w:eastAsia="Times New Roman" w:hAnsi="Arial"/>
      <w:b/>
      <w:sz w:val="24"/>
      <w:lang w:eastAsia="en-US"/>
    </w:rPr>
  </w:style>
  <w:style w:type="paragraph" w:customStyle="1" w:styleId="NumberedList">
    <w:name w:val="Numbered List"/>
    <w:basedOn w:val="Normal"/>
    <w:qFormat/>
    <w:rsid w:val="009E61A6"/>
    <w:pPr>
      <w:numPr>
        <w:numId w:val="6"/>
      </w:numPr>
      <w:spacing w:before="300"/>
      <w:jc w:val="both"/>
    </w:pPr>
  </w:style>
  <w:style w:type="paragraph" w:customStyle="1" w:styleId="Bullet1">
    <w:name w:val="Bullet 1"/>
    <w:basedOn w:val="Normal"/>
    <w:qFormat/>
    <w:rsid w:val="00E633A1"/>
    <w:pPr>
      <w:numPr>
        <w:numId w:val="10"/>
      </w:numPr>
      <w:spacing w:after="120"/>
    </w:p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rFonts w:ascii="Arial" w:eastAsia="Times New Roman" w:hAnsi="Arial"/>
      <w:lang w:eastAsia="en-US"/>
    </w:rPr>
  </w:style>
  <w:style w:type="paragraph" w:customStyle="1" w:styleId="NumberedList1">
    <w:name w:val="Numbered List 1"/>
    <w:basedOn w:val="Normal"/>
    <w:qFormat/>
    <w:rsid w:val="0013435E"/>
    <w:pPr>
      <w:numPr>
        <w:numId w:val="23"/>
      </w:numPr>
    </w:pPr>
    <w:rPr>
      <w:rFonts w:cs="Arial"/>
    </w:rPr>
  </w:style>
  <w:style w:type="character" w:styleId="FootnoteReference">
    <w:name w:val="footnote reference"/>
    <w:uiPriority w:val="99"/>
    <w:rsid w:val="000D3F7D"/>
  </w:style>
  <w:style w:type="character" w:styleId="Hyperlink">
    <w:name w:val="Hyperlink"/>
    <w:basedOn w:val="DefaultParagraphFont"/>
    <w:uiPriority w:val="99"/>
    <w:unhideWhenUsed/>
    <w:rsid w:val="000F3802"/>
    <w:rPr>
      <w:color w:val="0563C1" w:themeColor="hyperlink"/>
      <w:u w:val="single"/>
    </w:rPr>
  </w:style>
  <w:style w:type="paragraph" w:styleId="ListParagraph">
    <w:name w:val="List Paragraph"/>
    <w:basedOn w:val="Normal"/>
    <w:uiPriority w:val="34"/>
    <w:qFormat/>
    <w:rsid w:val="00AF46E3"/>
    <w:pPr>
      <w:ind w:left="720"/>
      <w:contextualSpacing/>
    </w:pPr>
  </w:style>
  <w:style w:type="paragraph" w:styleId="Revision">
    <w:name w:val="Revision"/>
    <w:hidden/>
    <w:uiPriority w:val="99"/>
    <w:semiHidden/>
    <w:rsid w:val="00AC2016"/>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941B5-E533-470E-802B-130EC65EEF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513E29-554E-45E4-A23A-B1035957F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958</Words>
  <Characters>5231</Characters>
  <Application>Microsoft Office Word</Application>
  <DocSecurity>0</DocSecurity>
  <Lines>205</Lines>
  <Paragraphs>52</Paragraphs>
  <ScaleCrop>false</ScaleCrop>
  <HeadingPairs>
    <vt:vector size="2" baseType="variant">
      <vt:variant>
        <vt:lpstr>Title</vt:lpstr>
      </vt:variant>
      <vt:variant>
        <vt:i4>1</vt:i4>
      </vt:variant>
    </vt:vector>
  </HeadingPairs>
  <TitlesOfParts>
    <vt:vector size="1" baseType="lpstr">
      <vt:lpstr>Annex 4. Schedules of Specific Commitments on the Movement of Natural Persons - New Zealand</vt:lpstr>
    </vt:vector>
  </TitlesOfParts>
  <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4. Schedules of Specific Commitments on the Movement of Natural Persons - New Zealand</dc:title>
  <dc:subject/>
  <dc:creator/>
  <cp:keywords>[SEC=OFFICIAL:Sensitive]</cp:keywords>
  <cp:lastModifiedBy/>
  <cp:revision>1</cp:revision>
  <dcterms:created xsi:type="dcterms:W3CDTF">2023-09-28T04:33:00Z</dcterms:created>
  <dcterms:modified xsi:type="dcterms:W3CDTF">2023-09-28T04:34:00Z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傈䴀开一愀洀攀猀瀀愀挀攀">
    <vt:lpwstr>gov.au</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v=2022.1;a=SHA256;h=A94F235142C048FF32933485D4351F2D905A4F9E9413C965AB11FAF866694CFD</vt:lpwstr>
  </property>
  <property fmtid="{D5CDD505-2E9C-101B-9397-08002B2CF9AE}" pid="7" name="PM_Qualifier">
    <vt:lpwstr/>
  </property>
  <property fmtid="{D5CDD505-2E9C-101B-9397-08002B2CF9AE}" pid="8" name="PM_SecurityClassification">
    <vt:lpwstr>OFFICIAL:Sensitive</vt:lpwstr>
  </property>
  <property fmtid="{D5CDD505-2E9C-101B-9397-08002B2CF9AE}" pid="9" name="PM_ProtectiveMarkingValue_Header">
    <vt:lpwstr>OFFICIAL: Sensitive</vt:lpwstr>
  </property>
  <property fmtid="{D5CDD505-2E9C-101B-9397-08002B2CF9AE}" pid="10" name="PM_OriginationTimeStamp">
    <vt:lpwstr>2023-09-28T04:30:47Z</vt:lpwstr>
  </property>
  <property fmtid="{D5CDD505-2E9C-101B-9397-08002B2CF9AE}" pid="11" name="PM_Markers">
    <vt:lpwstr/>
  </property>
  <property fmtid="{D5CDD505-2E9C-101B-9397-08002B2CF9AE}" pid="12" name="PM_InsertionValue">
    <vt:lpwstr>OFFICIAL: Sensitive</vt:lpwstr>
  </property>
  <property fmtid="{D5CDD505-2E9C-101B-9397-08002B2CF9AE}" pid="13" name="PM_Originator_Hash_SHA1">
    <vt:lpwstr>899E4EA469A04FB023F4432B63374BB33589BF8A</vt:lpwstr>
  </property>
  <property fmtid="{D5CDD505-2E9C-101B-9397-08002B2CF9AE}" pid="14" name="PM_DisplayValueSecClassificationWithQualifier">
    <vt:lpwstr>OFFICIAL: Sensitive</vt:lpwstr>
  </property>
  <property fmtid="{D5CDD505-2E9C-101B-9397-08002B2CF9AE}" pid="15" name="PM_Originating_FileId">
    <vt:lpwstr>35E016192BDD44D0B680B0C7D5B63191</vt:lpwstr>
  </property>
  <property fmtid="{D5CDD505-2E9C-101B-9397-08002B2CF9AE}" pid="16" name="PM_ProtectiveMarkingValue_Footer">
    <vt:lpwstr>OFFICIAL: Sensitive</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 Sensitive</vt:lpwstr>
  </property>
  <property fmtid="{D5CDD505-2E9C-101B-9397-08002B2CF9AE}" pid="20" name="PM_OriginatorUserAccountName_SHA256">
    <vt:lpwstr>290C9CFCFE70E139C4500567FB5830ACF9049F26A1998DDACA65669D45D5D2AD</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v=2022.2;d=gov.au;g=ABA70C08-925C-5FA3-8765-3178156983AC</vt:lpwstr>
  </property>
  <property fmtid="{D5CDD505-2E9C-101B-9397-08002B2CF9AE}" pid="23" name="PM_Hash_Version">
    <vt:lpwstr>2022.1</vt:lpwstr>
  </property>
  <property fmtid="{D5CDD505-2E9C-101B-9397-08002B2CF9AE}" pid="24" name="PM_Hash_Salt_Prev">
    <vt:lpwstr>02DD9A99E774053404212E89B1CCD5F6</vt:lpwstr>
  </property>
  <property fmtid="{D5CDD505-2E9C-101B-9397-08002B2CF9AE}" pid="25" name="PM_Hash_Salt">
    <vt:lpwstr>D44DAA9C2AD84612BE525D24E391062B</vt:lpwstr>
  </property>
  <property fmtid="{D5CDD505-2E9C-101B-9397-08002B2CF9AE}" pid="26" name="PM_Hash_SHA1">
    <vt:lpwstr>263C42DB41389D1116B3ACCFE8E40B10FCFA8E1E</vt:lpwstr>
  </property>
  <property fmtid="{D5CDD505-2E9C-101B-9397-08002B2CF9AE}" pid="27" name="PM_MinimumSecurityClassification">
    <vt:lpwstr>OFFICIAL:Sensitive</vt:lpwstr>
  </property>
  <property fmtid="{D5CDD505-2E9C-101B-9397-08002B2CF9AE}" pid="28" name="PM_Caveats_Count">
    <vt:lpwstr>0</vt:lpwstr>
  </property>
</Properties>
</file>