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DCD2" w14:textId="380944D8" w:rsidR="001C0524" w:rsidRDefault="001C0524" w:rsidP="003B3F3F">
      <w:pPr>
        <w:pStyle w:val="Title"/>
      </w:pPr>
      <w:r w:rsidRPr="00625172">
        <w:t xml:space="preserve">ANNEX </w:t>
      </w:r>
      <w:r w:rsidR="00AB2D69">
        <w:t>4</w:t>
      </w:r>
    </w:p>
    <w:p w14:paraId="2F10CC0A" w14:textId="77777777" w:rsidR="00F20FDC" w:rsidRPr="00F20FDC" w:rsidRDefault="00F20FDC" w:rsidP="00D27D35"/>
    <w:p w14:paraId="7F00340B" w14:textId="77777777" w:rsidR="00422DED" w:rsidRPr="00625172" w:rsidRDefault="00422DED" w:rsidP="003B3F3F">
      <w:pPr>
        <w:pStyle w:val="Title"/>
      </w:pPr>
      <w:r w:rsidRPr="00625172">
        <w:t xml:space="preserve">SCHEDULE OF SPECIFIC COMMITMENTS ON </w:t>
      </w:r>
    </w:p>
    <w:p w14:paraId="5BB02A32" w14:textId="7AFD1398" w:rsidR="001C0524" w:rsidRPr="00625172" w:rsidRDefault="00F34D40" w:rsidP="003B3F3F">
      <w:pPr>
        <w:pStyle w:val="Title"/>
      </w:pPr>
      <w:r>
        <w:t xml:space="preserve">THE </w:t>
      </w:r>
      <w:r w:rsidR="00422DED" w:rsidRPr="00625172">
        <w:t>MOVEMENT OF NATURAL PERSONS</w:t>
      </w:r>
    </w:p>
    <w:p w14:paraId="07A76B64" w14:textId="77777777" w:rsidR="006844B0" w:rsidRPr="00625172" w:rsidRDefault="006844B0" w:rsidP="003B3F3F">
      <w:pPr>
        <w:pStyle w:val="Title"/>
      </w:pPr>
    </w:p>
    <w:p w14:paraId="104FAC10" w14:textId="31906D30" w:rsidR="001C0524" w:rsidRPr="00625172" w:rsidRDefault="000C777D" w:rsidP="003B3F3F">
      <w:pPr>
        <w:pStyle w:val="Title"/>
      </w:pPr>
      <w:r>
        <w:t>VIET NAM</w:t>
      </w:r>
    </w:p>
    <w:p w14:paraId="0991935C" w14:textId="30DB66A8" w:rsidR="007309D8" w:rsidRDefault="007309D8" w:rsidP="003B3F3F">
      <w:pPr>
        <w:rPr>
          <w:lang w:val="id-ID"/>
        </w:rPr>
      </w:pPr>
    </w:p>
    <w:p w14:paraId="6BFE165E" w14:textId="77777777" w:rsidR="003B3F3F" w:rsidRPr="00625172" w:rsidRDefault="003B3F3F" w:rsidP="003B3F3F">
      <w:pPr>
        <w:rPr>
          <w:lang w:val="id-ID"/>
        </w:rPr>
      </w:pPr>
    </w:p>
    <w:p w14:paraId="63A8B72C" w14:textId="1DAA5D46" w:rsidR="000F3802" w:rsidRDefault="000C777D" w:rsidP="00AB2D69">
      <w:pPr>
        <w:pStyle w:val="NumberedList"/>
        <w:spacing w:before="0"/>
        <w:ind w:left="0" w:firstLine="0"/>
      </w:pPr>
      <w:r w:rsidRPr="000C777D">
        <w:t>The following sets out Viet Nam’s commitments under Chapter 9 (Movement of Natural Persons) in respect of the temporary movement of natural persons of a Party in the territory of Viet Nam</w:t>
      </w:r>
      <w:r w:rsidR="000F3802" w:rsidRPr="00625172">
        <w:t>.</w:t>
      </w:r>
    </w:p>
    <w:p w14:paraId="2BC90047" w14:textId="77777777" w:rsidR="00AB2D69" w:rsidRPr="00625172" w:rsidRDefault="00AB2D69" w:rsidP="00AB2D69">
      <w:pPr>
        <w:pStyle w:val="NumberedList"/>
        <w:numPr>
          <w:ilvl w:val="0"/>
          <w:numId w:val="0"/>
        </w:numPr>
        <w:spacing w:before="0"/>
      </w:pPr>
    </w:p>
    <w:p w14:paraId="6FDB9373" w14:textId="387C6372" w:rsidR="00512491" w:rsidRDefault="000C777D" w:rsidP="00AB2D69">
      <w:pPr>
        <w:pStyle w:val="NumberedList"/>
        <w:spacing w:before="0"/>
        <w:ind w:left="0" w:firstLine="0"/>
      </w:pPr>
      <w:r w:rsidRPr="000C777D">
        <w:t>Viet Nam may adopt or maintain any limitations including economic needs testing and labour market testing on temporary movement of natural persons specific commitments in this Schedule, subject to its laws and regulations</w:t>
      </w:r>
      <w:r w:rsidR="00512491">
        <w:t>.</w:t>
      </w:r>
    </w:p>
    <w:p w14:paraId="309A34BD" w14:textId="77777777" w:rsidR="00AB2D69" w:rsidRDefault="00AB2D69" w:rsidP="00AB2D69">
      <w:pPr>
        <w:pStyle w:val="NumberedList"/>
        <w:numPr>
          <w:ilvl w:val="0"/>
          <w:numId w:val="0"/>
        </w:numPr>
        <w:spacing w:before="0"/>
      </w:pPr>
    </w:p>
    <w:p w14:paraId="28B92832" w14:textId="591C5FF6" w:rsidR="00512491" w:rsidRDefault="000C777D" w:rsidP="00AB2D69">
      <w:pPr>
        <w:pStyle w:val="NumberedList"/>
        <w:spacing w:before="0"/>
        <w:ind w:left="0" w:firstLine="0"/>
      </w:pPr>
      <w:r w:rsidRPr="000C777D">
        <w:t>References to “CPC” in this Annex refers to the provisional CPC codes as used in the Provisional Central Product Classification (Statistical Papers Series M No.77, Department of International Economic and Social Affairs, Statistical Office of the United Nations, New York, 1991)</w:t>
      </w:r>
      <w:r w:rsidR="00512491">
        <w:t>.</w:t>
      </w:r>
    </w:p>
    <w:p w14:paraId="6EA4E9D2" w14:textId="209E805D" w:rsidR="00E633A1" w:rsidRDefault="00E633A1" w:rsidP="003B3F3F">
      <w:pPr>
        <w:ind w:left="567" w:hanging="567"/>
        <w:rPr>
          <w:rFonts w:cs="Arial"/>
        </w:rPr>
      </w:pPr>
    </w:p>
    <w:p w14:paraId="7BAF4041" w14:textId="77777777" w:rsidR="001B7AC3" w:rsidRPr="00625172" w:rsidRDefault="001B7AC3" w:rsidP="003B3F3F">
      <w:pPr>
        <w:ind w:left="567" w:hanging="567"/>
        <w:rPr>
          <w:rFonts w:cs="Arial"/>
        </w:rPr>
      </w:pPr>
    </w:p>
    <w:tbl>
      <w:tblPr>
        <w:tblStyle w:val="TableGrid"/>
        <w:tblW w:w="0" w:type="auto"/>
        <w:tblLook w:val="04A0" w:firstRow="1" w:lastRow="0" w:firstColumn="1" w:lastColumn="0" w:noHBand="0" w:noVBand="1"/>
      </w:tblPr>
      <w:tblGrid>
        <w:gridCol w:w="3746"/>
        <w:gridCol w:w="3833"/>
      </w:tblGrid>
      <w:tr w:rsidR="002D60A5" w14:paraId="2AFCFB8E" w14:textId="77777777" w:rsidTr="00345094">
        <w:trPr>
          <w:tblHeader/>
        </w:trPr>
        <w:tc>
          <w:tcPr>
            <w:tcW w:w="3746" w:type="dxa"/>
            <w:vAlign w:val="center"/>
          </w:tcPr>
          <w:p w14:paraId="5F26D64F" w14:textId="1E03E451" w:rsidR="002D60A5" w:rsidRDefault="000C777D" w:rsidP="00A84D5F">
            <w:pPr>
              <w:spacing w:before="60" w:after="60"/>
              <w:jc w:val="center"/>
              <w:rPr>
                <w:rFonts w:cs="Arial"/>
              </w:rPr>
            </w:pPr>
            <w:r w:rsidRPr="000C777D">
              <w:rPr>
                <w:rFonts w:cs="Arial"/>
                <w:b/>
              </w:rPr>
              <w:t>Description of Category</w:t>
            </w:r>
          </w:p>
        </w:tc>
        <w:tc>
          <w:tcPr>
            <w:tcW w:w="3833" w:type="dxa"/>
            <w:vAlign w:val="center"/>
          </w:tcPr>
          <w:p w14:paraId="5EAF5B14" w14:textId="77777777" w:rsidR="002D60A5" w:rsidRPr="00625172" w:rsidRDefault="002D60A5" w:rsidP="00A84D5F">
            <w:pPr>
              <w:spacing w:before="60" w:after="60"/>
              <w:jc w:val="center"/>
              <w:rPr>
                <w:rFonts w:cs="Arial"/>
                <w:b/>
              </w:rPr>
            </w:pPr>
            <w:r w:rsidRPr="00625172">
              <w:rPr>
                <w:rFonts w:cs="Arial"/>
                <w:b/>
              </w:rPr>
              <w:t>Conditions and Limitations</w:t>
            </w:r>
          </w:p>
          <w:p w14:paraId="6FF87DBF" w14:textId="084601E2" w:rsidR="002D60A5" w:rsidRDefault="002D60A5" w:rsidP="00A84D5F">
            <w:pPr>
              <w:spacing w:before="60" w:after="60"/>
              <w:jc w:val="center"/>
              <w:rPr>
                <w:rFonts w:cs="Arial"/>
              </w:rPr>
            </w:pPr>
            <w:r w:rsidRPr="00625172">
              <w:rPr>
                <w:rFonts w:cs="Arial"/>
                <w:b/>
              </w:rPr>
              <w:t>(including length of stay)</w:t>
            </w:r>
          </w:p>
        </w:tc>
      </w:tr>
      <w:tr w:rsidR="002D60A5" w14:paraId="34B14529" w14:textId="77777777" w:rsidTr="00345094">
        <w:tc>
          <w:tcPr>
            <w:tcW w:w="7579" w:type="dxa"/>
            <w:gridSpan w:val="2"/>
          </w:tcPr>
          <w:p w14:paraId="4DA7AD54" w14:textId="7162F0F9" w:rsidR="002D60A5" w:rsidRPr="002D60A5" w:rsidRDefault="000C777D" w:rsidP="00A84D5F">
            <w:pPr>
              <w:pStyle w:val="ListParagraph"/>
              <w:numPr>
                <w:ilvl w:val="0"/>
                <w:numId w:val="31"/>
              </w:numPr>
              <w:spacing w:before="60" w:after="60"/>
              <w:ind w:left="720" w:hanging="720"/>
              <w:rPr>
                <w:rFonts w:cs="Arial"/>
                <w:b/>
                <w:bCs/>
              </w:rPr>
            </w:pPr>
            <w:r w:rsidRPr="000C777D">
              <w:rPr>
                <w:rFonts w:cs="Arial"/>
                <w:b/>
                <w:bCs/>
              </w:rPr>
              <w:t>Intra-Corporate Transferees</w:t>
            </w:r>
          </w:p>
        </w:tc>
      </w:tr>
      <w:tr w:rsidR="002D60A5" w14:paraId="60423705" w14:textId="77777777" w:rsidTr="00345094">
        <w:tc>
          <w:tcPr>
            <w:tcW w:w="3746" w:type="dxa"/>
          </w:tcPr>
          <w:p w14:paraId="496C46A9" w14:textId="7BC37903" w:rsidR="000C777D" w:rsidRPr="000C777D" w:rsidRDefault="000C777D" w:rsidP="00345094">
            <w:pPr>
              <w:spacing w:before="20" w:after="20"/>
              <w:jc w:val="both"/>
              <w:rPr>
                <w:rFonts w:cs="Arial"/>
              </w:rPr>
            </w:pPr>
            <w:r w:rsidRPr="000C777D">
              <w:rPr>
                <w:rFonts w:cs="Arial"/>
                <w:b/>
                <w:bCs/>
              </w:rPr>
              <w:t>Managers</w:t>
            </w:r>
            <w:r w:rsidRPr="000C777D">
              <w:rPr>
                <w:rFonts w:cs="Arial"/>
              </w:rPr>
              <w:t xml:space="preserve">, </w:t>
            </w:r>
            <w:r w:rsidRPr="000C777D">
              <w:rPr>
                <w:rFonts w:cs="Arial"/>
                <w:b/>
                <w:bCs/>
              </w:rPr>
              <w:t>executives</w:t>
            </w:r>
            <w:r w:rsidRPr="000C777D">
              <w:rPr>
                <w:rFonts w:cs="Arial"/>
              </w:rPr>
              <w:t xml:space="preserve"> and </w:t>
            </w:r>
            <w:r w:rsidRPr="000C777D">
              <w:rPr>
                <w:rFonts w:cs="Arial"/>
                <w:b/>
                <w:bCs/>
              </w:rPr>
              <w:t>specialists</w:t>
            </w:r>
            <w:r w:rsidRPr="000C777D">
              <w:rPr>
                <w:rFonts w:cs="Arial"/>
              </w:rPr>
              <w:t>, as defined hereunder, of a foreign enterprise which has established a commercial presence in the territory of Viet Nam, temporarily moving as intra-corporate transferees to that commercial presence and who have been previously employed by the foreign enterprise for at least one year</w:t>
            </w:r>
            <w:r w:rsidR="007F02D5">
              <w:rPr>
                <w:rFonts w:cs="Arial"/>
              </w:rPr>
              <w:t>.</w:t>
            </w:r>
          </w:p>
          <w:p w14:paraId="59DF9B15" w14:textId="77777777" w:rsidR="000C777D" w:rsidRPr="00345094" w:rsidRDefault="000C777D" w:rsidP="00345094">
            <w:pPr>
              <w:spacing w:before="20" w:after="20"/>
              <w:jc w:val="both"/>
              <w:rPr>
                <w:rFonts w:cs="Arial"/>
                <w:sz w:val="10"/>
                <w:szCs w:val="10"/>
              </w:rPr>
            </w:pPr>
          </w:p>
          <w:p w14:paraId="724D5EBA" w14:textId="77777777" w:rsidR="000C777D" w:rsidRPr="000C777D" w:rsidRDefault="000C777D" w:rsidP="00345094">
            <w:pPr>
              <w:spacing w:before="20" w:after="20"/>
              <w:jc w:val="both"/>
              <w:rPr>
                <w:rFonts w:cs="Arial"/>
              </w:rPr>
            </w:pPr>
            <w:r w:rsidRPr="000C777D">
              <w:rPr>
                <w:rFonts w:cs="Arial"/>
                <w:b/>
                <w:bCs/>
              </w:rPr>
              <w:t>Managers</w:t>
            </w:r>
            <w:r w:rsidRPr="000C777D">
              <w:rPr>
                <w:rFonts w:cs="Arial"/>
              </w:rPr>
              <w:t xml:space="preserve"> and </w:t>
            </w:r>
            <w:r w:rsidRPr="000C777D">
              <w:rPr>
                <w:rFonts w:cs="Arial"/>
                <w:b/>
                <w:bCs/>
              </w:rPr>
              <w:t>executives</w:t>
            </w:r>
            <w:r w:rsidRPr="000C777D">
              <w:rPr>
                <w:rFonts w:cs="Arial"/>
              </w:rPr>
              <w:t xml:space="preserve"> are those who primarily direct the management of the foreign enterprises which have established commercial presence in Viet Nam, receiving only general supervision or direction from the board of directors or stockholders of the business or their equivalent, including directing the establishment or a department or subdivision of the establishment, supervising and controlling the work of other supervisory, professional or managerial employees, having the authority personally to hire and fire or recommend hiring, firing or other personnel actions, and who do not directly perform tasks concerning the actual supply of the services of the establishment.</w:t>
            </w:r>
          </w:p>
          <w:p w14:paraId="0FB700FA" w14:textId="7F053DAD" w:rsidR="002D60A5" w:rsidRPr="000C777D" w:rsidRDefault="000C777D" w:rsidP="00345094">
            <w:pPr>
              <w:spacing w:before="20" w:after="20"/>
              <w:jc w:val="both"/>
              <w:rPr>
                <w:rFonts w:cs="Arial"/>
              </w:rPr>
            </w:pPr>
            <w:r w:rsidRPr="000C777D">
              <w:rPr>
                <w:rFonts w:cs="Arial"/>
                <w:b/>
                <w:bCs/>
              </w:rPr>
              <w:lastRenderedPageBreak/>
              <w:t>Specialists</w:t>
            </w:r>
            <w:r w:rsidRPr="000C777D">
              <w:rPr>
                <w:rFonts w:cs="Arial"/>
              </w:rPr>
              <w:t xml:space="preserve"> are natural persons working within an organization who possess knowledge at an advanced level of expertise and with knowledge of the organization's services, research equipment, techniques or management. In assessing such knowledge, account will be taken not only of knowledge specific to the commercial presence, but also of whether the person has a high level of skills or qualification referring to a type of work or trade requiring specific technical knowledge.  Specialists may include, but are not limited to, members of licensed professions.</w:t>
            </w:r>
          </w:p>
        </w:tc>
        <w:tc>
          <w:tcPr>
            <w:tcW w:w="3833" w:type="dxa"/>
          </w:tcPr>
          <w:p w14:paraId="7AAD2A71" w14:textId="05AB6999" w:rsidR="002D60A5" w:rsidRDefault="000C777D" w:rsidP="00077735">
            <w:pPr>
              <w:spacing w:before="20" w:after="20"/>
              <w:jc w:val="both"/>
              <w:rPr>
                <w:rFonts w:cs="Arial"/>
              </w:rPr>
            </w:pPr>
            <w:r w:rsidRPr="000C777D">
              <w:rPr>
                <w:rFonts w:cs="Arial"/>
              </w:rPr>
              <w:lastRenderedPageBreak/>
              <w:t>Intra-Corporate Transferees shall be granted entry and a stay permit for an initial period of three years which may be extended subject to the term of operation of those entities in Viet Nam. At least 20</w:t>
            </w:r>
            <w:r w:rsidR="00D27D35">
              <w:rPr>
                <w:rFonts w:cs="Arial"/>
              </w:rPr>
              <w:t xml:space="preserve"> per cent</w:t>
            </w:r>
            <w:r w:rsidRPr="000C777D">
              <w:rPr>
                <w:rFonts w:cs="Arial"/>
              </w:rPr>
              <w:t xml:space="preserve"> of the total number of managers, executives and specialists shall be Vietnamese nationals. However, a minimum of </w:t>
            </w:r>
            <w:r w:rsidR="00077735">
              <w:rPr>
                <w:rFonts w:cs="Arial"/>
              </w:rPr>
              <w:t>three</w:t>
            </w:r>
            <w:r w:rsidR="00077735" w:rsidRPr="000C777D">
              <w:rPr>
                <w:rFonts w:cs="Arial"/>
              </w:rPr>
              <w:t xml:space="preserve"> </w:t>
            </w:r>
            <w:r w:rsidRPr="000C777D">
              <w:rPr>
                <w:rFonts w:cs="Arial"/>
              </w:rPr>
              <w:t>non-Vietnamese managers, executives and specialists shall be permitted per enterprise</w:t>
            </w:r>
            <w:r w:rsidR="007F02D5">
              <w:rPr>
                <w:rFonts w:cs="Arial"/>
              </w:rPr>
              <w:t>.</w:t>
            </w:r>
          </w:p>
        </w:tc>
      </w:tr>
      <w:tr w:rsidR="002D60A5" w14:paraId="107A197C" w14:textId="77777777" w:rsidTr="00345094">
        <w:tc>
          <w:tcPr>
            <w:tcW w:w="7579" w:type="dxa"/>
            <w:gridSpan w:val="2"/>
          </w:tcPr>
          <w:p w14:paraId="77D70F7D" w14:textId="641E8C23" w:rsidR="002D60A5" w:rsidRPr="002D60A5" w:rsidRDefault="00AB2D69" w:rsidP="00A84D5F">
            <w:pPr>
              <w:pStyle w:val="ListParagraph"/>
              <w:numPr>
                <w:ilvl w:val="0"/>
                <w:numId w:val="31"/>
              </w:numPr>
              <w:spacing w:before="60" w:after="60"/>
              <w:ind w:left="720" w:hanging="720"/>
              <w:rPr>
                <w:rFonts w:cs="Arial"/>
                <w:b/>
                <w:bCs/>
              </w:rPr>
            </w:pPr>
            <w:r>
              <w:rPr>
                <w:rFonts w:cs="Arial"/>
                <w:b/>
                <w:bCs/>
                <w:lang w:val="en-US"/>
              </w:rPr>
              <w:t xml:space="preserve"> </w:t>
            </w:r>
            <w:r w:rsidR="000C777D" w:rsidRPr="000C777D">
              <w:rPr>
                <w:rFonts w:cs="Arial"/>
                <w:b/>
                <w:bCs/>
                <w:lang w:val="en-US"/>
              </w:rPr>
              <w:t xml:space="preserve">Other </w:t>
            </w:r>
            <w:r w:rsidR="000C777D">
              <w:rPr>
                <w:rFonts w:cs="Arial"/>
                <w:b/>
                <w:bCs/>
                <w:lang w:val="en-US"/>
              </w:rPr>
              <w:t>P</w:t>
            </w:r>
            <w:r w:rsidR="000C777D" w:rsidRPr="000C777D">
              <w:rPr>
                <w:rFonts w:cs="Arial"/>
                <w:b/>
                <w:bCs/>
                <w:lang w:val="en-US"/>
              </w:rPr>
              <w:t>ersonnel</w:t>
            </w:r>
          </w:p>
        </w:tc>
      </w:tr>
      <w:tr w:rsidR="002D60A5" w14:paraId="3097DD61" w14:textId="77777777" w:rsidTr="00345094">
        <w:tc>
          <w:tcPr>
            <w:tcW w:w="3746" w:type="dxa"/>
          </w:tcPr>
          <w:p w14:paraId="37307341" w14:textId="08BABD85" w:rsidR="000C777D" w:rsidRDefault="000C777D" w:rsidP="00A84D5F">
            <w:pPr>
              <w:spacing w:before="60" w:after="60"/>
              <w:jc w:val="both"/>
              <w:rPr>
                <w:rFonts w:cs="Arial"/>
              </w:rPr>
            </w:pPr>
            <w:r w:rsidRPr="000C777D">
              <w:rPr>
                <w:rFonts w:cs="Arial"/>
              </w:rPr>
              <w:t>Managers, executives and specialists, as defined in (A) above, who cannot be substituted by Vietnamese and who are employed outside Viet Nam's territory by a foreign enterprise which has established a commercial presence in the territory of Viet Nam with a view to participating in the foreign enterprise's activities in Viet Nam</w:t>
            </w:r>
            <w:r>
              <w:rPr>
                <w:rFonts w:cs="Arial"/>
              </w:rPr>
              <w:t>.</w:t>
            </w:r>
          </w:p>
        </w:tc>
        <w:tc>
          <w:tcPr>
            <w:tcW w:w="3833" w:type="dxa"/>
          </w:tcPr>
          <w:p w14:paraId="58C249D9" w14:textId="799E16E7" w:rsidR="002D60A5" w:rsidRDefault="000C777D" w:rsidP="00A84D5F">
            <w:pPr>
              <w:spacing w:before="60" w:after="60"/>
              <w:jc w:val="both"/>
              <w:rPr>
                <w:rFonts w:cs="Arial"/>
              </w:rPr>
            </w:pPr>
            <w:r w:rsidRPr="000C777D">
              <w:rPr>
                <w:rFonts w:cs="Arial"/>
              </w:rPr>
              <w:t>Other personnel shall be granted entry and a stay permit in conformity with the term of the concerned employment contract or for an initial period of three years whichever is shorter, which may be extended subject to the employment contract between them and the commercial presence.</w:t>
            </w:r>
          </w:p>
        </w:tc>
      </w:tr>
      <w:tr w:rsidR="002D60A5" w14:paraId="14BCBCEE" w14:textId="77777777" w:rsidTr="00345094">
        <w:tc>
          <w:tcPr>
            <w:tcW w:w="7579" w:type="dxa"/>
            <w:gridSpan w:val="2"/>
          </w:tcPr>
          <w:p w14:paraId="2A658C1B" w14:textId="59E90228" w:rsidR="002D60A5" w:rsidRPr="002D60A5" w:rsidRDefault="000C777D" w:rsidP="00A84D5F">
            <w:pPr>
              <w:pStyle w:val="ListParagraph"/>
              <w:numPr>
                <w:ilvl w:val="0"/>
                <w:numId w:val="31"/>
              </w:numPr>
              <w:spacing w:before="60" w:after="60"/>
              <w:ind w:left="720" w:hanging="720"/>
              <w:rPr>
                <w:rFonts w:cs="Arial"/>
                <w:b/>
                <w:bCs/>
              </w:rPr>
            </w:pPr>
            <w:r w:rsidRPr="000C777D">
              <w:rPr>
                <w:rFonts w:cs="Arial"/>
                <w:b/>
                <w:bCs/>
              </w:rPr>
              <w:t>Service Sales Persons</w:t>
            </w:r>
          </w:p>
        </w:tc>
      </w:tr>
      <w:tr w:rsidR="002D60A5" w14:paraId="4930F711" w14:textId="77777777" w:rsidTr="00345094">
        <w:tc>
          <w:tcPr>
            <w:tcW w:w="3746" w:type="dxa"/>
          </w:tcPr>
          <w:p w14:paraId="27A8B720" w14:textId="36341FF5" w:rsidR="007F02D5" w:rsidRDefault="000C777D" w:rsidP="00A84D5F">
            <w:pPr>
              <w:tabs>
                <w:tab w:val="left" w:pos="930"/>
              </w:tabs>
              <w:spacing w:before="60" w:after="60"/>
              <w:jc w:val="both"/>
              <w:rPr>
                <w:rFonts w:cs="Arial"/>
              </w:rPr>
            </w:pPr>
            <w:r w:rsidRPr="000C777D">
              <w:rPr>
                <w:rFonts w:cs="Arial"/>
              </w:rPr>
              <w:t>Natural persons not based in the territory of Viet Nam and receiving no remuneration from a source located within Viet Nam, and who are engaged in activities related to representing a service provider for the purpose of negotiating for the sale of the services of that provider where:  (</w:t>
            </w:r>
            <w:proofErr w:type="spellStart"/>
            <w:r w:rsidRPr="000C777D">
              <w:rPr>
                <w:rFonts w:cs="Arial"/>
              </w:rPr>
              <w:t>i</w:t>
            </w:r>
            <w:proofErr w:type="spellEnd"/>
            <w:r w:rsidRPr="000C777D">
              <w:rPr>
                <w:rFonts w:cs="Arial"/>
              </w:rPr>
              <w:t>) such sales are not directly made to the general public; and (ii) the salesperson is not directly engaged in supplying the service.</w:t>
            </w:r>
          </w:p>
        </w:tc>
        <w:tc>
          <w:tcPr>
            <w:tcW w:w="3833" w:type="dxa"/>
          </w:tcPr>
          <w:p w14:paraId="0E86171A" w14:textId="4F523F17" w:rsidR="002D60A5" w:rsidRDefault="000C777D" w:rsidP="00A84D5F">
            <w:pPr>
              <w:spacing w:before="60" w:after="60"/>
              <w:jc w:val="both"/>
              <w:rPr>
                <w:rFonts w:cs="Arial"/>
              </w:rPr>
            </w:pPr>
            <w:r w:rsidRPr="000C777D">
              <w:rPr>
                <w:rFonts w:cs="Arial"/>
              </w:rPr>
              <w:t>The stay of Service sales persons is limited to a 90-day period.</w:t>
            </w:r>
          </w:p>
        </w:tc>
      </w:tr>
    </w:tbl>
    <w:p w14:paraId="78CF85B8" w14:textId="77777777" w:rsidR="00345094" w:rsidRDefault="00345094">
      <w:r>
        <w:br w:type="page"/>
      </w:r>
    </w:p>
    <w:tbl>
      <w:tblPr>
        <w:tblStyle w:val="TableGrid"/>
        <w:tblW w:w="0" w:type="auto"/>
        <w:tblLook w:val="04A0" w:firstRow="1" w:lastRow="0" w:firstColumn="1" w:lastColumn="0" w:noHBand="0" w:noVBand="1"/>
      </w:tblPr>
      <w:tblGrid>
        <w:gridCol w:w="3746"/>
        <w:gridCol w:w="3833"/>
      </w:tblGrid>
      <w:tr w:rsidR="002D60A5" w14:paraId="28BB87CD" w14:textId="77777777" w:rsidTr="00345094">
        <w:tc>
          <w:tcPr>
            <w:tcW w:w="7579" w:type="dxa"/>
            <w:gridSpan w:val="2"/>
          </w:tcPr>
          <w:p w14:paraId="21FAAC95" w14:textId="2152994B" w:rsidR="002D60A5" w:rsidRDefault="000C777D" w:rsidP="00A84D5F">
            <w:pPr>
              <w:pStyle w:val="ListParagraph"/>
              <w:numPr>
                <w:ilvl w:val="0"/>
                <w:numId w:val="31"/>
              </w:numPr>
              <w:spacing w:before="60" w:after="60"/>
              <w:ind w:left="720" w:hanging="720"/>
              <w:rPr>
                <w:rFonts w:cs="Arial"/>
              </w:rPr>
            </w:pPr>
            <w:r w:rsidRPr="000C777D">
              <w:rPr>
                <w:rFonts w:cs="Arial"/>
                <w:b/>
                <w:bCs/>
              </w:rPr>
              <w:lastRenderedPageBreak/>
              <w:t xml:space="preserve">Persons Responsible for Setting Up </w:t>
            </w:r>
            <w:r>
              <w:rPr>
                <w:rFonts w:cs="Arial"/>
                <w:b/>
                <w:bCs/>
              </w:rPr>
              <w:t>a</w:t>
            </w:r>
            <w:r w:rsidRPr="000C777D">
              <w:rPr>
                <w:rFonts w:cs="Arial"/>
                <w:b/>
                <w:bCs/>
              </w:rPr>
              <w:t xml:space="preserve"> Commercial Presence</w:t>
            </w:r>
          </w:p>
        </w:tc>
      </w:tr>
      <w:tr w:rsidR="002D60A5" w14:paraId="29CE070B" w14:textId="77777777" w:rsidTr="00345094">
        <w:tc>
          <w:tcPr>
            <w:tcW w:w="3746" w:type="dxa"/>
          </w:tcPr>
          <w:p w14:paraId="7D04C054" w14:textId="48852047" w:rsidR="002D60A5" w:rsidRDefault="000C777D" w:rsidP="00A84D5F">
            <w:pPr>
              <w:spacing w:before="60" w:after="60"/>
              <w:jc w:val="both"/>
              <w:rPr>
                <w:rFonts w:cs="Arial"/>
              </w:rPr>
            </w:pPr>
            <w:r w:rsidRPr="000C777D">
              <w:rPr>
                <w:rFonts w:cs="Arial"/>
              </w:rPr>
              <w:t>Managers and executives (as defined in (a) above) within a juridical person, who are responsible for the setting up, in Viet Nam, of a commercial presence of a service provider of a Party when (</w:t>
            </w:r>
            <w:proofErr w:type="spellStart"/>
            <w:r w:rsidRPr="000C777D">
              <w:rPr>
                <w:rFonts w:cs="Arial"/>
              </w:rPr>
              <w:t>i</w:t>
            </w:r>
            <w:proofErr w:type="spellEnd"/>
            <w:r w:rsidRPr="000C777D">
              <w:rPr>
                <w:rFonts w:cs="Arial"/>
              </w:rPr>
              <w:t>) these people are not engaged in making direct sales or supplying services; and (ii) the service provider has its principal place of business in the territory of a Party other than Viet Nam and has no other commercial presence in Viet Nam</w:t>
            </w:r>
            <w:r w:rsidR="007F02D5">
              <w:rPr>
                <w:rFonts w:cs="Arial"/>
              </w:rPr>
              <w:t>.</w:t>
            </w:r>
          </w:p>
        </w:tc>
        <w:tc>
          <w:tcPr>
            <w:tcW w:w="3833" w:type="dxa"/>
          </w:tcPr>
          <w:p w14:paraId="3A535419" w14:textId="2136956B" w:rsidR="002D60A5" w:rsidRDefault="000C777D" w:rsidP="00A84D5F">
            <w:pPr>
              <w:spacing w:before="60" w:after="60"/>
              <w:jc w:val="both"/>
              <w:rPr>
                <w:rFonts w:cs="Arial"/>
              </w:rPr>
            </w:pPr>
            <w:r w:rsidRPr="000C777D">
              <w:rPr>
                <w:rFonts w:cs="Arial"/>
              </w:rPr>
              <w:t>The stay of persons responsible for setting up a commercial presence is limited to a 90-day period.</w:t>
            </w:r>
          </w:p>
        </w:tc>
      </w:tr>
      <w:tr w:rsidR="000C777D" w14:paraId="6AAD6A9E" w14:textId="77777777" w:rsidTr="00345094">
        <w:tc>
          <w:tcPr>
            <w:tcW w:w="7579" w:type="dxa"/>
            <w:gridSpan w:val="2"/>
          </w:tcPr>
          <w:p w14:paraId="7BF7C0D3" w14:textId="260B82D5" w:rsidR="000C777D" w:rsidRDefault="000C777D" w:rsidP="00A84D5F">
            <w:pPr>
              <w:pStyle w:val="ListParagraph"/>
              <w:numPr>
                <w:ilvl w:val="0"/>
                <w:numId w:val="31"/>
              </w:numPr>
              <w:spacing w:before="60" w:after="60"/>
              <w:ind w:left="720" w:hanging="720"/>
              <w:rPr>
                <w:rFonts w:cs="Arial"/>
              </w:rPr>
            </w:pPr>
            <w:r w:rsidRPr="000C777D">
              <w:rPr>
                <w:rFonts w:cs="Arial"/>
                <w:b/>
                <w:bCs/>
              </w:rPr>
              <w:t>Contractual Service Suppliers (CSS)</w:t>
            </w:r>
          </w:p>
        </w:tc>
      </w:tr>
      <w:tr w:rsidR="000C777D" w14:paraId="55F95DB6" w14:textId="77777777" w:rsidTr="00345094">
        <w:tc>
          <w:tcPr>
            <w:tcW w:w="3746" w:type="dxa"/>
          </w:tcPr>
          <w:p w14:paraId="2896F1A0" w14:textId="77777777" w:rsidR="000C777D" w:rsidRPr="000C777D" w:rsidRDefault="000C777D" w:rsidP="00A84D5F">
            <w:pPr>
              <w:spacing w:before="60" w:after="60"/>
              <w:jc w:val="both"/>
              <w:rPr>
                <w:rFonts w:cs="Arial"/>
              </w:rPr>
            </w:pPr>
            <w:r w:rsidRPr="000C777D">
              <w:rPr>
                <w:rFonts w:cs="Arial"/>
              </w:rPr>
              <w:t>Natural persons who are employees of a foreign enterprise having no commercial presence in Viet Nam.</w:t>
            </w:r>
          </w:p>
          <w:p w14:paraId="19E014EE" w14:textId="77777777" w:rsidR="000C777D" w:rsidRDefault="000C777D" w:rsidP="00A84D5F">
            <w:pPr>
              <w:spacing w:before="60" w:after="60"/>
              <w:jc w:val="both"/>
              <w:rPr>
                <w:rFonts w:cs="Arial"/>
              </w:rPr>
            </w:pPr>
          </w:p>
        </w:tc>
        <w:tc>
          <w:tcPr>
            <w:tcW w:w="3833" w:type="dxa"/>
          </w:tcPr>
          <w:p w14:paraId="017C7A5D" w14:textId="4C8DD2BC" w:rsidR="000C777D" w:rsidRDefault="000C777D" w:rsidP="00A84D5F">
            <w:pPr>
              <w:spacing w:before="60" w:after="60"/>
              <w:jc w:val="both"/>
              <w:rPr>
                <w:rFonts w:cs="Arial"/>
              </w:rPr>
            </w:pPr>
            <w:r w:rsidRPr="000C777D">
              <w:rPr>
                <w:rFonts w:cs="Arial"/>
              </w:rPr>
              <w:t>Contractual service suppliers (CSS) may enter and stay in Viet Nam for a period of 90 days or for the duration of the contract, whichever is less provided that the following conditions and requirements shall be applied:</w:t>
            </w:r>
          </w:p>
          <w:p w14:paraId="77DA5BD2" w14:textId="77777777" w:rsidR="007F02D5" w:rsidRPr="00345094" w:rsidRDefault="007F02D5" w:rsidP="00A84D5F">
            <w:pPr>
              <w:spacing w:before="60" w:after="60"/>
              <w:jc w:val="both"/>
              <w:rPr>
                <w:rFonts w:cs="Arial"/>
                <w:sz w:val="10"/>
                <w:szCs w:val="10"/>
              </w:rPr>
            </w:pPr>
          </w:p>
          <w:p w14:paraId="709973DA" w14:textId="49FE5686" w:rsidR="007F02D5" w:rsidRDefault="000C777D" w:rsidP="00A84D5F">
            <w:pPr>
              <w:pStyle w:val="ListParagraph"/>
              <w:numPr>
                <w:ilvl w:val="0"/>
                <w:numId w:val="35"/>
              </w:numPr>
              <w:spacing w:before="60" w:after="60"/>
              <w:ind w:left="360"/>
              <w:jc w:val="both"/>
              <w:rPr>
                <w:rFonts w:cs="Arial"/>
              </w:rPr>
            </w:pPr>
            <w:r w:rsidRPr="007F02D5">
              <w:rPr>
                <w:rFonts w:cs="Arial"/>
              </w:rPr>
              <w:t xml:space="preserve">The foreign enterprise has obtained a service contract from a Vietnamese enterprise engaged in business operation in Viet Nam. The competent authority of Viet Nam must be able to establish the necessary procedures to guarantee the bona fide character of the contract. </w:t>
            </w:r>
          </w:p>
          <w:p w14:paraId="3D4A34E9" w14:textId="77777777" w:rsidR="007F02D5" w:rsidRPr="00345094" w:rsidRDefault="007F02D5" w:rsidP="00A84D5F">
            <w:pPr>
              <w:pStyle w:val="ListParagraph"/>
              <w:spacing w:before="60" w:after="60"/>
              <w:ind w:left="360"/>
              <w:jc w:val="both"/>
              <w:rPr>
                <w:rFonts w:cs="Arial"/>
                <w:sz w:val="10"/>
                <w:szCs w:val="10"/>
              </w:rPr>
            </w:pPr>
          </w:p>
          <w:p w14:paraId="4D14A520" w14:textId="507523CF" w:rsidR="007F02D5" w:rsidRDefault="000C777D" w:rsidP="00A84D5F">
            <w:pPr>
              <w:pStyle w:val="ListParagraph"/>
              <w:numPr>
                <w:ilvl w:val="0"/>
                <w:numId w:val="35"/>
              </w:numPr>
              <w:spacing w:before="60" w:after="60"/>
              <w:ind w:left="360"/>
              <w:jc w:val="both"/>
              <w:rPr>
                <w:rFonts w:cs="Arial"/>
              </w:rPr>
            </w:pPr>
            <w:r w:rsidRPr="007F02D5">
              <w:rPr>
                <w:rFonts w:cs="Arial"/>
              </w:rPr>
              <w:t xml:space="preserve">These persons must possess: (a) a university degree or a technical qualification document demonstrating knowledge of an equivalent level; (b) professional qualifications where this is required to exercise an activity in the sector concerned pursuant to the laws and regulations of Viet Nam; and (c) at least </w:t>
            </w:r>
            <w:r w:rsidR="0099599B">
              <w:rPr>
                <w:rFonts w:cs="Arial"/>
              </w:rPr>
              <w:t>five</w:t>
            </w:r>
            <w:r w:rsidR="0099599B" w:rsidRPr="007F02D5">
              <w:rPr>
                <w:rFonts w:cs="Arial"/>
              </w:rPr>
              <w:t xml:space="preserve"> </w:t>
            </w:r>
            <w:r w:rsidRPr="007F02D5">
              <w:rPr>
                <w:rFonts w:cs="Arial"/>
              </w:rPr>
              <w:t xml:space="preserve">years of professional experience in the sector. </w:t>
            </w:r>
          </w:p>
          <w:p w14:paraId="703100B0" w14:textId="77777777" w:rsidR="007F02D5" w:rsidRPr="00345094" w:rsidRDefault="007F02D5" w:rsidP="00A84D5F">
            <w:pPr>
              <w:pStyle w:val="ListParagraph"/>
              <w:spacing w:before="60" w:after="60"/>
              <w:ind w:left="360"/>
              <w:jc w:val="both"/>
              <w:rPr>
                <w:rFonts w:cs="Arial"/>
                <w:sz w:val="10"/>
                <w:szCs w:val="10"/>
              </w:rPr>
            </w:pPr>
          </w:p>
          <w:p w14:paraId="026BFD8F" w14:textId="03EB1B10" w:rsidR="007F02D5" w:rsidRDefault="000C777D" w:rsidP="00A84D5F">
            <w:pPr>
              <w:pStyle w:val="ListParagraph"/>
              <w:numPr>
                <w:ilvl w:val="0"/>
                <w:numId w:val="35"/>
              </w:numPr>
              <w:spacing w:before="60" w:after="60"/>
              <w:ind w:left="360"/>
              <w:jc w:val="both"/>
              <w:rPr>
                <w:rFonts w:cs="Arial"/>
              </w:rPr>
            </w:pPr>
            <w:r w:rsidRPr="007F02D5">
              <w:rPr>
                <w:rFonts w:cs="Arial"/>
              </w:rPr>
              <w:t xml:space="preserve">The number of these persons covered by the service contract shall not be larger than necessary to fulfil the contract, as it may be decided by the laws and regulations and requirement of Viet Nam. </w:t>
            </w:r>
          </w:p>
          <w:p w14:paraId="6D79EC8F" w14:textId="77777777" w:rsidR="007F02D5" w:rsidRPr="00345094" w:rsidRDefault="007F02D5" w:rsidP="00A84D5F">
            <w:pPr>
              <w:pStyle w:val="ListParagraph"/>
              <w:spacing w:before="60" w:after="60"/>
              <w:ind w:left="360"/>
              <w:jc w:val="both"/>
              <w:rPr>
                <w:rFonts w:cs="Arial"/>
                <w:sz w:val="10"/>
                <w:szCs w:val="10"/>
              </w:rPr>
            </w:pPr>
          </w:p>
          <w:p w14:paraId="0833E4A5" w14:textId="38EBA03B" w:rsidR="000C777D" w:rsidRPr="007F02D5" w:rsidRDefault="000C777D" w:rsidP="00A84D5F">
            <w:pPr>
              <w:pStyle w:val="ListParagraph"/>
              <w:numPr>
                <w:ilvl w:val="0"/>
                <w:numId w:val="35"/>
              </w:numPr>
              <w:spacing w:before="60" w:after="60"/>
              <w:ind w:left="360"/>
              <w:jc w:val="both"/>
              <w:rPr>
                <w:rFonts w:cs="Arial"/>
              </w:rPr>
            </w:pPr>
            <w:r w:rsidRPr="007F02D5">
              <w:rPr>
                <w:rFonts w:cs="Arial"/>
              </w:rPr>
              <w:t xml:space="preserve">These persons have been employed by the foreign enterprise having no commercial presence in Viet Nam for a period of no less than </w:t>
            </w:r>
            <w:r w:rsidR="00E41B4C">
              <w:rPr>
                <w:rFonts w:cs="Arial"/>
              </w:rPr>
              <w:t>two</w:t>
            </w:r>
            <w:r w:rsidR="00E41B4C" w:rsidRPr="007F02D5">
              <w:rPr>
                <w:rFonts w:cs="Arial"/>
              </w:rPr>
              <w:t xml:space="preserve"> </w:t>
            </w:r>
            <w:r w:rsidRPr="007F02D5">
              <w:rPr>
                <w:rFonts w:cs="Arial"/>
              </w:rPr>
              <w:t xml:space="preserve">years </w:t>
            </w:r>
            <w:r w:rsidRPr="007F02D5">
              <w:rPr>
                <w:rFonts w:cs="Arial"/>
              </w:rPr>
              <w:lastRenderedPageBreak/>
              <w:t xml:space="preserve">and have met the requirements prescribed for "specialist" above. </w:t>
            </w:r>
          </w:p>
          <w:p w14:paraId="6D318B68" w14:textId="77777777" w:rsidR="007F02D5" w:rsidRPr="00A84D5F" w:rsidRDefault="007F02D5" w:rsidP="00A84D5F">
            <w:pPr>
              <w:spacing w:before="60" w:after="60"/>
              <w:ind w:left="512" w:hanging="512"/>
              <w:jc w:val="both"/>
              <w:rPr>
                <w:rFonts w:cs="Arial"/>
              </w:rPr>
            </w:pPr>
          </w:p>
          <w:p w14:paraId="448FA6A8" w14:textId="36B91FF9" w:rsidR="007F02D5" w:rsidRDefault="000C777D" w:rsidP="00A84D5F">
            <w:pPr>
              <w:spacing w:before="60" w:after="60"/>
              <w:jc w:val="both"/>
              <w:rPr>
                <w:rFonts w:cs="Arial"/>
              </w:rPr>
            </w:pPr>
            <w:r w:rsidRPr="000C777D">
              <w:rPr>
                <w:rFonts w:cs="Arial"/>
              </w:rPr>
              <w:t>The entry of these persons is allowed for computer and related services (CP 841 845, 849) and engineering services (CPC 8672).</w:t>
            </w:r>
          </w:p>
        </w:tc>
      </w:tr>
    </w:tbl>
    <w:p w14:paraId="61E9B382" w14:textId="77777777" w:rsidR="009962A9" w:rsidRPr="00031696" w:rsidRDefault="009962A9" w:rsidP="009962A9"/>
    <w:sectPr w:rsidR="009962A9" w:rsidRPr="00031696" w:rsidSect="00AB2D69">
      <w:footerReference w:type="default" r:id="rId9"/>
      <w:headerReference w:type="first" r:id="rId10"/>
      <w:pgSz w:w="11909" w:h="16834" w:code="9"/>
      <w:pgMar w:top="2304" w:right="2160" w:bottom="1800" w:left="216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C69" w14:textId="77777777" w:rsidR="003804C0" w:rsidRDefault="003804C0">
      <w:r>
        <w:separator/>
      </w:r>
    </w:p>
  </w:endnote>
  <w:endnote w:type="continuationSeparator" w:id="0">
    <w:p w14:paraId="465B3367" w14:textId="77777777" w:rsidR="003804C0" w:rsidRDefault="003804C0">
      <w:r>
        <w:continuationSeparator/>
      </w:r>
    </w:p>
  </w:endnote>
  <w:endnote w:type="continuationNotice" w:id="1">
    <w:p w14:paraId="470ABEEC" w14:textId="77777777" w:rsidR="003804C0" w:rsidRDefault="00380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4330" w:tblpY="-39"/>
      <w:tblW w:w="0" w:type="auto"/>
      <w:tblLook w:val="04A0" w:firstRow="1" w:lastRow="0" w:firstColumn="1" w:lastColumn="0" w:noHBand="0" w:noVBand="1"/>
    </w:tblPr>
    <w:tblGrid>
      <w:gridCol w:w="4439"/>
    </w:tblGrid>
    <w:tr w:rsidR="00DD54E9" w:rsidRPr="00CF0495" w14:paraId="56A7C1AB" w14:textId="77777777" w:rsidTr="004B70A8">
      <w:trPr>
        <w:trHeight w:val="196"/>
      </w:trPr>
      <w:tc>
        <w:tcPr>
          <w:tcW w:w="4439" w:type="dxa"/>
          <w:tcBorders>
            <w:top w:val="nil"/>
            <w:left w:val="nil"/>
            <w:bottom w:val="nil"/>
            <w:right w:val="nil"/>
          </w:tcBorders>
        </w:tcPr>
        <w:p w14:paraId="4D7683B6" w14:textId="5DD5F38D" w:rsidR="00DD54E9" w:rsidRPr="00CF0495" w:rsidRDefault="00DD54E9" w:rsidP="00DD54E9">
          <w:pPr>
            <w:pStyle w:val="Footer"/>
            <w:tabs>
              <w:tab w:val="clear" w:pos="4320"/>
              <w:tab w:val="clear" w:pos="8640"/>
            </w:tabs>
          </w:pPr>
          <w:r>
            <w:t>A</w:t>
          </w:r>
          <w:r w:rsidR="00500E58">
            <w:t xml:space="preserve">NNEX </w:t>
          </w:r>
          <w:r w:rsidR="00AB2D69">
            <w:t>4</w:t>
          </w:r>
          <w:r w:rsidR="00500E58">
            <w:t xml:space="preserve"> – </w:t>
          </w:r>
          <w:r w:rsidR="000C777D">
            <w:t>VIET NAM</w:t>
          </w:r>
          <w:r w:rsidR="00500E58">
            <w:t xml:space="preserve"> –</w:t>
          </w:r>
          <w:r>
            <w:t xml:space="preserve"> </w:t>
          </w:r>
          <w:r w:rsidRPr="00CF0495">
            <w:fldChar w:fldCharType="begin"/>
          </w:r>
          <w:r w:rsidRPr="00CF0495">
            <w:instrText xml:space="preserve"> PAGE   \* MERGEFORMAT </w:instrText>
          </w:r>
          <w:r w:rsidRPr="00CF0495">
            <w:fldChar w:fldCharType="separate"/>
          </w:r>
          <w:r w:rsidR="002B5E34">
            <w:rPr>
              <w:noProof/>
            </w:rPr>
            <w:t>4</w:t>
          </w:r>
          <w:r w:rsidRPr="00CF0495">
            <w:rPr>
              <w:noProof/>
            </w:rPr>
            <w:fldChar w:fldCharType="end"/>
          </w:r>
        </w:p>
      </w:tc>
    </w:tr>
  </w:tbl>
  <w:p w14:paraId="57E7E0FE" w14:textId="77777777" w:rsidR="009A4CED" w:rsidRPr="00151B2F" w:rsidRDefault="009A4CED" w:rsidP="00B66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AB42" w14:textId="77777777" w:rsidR="003804C0" w:rsidRDefault="003804C0">
      <w:r>
        <w:separator/>
      </w:r>
    </w:p>
  </w:footnote>
  <w:footnote w:type="continuationSeparator" w:id="0">
    <w:p w14:paraId="09337115" w14:textId="77777777" w:rsidR="003804C0" w:rsidRDefault="003804C0">
      <w:r>
        <w:continuationSeparator/>
      </w:r>
    </w:p>
  </w:footnote>
  <w:footnote w:type="continuationNotice" w:id="1">
    <w:p w14:paraId="4AC2C389" w14:textId="77777777" w:rsidR="003804C0" w:rsidRDefault="00380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DC9D" w14:textId="77777777" w:rsidR="009A4CED" w:rsidRDefault="009A4CED" w:rsidP="009A4CED">
    <w:pPr>
      <w:tabs>
        <w:tab w:val="center" w:pos="6979"/>
      </w:tabs>
      <w:suppressAutoHyphens/>
      <w:jc w:val="center"/>
      <w:rPr>
        <w:rFonts w:cs="Arial"/>
        <w:b/>
        <w:bCs/>
      </w:rPr>
    </w:pPr>
  </w:p>
  <w:p w14:paraId="08085E90" w14:textId="77777777" w:rsidR="009A4CED" w:rsidRPr="00786242" w:rsidRDefault="009A4CED" w:rsidP="00E633A1">
    <w:pPr>
      <w:pStyle w:val="Heading1"/>
    </w:pPr>
    <w:r w:rsidRPr="00786242">
      <w:t xml:space="preserve">BRUNEI DARUSSALAM – SCHEDULE </w:t>
    </w:r>
    <w:proofErr w:type="gramStart"/>
    <w:r w:rsidRPr="00786242">
      <w:t>OF  COMMITMENTS</w:t>
    </w:r>
    <w:proofErr w:type="gramEnd"/>
  </w:p>
  <w:p w14:paraId="44206087" w14:textId="77777777" w:rsidR="009A4CED" w:rsidRDefault="009A4CED" w:rsidP="009A4CED"/>
  <w:p w14:paraId="2923E6F2" w14:textId="77777777" w:rsidR="009A4CED" w:rsidRDefault="009A4CED" w:rsidP="009A4CED">
    <w:pPr>
      <w:pStyle w:val="Centered"/>
    </w:pPr>
    <w:r>
      <w:t>For the 6</w:t>
    </w:r>
    <w:r w:rsidRPr="00FF3795">
      <w:rPr>
        <w:vertAlign w:val="superscript"/>
      </w:rPr>
      <w:t>th</w:t>
    </w:r>
    <w:r>
      <w:t xml:space="preserve"> Package of Commitments under ASEAN Framework Agreement on Services</w:t>
    </w:r>
  </w:p>
  <w:p w14:paraId="615FABD4" w14:textId="77777777" w:rsidR="009A4CED" w:rsidRDefault="009A4CED" w:rsidP="009A4CED">
    <w:pPr>
      <w:pStyle w:val="Header"/>
      <w:tabs>
        <w:tab w:val="clear" w:pos="4320"/>
        <w:tab w:val="clear" w:pos="8640"/>
      </w:tabs>
    </w:pPr>
  </w:p>
  <w:p w14:paraId="2E4FBCA8" w14:textId="6E4102F0" w:rsidR="009A4CED" w:rsidRPr="00FF3795" w:rsidRDefault="009A4CED" w:rsidP="009A4CED">
    <w:pPr>
      <w:pStyle w:val="Header"/>
      <w:tabs>
        <w:tab w:val="clear" w:pos="4320"/>
        <w:tab w:val="clear" w:pos="8640"/>
      </w:tabs>
    </w:pPr>
    <w:r w:rsidRPr="00FF3795">
      <w:t>Modes of Supply:</w:t>
    </w:r>
    <w:r>
      <w:t xml:space="preserve">  </w:t>
    </w:r>
    <w:r w:rsidRPr="00FF3795">
      <w:tab/>
      <w:t>1) Cross-border supply</w:t>
    </w:r>
    <w:r>
      <w:t xml:space="preserve">   </w:t>
    </w:r>
    <w:r w:rsidRPr="00FF3795">
      <w:tab/>
      <w:t xml:space="preserve">2) Consumption </w:t>
    </w:r>
    <w:r w:rsidR="000B0F17">
      <w:t>abroad</w:t>
    </w:r>
    <w:r>
      <w:t xml:space="preserve">  </w:t>
    </w:r>
    <w:r w:rsidRPr="00FF3795">
      <w:tab/>
      <w:t>3) Commercial presence</w:t>
    </w:r>
    <w:r>
      <w:t xml:space="preserve">  </w:t>
    </w:r>
    <w:r w:rsidRPr="00FF3795">
      <w:tab/>
      <w:t>4) Presence of natural persons</w:t>
    </w:r>
  </w:p>
  <w:p w14:paraId="44054E4D" w14:textId="77777777" w:rsidR="009A4CED" w:rsidRDefault="009A4CED" w:rsidP="009A4CE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4020"/>
      <w:gridCol w:w="4020"/>
      <w:gridCol w:w="2542"/>
    </w:tblGrid>
    <w:tr w:rsidR="009A4CED" w:rsidRPr="00E62199" w14:paraId="23FD92C4" w14:textId="77777777" w:rsidTr="009A4CED">
      <w:trPr>
        <w:tblHeader/>
      </w:trPr>
      <w:tc>
        <w:tcPr>
          <w:tcW w:w="3588" w:type="dxa"/>
          <w:tcBorders>
            <w:bottom w:val="single" w:sz="4" w:space="0" w:color="auto"/>
          </w:tcBorders>
          <w:shd w:val="clear" w:color="auto" w:fill="auto"/>
          <w:vAlign w:val="center"/>
        </w:tcPr>
        <w:p w14:paraId="1A99AE93" w14:textId="77777777" w:rsidR="009A4CED" w:rsidRPr="005E7882" w:rsidRDefault="009A4CED" w:rsidP="00E633A1">
          <w:pPr>
            <w:pStyle w:val="Heading1"/>
            <w:rPr>
              <w:rFonts w:eastAsia="SimSun"/>
            </w:rPr>
          </w:pPr>
          <w:r w:rsidRPr="005E7882">
            <w:rPr>
              <w:rFonts w:eastAsia="SimSun"/>
            </w:rPr>
            <w:t>Sector or Subsector</w:t>
          </w:r>
        </w:p>
      </w:tc>
      <w:tc>
        <w:tcPr>
          <w:tcW w:w="4020" w:type="dxa"/>
          <w:tcBorders>
            <w:bottom w:val="single" w:sz="4" w:space="0" w:color="auto"/>
          </w:tcBorders>
          <w:shd w:val="clear" w:color="auto" w:fill="auto"/>
          <w:vAlign w:val="center"/>
        </w:tcPr>
        <w:p w14:paraId="14CB05A3" w14:textId="77777777" w:rsidR="009A4CED" w:rsidRPr="005E7882" w:rsidRDefault="009A4CED" w:rsidP="00E633A1">
          <w:pPr>
            <w:pStyle w:val="Heading1"/>
            <w:rPr>
              <w:rFonts w:eastAsia="SimSun"/>
            </w:rPr>
          </w:pPr>
          <w:r w:rsidRPr="005E7882">
            <w:rPr>
              <w:rFonts w:eastAsia="SimSun"/>
            </w:rPr>
            <w:t>Limitation on</w:t>
          </w:r>
        </w:p>
        <w:p w14:paraId="4BA3F596" w14:textId="77777777" w:rsidR="009A4CED" w:rsidRPr="005E7882" w:rsidRDefault="009A4CED" w:rsidP="00E633A1">
          <w:pPr>
            <w:pStyle w:val="Heading1"/>
            <w:rPr>
              <w:rFonts w:eastAsia="SimSun"/>
            </w:rPr>
          </w:pPr>
          <w:r w:rsidRPr="005E7882">
            <w:rPr>
              <w:rFonts w:eastAsia="SimSun"/>
            </w:rPr>
            <w:t>Market Access</w:t>
          </w:r>
        </w:p>
      </w:tc>
      <w:tc>
        <w:tcPr>
          <w:tcW w:w="4020" w:type="dxa"/>
          <w:tcBorders>
            <w:bottom w:val="single" w:sz="4" w:space="0" w:color="auto"/>
          </w:tcBorders>
          <w:shd w:val="clear" w:color="auto" w:fill="auto"/>
          <w:vAlign w:val="center"/>
        </w:tcPr>
        <w:p w14:paraId="6C115E3F" w14:textId="77777777" w:rsidR="009A4CED" w:rsidRPr="005E7882" w:rsidRDefault="009A4CED" w:rsidP="00E633A1">
          <w:pPr>
            <w:pStyle w:val="Heading1"/>
            <w:rPr>
              <w:rFonts w:eastAsia="SimSun"/>
            </w:rPr>
          </w:pPr>
          <w:r w:rsidRPr="005E7882">
            <w:rPr>
              <w:rFonts w:eastAsia="SimSun"/>
            </w:rPr>
            <w:t>Limitation on</w:t>
          </w:r>
        </w:p>
        <w:p w14:paraId="71598029" w14:textId="77777777" w:rsidR="009A4CED" w:rsidRPr="005E7882" w:rsidRDefault="009A4CED" w:rsidP="00E633A1">
          <w:pPr>
            <w:pStyle w:val="Heading1"/>
            <w:rPr>
              <w:rFonts w:eastAsia="SimSun"/>
            </w:rPr>
          </w:pPr>
          <w:r w:rsidRPr="005E7882">
            <w:rPr>
              <w:rFonts w:eastAsia="SimSun"/>
            </w:rPr>
            <w:t>National Treatment</w:t>
          </w:r>
        </w:p>
      </w:tc>
      <w:tc>
        <w:tcPr>
          <w:tcW w:w="2542" w:type="dxa"/>
          <w:shd w:val="clear" w:color="auto" w:fill="auto"/>
          <w:vAlign w:val="center"/>
        </w:tcPr>
        <w:p w14:paraId="119686AE" w14:textId="77777777" w:rsidR="009A4CED" w:rsidRPr="005E7882" w:rsidRDefault="009A4CED" w:rsidP="00E633A1">
          <w:pPr>
            <w:pStyle w:val="Heading1"/>
            <w:rPr>
              <w:rFonts w:eastAsia="SimSun"/>
            </w:rPr>
          </w:pPr>
          <w:r w:rsidRPr="005E7882">
            <w:rPr>
              <w:rFonts w:eastAsia="SimSun"/>
            </w:rPr>
            <w:t>Additional</w:t>
          </w:r>
        </w:p>
        <w:p w14:paraId="56B97656" w14:textId="77777777" w:rsidR="009A4CED" w:rsidRPr="005E7882" w:rsidRDefault="009A4CED" w:rsidP="00E633A1">
          <w:pPr>
            <w:pStyle w:val="Heading1"/>
            <w:rPr>
              <w:rFonts w:eastAsia="SimSun"/>
            </w:rPr>
          </w:pPr>
          <w:r w:rsidRPr="005E7882">
            <w:rPr>
              <w:rFonts w:eastAsia="SimSun"/>
            </w:rPr>
            <w:t>Commitments</w:t>
          </w:r>
        </w:p>
      </w:tc>
    </w:tr>
  </w:tbl>
  <w:p w14:paraId="51F434A8" w14:textId="77777777" w:rsidR="009A4CED" w:rsidRPr="00284DCE" w:rsidRDefault="009A4CED" w:rsidP="009A4CED">
    <w:pPr>
      <w:pStyle w:val="Header"/>
      <w:tabs>
        <w:tab w:val="clear" w:pos="4320"/>
        <w:tab w:val="clear" w:pos="8640"/>
      </w:tabs>
      <w:rPr>
        <w:sz w:val="2"/>
      </w:rPr>
    </w:pPr>
  </w:p>
  <w:p w14:paraId="2094E780" w14:textId="77777777" w:rsidR="009A4CED" w:rsidRPr="005F4E7E" w:rsidRDefault="009A4CED" w:rsidP="009A4CED">
    <w:pPr>
      <w:tabs>
        <w:tab w:val="center" w:pos="6979"/>
      </w:tabs>
      <w:suppressAutoHyphens/>
      <w:jc w:val="center"/>
      <w:rPr>
        <w:rFonts w:cs="Arial"/>
        <w:sz w:val="2"/>
      </w:rPr>
    </w:pPr>
  </w:p>
  <w:p w14:paraId="0B81E482" w14:textId="77777777" w:rsidR="009A4CED" w:rsidRPr="005F4E7E" w:rsidRDefault="009A4CED">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902"/>
    <w:multiLevelType w:val="hybridMultilevel"/>
    <w:tmpl w:val="9AF2BFA0"/>
    <w:lvl w:ilvl="0" w:tplc="D31A1E88">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3E61935"/>
    <w:multiLevelType w:val="hybridMultilevel"/>
    <w:tmpl w:val="613A8D6A"/>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0A3363"/>
    <w:multiLevelType w:val="hybridMultilevel"/>
    <w:tmpl w:val="1A1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7607"/>
    <w:multiLevelType w:val="hybridMultilevel"/>
    <w:tmpl w:val="6E6ED1A2"/>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5304BB3"/>
    <w:multiLevelType w:val="hybridMultilevel"/>
    <w:tmpl w:val="12D60F78"/>
    <w:lvl w:ilvl="0" w:tplc="6E4E2D66">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B13BE9"/>
    <w:multiLevelType w:val="hybridMultilevel"/>
    <w:tmpl w:val="27B4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C66130"/>
    <w:multiLevelType w:val="hybridMultilevel"/>
    <w:tmpl w:val="37A2BB6E"/>
    <w:lvl w:ilvl="0" w:tplc="99225A72">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21137"/>
    <w:multiLevelType w:val="hybridMultilevel"/>
    <w:tmpl w:val="1B4ECD88"/>
    <w:lvl w:ilvl="0" w:tplc="7C368764">
      <w:start w:val="1"/>
      <w:numFmt w:val="upperLetter"/>
      <w:lvlText w:val="%1."/>
      <w:lvlJc w:val="left"/>
      <w:pPr>
        <w:ind w:left="720" w:hanging="360"/>
      </w:pPr>
    </w:lvl>
    <w:lvl w:ilvl="1" w:tplc="B192AD84">
      <w:start w:val="1"/>
      <w:numFmt w:val="lowerLetter"/>
      <w:lvlText w:val="%2."/>
      <w:lvlJc w:val="left"/>
      <w:pPr>
        <w:ind w:left="1440" w:hanging="360"/>
      </w:pPr>
    </w:lvl>
    <w:lvl w:ilvl="2" w:tplc="4F2CE008">
      <w:start w:val="1"/>
      <w:numFmt w:val="lowerRoman"/>
      <w:lvlText w:val="%3."/>
      <w:lvlJc w:val="right"/>
      <w:pPr>
        <w:ind w:left="2160" w:hanging="180"/>
      </w:pPr>
    </w:lvl>
    <w:lvl w:ilvl="3" w:tplc="2CA8A9EE">
      <w:start w:val="1"/>
      <w:numFmt w:val="decimal"/>
      <w:lvlText w:val="%4."/>
      <w:lvlJc w:val="left"/>
      <w:pPr>
        <w:ind w:left="2880" w:hanging="360"/>
      </w:pPr>
    </w:lvl>
    <w:lvl w:ilvl="4" w:tplc="C1160AE0">
      <w:start w:val="1"/>
      <w:numFmt w:val="lowerLetter"/>
      <w:lvlText w:val="%5."/>
      <w:lvlJc w:val="left"/>
      <w:pPr>
        <w:ind w:left="3600" w:hanging="360"/>
      </w:pPr>
    </w:lvl>
    <w:lvl w:ilvl="5" w:tplc="846CB37E">
      <w:start w:val="1"/>
      <w:numFmt w:val="lowerRoman"/>
      <w:lvlText w:val="%6."/>
      <w:lvlJc w:val="right"/>
      <w:pPr>
        <w:ind w:left="4320" w:hanging="180"/>
      </w:pPr>
    </w:lvl>
    <w:lvl w:ilvl="6" w:tplc="7EE81DB6">
      <w:start w:val="1"/>
      <w:numFmt w:val="decimal"/>
      <w:lvlText w:val="%7."/>
      <w:lvlJc w:val="left"/>
      <w:pPr>
        <w:ind w:left="5040" w:hanging="360"/>
      </w:pPr>
    </w:lvl>
    <w:lvl w:ilvl="7" w:tplc="4E660CE6">
      <w:start w:val="1"/>
      <w:numFmt w:val="lowerLetter"/>
      <w:lvlText w:val="%8."/>
      <w:lvlJc w:val="left"/>
      <w:pPr>
        <w:ind w:left="5760" w:hanging="360"/>
      </w:pPr>
    </w:lvl>
    <w:lvl w:ilvl="8" w:tplc="103C3C88">
      <w:start w:val="1"/>
      <w:numFmt w:val="lowerRoman"/>
      <w:lvlText w:val="%9."/>
      <w:lvlJc w:val="right"/>
      <w:pPr>
        <w:ind w:left="6480" w:hanging="180"/>
      </w:pPr>
    </w:lvl>
  </w:abstractNum>
  <w:abstractNum w:abstractNumId="9" w15:restartNumberingAfterBreak="0">
    <w:nsid w:val="36087F96"/>
    <w:multiLevelType w:val="hybridMultilevel"/>
    <w:tmpl w:val="B54E0A7C"/>
    <w:lvl w:ilvl="0" w:tplc="0C6CD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FD03F7"/>
    <w:multiLevelType w:val="hybridMultilevel"/>
    <w:tmpl w:val="75AA831E"/>
    <w:lvl w:ilvl="0" w:tplc="DCBEEE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56601"/>
    <w:multiLevelType w:val="hybridMultilevel"/>
    <w:tmpl w:val="2410BE94"/>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B2654A6"/>
    <w:multiLevelType w:val="hybridMultilevel"/>
    <w:tmpl w:val="E2A8C42A"/>
    <w:lvl w:ilvl="0" w:tplc="38185F3C">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E331A"/>
    <w:multiLevelType w:val="hybridMultilevel"/>
    <w:tmpl w:val="55E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EB5979"/>
    <w:multiLevelType w:val="hybridMultilevel"/>
    <w:tmpl w:val="8334C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F651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8632D"/>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61374"/>
    <w:multiLevelType w:val="hybridMultilevel"/>
    <w:tmpl w:val="E9C849E2"/>
    <w:lvl w:ilvl="0" w:tplc="9AD08828">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E26A48"/>
    <w:multiLevelType w:val="hybridMultilevel"/>
    <w:tmpl w:val="31C607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1A2052"/>
    <w:multiLevelType w:val="hybridMultilevel"/>
    <w:tmpl w:val="B88458F6"/>
    <w:lvl w:ilvl="0" w:tplc="7CBCC3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4CE2D8C"/>
    <w:multiLevelType w:val="hybridMultilevel"/>
    <w:tmpl w:val="B7FC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3E14B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C2C98"/>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571CF"/>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E1AE8"/>
    <w:multiLevelType w:val="hybridMultilevel"/>
    <w:tmpl w:val="88743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BE2144"/>
    <w:multiLevelType w:val="hybridMultilevel"/>
    <w:tmpl w:val="4210C0B0"/>
    <w:lvl w:ilvl="0" w:tplc="CE4CBC10">
      <w:start w:val="1"/>
      <w:numFmt w:val="lowerRoman"/>
      <w:pStyle w:val="NumberedList1"/>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C02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3038065">
    <w:abstractNumId w:val="8"/>
  </w:num>
  <w:num w:numId="2" w16cid:durableId="1860582640">
    <w:abstractNumId w:val="10"/>
  </w:num>
  <w:num w:numId="3" w16cid:durableId="230779027">
    <w:abstractNumId w:val="9"/>
  </w:num>
  <w:num w:numId="4" w16cid:durableId="1767843333">
    <w:abstractNumId w:val="25"/>
  </w:num>
  <w:num w:numId="5" w16cid:durableId="239220192">
    <w:abstractNumId w:val="19"/>
  </w:num>
  <w:num w:numId="6" w16cid:durableId="72239153">
    <w:abstractNumId w:val="14"/>
  </w:num>
  <w:num w:numId="7" w16cid:durableId="993996444">
    <w:abstractNumId w:val="15"/>
  </w:num>
  <w:num w:numId="8" w16cid:durableId="1420758410">
    <w:abstractNumId w:val="2"/>
  </w:num>
  <w:num w:numId="9" w16cid:durableId="1294360616">
    <w:abstractNumId w:val="27"/>
  </w:num>
  <w:num w:numId="10" w16cid:durableId="1456557440">
    <w:abstractNumId w:val="12"/>
  </w:num>
  <w:num w:numId="11" w16cid:durableId="1865706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449062">
    <w:abstractNumId w:val="6"/>
  </w:num>
  <w:num w:numId="13" w16cid:durableId="455636511">
    <w:abstractNumId w:val="14"/>
  </w:num>
  <w:num w:numId="14" w16cid:durableId="1961565545">
    <w:abstractNumId w:val="21"/>
  </w:num>
  <w:num w:numId="15" w16cid:durableId="1621720452">
    <w:abstractNumId w:val="3"/>
  </w:num>
  <w:num w:numId="16" w16cid:durableId="383913522">
    <w:abstractNumId w:val="17"/>
  </w:num>
  <w:num w:numId="17" w16cid:durableId="848060909">
    <w:abstractNumId w:val="16"/>
  </w:num>
  <w:num w:numId="18" w16cid:durableId="89935369">
    <w:abstractNumId w:val="23"/>
  </w:num>
  <w:num w:numId="19" w16cid:durableId="682709440">
    <w:abstractNumId w:val="24"/>
  </w:num>
  <w:num w:numId="20" w16cid:durableId="1967273758">
    <w:abstractNumId w:val="22"/>
  </w:num>
  <w:num w:numId="21" w16cid:durableId="1937472479">
    <w:abstractNumId w:val="20"/>
  </w:num>
  <w:num w:numId="22" w16cid:durableId="287048174">
    <w:abstractNumId w:val="13"/>
  </w:num>
  <w:num w:numId="23" w16cid:durableId="1590964554">
    <w:abstractNumId w:val="26"/>
  </w:num>
  <w:num w:numId="24" w16cid:durableId="1235969266">
    <w:abstractNumId w:val="26"/>
    <w:lvlOverride w:ilvl="0">
      <w:startOverride w:val="1"/>
    </w:lvlOverride>
  </w:num>
  <w:num w:numId="25" w16cid:durableId="767575942">
    <w:abstractNumId w:val="26"/>
    <w:lvlOverride w:ilvl="0">
      <w:startOverride w:val="1"/>
    </w:lvlOverride>
  </w:num>
  <w:num w:numId="26" w16cid:durableId="2123069214">
    <w:abstractNumId w:val="5"/>
  </w:num>
  <w:num w:numId="27" w16cid:durableId="677653657">
    <w:abstractNumId w:val="18"/>
  </w:num>
  <w:num w:numId="28" w16cid:durableId="941180490">
    <w:abstractNumId w:val="7"/>
  </w:num>
  <w:num w:numId="29" w16cid:durableId="2104958606">
    <w:abstractNumId w:val="11"/>
  </w:num>
  <w:num w:numId="30" w16cid:durableId="367530914">
    <w:abstractNumId w:val="26"/>
  </w:num>
  <w:num w:numId="31" w16cid:durableId="588857829">
    <w:abstractNumId w:val="0"/>
  </w:num>
  <w:num w:numId="32" w16cid:durableId="1974291362">
    <w:abstractNumId w:val="1"/>
  </w:num>
  <w:num w:numId="33" w16cid:durableId="302004324">
    <w:abstractNumId w:val="26"/>
    <w:lvlOverride w:ilvl="0">
      <w:startOverride w:val="1"/>
    </w:lvlOverride>
  </w:num>
  <w:num w:numId="34" w16cid:durableId="2079282680">
    <w:abstractNumId w:val="26"/>
    <w:lvlOverride w:ilvl="0">
      <w:startOverride w:val="1"/>
    </w:lvlOverride>
  </w:num>
  <w:num w:numId="35" w16cid:durableId="135063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EE"/>
    <w:rsid w:val="00002629"/>
    <w:rsid w:val="000028BB"/>
    <w:rsid w:val="000029E8"/>
    <w:rsid w:val="00031696"/>
    <w:rsid w:val="00052815"/>
    <w:rsid w:val="0006049E"/>
    <w:rsid w:val="00077735"/>
    <w:rsid w:val="00092340"/>
    <w:rsid w:val="000923E4"/>
    <w:rsid w:val="000B0F17"/>
    <w:rsid w:val="000B2F0F"/>
    <w:rsid w:val="000C0A45"/>
    <w:rsid w:val="000C777D"/>
    <w:rsid w:val="000D3F7D"/>
    <w:rsid w:val="000D4492"/>
    <w:rsid w:val="000F3802"/>
    <w:rsid w:val="001022B6"/>
    <w:rsid w:val="00121826"/>
    <w:rsid w:val="00125FE9"/>
    <w:rsid w:val="00127F18"/>
    <w:rsid w:val="0013435E"/>
    <w:rsid w:val="00151B2F"/>
    <w:rsid w:val="001618F7"/>
    <w:rsid w:val="0016313C"/>
    <w:rsid w:val="00167108"/>
    <w:rsid w:val="0017695A"/>
    <w:rsid w:val="001853CC"/>
    <w:rsid w:val="001B57E0"/>
    <w:rsid w:val="001B7AC3"/>
    <w:rsid w:val="001C0524"/>
    <w:rsid w:val="001D2AB2"/>
    <w:rsid w:val="001E153A"/>
    <w:rsid w:val="001E5427"/>
    <w:rsid w:val="001F7DBB"/>
    <w:rsid w:val="00200914"/>
    <w:rsid w:val="002037C4"/>
    <w:rsid w:val="00205CFE"/>
    <w:rsid w:val="002113F6"/>
    <w:rsid w:val="002203EE"/>
    <w:rsid w:val="00227562"/>
    <w:rsid w:val="00243BB8"/>
    <w:rsid w:val="0026154E"/>
    <w:rsid w:val="002716A5"/>
    <w:rsid w:val="0027237E"/>
    <w:rsid w:val="002731DD"/>
    <w:rsid w:val="00276EE0"/>
    <w:rsid w:val="002B49F2"/>
    <w:rsid w:val="002B5E34"/>
    <w:rsid w:val="002C61A3"/>
    <w:rsid w:val="002D60A5"/>
    <w:rsid w:val="002E2AB5"/>
    <w:rsid w:val="002F4931"/>
    <w:rsid w:val="003026A7"/>
    <w:rsid w:val="003050D1"/>
    <w:rsid w:val="00314B11"/>
    <w:rsid w:val="00320C9C"/>
    <w:rsid w:val="00332CF6"/>
    <w:rsid w:val="00342595"/>
    <w:rsid w:val="00345094"/>
    <w:rsid w:val="00377A63"/>
    <w:rsid w:val="003804C0"/>
    <w:rsid w:val="003817C9"/>
    <w:rsid w:val="00383C21"/>
    <w:rsid w:val="00385A8C"/>
    <w:rsid w:val="00387019"/>
    <w:rsid w:val="0039009B"/>
    <w:rsid w:val="003A2763"/>
    <w:rsid w:val="003A39D6"/>
    <w:rsid w:val="003B3F3F"/>
    <w:rsid w:val="003B73C2"/>
    <w:rsid w:val="003B7AE9"/>
    <w:rsid w:val="003B7FDE"/>
    <w:rsid w:val="003C4D58"/>
    <w:rsid w:val="003D0C83"/>
    <w:rsid w:val="003E2DC1"/>
    <w:rsid w:val="003E7979"/>
    <w:rsid w:val="003F366A"/>
    <w:rsid w:val="00405F33"/>
    <w:rsid w:val="00422DED"/>
    <w:rsid w:val="004245D1"/>
    <w:rsid w:val="004252DA"/>
    <w:rsid w:val="004304DB"/>
    <w:rsid w:val="00444DAF"/>
    <w:rsid w:val="004528E8"/>
    <w:rsid w:val="00473796"/>
    <w:rsid w:val="0047708A"/>
    <w:rsid w:val="00487630"/>
    <w:rsid w:val="004B709D"/>
    <w:rsid w:val="004C0C6C"/>
    <w:rsid w:val="004F6B7C"/>
    <w:rsid w:val="00500E58"/>
    <w:rsid w:val="00503834"/>
    <w:rsid w:val="00512491"/>
    <w:rsid w:val="00514D7B"/>
    <w:rsid w:val="00526D7C"/>
    <w:rsid w:val="0053363F"/>
    <w:rsid w:val="00540A96"/>
    <w:rsid w:val="00577022"/>
    <w:rsid w:val="00590050"/>
    <w:rsid w:val="005B10E4"/>
    <w:rsid w:val="005C14D5"/>
    <w:rsid w:val="005D47EE"/>
    <w:rsid w:val="005E07A6"/>
    <w:rsid w:val="005E321C"/>
    <w:rsid w:val="005E5390"/>
    <w:rsid w:val="00615655"/>
    <w:rsid w:val="00621024"/>
    <w:rsid w:val="00625172"/>
    <w:rsid w:val="00646C35"/>
    <w:rsid w:val="00653F54"/>
    <w:rsid w:val="006844B0"/>
    <w:rsid w:val="0068715C"/>
    <w:rsid w:val="006B5F88"/>
    <w:rsid w:val="006C4A41"/>
    <w:rsid w:val="006D360E"/>
    <w:rsid w:val="006E540E"/>
    <w:rsid w:val="00704577"/>
    <w:rsid w:val="007309D8"/>
    <w:rsid w:val="00757D39"/>
    <w:rsid w:val="00760042"/>
    <w:rsid w:val="007875C4"/>
    <w:rsid w:val="00795C0D"/>
    <w:rsid w:val="007A22F3"/>
    <w:rsid w:val="007B3B30"/>
    <w:rsid w:val="007C7A55"/>
    <w:rsid w:val="007D30B0"/>
    <w:rsid w:val="007E2CF6"/>
    <w:rsid w:val="007E6AC2"/>
    <w:rsid w:val="007F02D5"/>
    <w:rsid w:val="0081298A"/>
    <w:rsid w:val="008153B0"/>
    <w:rsid w:val="00821944"/>
    <w:rsid w:val="00844B84"/>
    <w:rsid w:val="008746B3"/>
    <w:rsid w:val="0089673C"/>
    <w:rsid w:val="008A3501"/>
    <w:rsid w:val="008C3B1C"/>
    <w:rsid w:val="008C59F7"/>
    <w:rsid w:val="008D1C53"/>
    <w:rsid w:val="008E5D96"/>
    <w:rsid w:val="008F5B6D"/>
    <w:rsid w:val="00902729"/>
    <w:rsid w:val="009042D7"/>
    <w:rsid w:val="0090488A"/>
    <w:rsid w:val="009154BE"/>
    <w:rsid w:val="0091766E"/>
    <w:rsid w:val="009260AE"/>
    <w:rsid w:val="0092686F"/>
    <w:rsid w:val="00951C35"/>
    <w:rsid w:val="009610E6"/>
    <w:rsid w:val="0097360F"/>
    <w:rsid w:val="009743E8"/>
    <w:rsid w:val="009757F6"/>
    <w:rsid w:val="0099599B"/>
    <w:rsid w:val="00995D6A"/>
    <w:rsid w:val="009962A9"/>
    <w:rsid w:val="009A4CED"/>
    <w:rsid w:val="009C23A9"/>
    <w:rsid w:val="009E1251"/>
    <w:rsid w:val="009E48A8"/>
    <w:rsid w:val="009E61A6"/>
    <w:rsid w:val="009F188F"/>
    <w:rsid w:val="00A04FB3"/>
    <w:rsid w:val="00A055D8"/>
    <w:rsid w:val="00A13115"/>
    <w:rsid w:val="00A26B94"/>
    <w:rsid w:val="00A338DC"/>
    <w:rsid w:val="00A42D5F"/>
    <w:rsid w:val="00A65822"/>
    <w:rsid w:val="00A84D5F"/>
    <w:rsid w:val="00AA088F"/>
    <w:rsid w:val="00AB2D69"/>
    <w:rsid w:val="00AB60AE"/>
    <w:rsid w:val="00AC4DE1"/>
    <w:rsid w:val="00AE2180"/>
    <w:rsid w:val="00AF46E3"/>
    <w:rsid w:val="00B16EBB"/>
    <w:rsid w:val="00B24AC7"/>
    <w:rsid w:val="00B4301D"/>
    <w:rsid w:val="00B43703"/>
    <w:rsid w:val="00B458A8"/>
    <w:rsid w:val="00B5679C"/>
    <w:rsid w:val="00B56E2B"/>
    <w:rsid w:val="00B6219F"/>
    <w:rsid w:val="00B66C97"/>
    <w:rsid w:val="00BE7C09"/>
    <w:rsid w:val="00BF4FEE"/>
    <w:rsid w:val="00C01D18"/>
    <w:rsid w:val="00C039E9"/>
    <w:rsid w:val="00C10109"/>
    <w:rsid w:val="00C10D1E"/>
    <w:rsid w:val="00C1319B"/>
    <w:rsid w:val="00C15A46"/>
    <w:rsid w:val="00C304CE"/>
    <w:rsid w:val="00C36370"/>
    <w:rsid w:val="00C41430"/>
    <w:rsid w:val="00C80907"/>
    <w:rsid w:val="00C94A27"/>
    <w:rsid w:val="00C961C3"/>
    <w:rsid w:val="00CC2939"/>
    <w:rsid w:val="00CE5B93"/>
    <w:rsid w:val="00CF744C"/>
    <w:rsid w:val="00D00919"/>
    <w:rsid w:val="00D10B63"/>
    <w:rsid w:val="00D21048"/>
    <w:rsid w:val="00D27D35"/>
    <w:rsid w:val="00D31A5C"/>
    <w:rsid w:val="00D358AE"/>
    <w:rsid w:val="00D36FA7"/>
    <w:rsid w:val="00D46B44"/>
    <w:rsid w:val="00D55BD9"/>
    <w:rsid w:val="00D65A1C"/>
    <w:rsid w:val="00D84118"/>
    <w:rsid w:val="00D90CA6"/>
    <w:rsid w:val="00D92584"/>
    <w:rsid w:val="00DA48DD"/>
    <w:rsid w:val="00DB7C36"/>
    <w:rsid w:val="00DD54E9"/>
    <w:rsid w:val="00DF12F5"/>
    <w:rsid w:val="00DF2099"/>
    <w:rsid w:val="00E23211"/>
    <w:rsid w:val="00E237F9"/>
    <w:rsid w:val="00E3689E"/>
    <w:rsid w:val="00E41B4C"/>
    <w:rsid w:val="00E5561A"/>
    <w:rsid w:val="00E633A1"/>
    <w:rsid w:val="00E70BEA"/>
    <w:rsid w:val="00E947E7"/>
    <w:rsid w:val="00ED6D67"/>
    <w:rsid w:val="00F20A32"/>
    <w:rsid w:val="00F20FDC"/>
    <w:rsid w:val="00F325B8"/>
    <w:rsid w:val="00F34D40"/>
    <w:rsid w:val="00F36632"/>
    <w:rsid w:val="00F745B3"/>
    <w:rsid w:val="00F776C2"/>
    <w:rsid w:val="00F867D0"/>
    <w:rsid w:val="00F91220"/>
    <w:rsid w:val="00F936CA"/>
    <w:rsid w:val="00F93943"/>
    <w:rsid w:val="00FA707C"/>
    <w:rsid w:val="00FC1986"/>
    <w:rsid w:val="00FE1F1B"/>
    <w:rsid w:val="1F5EB954"/>
    <w:rsid w:val="2EDEDC66"/>
    <w:rsid w:val="45B50BB1"/>
    <w:rsid w:val="4DECF314"/>
    <w:rsid w:val="57010CF8"/>
    <w:rsid w:val="71EF8272"/>
    <w:rsid w:val="768B4057"/>
    <w:rsid w:val="77171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7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42"/>
    <w:pPr>
      <w:autoSpaceDE w:val="0"/>
      <w:autoSpaceDN w:val="0"/>
    </w:pPr>
    <w:rPr>
      <w:rFonts w:ascii="Arial" w:eastAsia="Times New Roman" w:hAnsi="Arial"/>
      <w:lang w:eastAsia="en-US"/>
    </w:rPr>
  </w:style>
  <w:style w:type="paragraph" w:styleId="Heading1">
    <w:name w:val="heading 1"/>
    <w:basedOn w:val="Normal"/>
    <w:next w:val="Normal"/>
    <w:link w:val="Heading1Char"/>
    <w:qFormat/>
    <w:rsid w:val="00E633A1"/>
    <w:pPr>
      <w:jc w:val="center"/>
      <w:outlineLvl w:val="0"/>
    </w:pPr>
    <w:rPr>
      <w:b/>
    </w:rPr>
  </w:style>
  <w:style w:type="paragraph" w:styleId="Heading2">
    <w:name w:val="heading 2"/>
    <w:basedOn w:val="Normal"/>
    <w:next w:val="Normal"/>
    <w:link w:val="Heading2Char"/>
    <w:qFormat/>
    <w:rsid w:val="002203EE"/>
    <w:pPr>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3A1"/>
    <w:rPr>
      <w:rFonts w:ascii="Arial" w:eastAsia="Times New Roman" w:hAnsi="Arial"/>
      <w:b/>
      <w:sz w:val="24"/>
      <w:lang w:eastAsia="en-US"/>
    </w:rPr>
  </w:style>
  <w:style w:type="character" w:customStyle="1" w:styleId="Heading2Char">
    <w:name w:val="Heading 2 Char"/>
    <w:link w:val="Heading2"/>
    <w:rsid w:val="002203EE"/>
    <w:rPr>
      <w:rFonts w:ascii="Arial" w:eastAsia="Times New Roman" w:hAnsi="Arial" w:cs="Times New Roman"/>
      <w:b/>
      <w:sz w:val="20"/>
      <w:szCs w:val="20"/>
    </w:rPr>
  </w:style>
  <w:style w:type="paragraph" w:styleId="Header">
    <w:name w:val="header"/>
    <w:basedOn w:val="Normal"/>
    <w:link w:val="HeaderChar"/>
    <w:rsid w:val="002203EE"/>
    <w:pPr>
      <w:tabs>
        <w:tab w:val="center" w:pos="4320"/>
        <w:tab w:val="right" w:pos="8640"/>
      </w:tabs>
    </w:pPr>
  </w:style>
  <w:style w:type="character" w:customStyle="1" w:styleId="HeaderChar">
    <w:name w:val="Header Char"/>
    <w:link w:val="Header"/>
    <w:rsid w:val="002203EE"/>
    <w:rPr>
      <w:rFonts w:ascii="Arial" w:eastAsia="Times New Roman" w:hAnsi="Arial" w:cs="Times New Roman"/>
      <w:sz w:val="20"/>
      <w:szCs w:val="20"/>
    </w:rPr>
  </w:style>
  <w:style w:type="paragraph" w:styleId="Footer">
    <w:name w:val="footer"/>
    <w:basedOn w:val="Normal"/>
    <w:link w:val="FooterChar"/>
    <w:uiPriority w:val="99"/>
    <w:rsid w:val="002203EE"/>
    <w:pPr>
      <w:tabs>
        <w:tab w:val="center" w:pos="4320"/>
        <w:tab w:val="right" w:pos="8640"/>
      </w:tabs>
    </w:pPr>
  </w:style>
  <w:style w:type="character" w:customStyle="1" w:styleId="FooterChar">
    <w:name w:val="Footer Char"/>
    <w:link w:val="Footer"/>
    <w:uiPriority w:val="99"/>
    <w:rsid w:val="002203EE"/>
    <w:rPr>
      <w:rFonts w:ascii="Arial" w:eastAsia="Times New Roman" w:hAnsi="Arial" w:cs="Times New Roman"/>
      <w:sz w:val="20"/>
      <w:szCs w:val="20"/>
    </w:rPr>
  </w:style>
  <w:style w:type="paragraph" w:customStyle="1" w:styleId="Centered">
    <w:name w:val="Centered"/>
    <w:basedOn w:val="Normal"/>
    <w:rsid w:val="002203EE"/>
    <w:pPr>
      <w:autoSpaceDE/>
      <w:autoSpaceDN/>
      <w:jc w:val="center"/>
    </w:pPr>
    <w:rPr>
      <w:rFonts w:eastAsia="SimSun"/>
      <w:lang w:eastAsia="zh-CN"/>
    </w:rPr>
  </w:style>
  <w:style w:type="paragraph" w:styleId="BalloonText">
    <w:name w:val="Balloon Text"/>
    <w:basedOn w:val="Normal"/>
    <w:link w:val="BalloonTextChar"/>
    <w:uiPriority w:val="99"/>
    <w:semiHidden/>
    <w:unhideWhenUsed/>
    <w:rsid w:val="00FE1F1B"/>
    <w:rPr>
      <w:rFonts w:ascii="Tahoma" w:hAnsi="Tahoma" w:cs="Tahoma"/>
      <w:sz w:val="16"/>
      <w:szCs w:val="16"/>
    </w:rPr>
  </w:style>
  <w:style w:type="character" w:customStyle="1" w:styleId="BalloonTextChar">
    <w:name w:val="Balloon Text Char"/>
    <w:link w:val="BalloonText"/>
    <w:uiPriority w:val="99"/>
    <w:semiHidden/>
    <w:rsid w:val="00FE1F1B"/>
    <w:rPr>
      <w:rFonts w:ascii="Tahoma" w:eastAsia="Times New Roman" w:hAnsi="Tahoma" w:cs="Tahoma"/>
      <w:sz w:val="16"/>
      <w:szCs w:val="16"/>
    </w:rPr>
  </w:style>
  <w:style w:type="paragraph" w:customStyle="1" w:styleId="Default">
    <w:name w:val="Default"/>
    <w:rsid w:val="00D8411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118"/>
    <w:rPr>
      <w:sz w:val="16"/>
      <w:szCs w:val="16"/>
    </w:rPr>
  </w:style>
  <w:style w:type="paragraph" w:styleId="CommentSubject">
    <w:name w:val="annotation subject"/>
    <w:basedOn w:val="Normal"/>
    <w:next w:val="Normal"/>
    <w:link w:val="CommentSubjectChar"/>
    <w:uiPriority w:val="99"/>
    <w:semiHidden/>
    <w:unhideWhenUsed/>
    <w:rsid w:val="00F36632"/>
    <w:rPr>
      <w:b/>
      <w:bCs/>
    </w:rPr>
  </w:style>
  <w:style w:type="character" w:customStyle="1" w:styleId="CommentSubjectChar">
    <w:name w:val="Comment Subject Char"/>
    <w:basedOn w:val="DefaultParagraphFont"/>
    <w:link w:val="CommentSubject"/>
    <w:uiPriority w:val="99"/>
    <w:semiHidden/>
    <w:rsid w:val="00F36632"/>
    <w:rPr>
      <w:rFonts w:ascii="Arial" w:eastAsia="Times New Roman" w:hAnsi="Arial"/>
      <w:b/>
      <w:bCs/>
      <w:lang w:eastAsia="en-US"/>
    </w:rPr>
  </w:style>
  <w:style w:type="table" w:styleId="TableGrid">
    <w:name w:val="Table Grid"/>
    <w:basedOn w:val="TableNormal"/>
    <w:uiPriority w:val="39"/>
    <w:rsid w:val="000C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33A1"/>
    <w:pPr>
      <w:jc w:val="center"/>
    </w:pPr>
    <w:rPr>
      <w:b/>
    </w:rPr>
  </w:style>
  <w:style w:type="character" w:customStyle="1" w:styleId="TitleChar">
    <w:name w:val="Title Char"/>
    <w:basedOn w:val="DefaultParagraphFont"/>
    <w:link w:val="Title"/>
    <w:uiPriority w:val="10"/>
    <w:rsid w:val="00E633A1"/>
    <w:rPr>
      <w:rFonts w:ascii="Arial" w:eastAsia="Times New Roman" w:hAnsi="Arial"/>
      <w:b/>
      <w:sz w:val="24"/>
      <w:lang w:eastAsia="en-US"/>
    </w:rPr>
  </w:style>
  <w:style w:type="paragraph" w:customStyle="1" w:styleId="NumberedList">
    <w:name w:val="Numbered List"/>
    <w:basedOn w:val="Normal"/>
    <w:qFormat/>
    <w:rsid w:val="009E61A6"/>
    <w:pPr>
      <w:numPr>
        <w:numId w:val="6"/>
      </w:numPr>
      <w:spacing w:before="300"/>
      <w:jc w:val="both"/>
    </w:pPr>
  </w:style>
  <w:style w:type="paragraph" w:customStyle="1" w:styleId="Bullet1">
    <w:name w:val="Bullet 1"/>
    <w:basedOn w:val="Normal"/>
    <w:qFormat/>
    <w:rsid w:val="00E633A1"/>
    <w:pPr>
      <w:numPr>
        <w:numId w:val="10"/>
      </w:numPr>
      <w:spacing w:after="12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lang w:eastAsia="en-US"/>
    </w:rPr>
  </w:style>
  <w:style w:type="paragraph" w:customStyle="1" w:styleId="NumberedList1">
    <w:name w:val="Numbered List 1"/>
    <w:basedOn w:val="Normal"/>
    <w:qFormat/>
    <w:rsid w:val="0013435E"/>
    <w:pPr>
      <w:numPr>
        <w:numId w:val="23"/>
      </w:numPr>
    </w:pPr>
    <w:rPr>
      <w:rFonts w:cs="Arial"/>
    </w:rPr>
  </w:style>
  <w:style w:type="character" w:styleId="FootnoteReference">
    <w:name w:val="footnote reference"/>
    <w:uiPriority w:val="99"/>
    <w:rsid w:val="000D3F7D"/>
  </w:style>
  <w:style w:type="character" w:styleId="Hyperlink">
    <w:name w:val="Hyperlink"/>
    <w:basedOn w:val="DefaultParagraphFont"/>
    <w:uiPriority w:val="99"/>
    <w:unhideWhenUsed/>
    <w:rsid w:val="000F3802"/>
    <w:rPr>
      <w:color w:val="0563C1" w:themeColor="hyperlink"/>
      <w:u w:val="single"/>
    </w:rPr>
  </w:style>
  <w:style w:type="paragraph" w:styleId="ListParagraph">
    <w:name w:val="List Paragraph"/>
    <w:basedOn w:val="Normal"/>
    <w:uiPriority w:val="34"/>
    <w:qFormat/>
    <w:rsid w:val="00AF46E3"/>
    <w:pPr>
      <w:ind w:left="720"/>
      <w:contextualSpacing/>
    </w:pPr>
  </w:style>
  <w:style w:type="paragraph" w:styleId="Revision">
    <w:name w:val="Revision"/>
    <w:hidden/>
    <w:uiPriority w:val="99"/>
    <w:semiHidden/>
    <w:rsid w:val="00D27D3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764F-A7A1-425B-B02F-E76DFA7EE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6F2F8-0567-4EBA-AB78-C3A5F516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5171</Characters>
  <Application>Microsoft Office Word</Application>
  <DocSecurity>0</DocSecurity>
  <Lines>181</Lines>
  <Paragraphs>32</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Viet Nam</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Viet Nam</dc:title>
  <dc:subject/>
  <dc:creator/>
  <cp:keywords>[SEC=OFFICIAL:Sensitive]</cp:keywords>
  <cp:lastModifiedBy/>
  <cp:revision>1</cp:revision>
  <dcterms:created xsi:type="dcterms:W3CDTF">2023-09-28T04:49:00Z</dcterms:created>
  <dcterms:modified xsi:type="dcterms:W3CDTF">2023-09-28T04:50:00Z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v=2022.1;a=SHA256;h=CAF5E2A1D8FDA5EC9C0D3E0622487B268106552A7A0DEA6DA9DF929357A2C11F</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2023-09-28T04:30:53Z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 Sensitive</vt:lpwstr>
  </property>
  <property fmtid="{D5CDD505-2E9C-101B-9397-08002B2CF9AE}" pid="14" name="PM_Originating_FileId">
    <vt:lpwstr>F20EE3D5510F4B999DF13DA5D5DE36E8</vt:lpwstr>
  </property>
  <property fmtid="{D5CDD505-2E9C-101B-9397-08002B2CF9AE}" pid="15" name="PM_ProtectiveMarkingValue_Foot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E4060A2DB2E7A24F89D1ACF65F52EF8B</vt:lpwstr>
  </property>
  <property fmtid="{D5CDD505-2E9C-101B-9397-08002B2CF9AE}" pid="24" name="PM_Hash_Salt">
    <vt:lpwstr>BED345B54644EB0FD0CE3E5BD547BE48</vt:lpwstr>
  </property>
  <property fmtid="{D5CDD505-2E9C-101B-9397-08002B2CF9AE}" pid="25" name="PM_Hash_SHA1">
    <vt:lpwstr>FA2FB6E2ACB41B7FF5BBF2A72808636BFBD57CF0</vt:lpwstr>
  </property>
  <property fmtid="{D5CDD505-2E9C-101B-9397-08002B2CF9AE}" pid="26" name="PM_MinimumSecurityClassification">
    <vt:lpwstr>OFFICIAL:Sensitive</vt:lpwstr>
  </property>
  <property fmtid="{D5CDD505-2E9C-101B-9397-08002B2CF9AE}" pid="27" name="PM_Caveats_Count">
    <vt:lpwstr>0</vt:lpwstr>
  </property>
</Properties>
</file>