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F088" w14:textId="7C03D212" w:rsidR="00687128" w:rsidRDefault="009E72E7" w:rsidP="009E72E7">
      <w:pPr>
        <w:jc w:val="center"/>
      </w:pPr>
      <w:r w:rsidRPr="009E72E7">
        <w:rPr>
          <w:b/>
          <w:bCs/>
        </w:rPr>
        <w:t>DFAT</w:t>
      </w:r>
      <w:r>
        <w:t xml:space="preserve"> </w:t>
      </w:r>
      <w:r w:rsidRPr="009E72E7">
        <w:rPr>
          <w:rFonts w:asciiTheme="majorHAnsi" w:hAnsiTheme="majorHAnsi" w:cstheme="majorHAnsi"/>
          <w:b/>
          <w:bCs/>
          <w:color w:val="000000"/>
          <w:lang w:eastAsia="en-AU"/>
        </w:rPr>
        <w:t>Management response annex: Sri Lanka Support Unit, Independent Evaluation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3779"/>
        <w:gridCol w:w="1147"/>
        <w:gridCol w:w="7727"/>
        <w:gridCol w:w="1466"/>
      </w:tblGrid>
      <w:tr w:rsidR="009E72E7" w:rsidRPr="002C5C20" w14:paraId="7006E84A" w14:textId="77777777" w:rsidTr="009E72E7">
        <w:trPr>
          <w:trHeight w:val="714"/>
          <w:tblHeader/>
        </w:trPr>
        <w:tc>
          <w:tcPr>
            <w:tcW w:w="902" w:type="dxa"/>
            <w:shd w:val="clear" w:color="000000" w:fill="E7E6E6"/>
            <w:vAlign w:val="center"/>
            <w:hideMark/>
          </w:tcPr>
          <w:p w14:paraId="0ABE531F" w14:textId="1F75C6CA" w:rsidR="009E72E7" w:rsidRPr="007A0973" w:rsidRDefault="009E72E7" w:rsidP="00581DD8">
            <w:pPr>
              <w:rPr>
                <w:rFonts w:asciiTheme="majorHAnsi" w:hAnsiTheme="majorHAnsi" w:cstheme="majorHAnsi"/>
                <w:b/>
                <w:bCs/>
                <w:color w:val="000000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lang w:eastAsia="en-AU"/>
              </w:rPr>
              <w:t>No.</w:t>
            </w:r>
            <w:r w:rsidRPr="007A0973">
              <w:rPr>
                <w:rFonts w:asciiTheme="majorHAnsi" w:hAnsiTheme="majorHAnsi" w:cstheme="majorHAns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3779" w:type="dxa"/>
            <w:shd w:val="clear" w:color="000000" w:fill="E7E6E6"/>
            <w:vAlign w:val="center"/>
            <w:hideMark/>
          </w:tcPr>
          <w:p w14:paraId="428783DC" w14:textId="77777777" w:rsidR="009E72E7" w:rsidRPr="007A0973" w:rsidRDefault="009E72E7" w:rsidP="00581DD8">
            <w:pPr>
              <w:rPr>
                <w:rFonts w:asciiTheme="majorHAnsi" w:hAnsiTheme="majorHAnsi" w:cstheme="majorHAnsi"/>
                <w:b/>
                <w:bCs/>
                <w:color w:val="000000"/>
                <w:lang w:eastAsia="en-AU"/>
              </w:rPr>
            </w:pPr>
            <w:r w:rsidRPr="007A0973">
              <w:rPr>
                <w:rFonts w:asciiTheme="majorHAnsi" w:hAnsiTheme="majorHAnsi" w:cstheme="majorHAnsi"/>
                <w:b/>
                <w:bCs/>
                <w:color w:val="000000"/>
                <w:lang w:eastAsia="en-AU"/>
              </w:rPr>
              <w:t xml:space="preserve">Recommendation </w:t>
            </w:r>
          </w:p>
        </w:tc>
        <w:tc>
          <w:tcPr>
            <w:tcW w:w="1147" w:type="dxa"/>
            <w:shd w:val="clear" w:color="000000" w:fill="E7E6E6"/>
            <w:vAlign w:val="center"/>
            <w:hideMark/>
          </w:tcPr>
          <w:p w14:paraId="63DA6038" w14:textId="77777777" w:rsidR="009E72E7" w:rsidRPr="007A0973" w:rsidRDefault="009E72E7" w:rsidP="00581DD8">
            <w:pPr>
              <w:rPr>
                <w:rFonts w:asciiTheme="majorHAnsi" w:hAnsiTheme="majorHAnsi" w:cstheme="majorHAnsi"/>
                <w:b/>
                <w:bCs/>
                <w:color w:val="000000"/>
                <w:lang w:eastAsia="en-AU"/>
              </w:rPr>
            </w:pPr>
            <w:r w:rsidRPr="007A0973">
              <w:rPr>
                <w:rFonts w:asciiTheme="majorHAnsi" w:hAnsiTheme="majorHAnsi" w:cstheme="majorHAnsi"/>
                <w:b/>
                <w:bCs/>
                <w:color w:val="000000"/>
                <w:lang w:eastAsia="en-AU"/>
              </w:rPr>
              <w:t xml:space="preserve">Response </w:t>
            </w:r>
          </w:p>
        </w:tc>
        <w:tc>
          <w:tcPr>
            <w:tcW w:w="7727" w:type="dxa"/>
            <w:shd w:val="clear" w:color="000000" w:fill="E7E6E6"/>
            <w:vAlign w:val="center"/>
            <w:hideMark/>
          </w:tcPr>
          <w:p w14:paraId="4BAA2141" w14:textId="77777777" w:rsidR="009E72E7" w:rsidRPr="007A0973" w:rsidRDefault="009E72E7" w:rsidP="00581DD8">
            <w:pPr>
              <w:rPr>
                <w:rFonts w:asciiTheme="majorHAnsi" w:hAnsiTheme="majorHAnsi" w:cstheme="majorHAnsi"/>
                <w:b/>
                <w:bCs/>
                <w:color w:val="000000"/>
                <w:lang w:eastAsia="en-AU"/>
              </w:rPr>
            </w:pPr>
            <w:r w:rsidRPr="007A0973">
              <w:rPr>
                <w:rFonts w:asciiTheme="majorHAnsi" w:hAnsiTheme="majorHAnsi" w:cstheme="majorHAnsi"/>
                <w:b/>
                <w:bCs/>
                <w:color w:val="000000"/>
                <w:lang w:eastAsia="en-AU"/>
              </w:rPr>
              <w:t xml:space="preserve">Action </w:t>
            </w:r>
          </w:p>
        </w:tc>
        <w:tc>
          <w:tcPr>
            <w:tcW w:w="1466" w:type="dxa"/>
            <w:shd w:val="clear" w:color="000000" w:fill="E7E6E6"/>
            <w:vAlign w:val="center"/>
            <w:hideMark/>
          </w:tcPr>
          <w:p w14:paraId="58CA9D71" w14:textId="77777777" w:rsidR="009E72E7" w:rsidRPr="007A0973" w:rsidRDefault="009E72E7" w:rsidP="00581DD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lang w:eastAsia="en-AU"/>
              </w:rPr>
            </w:pPr>
            <w:r w:rsidRPr="007A0973">
              <w:rPr>
                <w:rFonts w:asciiTheme="majorHAnsi" w:hAnsiTheme="majorHAnsi" w:cstheme="majorHAnsi"/>
                <w:b/>
                <w:bCs/>
                <w:color w:val="000000"/>
                <w:lang w:eastAsia="en-AU"/>
              </w:rPr>
              <w:t>Timing</w:t>
            </w:r>
          </w:p>
        </w:tc>
      </w:tr>
      <w:tr w:rsidR="009E72E7" w:rsidRPr="002C5C20" w14:paraId="2A580D11" w14:textId="77777777" w:rsidTr="00581DD8">
        <w:trPr>
          <w:trHeight w:val="939"/>
        </w:trPr>
        <w:tc>
          <w:tcPr>
            <w:tcW w:w="902" w:type="dxa"/>
            <w:shd w:val="clear" w:color="auto" w:fill="auto"/>
            <w:hideMark/>
          </w:tcPr>
          <w:p w14:paraId="540A62D5" w14:textId="77777777" w:rsidR="009E72E7" w:rsidRPr="007A0973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>1</w:t>
            </w:r>
          </w:p>
        </w:tc>
        <w:tc>
          <w:tcPr>
            <w:tcW w:w="3779" w:type="dxa"/>
            <w:shd w:val="clear" w:color="auto" w:fill="auto"/>
            <w:hideMark/>
          </w:tcPr>
          <w:p w14:paraId="2D7E5A46" w14:textId="77777777" w:rsidR="009E72E7" w:rsidRPr="007A0973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 xml:space="preserve">Ensure that the new country strategy has clear strategic intent and is widely shared </w:t>
            </w:r>
          </w:p>
        </w:tc>
        <w:tc>
          <w:tcPr>
            <w:tcW w:w="1147" w:type="dxa"/>
            <w:shd w:val="clear" w:color="auto" w:fill="auto"/>
            <w:hideMark/>
          </w:tcPr>
          <w:p w14:paraId="635A018D" w14:textId="77777777" w:rsidR="009E72E7" w:rsidRPr="007A0973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 xml:space="preserve">Agree </w:t>
            </w:r>
          </w:p>
        </w:tc>
        <w:tc>
          <w:tcPr>
            <w:tcW w:w="7727" w:type="dxa"/>
            <w:shd w:val="clear" w:color="auto" w:fill="auto"/>
            <w:hideMark/>
          </w:tcPr>
          <w:p w14:paraId="0EFA5B10" w14:textId="77777777" w:rsidR="009E72E7" w:rsidRPr="007A0973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>
              <w:rPr>
                <w:rFonts w:asciiTheme="majorHAnsi" w:hAnsiTheme="majorHAnsi" w:cstheme="majorHAnsi"/>
                <w:color w:val="000000"/>
                <w:lang w:eastAsia="en-AU"/>
              </w:rPr>
              <w:t xml:space="preserve">To inform strategic intent and future programming Post will develop a new country strategy guided by the forthcoming international development policy. </w:t>
            </w:r>
          </w:p>
        </w:tc>
        <w:tc>
          <w:tcPr>
            <w:tcW w:w="1466" w:type="dxa"/>
            <w:shd w:val="clear" w:color="auto" w:fill="auto"/>
            <w:hideMark/>
          </w:tcPr>
          <w:p w14:paraId="35842A50" w14:textId="77777777" w:rsidR="009E72E7" w:rsidRPr="007A0973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 xml:space="preserve">Finalised in the first half of 2023. </w:t>
            </w:r>
          </w:p>
        </w:tc>
      </w:tr>
      <w:tr w:rsidR="009E72E7" w:rsidRPr="002C5C20" w14:paraId="21ACC782" w14:textId="77777777" w:rsidTr="00581DD8">
        <w:trPr>
          <w:trHeight w:val="1278"/>
        </w:trPr>
        <w:tc>
          <w:tcPr>
            <w:tcW w:w="902" w:type="dxa"/>
            <w:shd w:val="clear" w:color="auto" w:fill="auto"/>
            <w:hideMark/>
          </w:tcPr>
          <w:p w14:paraId="0EF9FC07" w14:textId="77777777" w:rsidR="009E72E7" w:rsidRPr="007A0973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>2</w:t>
            </w:r>
          </w:p>
        </w:tc>
        <w:tc>
          <w:tcPr>
            <w:tcW w:w="3779" w:type="dxa"/>
            <w:shd w:val="clear" w:color="auto" w:fill="auto"/>
            <w:hideMark/>
          </w:tcPr>
          <w:p w14:paraId="27464A86" w14:textId="77777777" w:rsidR="009E72E7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>Decide the extent to which the AHC is content to contract out core corporate documents and responsibilities</w:t>
            </w:r>
          </w:p>
          <w:p w14:paraId="4EA5B013" w14:textId="77777777" w:rsidR="009E72E7" w:rsidRPr="007A0973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14:paraId="4560A7FD" w14:textId="77777777" w:rsidR="009E72E7" w:rsidRPr="007A0973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 xml:space="preserve">Agree </w:t>
            </w:r>
          </w:p>
        </w:tc>
        <w:tc>
          <w:tcPr>
            <w:tcW w:w="7727" w:type="dxa"/>
            <w:shd w:val="clear" w:color="auto" w:fill="auto"/>
            <w:hideMark/>
          </w:tcPr>
          <w:p w14:paraId="28195BA5" w14:textId="77777777" w:rsidR="009E72E7" w:rsidRPr="00496D2A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>
              <w:rPr>
                <w:rFonts w:asciiTheme="majorHAnsi" w:hAnsiTheme="majorHAnsi" w:cstheme="majorHAnsi"/>
                <w:color w:val="000000"/>
                <w:lang w:eastAsia="en-AU"/>
              </w:rPr>
              <w:t xml:space="preserve">Clear roles and responsibilities are defined in the terms of reference and statement of requirement for the facility. </w:t>
            </w:r>
            <w:r w:rsidRPr="00496D2A">
              <w:rPr>
                <w:rFonts w:asciiTheme="majorHAnsi" w:hAnsiTheme="majorHAnsi" w:cstheme="majorHAnsi"/>
                <w:color w:val="000000"/>
                <w:lang w:eastAsia="en-AU"/>
              </w:rPr>
              <w:t>Post has increased the resourcing</w:t>
            </w:r>
            <w:r>
              <w:rPr>
                <w:rFonts w:asciiTheme="majorHAnsi" w:hAnsiTheme="majorHAnsi" w:cstheme="majorHAnsi"/>
                <w:color w:val="000000"/>
                <w:lang w:eastAsia="en-AU"/>
              </w:rPr>
              <w:t xml:space="preserve"> at the facility </w:t>
            </w:r>
            <w:r w:rsidRPr="00496D2A">
              <w:rPr>
                <w:rFonts w:asciiTheme="majorHAnsi" w:hAnsiTheme="majorHAnsi" w:cstheme="majorHAnsi"/>
                <w:color w:val="000000"/>
                <w:lang w:eastAsia="en-AU"/>
              </w:rPr>
              <w:t>as recommended</w:t>
            </w:r>
            <w:r>
              <w:rPr>
                <w:rFonts w:asciiTheme="majorHAnsi" w:hAnsiTheme="majorHAnsi" w:cstheme="majorHAnsi"/>
                <w:color w:val="000000"/>
                <w:lang w:eastAsia="en-AU"/>
              </w:rPr>
              <w:t xml:space="preserve">. An additional team leader within the successor facility will also be considered. The re-establishment of the </w:t>
            </w:r>
            <w:r w:rsidRPr="00496D2A">
              <w:rPr>
                <w:rFonts w:asciiTheme="majorHAnsi" w:hAnsiTheme="majorHAnsi" w:cstheme="majorHAnsi"/>
                <w:color w:val="000000"/>
                <w:lang w:eastAsia="en-AU"/>
              </w:rPr>
              <w:t>Development Counsellor position</w:t>
            </w:r>
            <w:r>
              <w:rPr>
                <w:rFonts w:asciiTheme="majorHAnsi" w:hAnsiTheme="majorHAnsi" w:cstheme="majorHAnsi"/>
                <w:color w:val="000000"/>
                <w:lang w:eastAsia="en-AU"/>
              </w:rPr>
              <w:t xml:space="preserve"> is unlikely to occur. </w:t>
            </w:r>
          </w:p>
        </w:tc>
        <w:tc>
          <w:tcPr>
            <w:tcW w:w="1466" w:type="dxa"/>
            <w:shd w:val="clear" w:color="auto" w:fill="auto"/>
            <w:hideMark/>
          </w:tcPr>
          <w:p w14:paraId="6FDD8E66" w14:textId="77777777" w:rsidR="009E72E7" w:rsidRPr="007A0973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>
              <w:rPr>
                <w:rFonts w:asciiTheme="majorHAnsi" w:hAnsiTheme="majorHAnsi" w:cstheme="majorHAnsi"/>
                <w:color w:val="000000"/>
                <w:lang w:eastAsia="en-AU"/>
              </w:rPr>
              <w:t>Ongoing</w:t>
            </w: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 xml:space="preserve">. </w:t>
            </w:r>
          </w:p>
        </w:tc>
      </w:tr>
      <w:tr w:rsidR="009E72E7" w:rsidRPr="002C5C20" w14:paraId="1692BE07" w14:textId="77777777" w:rsidTr="00581DD8">
        <w:trPr>
          <w:trHeight w:val="853"/>
        </w:trPr>
        <w:tc>
          <w:tcPr>
            <w:tcW w:w="902" w:type="dxa"/>
            <w:shd w:val="clear" w:color="auto" w:fill="auto"/>
            <w:hideMark/>
          </w:tcPr>
          <w:p w14:paraId="7C6E81CB" w14:textId="77777777" w:rsidR="009E72E7" w:rsidRPr="007A0973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>3</w:t>
            </w:r>
          </w:p>
        </w:tc>
        <w:tc>
          <w:tcPr>
            <w:tcW w:w="3779" w:type="dxa"/>
            <w:shd w:val="clear" w:color="auto" w:fill="auto"/>
            <w:hideMark/>
          </w:tcPr>
          <w:p w14:paraId="36763219" w14:textId="77777777" w:rsidR="009E72E7" w:rsidRPr="007A0973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>Clarify the strategic intent of KLIE</w:t>
            </w:r>
          </w:p>
        </w:tc>
        <w:tc>
          <w:tcPr>
            <w:tcW w:w="1147" w:type="dxa"/>
            <w:shd w:val="clear" w:color="auto" w:fill="auto"/>
            <w:hideMark/>
          </w:tcPr>
          <w:p w14:paraId="6F6CAB8A" w14:textId="77777777" w:rsidR="009E72E7" w:rsidRPr="007A0973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 xml:space="preserve">Agree </w:t>
            </w:r>
          </w:p>
        </w:tc>
        <w:tc>
          <w:tcPr>
            <w:tcW w:w="7727" w:type="dxa"/>
            <w:shd w:val="clear" w:color="auto" w:fill="auto"/>
            <w:hideMark/>
          </w:tcPr>
          <w:p w14:paraId="36FDD1C2" w14:textId="77777777" w:rsidR="009E72E7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>KLIE has been used as a soft power tool to respond to government requests</w:t>
            </w:r>
            <w:r>
              <w:rPr>
                <w:rFonts w:asciiTheme="majorHAnsi" w:hAnsiTheme="majorHAnsi" w:cstheme="majorHAnsi"/>
                <w:color w:val="000000"/>
                <w:lang w:eastAsia="en-AU"/>
              </w:rPr>
              <w:t xml:space="preserve"> and leverage Australia’s </w:t>
            </w:r>
            <w:r w:rsidRPr="00843D08">
              <w:rPr>
                <w:rFonts w:asciiTheme="majorHAnsi" w:hAnsiTheme="majorHAnsi" w:cstheme="majorHAnsi"/>
                <w:color w:val="000000"/>
                <w:lang w:eastAsia="en-AU"/>
              </w:rPr>
              <w:t>broad technical expertise to achieve development outcomes.</w:t>
            </w:r>
          </w:p>
          <w:p w14:paraId="4264C66F" w14:textId="77777777" w:rsidR="009E72E7" w:rsidRPr="007A0973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>
              <w:rPr>
                <w:rFonts w:asciiTheme="majorHAnsi" w:hAnsiTheme="majorHAnsi" w:cstheme="majorHAnsi"/>
                <w:color w:val="000000"/>
                <w:lang w:eastAsia="en-AU"/>
              </w:rPr>
              <w:t xml:space="preserve">The forthcoming country strategy will inform future programming. </w:t>
            </w:r>
          </w:p>
        </w:tc>
        <w:tc>
          <w:tcPr>
            <w:tcW w:w="1466" w:type="dxa"/>
            <w:shd w:val="clear" w:color="auto" w:fill="auto"/>
            <w:hideMark/>
          </w:tcPr>
          <w:p w14:paraId="2F1D6AB0" w14:textId="77777777" w:rsidR="009E72E7" w:rsidRPr="007A0973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>
              <w:rPr>
                <w:rFonts w:asciiTheme="majorHAnsi" w:hAnsiTheme="majorHAnsi" w:cstheme="majorHAnsi"/>
                <w:color w:val="000000"/>
                <w:lang w:eastAsia="en-AU"/>
              </w:rPr>
              <w:t>Ongoing</w:t>
            </w: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>.</w:t>
            </w:r>
          </w:p>
        </w:tc>
      </w:tr>
      <w:tr w:rsidR="009E72E7" w:rsidRPr="002C5C20" w14:paraId="278A9351" w14:textId="77777777" w:rsidTr="00581DD8">
        <w:trPr>
          <w:trHeight w:val="553"/>
        </w:trPr>
        <w:tc>
          <w:tcPr>
            <w:tcW w:w="902" w:type="dxa"/>
            <w:shd w:val="clear" w:color="auto" w:fill="auto"/>
            <w:hideMark/>
          </w:tcPr>
          <w:p w14:paraId="1690CF16" w14:textId="77777777" w:rsidR="009E72E7" w:rsidRPr="007A0973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>4</w:t>
            </w:r>
          </w:p>
        </w:tc>
        <w:tc>
          <w:tcPr>
            <w:tcW w:w="3779" w:type="dxa"/>
            <w:shd w:val="clear" w:color="auto" w:fill="auto"/>
            <w:hideMark/>
          </w:tcPr>
          <w:p w14:paraId="4C654FD7" w14:textId="77777777" w:rsidR="009E72E7" w:rsidRPr="007A0973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 xml:space="preserve"> Clarify the strategic intent of DAP</w:t>
            </w:r>
          </w:p>
        </w:tc>
        <w:tc>
          <w:tcPr>
            <w:tcW w:w="1147" w:type="dxa"/>
            <w:shd w:val="clear" w:color="auto" w:fill="auto"/>
            <w:hideMark/>
          </w:tcPr>
          <w:p w14:paraId="65B4C491" w14:textId="77777777" w:rsidR="009E72E7" w:rsidRPr="007A0973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 xml:space="preserve">Agree </w:t>
            </w:r>
          </w:p>
        </w:tc>
        <w:tc>
          <w:tcPr>
            <w:tcW w:w="7727" w:type="dxa"/>
            <w:shd w:val="clear" w:color="auto" w:fill="auto"/>
            <w:hideMark/>
          </w:tcPr>
          <w:p w14:paraId="62E5EA3B" w14:textId="77777777" w:rsidR="009E72E7" w:rsidRPr="007A0973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>
              <w:rPr>
                <w:rFonts w:asciiTheme="majorHAnsi" w:hAnsiTheme="majorHAnsi" w:cstheme="majorHAnsi"/>
                <w:color w:val="000000"/>
                <w:lang w:eastAsia="en-AU"/>
              </w:rPr>
              <w:t xml:space="preserve">The forthcoming country strategy will inform future programming, including the DAP. </w:t>
            </w:r>
          </w:p>
        </w:tc>
        <w:tc>
          <w:tcPr>
            <w:tcW w:w="1466" w:type="dxa"/>
            <w:shd w:val="clear" w:color="auto" w:fill="auto"/>
            <w:hideMark/>
          </w:tcPr>
          <w:p w14:paraId="2957C76E" w14:textId="77777777" w:rsidR="009E72E7" w:rsidRPr="007A0973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>
              <w:rPr>
                <w:rFonts w:asciiTheme="majorHAnsi" w:hAnsiTheme="majorHAnsi" w:cstheme="majorHAnsi"/>
                <w:color w:val="000000"/>
                <w:lang w:eastAsia="en-AU"/>
              </w:rPr>
              <w:t>Ongoing</w:t>
            </w: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>.</w:t>
            </w:r>
          </w:p>
        </w:tc>
      </w:tr>
      <w:tr w:rsidR="009E72E7" w:rsidRPr="002C5C20" w14:paraId="06ED3077" w14:textId="77777777" w:rsidTr="00581DD8">
        <w:trPr>
          <w:trHeight w:val="966"/>
        </w:trPr>
        <w:tc>
          <w:tcPr>
            <w:tcW w:w="902" w:type="dxa"/>
            <w:shd w:val="clear" w:color="auto" w:fill="auto"/>
            <w:hideMark/>
          </w:tcPr>
          <w:p w14:paraId="0A42416D" w14:textId="77777777" w:rsidR="009E72E7" w:rsidRPr="007A0973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>5</w:t>
            </w:r>
          </w:p>
        </w:tc>
        <w:tc>
          <w:tcPr>
            <w:tcW w:w="3779" w:type="dxa"/>
            <w:shd w:val="clear" w:color="auto" w:fill="auto"/>
            <w:hideMark/>
          </w:tcPr>
          <w:p w14:paraId="2AD4B283" w14:textId="77777777" w:rsidR="009E72E7" w:rsidRPr="007A0973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>Once a decision has been taken regarding strategic ownership (issue #2), revise the SLSU TOR</w:t>
            </w:r>
          </w:p>
        </w:tc>
        <w:tc>
          <w:tcPr>
            <w:tcW w:w="1147" w:type="dxa"/>
            <w:shd w:val="clear" w:color="auto" w:fill="auto"/>
            <w:hideMark/>
          </w:tcPr>
          <w:p w14:paraId="3CD1231B" w14:textId="77777777" w:rsidR="009E72E7" w:rsidRPr="007A0973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 xml:space="preserve">Agree </w:t>
            </w:r>
          </w:p>
        </w:tc>
        <w:tc>
          <w:tcPr>
            <w:tcW w:w="7727" w:type="dxa"/>
            <w:shd w:val="clear" w:color="auto" w:fill="auto"/>
            <w:hideMark/>
          </w:tcPr>
          <w:p w14:paraId="3E3CA2A4" w14:textId="77777777" w:rsidR="009E72E7" w:rsidRPr="007A0973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 xml:space="preserve">An approach to market will take place in the first half of 2023 for a successor facility. </w:t>
            </w:r>
            <w:r>
              <w:rPr>
                <w:rFonts w:asciiTheme="majorHAnsi" w:hAnsiTheme="majorHAnsi" w:cstheme="majorHAnsi"/>
                <w:color w:val="000000"/>
                <w:lang w:eastAsia="en-AU"/>
              </w:rPr>
              <w:t xml:space="preserve">In the interim the TOR for the SLSU will be revised. </w:t>
            </w:r>
          </w:p>
        </w:tc>
        <w:tc>
          <w:tcPr>
            <w:tcW w:w="1466" w:type="dxa"/>
            <w:shd w:val="clear" w:color="auto" w:fill="auto"/>
            <w:hideMark/>
          </w:tcPr>
          <w:p w14:paraId="373853A2" w14:textId="77777777" w:rsidR="009E72E7" w:rsidRPr="007A0973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>
              <w:rPr>
                <w:rFonts w:asciiTheme="majorHAnsi" w:hAnsiTheme="majorHAnsi" w:cstheme="majorHAnsi"/>
                <w:color w:val="000000"/>
                <w:lang w:eastAsia="en-AU"/>
              </w:rPr>
              <w:t>Ongoing</w:t>
            </w: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>.</w:t>
            </w:r>
          </w:p>
        </w:tc>
      </w:tr>
      <w:tr w:rsidR="009E72E7" w:rsidRPr="002C5C20" w14:paraId="631328A6" w14:textId="77777777" w:rsidTr="00581DD8">
        <w:trPr>
          <w:trHeight w:val="70"/>
        </w:trPr>
        <w:tc>
          <w:tcPr>
            <w:tcW w:w="902" w:type="dxa"/>
            <w:shd w:val="clear" w:color="auto" w:fill="auto"/>
            <w:hideMark/>
          </w:tcPr>
          <w:p w14:paraId="54690B10" w14:textId="77777777" w:rsidR="009E72E7" w:rsidRPr="007A0973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>6</w:t>
            </w:r>
          </w:p>
        </w:tc>
        <w:tc>
          <w:tcPr>
            <w:tcW w:w="3779" w:type="dxa"/>
            <w:shd w:val="clear" w:color="auto" w:fill="auto"/>
            <w:hideMark/>
          </w:tcPr>
          <w:p w14:paraId="5CDA49BD" w14:textId="77777777" w:rsidR="009E72E7" w:rsidRPr="007A0973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>Replace KLIE with a reformed partnership program (outlined in issue #3)</w:t>
            </w:r>
          </w:p>
        </w:tc>
        <w:tc>
          <w:tcPr>
            <w:tcW w:w="1147" w:type="dxa"/>
            <w:shd w:val="clear" w:color="auto" w:fill="auto"/>
            <w:hideMark/>
          </w:tcPr>
          <w:p w14:paraId="3D4BCB33" w14:textId="77777777" w:rsidR="009E72E7" w:rsidRPr="007A0973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 xml:space="preserve">Agree </w:t>
            </w:r>
          </w:p>
        </w:tc>
        <w:tc>
          <w:tcPr>
            <w:tcW w:w="7727" w:type="dxa"/>
            <w:shd w:val="clear" w:color="auto" w:fill="auto"/>
            <w:hideMark/>
          </w:tcPr>
          <w:p w14:paraId="1FBF40D1" w14:textId="77777777" w:rsidR="009E72E7" w:rsidRPr="007A0973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>Existing KLIE partnerships will continue</w:t>
            </w:r>
            <w:r>
              <w:rPr>
                <w:rFonts w:asciiTheme="majorHAnsi" w:hAnsiTheme="majorHAnsi" w:cstheme="majorHAnsi"/>
                <w:color w:val="000000"/>
                <w:lang w:eastAsia="en-AU"/>
              </w:rPr>
              <w:t xml:space="preserve"> until the contracts expire. Any future</w:t>
            </w: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 xml:space="preserve"> partnerships will be </w:t>
            </w:r>
            <w:r>
              <w:rPr>
                <w:rFonts w:asciiTheme="majorHAnsi" w:hAnsiTheme="majorHAnsi" w:cstheme="majorHAnsi"/>
                <w:color w:val="000000"/>
                <w:lang w:eastAsia="en-AU"/>
              </w:rPr>
              <w:t xml:space="preserve">informed by the country strategy and a program redesign. </w:t>
            </w:r>
          </w:p>
        </w:tc>
        <w:tc>
          <w:tcPr>
            <w:tcW w:w="1466" w:type="dxa"/>
            <w:shd w:val="clear" w:color="auto" w:fill="auto"/>
            <w:hideMark/>
          </w:tcPr>
          <w:p w14:paraId="07264AE0" w14:textId="77777777" w:rsidR="009E72E7" w:rsidRPr="007A0973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 xml:space="preserve">Second half of 2023. </w:t>
            </w:r>
          </w:p>
        </w:tc>
      </w:tr>
      <w:tr w:rsidR="009E72E7" w:rsidRPr="002C5C20" w14:paraId="5CC34771" w14:textId="77777777" w:rsidTr="00581DD8">
        <w:trPr>
          <w:trHeight w:val="973"/>
        </w:trPr>
        <w:tc>
          <w:tcPr>
            <w:tcW w:w="902" w:type="dxa"/>
            <w:shd w:val="clear" w:color="auto" w:fill="auto"/>
            <w:hideMark/>
          </w:tcPr>
          <w:p w14:paraId="710B47C3" w14:textId="77777777" w:rsidR="009E72E7" w:rsidRPr="007A0973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>7</w:t>
            </w:r>
          </w:p>
        </w:tc>
        <w:tc>
          <w:tcPr>
            <w:tcW w:w="3779" w:type="dxa"/>
            <w:shd w:val="clear" w:color="auto" w:fill="auto"/>
            <w:hideMark/>
          </w:tcPr>
          <w:p w14:paraId="58CCED6A" w14:textId="77777777" w:rsidR="009E72E7" w:rsidRPr="007A0973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>Once its strategic intent has been clarified (issue #4), revise the DAP</w:t>
            </w:r>
          </w:p>
        </w:tc>
        <w:tc>
          <w:tcPr>
            <w:tcW w:w="1147" w:type="dxa"/>
            <w:shd w:val="clear" w:color="auto" w:fill="auto"/>
            <w:hideMark/>
          </w:tcPr>
          <w:p w14:paraId="48BCD2CD" w14:textId="77777777" w:rsidR="009E72E7" w:rsidRPr="007A0973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 xml:space="preserve">Agree </w:t>
            </w:r>
          </w:p>
        </w:tc>
        <w:tc>
          <w:tcPr>
            <w:tcW w:w="7727" w:type="dxa"/>
            <w:shd w:val="clear" w:color="auto" w:fill="auto"/>
            <w:hideMark/>
          </w:tcPr>
          <w:p w14:paraId="0EEFCD67" w14:textId="77777777" w:rsidR="009E72E7" w:rsidRPr="007A0973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>
              <w:rPr>
                <w:rFonts w:asciiTheme="majorHAnsi" w:hAnsiTheme="majorHAnsi" w:cstheme="majorHAnsi"/>
                <w:color w:val="000000"/>
                <w:lang w:eastAsia="en-AU"/>
              </w:rPr>
              <w:t>Post is reviewing its approach to DAP.</w:t>
            </w: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 xml:space="preserve"> A non-ODA funded DAP is </w:t>
            </w:r>
            <w:r>
              <w:rPr>
                <w:rFonts w:asciiTheme="majorHAnsi" w:hAnsiTheme="majorHAnsi" w:cstheme="majorHAnsi"/>
                <w:color w:val="000000"/>
                <w:lang w:eastAsia="en-AU"/>
              </w:rPr>
              <w:t xml:space="preserve">not possible given </w:t>
            </w: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>departmental budget constraints.</w:t>
            </w:r>
          </w:p>
        </w:tc>
        <w:tc>
          <w:tcPr>
            <w:tcW w:w="1466" w:type="dxa"/>
            <w:shd w:val="clear" w:color="auto" w:fill="auto"/>
            <w:hideMark/>
          </w:tcPr>
          <w:p w14:paraId="20A7B479" w14:textId="77777777" w:rsidR="009E72E7" w:rsidRPr="00D151A4" w:rsidRDefault="009E72E7" w:rsidP="00581DD8">
            <w:pPr>
              <w:rPr>
                <w:rFonts w:asciiTheme="majorHAnsi" w:hAnsiTheme="majorHAnsi" w:cstheme="majorHAnsi"/>
                <w:b/>
                <w:bCs/>
                <w:color w:val="000000"/>
                <w:lang w:eastAsia="en-AU"/>
              </w:rPr>
            </w:pPr>
            <w:r>
              <w:rPr>
                <w:rFonts w:asciiTheme="majorHAnsi" w:hAnsiTheme="majorHAnsi" w:cstheme="majorHAnsi"/>
                <w:color w:val="000000"/>
                <w:lang w:eastAsia="en-AU"/>
              </w:rPr>
              <w:t>Ongoing</w:t>
            </w: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>.</w:t>
            </w:r>
          </w:p>
        </w:tc>
      </w:tr>
      <w:tr w:rsidR="009E72E7" w:rsidRPr="002C5C20" w14:paraId="0C6130F9" w14:textId="77777777" w:rsidTr="00581DD8">
        <w:trPr>
          <w:trHeight w:val="927"/>
        </w:trPr>
        <w:tc>
          <w:tcPr>
            <w:tcW w:w="902" w:type="dxa"/>
            <w:shd w:val="clear" w:color="auto" w:fill="auto"/>
            <w:hideMark/>
          </w:tcPr>
          <w:p w14:paraId="4A98B0D0" w14:textId="77777777" w:rsidR="009E72E7" w:rsidRPr="007A0973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>8</w:t>
            </w:r>
          </w:p>
        </w:tc>
        <w:tc>
          <w:tcPr>
            <w:tcW w:w="3779" w:type="dxa"/>
            <w:shd w:val="clear" w:color="auto" w:fill="auto"/>
            <w:hideMark/>
          </w:tcPr>
          <w:p w14:paraId="5EC3F194" w14:textId="77777777" w:rsidR="009E72E7" w:rsidRPr="007A0973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>Stand up the SSG project steering committee (PSC) as soon as possible</w:t>
            </w:r>
          </w:p>
        </w:tc>
        <w:tc>
          <w:tcPr>
            <w:tcW w:w="1147" w:type="dxa"/>
            <w:shd w:val="clear" w:color="auto" w:fill="auto"/>
            <w:hideMark/>
          </w:tcPr>
          <w:p w14:paraId="1E17A8B0" w14:textId="77777777" w:rsidR="009E72E7" w:rsidRPr="007A0973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 xml:space="preserve">Agree </w:t>
            </w:r>
          </w:p>
        </w:tc>
        <w:tc>
          <w:tcPr>
            <w:tcW w:w="7727" w:type="dxa"/>
            <w:shd w:val="clear" w:color="auto" w:fill="auto"/>
            <w:hideMark/>
          </w:tcPr>
          <w:p w14:paraId="0CAF2D53" w14:textId="77777777" w:rsidR="009E72E7" w:rsidRPr="007A0973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 xml:space="preserve">A subsidiary arrangement with government is being progressed. Following approval of the arrangement, </w:t>
            </w:r>
            <w:r>
              <w:rPr>
                <w:rFonts w:asciiTheme="majorHAnsi" w:hAnsiTheme="majorHAnsi" w:cstheme="majorHAnsi"/>
                <w:color w:val="000000"/>
                <w:lang w:eastAsia="en-AU"/>
              </w:rPr>
              <w:t xml:space="preserve">a </w:t>
            </w: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 xml:space="preserve">steering committee with government participation will be stood up.  </w:t>
            </w:r>
          </w:p>
        </w:tc>
        <w:tc>
          <w:tcPr>
            <w:tcW w:w="1466" w:type="dxa"/>
            <w:shd w:val="clear" w:color="auto" w:fill="auto"/>
            <w:hideMark/>
          </w:tcPr>
          <w:p w14:paraId="376A8446" w14:textId="77777777" w:rsidR="009E72E7" w:rsidRPr="007A0973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>
              <w:rPr>
                <w:rFonts w:asciiTheme="majorHAnsi" w:hAnsiTheme="majorHAnsi" w:cstheme="majorHAnsi"/>
                <w:color w:val="000000"/>
                <w:lang w:eastAsia="en-AU"/>
              </w:rPr>
              <w:t>Ongoing</w:t>
            </w: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>.</w:t>
            </w:r>
            <w:r>
              <w:rPr>
                <w:rFonts w:asciiTheme="majorHAnsi" w:hAnsiTheme="majorHAnsi" w:cstheme="majorHAnsi"/>
                <w:color w:val="000000"/>
                <w:lang w:eastAsia="en-AU"/>
              </w:rPr>
              <w:t xml:space="preserve"> </w:t>
            </w:r>
          </w:p>
        </w:tc>
      </w:tr>
      <w:tr w:rsidR="009E72E7" w:rsidRPr="002C5C20" w14:paraId="43E0FBC5" w14:textId="77777777" w:rsidTr="00581DD8">
        <w:trPr>
          <w:trHeight w:val="827"/>
        </w:trPr>
        <w:tc>
          <w:tcPr>
            <w:tcW w:w="902" w:type="dxa"/>
            <w:shd w:val="clear" w:color="auto" w:fill="auto"/>
            <w:hideMark/>
          </w:tcPr>
          <w:p w14:paraId="07A07523" w14:textId="77777777" w:rsidR="009E72E7" w:rsidRPr="007A0973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>9</w:t>
            </w:r>
          </w:p>
        </w:tc>
        <w:tc>
          <w:tcPr>
            <w:tcW w:w="3779" w:type="dxa"/>
            <w:shd w:val="clear" w:color="auto" w:fill="auto"/>
            <w:hideMark/>
          </w:tcPr>
          <w:p w14:paraId="31BA676E" w14:textId="77777777" w:rsidR="009E72E7" w:rsidRPr="007A0973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 xml:space="preserve">Review SLSU staffing needs </w:t>
            </w:r>
          </w:p>
        </w:tc>
        <w:tc>
          <w:tcPr>
            <w:tcW w:w="1147" w:type="dxa"/>
            <w:shd w:val="clear" w:color="auto" w:fill="auto"/>
            <w:hideMark/>
          </w:tcPr>
          <w:p w14:paraId="571EA4C7" w14:textId="77777777" w:rsidR="009E72E7" w:rsidRPr="007A0973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 xml:space="preserve">Agree </w:t>
            </w:r>
          </w:p>
        </w:tc>
        <w:tc>
          <w:tcPr>
            <w:tcW w:w="7727" w:type="dxa"/>
            <w:shd w:val="clear" w:color="auto" w:fill="auto"/>
            <w:hideMark/>
          </w:tcPr>
          <w:p w14:paraId="4DA43A83" w14:textId="77777777" w:rsidR="009E72E7" w:rsidRPr="007A0973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 xml:space="preserve">Post acknowledges SLSU has been a lean facility. </w:t>
            </w:r>
            <w:r>
              <w:rPr>
                <w:rFonts w:asciiTheme="majorHAnsi" w:hAnsiTheme="majorHAnsi" w:cstheme="majorHAnsi"/>
                <w:color w:val="000000"/>
                <w:lang w:eastAsia="en-AU"/>
              </w:rPr>
              <w:t xml:space="preserve">Since the evaluation, three new positions have been created and filled: a grants officer, senior program officer, and subnational governance program officer. </w:t>
            </w:r>
          </w:p>
        </w:tc>
        <w:tc>
          <w:tcPr>
            <w:tcW w:w="1466" w:type="dxa"/>
            <w:shd w:val="clear" w:color="auto" w:fill="auto"/>
            <w:hideMark/>
          </w:tcPr>
          <w:p w14:paraId="306593B9" w14:textId="77777777" w:rsidR="009E72E7" w:rsidRPr="007A0973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>
              <w:rPr>
                <w:rFonts w:asciiTheme="majorHAnsi" w:hAnsiTheme="majorHAnsi" w:cstheme="majorHAnsi"/>
                <w:color w:val="000000"/>
                <w:lang w:eastAsia="en-AU"/>
              </w:rPr>
              <w:t>Ongoing</w:t>
            </w: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>.</w:t>
            </w:r>
          </w:p>
        </w:tc>
      </w:tr>
      <w:tr w:rsidR="009E72E7" w:rsidRPr="002C5C20" w14:paraId="0D54E0DD" w14:textId="77777777" w:rsidTr="00581DD8">
        <w:trPr>
          <w:trHeight w:val="593"/>
        </w:trPr>
        <w:tc>
          <w:tcPr>
            <w:tcW w:w="902" w:type="dxa"/>
            <w:shd w:val="clear" w:color="auto" w:fill="auto"/>
            <w:hideMark/>
          </w:tcPr>
          <w:p w14:paraId="29278D0F" w14:textId="77777777" w:rsidR="009E72E7" w:rsidRPr="007A0973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>10</w:t>
            </w:r>
          </w:p>
        </w:tc>
        <w:tc>
          <w:tcPr>
            <w:tcW w:w="3779" w:type="dxa"/>
            <w:shd w:val="clear" w:color="auto" w:fill="auto"/>
            <w:hideMark/>
          </w:tcPr>
          <w:p w14:paraId="6D5B3FC7" w14:textId="77777777" w:rsidR="009E72E7" w:rsidRPr="007A0973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 xml:space="preserve">Require a coherent monitoring, evaluation, and learning (MEL) framework </w:t>
            </w:r>
          </w:p>
        </w:tc>
        <w:tc>
          <w:tcPr>
            <w:tcW w:w="1147" w:type="dxa"/>
            <w:shd w:val="clear" w:color="auto" w:fill="auto"/>
            <w:hideMark/>
          </w:tcPr>
          <w:p w14:paraId="60AAB27F" w14:textId="77777777" w:rsidR="009E72E7" w:rsidRPr="007A0973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 xml:space="preserve">Agree </w:t>
            </w:r>
          </w:p>
        </w:tc>
        <w:tc>
          <w:tcPr>
            <w:tcW w:w="7727" w:type="dxa"/>
            <w:shd w:val="clear" w:color="auto" w:fill="auto"/>
            <w:hideMark/>
          </w:tcPr>
          <w:p w14:paraId="0F8EA00F" w14:textId="77777777" w:rsidR="009E72E7" w:rsidRPr="007A0973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>Post has requested SLSU to update the monitoring and evaluation results framework</w:t>
            </w:r>
            <w:r>
              <w:rPr>
                <w:rFonts w:asciiTheme="majorHAnsi" w:hAnsiTheme="majorHAnsi" w:cstheme="majorHAnsi"/>
                <w:color w:val="000000"/>
                <w:lang w:eastAsia="en-AU"/>
              </w:rPr>
              <w:t xml:space="preserve"> by 31 March 2023</w:t>
            </w: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 xml:space="preserve">. This will be reviewed by DFAT's governance and design desks. </w:t>
            </w:r>
          </w:p>
        </w:tc>
        <w:tc>
          <w:tcPr>
            <w:tcW w:w="1466" w:type="dxa"/>
            <w:shd w:val="clear" w:color="auto" w:fill="auto"/>
            <w:hideMark/>
          </w:tcPr>
          <w:p w14:paraId="6D9F24D5" w14:textId="77777777" w:rsidR="009E72E7" w:rsidRPr="007A0973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>
              <w:rPr>
                <w:rFonts w:asciiTheme="majorHAnsi" w:hAnsiTheme="majorHAnsi" w:cstheme="majorHAnsi"/>
                <w:color w:val="000000"/>
                <w:lang w:eastAsia="en-AU"/>
              </w:rPr>
              <w:t>Ongoing</w:t>
            </w: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>.</w:t>
            </w:r>
          </w:p>
        </w:tc>
      </w:tr>
      <w:tr w:rsidR="009E72E7" w:rsidRPr="002C5C20" w14:paraId="365C9160" w14:textId="77777777" w:rsidTr="00581DD8">
        <w:trPr>
          <w:trHeight w:val="909"/>
        </w:trPr>
        <w:tc>
          <w:tcPr>
            <w:tcW w:w="902" w:type="dxa"/>
            <w:shd w:val="clear" w:color="auto" w:fill="auto"/>
            <w:hideMark/>
          </w:tcPr>
          <w:p w14:paraId="0C433DE7" w14:textId="77777777" w:rsidR="009E72E7" w:rsidRPr="007A0973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lastRenderedPageBreak/>
              <w:t>11</w:t>
            </w:r>
          </w:p>
        </w:tc>
        <w:tc>
          <w:tcPr>
            <w:tcW w:w="3779" w:type="dxa"/>
            <w:shd w:val="clear" w:color="auto" w:fill="auto"/>
            <w:hideMark/>
          </w:tcPr>
          <w:p w14:paraId="0AAA8291" w14:textId="77777777" w:rsidR="009E72E7" w:rsidRPr="007A0973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 xml:space="preserve">Clarify the reporting line of the SLSU TL </w:t>
            </w:r>
          </w:p>
        </w:tc>
        <w:tc>
          <w:tcPr>
            <w:tcW w:w="1147" w:type="dxa"/>
            <w:shd w:val="clear" w:color="auto" w:fill="auto"/>
            <w:hideMark/>
          </w:tcPr>
          <w:p w14:paraId="4A5F9844" w14:textId="77777777" w:rsidR="009E72E7" w:rsidRPr="007A0973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 xml:space="preserve">Agree </w:t>
            </w:r>
          </w:p>
        </w:tc>
        <w:tc>
          <w:tcPr>
            <w:tcW w:w="7727" w:type="dxa"/>
            <w:shd w:val="clear" w:color="auto" w:fill="auto"/>
            <w:hideMark/>
          </w:tcPr>
          <w:p w14:paraId="50614D42" w14:textId="77777777" w:rsidR="009E72E7" w:rsidRPr="007A0973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>The SLSU TL reports directly to the First Secretary Development Cooperation on whole of development matters</w:t>
            </w:r>
            <w:r>
              <w:rPr>
                <w:rFonts w:asciiTheme="majorHAnsi" w:hAnsiTheme="majorHAnsi" w:cstheme="majorHAnsi"/>
                <w:color w:val="000000"/>
                <w:lang w:eastAsia="en-AU"/>
              </w:rPr>
              <w:t>, the Second Secretary on DAP and the</w:t>
            </w: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 xml:space="preserve"> Senior Program Manager </w:t>
            </w:r>
            <w:r>
              <w:rPr>
                <w:rFonts w:asciiTheme="majorHAnsi" w:hAnsiTheme="majorHAnsi" w:cstheme="majorHAnsi"/>
                <w:color w:val="000000"/>
                <w:lang w:eastAsia="en-AU"/>
              </w:rPr>
              <w:t xml:space="preserve">on </w:t>
            </w: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>governance.</w:t>
            </w:r>
            <w:r w:rsidRPr="00843D08">
              <w:rPr>
                <w:rFonts w:asciiTheme="majorHAnsi" w:hAnsiTheme="majorHAnsi" w:cstheme="majorHAnsi"/>
                <w:color w:val="000000"/>
                <w:lang w:eastAsia="en-AU"/>
              </w:rPr>
              <w:t xml:space="preserve"> A steering committee with senior leadership is also in place.</w:t>
            </w:r>
            <w:r>
              <w:rPr>
                <w:rFonts w:asciiTheme="majorHAnsi" w:hAnsiTheme="majorHAnsi" w:cstheme="majorHAnsi"/>
                <w:color w:val="FF0000"/>
                <w:lang w:eastAsia="en-AU"/>
              </w:rPr>
              <w:t xml:space="preserve">  </w:t>
            </w:r>
          </w:p>
        </w:tc>
        <w:tc>
          <w:tcPr>
            <w:tcW w:w="1466" w:type="dxa"/>
            <w:shd w:val="clear" w:color="auto" w:fill="auto"/>
            <w:hideMark/>
          </w:tcPr>
          <w:p w14:paraId="3FDDADAD" w14:textId="77777777" w:rsidR="009E72E7" w:rsidRPr="007A0973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 xml:space="preserve">Complete. </w:t>
            </w:r>
          </w:p>
        </w:tc>
      </w:tr>
      <w:tr w:rsidR="009E72E7" w:rsidRPr="002C5C20" w14:paraId="1E9242EF" w14:textId="77777777" w:rsidTr="00581DD8">
        <w:trPr>
          <w:trHeight w:val="553"/>
        </w:trPr>
        <w:tc>
          <w:tcPr>
            <w:tcW w:w="902" w:type="dxa"/>
            <w:shd w:val="clear" w:color="auto" w:fill="auto"/>
            <w:hideMark/>
          </w:tcPr>
          <w:p w14:paraId="1841ED50" w14:textId="77777777" w:rsidR="009E72E7" w:rsidRPr="007A0973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>12</w:t>
            </w:r>
          </w:p>
        </w:tc>
        <w:tc>
          <w:tcPr>
            <w:tcW w:w="3779" w:type="dxa"/>
            <w:shd w:val="clear" w:color="auto" w:fill="auto"/>
            <w:hideMark/>
          </w:tcPr>
          <w:p w14:paraId="3439DCF2" w14:textId="77777777" w:rsidR="009E72E7" w:rsidRPr="007A0973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 xml:space="preserve">Evaluation of SLSU's capacity building approach </w:t>
            </w:r>
          </w:p>
        </w:tc>
        <w:tc>
          <w:tcPr>
            <w:tcW w:w="1147" w:type="dxa"/>
            <w:shd w:val="clear" w:color="auto" w:fill="auto"/>
            <w:hideMark/>
          </w:tcPr>
          <w:p w14:paraId="2ADE0350" w14:textId="77777777" w:rsidR="009E72E7" w:rsidRPr="007A0973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 xml:space="preserve">Agree </w:t>
            </w:r>
          </w:p>
        </w:tc>
        <w:tc>
          <w:tcPr>
            <w:tcW w:w="7727" w:type="dxa"/>
            <w:shd w:val="clear" w:color="auto" w:fill="auto"/>
            <w:hideMark/>
          </w:tcPr>
          <w:p w14:paraId="2231CDE9" w14:textId="77777777" w:rsidR="009E72E7" w:rsidRPr="007A0973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 xml:space="preserve">The SLSU's capacity building approach for Post and partners will be independently reviewed in the third quarter of 2023. </w:t>
            </w:r>
          </w:p>
        </w:tc>
        <w:tc>
          <w:tcPr>
            <w:tcW w:w="1466" w:type="dxa"/>
            <w:shd w:val="clear" w:color="auto" w:fill="auto"/>
            <w:hideMark/>
          </w:tcPr>
          <w:p w14:paraId="6BB51FCF" w14:textId="77777777" w:rsidR="009E72E7" w:rsidRPr="007A0973" w:rsidRDefault="009E72E7" w:rsidP="00581DD8">
            <w:pPr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7A0973">
              <w:rPr>
                <w:rFonts w:asciiTheme="majorHAnsi" w:hAnsiTheme="majorHAnsi" w:cstheme="majorHAnsi"/>
                <w:color w:val="000000"/>
                <w:lang w:eastAsia="en-AU"/>
              </w:rPr>
              <w:t xml:space="preserve">Third quarter 2023. </w:t>
            </w:r>
          </w:p>
        </w:tc>
      </w:tr>
    </w:tbl>
    <w:p w14:paraId="1FBE1B9C" w14:textId="77777777" w:rsidR="009E72E7" w:rsidRDefault="009E72E7" w:rsidP="00687128"/>
    <w:p w14:paraId="7EF4C3DF" w14:textId="77777777" w:rsidR="0046116B" w:rsidRDefault="0046116B"/>
    <w:sectPr w:rsidR="0046116B" w:rsidSect="002C5C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0B4DA" w14:textId="77777777" w:rsidR="00A2607A" w:rsidRDefault="00A2607A" w:rsidP="007A0973">
      <w:r>
        <w:separator/>
      </w:r>
    </w:p>
  </w:endnote>
  <w:endnote w:type="continuationSeparator" w:id="0">
    <w:p w14:paraId="7E44C99E" w14:textId="77777777" w:rsidR="00A2607A" w:rsidRDefault="00A2607A" w:rsidP="007A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2B393" w14:textId="77777777" w:rsidR="00A2607A" w:rsidRDefault="00A2607A" w:rsidP="007A0973">
      <w:r>
        <w:separator/>
      </w:r>
    </w:p>
  </w:footnote>
  <w:footnote w:type="continuationSeparator" w:id="0">
    <w:p w14:paraId="4D738FC3" w14:textId="77777777" w:rsidR="00A2607A" w:rsidRDefault="00A2607A" w:rsidP="007A0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C518B"/>
    <w:multiLevelType w:val="hybridMultilevel"/>
    <w:tmpl w:val="16D430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664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DDD"/>
    <w:rsid w:val="000412E7"/>
    <w:rsid w:val="00087702"/>
    <w:rsid w:val="000B099A"/>
    <w:rsid w:val="000B3DDD"/>
    <w:rsid w:val="0015585B"/>
    <w:rsid w:val="001C450B"/>
    <w:rsid w:val="001E3886"/>
    <w:rsid w:val="00260CFF"/>
    <w:rsid w:val="0029379B"/>
    <w:rsid w:val="002C5C20"/>
    <w:rsid w:val="003908E4"/>
    <w:rsid w:val="0046116B"/>
    <w:rsid w:val="00496D2A"/>
    <w:rsid w:val="004A0DA8"/>
    <w:rsid w:val="004A7951"/>
    <w:rsid w:val="004C135A"/>
    <w:rsid w:val="004C2792"/>
    <w:rsid w:val="004D3218"/>
    <w:rsid w:val="004F538F"/>
    <w:rsid w:val="004F7350"/>
    <w:rsid w:val="005A4A4F"/>
    <w:rsid w:val="005A652E"/>
    <w:rsid w:val="005B42DF"/>
    <w:rsid w:val="00625231"/>
    <w:rsid w:val="00687128"/>
    <w:rsid w:val="006D28C3"/>
    <w:rsid w:val="00706405"/>
    <w:rsid w:val="00706C25"/>
    <w:rsid w:val="00724878"/>
    <w:rsid w:val="007303D3"/>
    <w:rsid w:val="00732ABE"/>
    <w:rsid w:val="007562E3"/>
    <w:rsid w:val="00796A2F"/>
    <w:rsid w:val="007A0973"/>
    <w:rsid w:val="00807682"/>
    <w:rsid w:val="00815754"/>
    <w:rsid w:val="00843D08"/>
    <w:rsid w:val="00894FE9"/>
    <w:rsid w:val="008D38AE"/>
    <w:rsid w:val="008E055A"/>
    <w:rsid w:val="00936B23"/>
    <w:rsid w:val="00937B0D"/>
    <w:rsid w:val="00980DC1"/>
    <w:rsid w:val="009B036C"/>
    <w:rsid w:val="009E72E7"/>
    <w:rsid w:val="00A00935"/>
    <w:rsid w:val="00A2607A"/>
    <w:rsid w:val="00A815DD"/>
    <w:rsid w:val="00A933F8"/>
    <w:rsid w:val="00AA7C4B"/>
    <w:rsid w:val="00AC2676"/>
    <w:rsid w:val="00B17627"/>
    <w:rsid w:val="00BF0D92"/>
    <w:rsid w:val="00BF2590"/>
    <w:rsid w:val="00BF43AE"/>
    <w:rsid w:val="00C61FF9"/>
    <w:rsid w:val="00CA6550"/>
    <w:rsid w:val="00D151A4"/>
    <w:rsid w:val="00D43DE3"/>
    <w:rsid w:val="00D51099"/>
    <w:rsid w:val="00D83D86"/>
    <w:rsid w:val="00DA0E39"/>
    <w:rsid w:val="00E30647"/>
    <w:rsid w:val="00E61A4F"/>
    <w:rsid w:val="00F02F50"/>
    <w:rsid w:val="00F4587D"/>
    <w:rsid w:val="00F7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C0A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128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67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C2676"/>
  </w:style>
  <w:style w:type="paragraph" w:styleId="Footer">
    <w:name w:val="footer"/>
    <w:basedOn w:val="Normal"/>
    <w:link w:val="FooterChar"/>
    <w:uiPriority w:val="99"/>
    <w:unhideWhenUsed/>
    <w:rsid w:val="00AC267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C2676"/>
  </w:style>
  <w:style w:type="character" w:styleId="CommentReference">
    <w:name w:val="annotation reference"/>
    <w:basedOn w:val="DefaultParagraphFont"/>
    <w:uiPriority w:val="99"/>
    <w:semiHidden/>
    <w:unhideWhenUsed/>
    <w:rsid w:val="005A4A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4A4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4A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A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A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E7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1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2765</Characters>
  <Application>Microsoft Office Word</Application>
  <DocSecurity>0</DocSecurity>
  <Lines>105</Lines>
  <Paragraphs>67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DFAT Management response annex: Sri Lanka Support Unit, Independent Evaluation</dc:title>
  <dc:subject/>
  <dc:creator/>
  <cp:keywords/>
  <dc:description/>
  <cp:lastModifiedBy/>
  <cp:revision>1</cp:revision>
  <dcterms:created xsi:type="dcterms:W3CDTF">2023-04-03T06:15:00Z</dcterms:created>
  <dcterms:modified xsi:type="dcterms:W3CDTF">2023-04-03T06:15:00Z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</Properties>
</file>