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D91326">
        <w:rPr>
          <w:noProof/>
          <w:color w:val="FFFFFF"/>
          <w:spacing w:val="0"/>
          <w:sz w:val="50"/>
          <w:szCs w:val="50"/>
          <w:lang w:val="en-US" w:eastAsia="en-US"/>
        </w:rPr>
        <w:t xml:space="preserve"> </w:t>
      </w:r>
      <w:r w:rsidRPr="001227C3">
        <w:rPr>
          <w:noProof/>
          <w:color w:val="FFFFFF"/>
          <w:spacing w:val="0"/>
          <w:sz w:val="50"/>
          <w:szCs w:val="50"/>
          <w:lang w:val="en-US" w:eastAsia="en-US"/>
        </w:rPr>
        <w:t>Program</w:t>
      </w:r>
      <w:r w:rsidR="00D91326">
        <w:rPr>
          <w:noProof/>
          <w:color w:val="FFFFFF"/>
          <w:spacing w:val="0"/>
          <w:sz w:val="50"/>
          <w:szCs w:val="50"/>
          <w:lang w:val="en-US" w:eastAsia="en-US"/>
        </w:rPr>
        <w:t xml:space="preserve"> </w:t>
      </w:r>
      <w:r w:rsidRPr="001227C3">
        <w:rPr>
          <w:noProof/>
          <w:color w:val="FFFFFF"/>
          <w:spacing w:val="0"/>
          <w:sz w:val="50"/>
          <w:szCs w:val="50"/>
          <w:lang w:val="en-US" w:eastAsia="en-US"/>
        </w:rPr>
        <w:t>Performance</w:t>
      </w:r>
      <w:r w:rsidR="00D91326">
        <w:rPr>
          <w:noProof/>
          <w:color w:val="FFFFFF"/>
          <w:spacing w:val="0"/>
          <w:sz w:val="50"/>
          <w:szCs w:val="50"/>
          <w:lang w:val="en-US" w:eastAsia="en-US"/>
        </w:rPr>
        <w:t xml:space="preserve"> </w:t>
      </w:r>
      <w:r w:rsidRPr="001227C3">
        <w:rPr>
          <w:noProof/>
          <w:color w:val="FFFFFF"/>
          <w:spacing w:val="0"/>
          <w:sz w:val="50"/>
          <w:szCs w:val="50"/>
          <w:lang w:val="en-US" w:eastAsia="en-US"/>
        </w:rPr>
        <w:t>Report</w:t>
      </w:r>
      <w:r w:rsidR="00D91326">
        <w:rPr>
          <w:noProof/>
          <w:color w:val="FFFFFF"/>
          <w:spacing w:val="0"/>
          <w:sz w:val="50"/>
          <w:szCs w:val="50"/>
          <w:lang w:val="en-US" w:eastAsia="en-US"/>
        </w:rPr>
        <w:t xml:space="preserve"> </w:t>
      </w:r>
      <w:r w:rsidRPr="001227C3">
        <w:rPr>
          <w:noProof/>
          <w:color w:val="FFFFFF"/>
          <w:spacing w:val="0"/>
          <w:sz w:val="50"/>
          <w:szCs w:val="50"/>
          <w:lang w:val="en-US" w:eastAsia="en-US"/>
        </w:rPr>
        <w:t>2013-14</w:t>
      </w:r>
      <w:r w:rsidR="00D91326">
        <w:rPr>
          <w:noProof/>
          <w:color w:val="FFFFFF"/>
          <w:spacing w:val="0"/>
          <w:sz w:val="50"/>
          <w:szCs w:val="50"/>
          <w:lang w:val="en-US" w:eastAsia="en-US"/>
        </w:rPr>
        <w:t xml:space="preserve"> </w:t>
      </w:r>
      <w:r w:rsidRPr="001227C3">
        <w:rPr>
          <w:noProof/>
          <w:color w:val="FFFFFF"/>
          <w:spacing w:val="0"/>
          <w:sz w:val="50"/>
          <w:szCs w:val="50"/>
        </w:rPr>
        <w:drawing>
          <wp:anchor distT="0" distB="0" distL="114300" distR="114300" simplePos="0" relativeHeight="251662336" behindDoc="1" locked="1" layoutInCell="1" allowOverlap="1" wp14:anchorId="59CB13BA" wp14:editId="5EC0ADAC">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C9548E"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Solomon Islands</w:t>
      </w:r>
      <w:r w:rsidR="00D91326">
        <w:rPr>
          <w:noProof/>
          <w:color w:val="FFFFFF"/>
          <w:spacing w:val="0"/>
          <w:sz w:val="32"/>
          <w:szCs w:val="32"/>
          <w:lang w:val="en-US" w:eastAsia="en-US"/>
        </w:rPr>
        <w:t xml:space="preserve"> </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w:t>
      </w:r>
      <w:r w:rsidR="00D91326">
        <w:rPr>
          <w:rFonts w:ascii="Helvetica" w:eastAsia="Times New Roman" w:hAnsi="Helvetica"/>
          <w:noProof/>
          <w:color w:val="FFFFFF"/>
          <w:kern w:val="28"/>
          <w:sz w:val="24"/>
          <w:lang w:val="en-US" w:eastAsia="en-US"/>
        </w:rPr>
        <w:t xml:space="preserve"> </w:t>
      </w:r>
      <w:r w:rsidRPr="001227C3">
        <w:rPr>
          <w:rFonts w:ascii="Helvetica" w:eastAsia="Times New Roman" w:hAnsi="Helvetica"/>
          <w:noProof/>
          <w:color w:val="FFFFFF"/>
          <w:kern w:val="28"/>
          <w:sz w:val="24"/>
          <w:lang w:val="en-US" w:eastAsia="en-US"/>
        </w:rPr>
        <w:t>2014</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E24BBD">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831DC0" w:rsidRPr="00B43B60" w:rsidRDefault="00831DC0" w:rsidP="00831DC0">
      <w:pPr>
        <w:pStyle w:val="Heading2"/>
        <w:jc w:val="both"/>
        <w:rPr>
          <w:rStyle w:val="BodyTextChar"/>
          <w:color w:val="auto"/>
        </w:rPr>
      </w:pPr>
      <w:bookmarkStart w:id="1" w:name="_Toc373853205"/>
      <w:r w:rsidRPr="009E38C1">
        <w:rPr>
          <w:sz w:val="28"/>
        </w:rPr>
        <w:lastRenderedPageBreak/>
        <w:t>Key Messages</w:t>
      </w:r>
      <w:r w:rsidRPr="009E38C1">
        <w:rPr>
          <w:sz w:val="28"/>
        </w:rPr>
        <w:tab/>
      </w:r>
      <w:r w:rsidRPr="009E38C1">
        <w:rPr>
          <w:sz w:val="28"/>
        </w:rPr>
        <w:tab/>
      </w:r>
      <w:r>
        <w:rPr>
          <w:sz w:val="32"/>
          <w:szCs w:val="32"/>
        </w:rPr>
        <w:tab/>
      </w:r>
      <w:r>
        <w:rPr>
          <w:sz w:val="32"/>
          <w:szCs w:val="32"/>
        </w:rPr>
        <w:tab/>
      </w:r>
      <w:r>
        <w:rPr>
          <w:sz w:val="32"/>
          <w:szCs w:val="32"/>
        </w:rPr>
        <w:tab/>
      </w:r>
      <w:r>
        <w:rPr>
          <w:sz w:val="32"/>
          <w:szCs w:val="32"/>
        </w:rPr>
        <w:tab/>
      </w:r>
    </w:p>
    <w:p w:rsidR="00831DC0" w:rsidRDefault="00831DC0" w:rsidP="00831DC0">
      <w:pPr>
        <w:pStyle w:val="CommentText"/>
        <w:spacing w:after="120"/>
        <w:jc w:val="both"/>
        <w:rPr>
          <w:rFonts w:asciiTheme="minorHAnsi" w:hAnsiTheme="minorHAnsi" w:cstheme="minorHAnsi"/>
          <w:sz w:val="22"/>
          <w:szCs w:val="22"/>
        </w:rPr>
      </w:pPr>
      <w:r>
        <w:rPr>
          <w:rFonts w:asciiTheme="minorHAnsi" w:hAnsiTheme="minorHAnsi" w:cstheme="minorHAnsi"/>
          <w:sz w:val="22"/>
          <w:szCs w:val="22"/>
        </w:rPr>
        <w:t xml:space="preserve">Australia’s programs in Solomon Islands achieved good results, with improvements in </w:t>
      </w:r>
      <w:r w:rsidRPr="00D92B41">
        <w:rPr>
          <w:rFonts w:asciiTheme="minorHAnsi" w:hAnsiTheme="minorHAnsi" w:cstheme="minorHAnsi"/>
          <w:sz w:val="22"/>
          <w:szCs w:val="22"/>
        </w:rPr>
        <w:t xml:space="preserve">health and education; justice services, broad-based economic growth and governance. </w:t>
      </w:r>
      <w:r>
        <w:rPr>
          <w:rFonts w:asciiTheme="minorHAnsi" w:hAnsiTheme="minorHAnsi" w:cstheme="minorHAnsi"/>
          <w:sz w:val="22"/>
          <w:szCs w:val="22"/>
        </w:rPr>
        <w:t xml:space="preserve"> The transition of former RAMSI development assistance programs</w:t>
      </w:r>
      <w:r w:rsidR="00AB5D2B">
        <w:rPr>
          <w:rFonts w:asciiTheme="minorHAnsi" w:hAnsiTheme="minorHAnsi" w:cstheme="minorHAnsi"/>
          <w:sz w:val="22"/>
          <w:szCs w:val="22"/>
        </w:rPr>
        <w:t>–</w:t>
      </w:r>
      <w:r>
        <w:rPr>
          <w:rFonts w:asciiTheme="minorHAnsi" w:hAnsiTheme="minorHAnsi" w:cstheme="minorHAnsi"/>
          <w:sz w:val="22"/>
          <w:szCs w:val="22"/>
        </w:rPr>
        <w:t>in law and justice, machinery of government and economic governance</w:t>
      </w:r>
      <w:r w:rsidR="00AB5D2B">
        <w:rPr>
          <w:rFonts w:asciiTheme="minorHAnsi" w:hAnsiTheme="minorHAnsi" w:cstheme="minorHAnsi"/>
          <w:sz w:val="22"/>
          <w:szCs w:val="22"/>
        </w:rPr>
        <w:t>–</w:t>
      </w:r>
      <w:r>
        <w:rPr>
          <w:rFonts w:asciiTheme="minorHAnsi" w:hAnsiTheme="minorHAnsi" w:cstheme="minorHAnsi"/>
          <w:sz w:val="22"/>
          <w:szCs w:val="22"/>
        </w:rPr>
        <w:t>into Australia’s bilateral program was executed smoothly</w:t>
      </w:r>
      <w:r w:rsidR="00643E73">
        <w:rPr>
          <w:rFonts w:asciiTheme="minorHAnsi" w:hAnsiTheme="minorHAnsi" w:cstheme="minorHAnsi"/>
          <w:sz w:val="22"/>
          <w:szCs w:val="22"/>
        </w:rPr>
        <w:t xml:space="preserve"> with the expanded Australia Solomon Islands Partnership for Development agreed and signed</w:t>
      </w:r>
      <w:r>
        <w:rPr>
          <w:rFonts w:asciiTheme="minorHAnsi" w:hAnsiTheme="minorHAnsi" w:cstheme="minorHAnsi"/>
          <w:sz w:val="22"/>
          <w:szCs w:val="22"/>
        </w:rPr>
        <w:t>.  Technical assistance is being refocussed into essential areas and the conditions for further integration with Australia’s broader objectives in Solomon Islands are being created. Ongoing vulnerabilities in Solomon Islands mean that progress</w:t>
      </w:r>
      <w:r w:rsidRPr="00D92B41">
        <w:rPr>
          <w:rFonts w:asciiTheme="minorHAnsi" w:hAnsiTheme="minorHAnsi" w:cstheme="minorHAnsi"/>
          <w:sz w:val="22"/>
          <w:szCs w:val="22"/>
        </w:rPr>
        <w:t xml:space="preserve"> will be variable</w:t>
      </w:r>
      <w:r>
        <w:rPr>
          <w:rFonts w:asciiTheme="minorHAnsi" w:hAnsiTheme="minorHAnsi" w:cstheme="minorHAnsi"/>
          <w:sz w:val="22"/>
          <w:szCs w:val="22"/>
        </w:rPr>
        <w:t xml:space="preserve"> across all sectors in which we are engaged</w:t>
      </w:r>
      <w:r w:rsidRPr="00D92B41">
        <w:rPr>
          <w:rFonts w:asciiTheme="minorHAnsi" w:hAnsiTheme="minorHAnsi" w:cstheme="minorHAnsi"/>
          <w:sz w:val="22"/>
          <w:szCs w:val="22"/>
        </w:rPr>
        <w:t xml:space="preserve"> for the foreseeable future. </w:t>
      </w:r>
      <w:r>
        <w:rPr>
          <w:rFonts w:asciiTheme="minorHAnsi" w:hAnsiTheme="minorHAnsi" w:cstheme="minorHAnsi"/>
          <w:sz w:val="22"/>
          <w:szCs w:val="22"/>
        </w:rPr>
        <w:t xml:space="preserve">  </w:t>
      </w:r>
    </w:p>
    <w:p w:rsidR="00831DC0" w:rsidRDefault="002B1DD5" w:rsidP="00831DC0">
      <w:pPr>
        <w:pStyle w:val="CommentText"/>
        <w:spacing w:after="120"/>
        <w:jc w:val="both"/>
        <w:rPr>
          <w:rFonts w:asciiTheme="minorHAnsi" w:hAnsiTheme="minorHAnsi" w:cstheme="minorHAnsi"/>
          <w:sz w:val="22"/>
          <w:szCs w:val="22"/>
        </w:rPr>
      </w:pPr>
      <w:r>
        <w:rPr>
          <w:rFonts w:asciiTheme="minorHAnsi" w:hAnsiTheme="minorHAnsi" w:cstheme="minorHAnsi"/>
          <w:sz w:val="22"/>
          <w:szCs w:val="22"/>
        </w:rPr>
        <w:t>The program is being adjusted in the context of</w:t>
      </w:r>
      <w:r w:rsidR="00831DC0">
        <w:rPr>
          <w:rFonts w:asciiTheme="minorHAnsi" w:hAnsiTheme="minorHAnsi" w:cstheme="minorHAnsi"/>
          <w:sz w:val="22"/>
          <w:szCs w:val="22"/>
        </w:rPr>
        <w:t xml:space="preserve"> the new aid </w:t>
      </w:r>
      <w:r w:rsidR="00165B95">
        <w:rPr>
          <w:rFonts w:asciiTheme="minorHAnsi" w:hAnsiTheme="minorHAnsi" w:cstheme="minorHAnsi"/>
          <w:sz w:val="22"/>
          <w:szCs w:val="22"/>
        </w:rPr>
        <w:t>paradigm</w:t>
      </w:r>
      <w:r w:rsidR="00831DC0">
        <w:rPr>
          <w:rFonts w:asciiTheme="minorHAnsi" w:hAnsiTheme="minorHAnsi" w:cstheme="minorHAnsi"/>
          <w:sz w:val="22"/>
          <w:szCs w:val="22"/>
        </w:rPr>
        <w:t>.  The synergies created by</w:t>
      </w:r>
      <w:r>
        <w:rPr>
          <w:rFonts w:asciiTheme="minorHAnsi" w:hAnsiTheme="minorHAnsi" w:cstheme="minorHAnsi"/>
          <w:sz w:val="22"/>
          <w:szCs w:val="22"/>
        </w:rPr>
        <w:t xml:space="preserve"> the integration of </w:t>
      </w:r>
      <w:r w:rsidR="00831DC0">
        <w:rPr>
          <w:rFonts w:asciiTheme="minorHAnsi" w:hAnsiTheme="minorHAnsi" w:cstheme="minorHAnsi"/>
          <w:sz w:val="22"/>
          <w:szCs w:val="22"/>
        </w:rPr>
        <w:t xml:space="preserve"> </w:t>
      </w:r>
      <w:r>
        <w:rPr>
          <w:rFonts w:asciiTheme="minorHAnsi" w:hAnsiTheme="minorHAnsi" w:cstheme="minorHAnsi"/>
          <w:sz w:val="22"/>
          <w:szCs w:val="22"/>
        </w:rPr>
        <w:t>the Australian Agency for International Development (AusAID) with the Department of Foreign Affairs and Trade (DFAT)</w:t>
      </w:r>
      <w:r w:rsidR="00831DC0">
        <w:rPr>
          <w:rFonts w:asciiTheme="minorHAnsi" w:hAnsiTheme="minorHAnsi" w:cstheme="minorHAnsi"/>
          <w:sz w:val="22"/>
          <w:szCs w:val="22"/>
        </w:rPr>
        <w:t xml:space="preserve"> will increase the focus on creating an</w:t>
      </w:r>
      <w:r w:rsidR="00831DC0" w:rsidRPr="00D92B41">
        <w:rPr>
          <w:rFonts w:asciiTheme="minorHAnsi" w:hAnsiTheme="minorHAnsi" w:cstheme="minorHAnsi"/>
          <w:sz w:val="22"/>
          <w:szCs w:val="22"/>
        </w:rPr>
        <w:t xml:space="preserve"> enabling environment for economic growth</w:t>
      </w:r>
      <w:r w:rsidR="00831DC0">
        <w:rPr>
          <w:rFonts w:asciiTheme="minorHAnsi" w:hAnsiTheme="minorHAnsi" w:cstheme="minorHAnsi"/>
          <w:sz w:val="22"/>
          <w:szCs w:val="22"/>
        </w:rPr>
        <w:t xml:space="preserve"> and ensuring the alignment of program objectives with Australia’s broader national interests in stability and economic development in Solomon Islands.  </w:t>
      </w:r>
      <w:r w:rsidR="00831DC0" w:rsidRPr="00D92B41">
        <w:rPr>
          <w:rFonts w:asciiTheme="minorHAnsi" w:hAnsiTheme="minorHAnsi" w:cstheme="minorHAnsi"/>
          <w:sz w:val="22"/>
          <w:szCs w:val="22"/>
        </w:rPr>
        <w:t xml:space="preserve"> </w:t>
      </w:r>
    </w:p>
    <w:p w:rsidR="00831DC0" w:rsidRPr="00D92B41" w:rsidRDefault="00831DC0" w:rsidP="00831DC0">
      <w:pPr>
        <w:pStyle w:val="CommentText"/>
        <w:spacing w:after="120"/>
        <w:jc w:val="both"/>
        <w:rPr>
          <w:rFonts w:asciiTheme="minorHAnsi" w:hAnsiTheme="minorHAnsi" w:cstheme="minorHAnsi"/>
          <w:sz w:val="22"/>
          <w:szCs w:val="22"/>
        </w:rPr>
      </w:pPr>
      <w:r>
        <w:rPr>
          <w:rFonts w:asciiTheme="minorHAnsi" w:hAnsiTheme="minorHAnsi" w:cstheme="minorHAnsi"/>
          <w:sz w:val="22"/>
          <w:szCs w:val="22"/>
        </w:rPr>
        <w:t xml:space="preserve">The $13.7 million reduction in the bilateral aid program for 2013-14 was managed largely through reducing cash balances in Solomon Islands accounts earmarked for health, transport and education.  Australia </w:t>
      </w:r>
      <w:r w:rsidR="00165B95">
        <w:rPr>
          <w:rFonts w:asciiTheme="minorHAnsi" w:hAnsiTheme="minorHAnsi" w:cstheme="minorHAnsi"/>
          <w:sz w:val="22"/>
          <w:szCs w:val="22"/>
        </w:rPr>
        <w:t>paid half of a possible</w:t>
      </w:r>
      <w:r>
        <w:rPr>
          <w:rFonts w:asciiTheme="minorHAnsi" w:hAnsiTheme="minorHAnsi" w:cstheme="minorHAnsi"/>
          <w:sz w:val="22"/>
          <w:szCs w:val="22"/>
        </w:rPr>
        <w:t xml:space="preserve"> $3 million in aid linked to performance against milestones agreed through the Core Economic Working Group (CEWG)</w:t>
      </w:r>
      <w:r w:rsidR="00165B95">
        <w:rPr>
          <w:rFonts w:asciiTheme="minorHAnsi" w:hAnsiTheme="minorHAnsi" w:cstheme="minorHAnsi"/>
          <w:sz w:val="22"/>
          <w:szCs w:val="22"/>
        </w:rPr>
        <w:t>, as</w:t>
      </w:r>
      <w:r w:rsidR="00B513B2">
        <w:rPr>
          <w:rFonts w:asciiTheme="minorHAnsi" w:hAnsiTheme="minorHAnsi" w:cstheme="minorHAnsi"/>
          <w:sz w:val="22"/>
          <w:szCs w:val="22"/>
        </w:rPr>
        <w:t xml:space="preserve"> </w:t>
      </w:r>
      <w:r>
        <w:rPr>
          <w:rFonts w:asciiTheme="minorHAnsi" w:hAnsiTheme="minorHAnsi" w:cstheme="minorHAnsi"/>
          <w:sz w:val="22"/>
          <w:szCs w:val="22"/>
        </w:rPr>
        <w:t>Solomon Islands met only half these milestones in 2013.</w:t>
      </w:r>
    </w:p>
    <w:p w:rsidR="00831DC0" w:rsidRPr="00D92B41" w:rsidRDefault="00831DC0" w:rsidP="00831DC0">
      <w:pPr>
        <w:pStyle w:val="Heading2"/>
        <w:jc w:val="both"/>
        <w:rPr>
          <w:rStyle w:val="BodyTextChar"/>
          <w:rFonts w:asciiTheme="minorHAnsi" w:hAnsiTheme="minorHAnsi" w:cstheme="minorHAnsi"/>
          <w:color w:val="auto"/>
          <w:sz w:val="22"/>
          <w:szCs w:val="22"/>
        </w:rPr>
      </w:pPr>
      <w:r w:rsidRPr="00D92B41">
        <w:rPr>
          <w:sz w:val="28"/>
        </w:rPr>
        <w:t>Context</w:t>
      </w:r>
      <w:r w:rsidRPr="00D92B41">
        <w:rPr>
          <w:rFonts w:asciiTheme="minorHAnsi" w:hAnsiTheme="minorHAnsi" w:cstheme="minorHAnsi"/>
          <w:sz w:val="22"/>
          <w:szCs w:val="22"/>
        </w:rPr>
        <w:t xml:space="preserve"> </w:t>
      </w:r>
      <w:r w:rsidRPr="00D92B41">
        <w:rPr>
          <w:rFonts w:asciiTheme="minorHAnsi" w:hAnsiTheme="minorHAnsi" w:cstheme="minorHAnsi"/>
          <w:sz w:val="22"/>
          <w:szCs w:val="22"/>
        </w:rPr>
        <w:tab/>
      </w:r>
    </w:p>
    <w:p w:rsidR="00831DC0" w:rsidRPr="00D92B41" w:rsidRDefault="00831DC0" w:rsidP="00831DC0">
      <w:pPr>
        <w:pStyle w:val="ListBullet"/>
        <w:numPr>
          <w:ilvl w:val="0"/>
          <w:numId w:val="0"/>
        </w:numPr>
        <w:jc w:val="both"/>
        <w:rPr>
          <w:rFonts w:asciiTheme="minorHAnsi" w:hAnsiTheme="minorHAnsi" w:cstheme="minorHAnsi"/>
          <w:sz w:val="22"/>
          <w:szCs w:val="22"/>
        </w:rPr>
      </w:pPr>
      <w:r>
        <w:rPr>
          <w:rFonts w:asciiTheme="minorHAnsi" w:hAnsiTheme="minorHAnsi" w:cstheme="minorHAnsi"/>
          <w:sz w:val="22"/>
          <w:szCs w:val="22"/>
        </w:rPr>
        <w:t>Australia has a deep and longstanding relationship with Solomon Islands, with development assistance focused on building</w:t>
      </w:r>
      <w:r w:rsidRPr="00D92B41">
        <w:rPr>
          <w:rFonts w:asciiTheme="minorHAnsi" w:hAnsiTheme="minorHAnsi" w:cstheme="minorHAnsi"/>
          <w:sz w:val="22"/>
          <w:szCs w:val="22"/>
        </w:rPr>
        <w:t xml:space="preserve"> a stable nation </w:t>
      </w:r>
      <w:r>
        <w:rPr>
          <w:rFonts w:asciiTheme="minorHAnsi" w:hAnsiTheme="minorHAnsi" w:cstheme="minorHAnsi"/>
          <w:sz w:val="22"/>
          <w:szCs w:val="22"/>
        </w:rPr>
        <w:t>underpinned</w:t>
      </w:r>
      <w:r w:rsidRPr="00D92B41">
        <w:rPr>
          <w:rFonts w:asciiTheme="minorHAnsi" w:hAnsiTheme="minorHAnsi" w:cstheme="minorHAnsi"/>
          <w:sz w:val="22"/>
          <w:szCs w:val="22"/>
        </w:rPr>
        <w:t xml:space="preserve"> by viable institutions and economic </w:t>
      </w:r>
      <w:r>
        <w:rPr>
          <w:rFonts w:asciiTheme="minorHAnsi" w:hAnsiTheme="minorHAnsi" w:cstheme="minorHAnsi"/>
          <w:sz w:val="22"/>
          <w:szCs w:val="22"/>
        </w:rPr>
        <w:t>growth</w:t>
      </w:r>
      <w:r w:rsidRPr="00D92B41">
        <w:rPr>
          <w:rFonts w:asciiTheme="minorHAnsi" w:hAnsiTheme="minorHAnsi" w:cstheme="minorHAnsi"/>
          <w:sz w:val="22"/>
          <w:szCs w:val="22"/>
        </w:rPr>
        <w:t>. The challenges in Solomon Islands are immense</w:t>
      </w:r>
      <w:r>
        <w:rPr>
          <w:rFonts w:asciiTheme="minorHAnsi" w:hAnsiTheme="minorHAnsi" w:cstheme="minorHAnsi"/>
          <w:sz w:val="22"/>
          <w:szCs w:val="22"/>
        </w:rPr>
        <w:t xml:space="preserve">.  </w:t>
      </w:r>
    </w:p>
    <w:p w:rsidR="00831DC0" w:rsidRPr="00BA12CD" w:rsidRDefault="00831DC0" w:rsidP="00831DC0">
      <w:pPr>
        <w:pStyle w:val="ListBullet"/>
        <w:numPr>
          <w:ilvl w:val="0"/>
          <w:numId w:val="0"/>
        </w:numPr>
        <w:tabs>
          <w:tab w:val="clear" w:pos="284"/>
        </w:tabs>
        <w:jc w:val="both"/>
        <w:rPr>
          <w:rFonts w:asciiTheme="minorHAnsi" w:hAnsiTheme="minorHAnsi" w:cstheme="minorHAnsi"/>
          <w:sz w:val="22"/>
          <w:szCs w:val="22"/>
        </w:rPr>
      </w:pPr>
      <w:r>
        <w:rPr>
          <w:rFonts w:asciiTheme="minorHAnsi" w:hAnsiTheme="minorHAnsi" w:cstheme="minorHAnsi"/>
          <w:sz w:val="22"/>
          <w:szCs w:val="22"/>
        </w:rPr>
        <w:t xml:space="preserve">The </w:t>
      </w:r>
      <w:r w:rsidRPr="00BA12CD">
        <w:rPr>
          <w:rFonts w:asciiTheme="minorHAnsi" w:hAnsiTheme="minorHAnsi" w:cstheme="minorHAnsi"/>
          <w:sz w:val="22"/>
          <w:szCs w:val="22"/>
        </w:rPr>
        <w:t xml:space="preserve">flooding which </w:t>
      </w:r>
      <w:r>
        <w:rPr>
          <w:rFonts w:asciiTheme="minorHAnsi" w:hAnsiTheme="minorHAnsi" w:cstheme="minorHAnsi"/>
          <w:sz w:val="22"/>
          <w:szCs w:val="22"/>
        </w:rPr>
        <w:t xml:space="preserve">struck Honiara and surrounding areas in April 2014 </w:t>
      </w:r>
      <w:r w:rsidRPr="00BA12CD">
        <w:rPr>
          <w:rFonts w:asciiTheme="minorHAnsi" w:hAnsiTheme="minorHAnsi" w:cstheme="minorHAnsi"/>
          <w:sz w:val="22"/>
          <w:szCs w:val="22"/>
        </w:rPr>
        <w:t xml:space="preserve">killed 23 people, damaged key infrastructure and disrupted livelihoods. The Gold Ridge Mine suspended operations. </w:t>
      </w:r>
      <w:r>
        <w:rPr>
          <w:rFonts w:asciiTheme="minorHAnsi" w:hAnsiTheme="minorHAnsi" w:cstheme="minorHAnsi"/>
          <w:sz w:val="22"/>
          <w:szCs w:val="22"/>
        </w:rPr>
        <w:t xml:space="preserve">The combined impact of </w:t>
      </w:r>
      <w:r w:rsidRPr="00BA12CD">
        <w:rPr>
          <w:rFonts w:asciiTheme="minorHAnsi" w:hAnsiTheme="minorHAnsi" w:cstheme="minorHAnsi"/>
          <w:sz w:val="22"/>
          <w:szCs w:val="22"/>
        </w:rPr>
        <w:t xml:space="preserve">the flood and </w:t>
      </w:r>
      <w:r>
        <w:rPr>
          <w:rFonts w:asciiTheme="minorHAnsi" w:hAnsiTheme="minorHAnsi" w:cstheme="minorHAnsi"/>
          <w:sz w:val="22"/>
          <w:szCs w:val="22"/>
        </w:rPr>
        <w:t xml:space="preserve">the </w:t>
      </w:r>
      <w:r w:rsidRPr="00BA12CD">
        <w:rPr>
          <w:rFonts w:asciiTheme="minorHAnsi" w:hAnsiTheme="minorHAnsi" w:cstheme="minorHAnsi"/>
          <w:sz w:val="22"/>
          <w:szCs w:val="22"/>
        </w:rPr>
        <w:t>mine closure saw economic growth projections revised downward from 4</w:t>
      </w:r>
      <w:r w:rsidR="00670871">
        <w:rPr>
          <w:rFonts w:asciiTheme="minorHAnsi" w:hAnsiTheme="minorHAnsi" w:cstheme="minorHAnsi"/>
          <w:sz w:val="22"/>
          <w:szCs w:val="22"/>
        </w:rPr>
        <w:t xml:space="preserve"> per cent</w:t>
      </w:r>
      <w:r w:rsidRPr="00BA12CD">
        <w:rPr>
          <w:rFonts w:asciiTheme="minorHAnsi" w:hAnsiTheme="minorHAnsi" w:cstheme="minorHAnsi"/>
          <w:sz w:val="22"/>
          <w:szCs w:val="22"/>
        </w:rPr>
        <w:t xml:space="preserve"> to around zero for 2014.</w:t>
      </w:r>
      <w:r>
        <w:rPr>
          <w:rFonts w:asciiTheme="minorHAnsi" w:hAnsiTheme="minorHAnsi" w:cstheme="minorHAnsi"/>
          <w:sz w:val="22"/>
          <w:szCs w:val="22"/>
        </w:rPr>
        <w:t xml:space="preserve">  T</w:t>
      </w:r>
      <w:r w:rsidRPr="00D92B41">
        <w:rPr>
          <w:rFonts w:asciiTheme="minorHAnsi" w:hAnsiTheme="minorHAnsi" w:cstheme="minorHAnsi"/>
          <w:sz w:val="22"/>
          <w:szCs w:val="22"/>
        </w:rPr>
        <w:t xml:space="preserve">he </w:t>
      </w:r>
      <w:r>
        <w:rPr>
          <w:rFonts w:asciiTheme="minorHAnsi" w:hAnsiTheme="minorHAnsi" w:cstheme="minorHAnsi"/>
          <w:sz w:val="22"/>
          <w:szCs w:val="22"/>
        </w:rPr>
        <w:t xml:space="preserve">physical, social and economic </w:t>
      </w:r>
      <w:r w:rsidRPr="00D92B41">
        <w:rPr>
          <w:rFonts w:asciiTheme="minorHAnsi" w:hAnsiTheme="minorHAnsi" w:cstheme="minorHAnsi"/>
          <w:sz w:val="22"/>
          <w:szCs w:val="22"/>
        </w:rPr>
        <w:t xml:space="preserve">impact of the </w:t>
      </w:r>
      <w:r>
        <w:rPr>
          <w:rFonts w:asciiTheme="minorHAnsi" w:hAnsiTheme="minorHAnsi" w:cstheme="minorHAnsi"/>
          <w:sz w:val="22"/>
          <w:szCs w:val="22"/>
        </w:rPr>
        <w:t>floods</w:t>
      </w:r>
      <w:r w:rsidRPr="00D92B41">
        <w:rPr>
          <w:rFonts w:asciiTheme="minorHAnsi" w:hAnsiTheme="minorHAnsi" w:cstheme="minorHAnsi"/>
          <w:sz w:val="22"/>
          <w:szCs w:val="22"/>
        </w:rPr>
        <w:t xml:space="preserve"> </w:t>
      </w:r>
      <w:r>
        <w:rPr>
          <w:rFonts w:asciiTheme="minorHAnsi" w:hAnsiTheme="minorHAnsi" w:cstheme="minorHAnsi"/>
          <w:sz w:val="22"/>
          <w:szCs w:val="22"/>
        </w:rPr>
        <w:t xml:space="preserve">demonstrated </w:t>
      </w:r>
      <w:r w:rsidRPr="00D92B41">
        <w:rPr>
          <w:rFonts w:asciiTheme="minorHAnsi" w:hAnsiTheme="minorHAnsi" w:cstheme="minorHAnsi"/>
          <w:sz w:val="22"/>
          <w:szCs w:val="22"/>
        </w:rPr>
        <w:t xml:space="preserve">Solomon Islands’ vulnerability.  </w:t>
      </w:r>
    </w:p>
    <w:p w:rsidR="00831DC0" w:rsidRDefault="00831DC0" w:rsidP="00831DC0">
      <w:pPr>
        <w:pBdr>
          <w:top w:val="single" w:sz="4" w:space="1" w:color="auto"/>
          <w:left w:val="single" w:sz="4" w:space="4" w:color="auto"/>
          <w:bottom w:val="single" w:sz="4" w:space="1" w:color="auto"/>
          <w:right w:val="single" w:sz="4" w:space="4" w:color="auto"/>
        </w:pBdr>
        <w:shd w:val="clear" w:color="auto" w:fill="EEECE1" w:themeFill="background2"/>
        <w:jc w:val="both"/>
        <w:rPr>
          <w:rFonts w:asciiTheme="minorHAnsi" w:hAnsiTheme="minorHAnsi" w:cstheme="minorHAnsi"/>
          <w:sz w:val="22"/>
          <w:szCs w:val="22"/>
        </w:rPr>
      </w:pPr>
      <w:r w:rsidRPr="00852462">
        <w:rPr>
          <w:rFonts w:asciiTheme="minorHAnsi" w:hAnsiTheme="minorHAnsi" w:cstheme="minorHAnsi"/>
          <w:sz w:val="22"/>
          <w:szCs w:val="22"/>
        </w:rPr>
        <w:t xml:space="preserve">Australia provided </w:t>
      </w:r>
      <w:r w:rsidRPr="002902B0">
        <w:rPr>
          <w:rFonts w:asciiTheme="minorHAnsi" w:hAnsiTheme="minorHAnsi" w:cstheme="minorHAnsi"/>
          <w:b/>
          <w:sz w:val="22"/>
          <w:szCs w:val="22"/>
        </w:rPr>
        <w:t>$7 million assistance in response to the floods</w:t>
      </w:r>
      <w:r w:rsidRPr="00852462">
        <w:rPr>
          <w:rFonts w:asciiTheme="minorHAnsi" w:hAnsiTheme="minorHAnsi" w:cstheme="minorHAnsi"/>
          <w:sz w:val="22"/>
          <w:szCs w:val="22"/>
        </w:rPr>
        <w:t xml:space="preserve"> to address immediate humanitarian needs such as safe drinking water, emergency shelter, sanitation and hygiene</w:t>
      </w:r>
      <w:r>
        <w:rPr>
          <w:rFonts w:asciiTheme="minorHAnsi" w:hAnsiTheme="minorHAnsi" w:cstheme="minorHAnsi"/>
          <w:sz w:val="22"/>
          <w:szCs w:val="22"/>
        </w:rPr>
        <w:t xml:space="preserve">, and support </w:t>
      </w:r>
      <w:r w:rsidRPr="00852462">
        <w:rPr>
          <w:rFonts w:asciiTheme="minorHAnsi" w:hAnsiTheme="minorHAnsi" w:cstheme="minorHAnsi"/>
          <w:sz w:val="22"/>
          <w:szCs w:val="22"/>
        </w:rPr>
        <w:t>much needed repairs to infrastructure such as roads and bridges.</w:t>
      </w:r>
    </w:p>
    <w:p w:rsidR="00831DC0" w:rsidRDefault="00831DC0" w:rsidP="00831DC0">
      <w:pPr>
        <w:pBdr>
          <w:top w:val="single" w:sz="4" w:space="1" w:color="auto"/>
          <w:left w:val="single" w:sz="4" w:space="4" w:color="auto"/>
          <w:bottom w:val="single" w:sz="4" w:space="1" w:color="auto"/>
          <w:right w:val="single" w:sz="4" w:space="4" w:color="auto"/>
        </w:pBdr>
        <w:shd w:val="clear" w:color="auto" w:fill="EEECE1" w:themeFill="background2"/>
        <w:jc w:val="both"/>
        <w:rPr>
          <w:rFonts w:asciiTheme="minorHAnsi" w:hAnsiTheme="minorHAnsi" w:cstheme="minorHAnsi"/>
          <w:sz w:val="22"/>
          <w:szCs w:val="22"/>
        </w:rPr>
      </w:pPr>
    </w:p>
    <w:p w:rsidR="00831DC0" w:rsidRPr="00D92B41" w:rsidRDefault="00831DC0" w:rsidP="00831DC0">
      <w:pPr>
        <w:pBdr>
          <w:top w:val="single" w:sz="4" w:space="1" w:color="auto"/>
          <w:left w:val="single" w:sz="4" w:space="4" w:color="auto"/>
          <w:bottom w:val="single" w:sz="4" w:space="1" w:color="auto"/>
          <w:right w:val="single" w:sz="4" w:space="4" w:color="auto"/>
        </w:pBdr>
        <w:shd w:val="clear" w:color="auto" w:fill="EEECE1" w:themeFill="background2"/>
        <w:jc w:val="both"/>
        <w:rPr>
          <w:rFonts w:asciiTheme="minorHAnsi" w:hAnsiTheme="minorHAnsi" w:cstheme="minorHAnsi"/>
          <w:sz w:val="22"/>
          <w:szCs w:val="22"/>
        </w:rPr>
      </w:pPr>
      <w:r w:rsidRPr="00852462">
        <w:rPr>
          <w:rFonts w:asciiTheme="minorHAnsi" w:hAnsiTheme="minorHAnsi" w:cstheme="minorHAnsi"/>
          <w:sz w:val="22"/>
          <w:szCs w:val="22"/>
        </w:rPr>
        <w:t>The</w:t>
      </w:r>
      <w:r>
        <w:rPr>
          <w:rFonts w:asciiTheme="minorHAnsi" w:hAnsiTheme="minorHAnsi" w:cstheme="minorHAnsi"/>
          <w:sz w:val="22"/>
          <w:szCs w:val="22"/>
        </w:rPr>
        <w:t xml:space="preserve"> flood response was a Whole of </w:t>
      </w:r>
      <w:r w:rsidRPr="00852462">
        <w:rPr>
          <w:rFonts w:asciiTheme="minorHAnsi" w:hAnsiTheme="minorHAnsi" w:cstheme="minorHAnsi"/>
          <w:sz w:val="22"/>
          <w:szCs w:val="22"/>
        </w:rPr>
        <w:t xml:space="preserve">Government </w:t>
      </w:r>
      <w:r>
        <w:rPr>
          <w:rFonts w:asciiTheme="minorHAnsi" w:hAnsiTheme="minorHAnsi" w:cstheme="minorHAnsi"/>
          <w:sz w:val="22"/>
          <w:szCs w:val="22"/>
        </w:rPr>
        <w:t>effort</w:t>
      </w:r>
      <w:r w:rsidRPr="00852462">
        <w:rPr>
          <w:rFonts w:asciiTheme="minorHAnsi" w:hAnsiTheme="minorHAnsi" w:cstheme="minorHAnsi"/>
          <w:sz w:val="22"/>
          <w:szCs w:val="22"/>
        </w:rPr>
        <w:t xml:space="preserve">. The Australian Defence Force provided </w:t>
      </w:r>
      <w:r>
        <w:rPr>
          <w:rFonts w:asciiTheme="minorHAnsi" w:hAnsiTheme="minorHAnsi" w:cstheme="minorHAnsi"/>
          <w:sz w:val="22"/>
          <w:szCs w:val="22"/>
        </w:rPr>
        <w:t xml:space="preserve">logistical support to </w:t>
      </w:r>
      <w:r w:rsidRPr="00852462">
        <w:rPr>
          <w:rFonts w:asciiTheme="minorHAnsi" w:hAnsiTheme="minorHAnsi" w:cstheme="minorHAnsi"/>
          <w:sz w:val="22"/>
          <w:szCs w:val="22"/>
        </w:rPr>
        <w:t xml:space="preserve">deliver humanitarian aid and a team to help assess damage. The Australian Federal Police provided personnel and equipment, the Australian Civilian Corps provided engineers, and a DFAT rapid response team worked </w:t>
      </w:r>
      <w:r w:rsidR="00643E73">
        <w:rPr>
          <w:rFonts w:asciiTheme="minorHAnsi" w:hAnsiTheme="minorHAnsi" w:cstheme="minorHAnsi"/>
          <w:sz w:val="22"/>
          <w:szCs w:val="22"/>
        </w:rPr>
        <w:t xml:space="preserve">with the High Commission </w:t>
      </w:r>
      <w:r w:rsidRPr="00852462">
        <w:rPr>
          <w:rFonts w:asciiTheme="minorHAnsi" w:hAnsiTheme="minorHAnsi" w:cstheme="minorHAnsi"/>
          <w:sz w:val="22"/>
          <w:szCs w:val="22"/>
        </w:rPr>
        <w:t xml:space="preserve">to assess flood damage and repair options. Australian doctors </w:t>
      </w:r>
      <w:r>
        <w:rPr>
          <w:rFonts w:asciiTheme="minorHAnsi" w:hAnsiTheme="minorHAnsi" w:cstheme="minorHAnsi"/>
          <w:sz w:val="22"/>
          <w:szCs w:val="22"/>
        </w:rPr>
        <w:t xml:space="preserve">were deployed </w:t>
      </w:r>
      <w:r w:rsidRPr="00852462">
        <w:rPr>
          <w:rFonts w:asciiTheme="minorHAnsi" w:hAnsiTheme="minorHAnsi" w:cstheme="minorHAnsi"/>
          <w:sz w:val="22"/>
          <w:szCs w:val="22"/>
        </w:rPr>
        <w:t>as part of a medical assistance team.</w:t>
      </w:r>
    </w:p>
    <w:p w:rsidR="00CF1001" w:rsidRPr="00BA12CD" w:rsidRDefault="00CF1001" w:rsidP="00CF1001">
      <w:pPr>
        <w:pStyle w:val="ListBullet"/>
        <w:numPr>
          <w:ilvl w:val="0"/>
          <w:numId w:val="0"/>
        </w:numPr>
        <w:tabs>
          <w:tab w:val="clear" w:pos="284"/>
        </w:tabs>
        <w:jc w:val="both"/>
        <w:rPr>
          <w:rFonts w:asciiTheme="minorHAnsi" w:hAnsiTheme="minorHAnsi" w:cstheme="minorHAnsi"/>
          <w:sz w:val="22"/>
          <w:szCs w:val="22"/>
        </w:rPr>
      </w:pPr>
      <w:r>
        <w:rPr>
          <w:rFonts w:asciiTheme="minorHAnsi" w:hAnsiTheme="minorHAnsi" w:cstheme="minorHAnsi"/>
          <w:sz w:val="22"/>
          <w:szCs w:val="22"/>
        </w:rPr>
        <w:t>Solomon Islands’</w:t>
      </w:r>
      <w:r w:rsidRPr="00BA12CD">
        <w:rPr>
          <w:rFonts w:asciiTheme="minorHAnsi" w:hAnsiTheme="minorHAnsi" w:cstheme="minorHAnsi"/>
          <w:sz w:val="22"/>
          <w:szCs w:val="22"/>
        </w:rPr>
        <w:t xml:space="preserve"> economic and budget positions are fragile and susceptible to further </w:t>
      </w:r>
      <w:r>
        <w:rPr>
          <w:rFonts w:asciiTheme="minorHAnsi" w:hAnsiTheme="minorHAnsi" w:cstheme="minorHAnsi"/>
          <w:sz w:val="22"/>
          <w:szCs w:val="22"/>
        </w:rPr>
        <w:t xml:space="preserve">external </w:t>
      </w:r>
      <w:r w:rsidRPr="00BA12CD">
        <w:rPr>
          <w:rFonts w:asciiTheme="minorHAnsi" w:hAnsiTheme="minorHAnsi" w:cstheme="minorHAnsi"/>
          <w:sz w:val="22"/>
          <w:szCs w:val="22"/>
        </w:rPr>
        <w:t>shocks or poor policy decisions. The narrow economic and revenue base remains a major challenge. Solomon Islands remains reliant on logging, mining</w:t>
      </w:r>
      <w:r w:rsidR="00B513B2">
        <w:rPr>
          <w:rFonts w:asciiTheme="minorHAnsi" w:hAnsiTheme="minorHAnsi" w:cstheme="minorHAnsi"/>
          <w:sz w:val="22"/>
          <w:szCs w:val="22"/>
        </w:rPr>
        <w:t>,</w:t>
      </w:r>
      <w:r w:rsidRPr="00BA12CD">
        <w:rPr>
          <w:rFonts w:asciiTheme="minorHAnsi" w:hAnsiTheme="minorHAnsi" w:cstheme="minorHAnsi"/>
          <w:sz w:val="22"/>
          <w:szCs w:val="22"/>
        </w:rPr>
        <w:t xml:space="preserve"> fisheries</w:t>
      </w:r>
      <w:r w:rsidR="00B513B2">
        <w:rPr>
          <w:rFonts w:asciiTheme="minorHAnsi" w:hAnsiTheme="minorHAnsi" w:cstheme="minorHAnsi"/>
          <w:sz w:val="22"/>
          <w:szCs w:val="22"/>
        </w:rPr>
        <w:t xml:space="preserve"> and agriculture</w:t>
      </w:r>
      <w:r w:rsidRPr="00BA12CD">
        <w:rPr>
          <w:rFonts w:asciiTheme="minorHAnsi" w:hAnsiTheme="minorHAnsi" w:cstheme="minorHAnsi"/>
          <w:sz w:val="22"/>
          <w:szCs w:val="22"/>
        </w:rPr>
        <w:t xml:space="preserve"> – and with the logging industry in decline</w:t>
      </w:r>
      <w:r w:rsidR="00400776">
        <w:rPr>
          <w:rFonts w:asciiTheme="minorHAnsi" w:hAnsiTheme="minorHAnsi" w:cstheme="minorHAnsi"/>
          <w:sz w:val="22"/>
          <w:szCs w:val="22"/>
        </w:rPr>
        <w:t xml:space="preserve"> </w:t>
      </w:r>
      <w:r w:rsidR="00400776" w:rsidRPr="00400776">
        <w:rPr>
          <w:rFonts w:asciiTheme="minorHAnsi" w:hAnsiTheme="minorHAnsi" w:cstheme="minorHAnsi"/>
          <w:sz w:val="22"/>
          <w:szCs w:val="22"/>
        </w:rPr>
        <w:t>and considerable uncertainty around the future prospects for the mining industry</w:t>
      </w:r>
      <w:r w:rsidRPr="00BA12CD">
        <w:rPr>
          <w:rFonts w:asciiTheme="minorHAnsi" w:hAnsiTheme="minorHAnsi" w:cstheme="minorHAnsi"/>
          <w:sz w:val="22"/>
          <w:szCs w:val="22"/>
        </w:rPr>
        <w:t xml:space="preserve">, supporting new sources of revenue and growth will be critical. Solomon Islands Government </w:t>
      </w:r>
      <w:r w:rsidR="00643E73">
        <w:rPr>
          <w:rFonts w:asciiTheme="minorHAnsi" w:hAnsiTheme="minorHAnsi" w:cstheme="minorHAnsi"/>
          <w:sz w:val="22"/>
          <w:szCs w:val="22"/>
        </w:rPr>
        <w:t xml:space="preserve">also </w:t>
      </w:r>
      <w:r w:rsidRPr="00BA12CD">
        <w:rPr>
          <w:rFonts w:asciiTheme="minorHAnsi" w:hAnsiTheme="minorHAnsi" w:cstheme="minorHAnsi"/>
          <w:sz w:val="22"/>
          <w:szCs w:val="22"/>
        </w:rPr>
        <w:t xml:space="preserve">needs to fund a significant reconstruction effort. Australia’s </w:t>
      </w:r>
      <w:r w:rsidR="007C224E">
        <w:rPr>
          <w:rFonts w:asciiTheme="minorHAnsi" w:hAnsiTheme="minorHAnsi" w:cstheme="minorHAnsi"/>
          <w:sz w:val="22"/>
          <w:szCs w:val="22"/>
        </w:rPr>
        <w:br/>
      </w:r>
      <w:r w:rsidRPr="00BA12CD">
        <w:rPr>
          <w:rFonts w:asciiTheme="minorHAnsi" w:hAnsiTheme="minorHAnsi" w:cstheme="minorHAnsi"/>
          <w:sz w:val="22"/>
          <w:szCs w:val="22"/>
        </w:rPr>
        <w:t>$</w:t>
      </w:r>
      <w:r>
        <w:rPr>
          <w:rFonts w:asciiTheme="minorHAnsi" w:hAnsiTheme="minorHAnsi" w:cstheme="minorHAnsi"/>
          <w:sz w:val="22"/>
          <w:szCs w:val="22"/>
        </w:rPr>
        <w:t>7</w:t>
      </w:r>
      <w:r w:rsidRPr="00BA12CD">
        <w:rPr>
          <w:rFonts w:asciiTheme="minorHAnsi" w:hAnsiTheme="minorHAnsi" w:cstheme="minorHAnsi"/>
          <w:sz w:val="22"/>
          <w:szCs w:val="22"/>
        </w:rPr>
        <w:t xml:space="preserve"> million flood </w:t>
      </w:r>
      <w:r w:rsidR="00643E73">
        <w:rPr>
          <w:rFonts w:asciiTheme="minorHAnsi" w:hAnsiTheme="minorHAnsi" w:cstheme="minorHAnsi"/>
          <w:sz w:val="22"/>
          <w:szCs w:val="22"/>
        </w:rPr>
        <w:t xml:space="preserve">humanitarian and </w:t>
      </w:r>
      <w:r w:rsidRPr="00BA12CD">
        <w:rPr>
          <w:rFonts w:asciiTheme="minorHAnsi" w:hAnsiTheme="minorHAnsi" w:cstheme="minorHAnsi"/>
          <w:sz w:val="22"/>
          <w:szCs w:val="22"/>
        </w:rPr>
        <w:t>recovery package will assist.</w:t>
      </w:r>
    </w:p>
    <w:p w:rsidR="00831DC0" w:rsidRDefault="00831DC0" w:rsidP="00831DC0">
      <w:pPr>
        <w:pStyle w:val="ListBullet"/>
        <w:numPr>
          <w:ilvl w:val="0"/>
          <w:numId w:val="0"/>
        </w:numPr>
        <w:spacing w:before="120"/>
        <w:jc w:val="both"/>
        <w:rPr>
          <w:rFonts w:asciiTheme="minorHAnsi" w:hAnsiTheme="minorHAnsi" w:cstheme="minorHAnsi"/>
          <w:sz w:val="22"/>
          <w:szCs w:val="22"/>
        </w:rPr>
      </w:pPr>
      <w:r w:rsidRPr="00D92B41">
        <w:rPr>
          <w:rFonts w:asciiTheme="minorHAnsi" w:hAnsiTheme="minorHAnsi" w:cstheme="minorHAnsi"/>
          <w:sz w:val="22"/>
          <w:szCs w:val="22"/>
        </w:rPr>
        <w:t xml:space="preserve">The business environment </w:t>
      </w:r>
      <w:r>
        <w:rPr>
          <w:rFonts w:asciiTheme="minorHAnsi" w:hAnsiTheme="minorHAnsi" w:cstheme="minorHAnsi"/>
          <w:sz w:val="22"/>
          <w:szCs w:val="22"/>
        </w:rPr>
        <w:t>remains</w:t>
      </w:r>
      <w:r w:rsidRPr="00D92B41">
        <w:rPr>
          <w:rFonts w:asciiTheme="minorHAnsi" w:hAnsiTheme="minorHAnsi" w:cstheme="minorHAnsi"/>
          <w:sz w:val="22"/>
          <w:szCs w:val="22"/>
        </w:rPr>
        <w:t xml:space="preserve"> </w:t>
      </w:r>
      <w:r>
        <w:rPr>
          <w:rFonts w:asciiTheme="minorHAnsi" w:hAnsiTheme="minorHAnsi" w:cstheme="minorHAnsi"/>
          <w:sz w:val="22"/>
          <w:szCs w:val="22"/>
        </w:rPr>
        <w:t>constrained</w:t>
      </w:r>
      <w:r w:rsidRPr="00D92B41">
        <w:rPr>
          <w:rFonts w:asciiTheme="minorHAnsi" w:hAnsiTheme="minorHAnsi" w:cstheme="minorHAnsi"/>
          <w:sz w:val="22"/>
          <w:szCs w:val="22"/>
        </w:rPr>
        <w:t xml:space="preserve">: utility costs, land issues and poor labour skills and productivity are constraints to investment.  </w:t>
      </w:r>
      <w:r w:rsidRPr="00C0036C">
        <w:t>Government regulation is</w:t>
      </w:r>
      <w:r w:rsidRPr="00D71E0C">
        <w:rPr>
          <w:rFonts w:asciiTheme="minorHAnsi" w:hAnsiTheme="minorHAnsi" w:cstheme="minorHAnsi"/>
          <w:sz w:val="22"/>
          <w:szCs w:val="22"/>
        </w:rPr>
        <w:t xml:space="preserve"> inefficient and difficult to navigate. </w:t>
      </w:r>
      <w:r>
        <w:rPr>
          <w:rFonts w:asciiTheme="minorHAnsi" w:hAnsiTheme="minorHAnsi" w:cstheme="minorHAnsi"/>
          <w:sz w:val="22"/>
          <w:szCs w:val="22"/>
        </w:rPr>
        <w:t>I</w:t>
      </w:r>
      <w:r w:rsidRPr="00D71E0C">
        <w:rPr>
          <w:rFonts w:asciiTheme="minorHAnsi" w:hAnsiTheme="minorHAnsi" w:cstheme="minorHAnsi"/>
          <w:sz w:val="22"/>
          <w:szCs w:val="22"/>
        </w:rPr>
        <w:t>nvestment remains relatively low, at around 15 per cent of GDP</w:t>
      </w:r>
      <w:r w:rsidRPr="00D92B41">
        <w:rPr>
          <w:rFonts w:asciiTheme="minorHAnsi" w:hAnsiTheme="minorHAnsi" w:cstheme="minorHAnsi"/>
          <w:sz w:val="22"/>
          <w:szCs w:val="22"/>
        </w:rPr>
        <w:t>.</w:t>
      </w:r>
      <w:r>
        <w:rPr>
          <w:rFonts w:asciiTheme="minorHAnsi" w:hAnsiTheme="minorHAnsi" w:cstheme="minorHAnsi"/>
          <w:sz w:val="22"/>
          <w:szCs w:val="22"/>
        </w:rPr>
        <w:t xml:space="preserve"> </w:t>
      </w:r>
      <w:r w:rsidR="005A23C8" w:rsidRPr="005A23C8">
        <w:rPr>
          <w:rFonts w:asciiTheme="minorHAnsi" w:hAnsiTheme="minorHAnsi" w:cstheme="minorHAnsi"/>
          <w:sz w:val="22"/>
          <w:szCs w:val="22"/>
        </w:rPr>
        <w:t>While foreign direct investment is relatively high by Pacific standards, it has fallen significantly over the last 3 years–from around 20 per cent of GDP in 2009 to around 5 per cent in 2013</w:t>
      </w:r>
      <w:r w:rsidR="005A23C8">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lastRenderedPageBreak/>
        <w:t>The relatively stable security landscape is still largely underwritten by the Regional Assistance Mission to Solomon Islands (RAMSI), but the capacity of the Royal Solomon Islands Police Force (RSIPF) is slowly improving.</w:t>
      </w:r>
    </w:p>
    <w:p w:rsidR="0089686B" w:rsidRPr="007C224E" w:rsidRDefault="00E94490" w:rsidP="00E40212">
      <w:pPr>
        <w:pStyle w:val="CommentText"/>
        <w:spacing w:after="120"/>
        <w:jc w:val="both"/>
        <w:rPr>
          <w:rFonts w:asciiTheme="minorHAnsi" w:hAnsiTheme="minorHAnsi" w:cstheme="minorHAnsi"/>
          <w:sz w:val="22"/>
          <w:szCs w:val="22"/>
        </w:rPr>
      </w:pPr>
      <w:r w:rsidRPr="007C224E">
        <w:rPr>
          <w:rFonts w:asciiTheme="minorHAnsi" w:hAnsiTheme="minorHAnsi" w:cstheme="minorHAnsi"/>
          <w:sz w:val="22"/>
          <w:szCs w:val="22"/>
        </w:rPr>
        <w:t xml:space="preserve">As a fragile, post-conflict state, Solomon Islands development is prone to setbacks and shocks.  Elections in late 2014 have the potential to provoke instability, or paralysis in government. Despite the difficult context, the Solomon Islands Government has made good progress in strengthening the environment for effective aid delivery and expenditure management. Australia has successfully used policy dialogue to effect change. This includes working with the Solomon Islands </w:t>
      </w:r>
      <w:r w:rsidR="007C224E" w:rsidRPr="007C224E">
        <w:rPr>
          <w:rFonts w:asciiTheme="minorHAnsi" w:hAnsiTheme="minorHAnsi" w:cstheme="minorHAnsi"/>
          <w:sz w:val="22"/>
          <w:szCs w:val="22"/>
        </w:rPr>
        <w:t>G</w:t>
      </w:r>
      <w:r w:rsidRPr="007C224E">
        <w:rPr>
          <w:rFonts w:asciiTheme="minorHAnsi" w:hAnsiTheme="minorHAnsi" w:cstheme="minorHAnsi"/>
          <w:sz w:val="22"/>
          <w:szCs w:val="22"/>
        </w:rPr>
        <w:t>overnment to reallocate revenue towards front</w:t>
      </w:r>
      <w:r w:rsidR="007C224E" w:rsidRPr="007C224E">
        <w:rPr>
          <w:rFonts w:asciiTheme="minorHAnsi" w:hAnsiTheme="minorHAnsi" w:cstheme="minorHAnsi"/>
          <w:sz w:val="22"/>
          <w:szCs w:val="22"/>
        </w:rPr>
        <w:t>-</w:t>
      </w:r>
      <w:r w:rsidRPr="007C224E">
        <w:rPr>
          <w:rFonts w:asciiTheme="minorHAnsi" w:hAnsiTheme="minorHAnsi" w:cstheme="minorHAnsi"/>
          <w:sz w:val="22"/>
          <w:szCs w:val="22"/>
        </w:rPr>
        <w:t>line provincial health services and contribute the equivalent of at least AUD10 million to the National Transport Fund over four years. Both commitments have been met. This has occurred in the context of resource constraints in both Australia and Solomon Islands. The Aid Investment Plan, planned for 2015, will reflect the changed resource and policy environment and consolidate the RAMSI transition to strengthen the bilateral architecture with a country that remains our third largest aid partner.</w:t>
      </w:r>
      <w:r w:rsidR="00E40212" w:rsidRPr="007C224E">
        <w:rPr>
          <w:rFonts w:asciiTheme="minorHAnsi" w:hAnsiTheme="minorHAnsi" w:cstheme="minorHAnsi"/>
          <w:sz w:val="22"/>
          <w:szCs w:val="22"/>
        </w:rPr>
        <w:t xml:space="preserve">  </w:t>
      </w:r>
    </w:p>
    <w:p w:rsidR="00831DC0" w:rsidRDefault="00831DC0" w:rsidP="00831DC0">
      <w:pPr>
        <w:pStyle w:val="ListBullet"/>
        <w:numPr>
          <w:ilvl w:val="0"/>
          <w:numId w:val="0"/>
        </w:numPr>
        <w:jc w:val="both"/>
        <w:rPr>
          <w:rFonts w:asciiTheme="minorHAnsi" w:hAnsiTheme="minorHAnsi" w:cstheme="minorHAnsi"/>
          <w:sz w:val="22"/>
          <w:szCs w:val="22"/>
        </w:rPr>
      </w:pPr>
      <w:r>
        <w:rPr>
          <w:rFonts w:asciiTheme="minorHAnsi" w:hAnsiTheme="minorHAnsi" w:cstheme="minorHAnsi"/>
          <w:sz w:val="22"/>
          <w:szCs w:val="22"/>
        </w:rPr>
        <w:t>Solomon Islands</w:t>
      </w:r>
      <w:r w:rsidRPr="00D92B41">
        <w:rPr>
          <w:rFonts w:asciiTheme="minorHAnsi" w:hAnsiTheme="minorHAnsi" w:cstheme="minorHAnsi"/>
          <w:sz w:val="22"/>
          <w:szCs w:val="22"/>
        </w:rPr>
        <w:t xml:space="preserve"> is ranked 143</w:t>
      </w:r>
      <w:r w:rsidRPr="00D92B41">
        <w:rPr>
          <w:rFonts w:asciiTheme="minorHAnsi" w:hAnsiTheme="minorHAnsi" w:cstheme="minorHAnsi"/>
          <w:sz w:val="22"/>
          <w:szCs w:val="22"/>
          <w:vertAlign w:val="superscript"/>
        </w:rPr>
        <w:t>rd</w:t>
      </w:r>
      <w:r w:rsidRPr="00D92B41">
        <w:rPr>
          <w:rFonts w:asciiTheme="minorHAnsi" w:hAnsiTheme="minorHAnsi" w:cstheme="minorHAnsi"/>
          <w:sz w:val="22"/>
          <w:szCs w:val="22"/>
        </w:rPr>
        <w:t xml:space="preserve"> out of 186 countries on the UN Human Development Index</w:t>
      </w:r>
      <w:r w:rsidRPr="00D92B41">
        <w:rPr>
          <w:rStyle w:val="FootnoteReference"/>
          <w:rFonts w:asciiTheme="minorHAnsi" w:hAnsiTheme="minorHAnsi" w:cstheme="minorHAnsi"/>
          <w:sz w:val="22"/>
          <w:szCs w:val="22"/>
          <w:vertAlign w:val="superscript"/>
        </w:rPr>
        <w:footnoteReference w:id="1"/>
      </w:r>
      <w:r w:rsidRPr="00D92B41">
        <w:rPr>
          <w:rFonts w:asciiTheme="minorHAnsi" w:hAnsiTheme="minorHAnsi" w:cstheme="minorHAnsi"/>
          <w:sz w:val="22"/>
          <w:szCs w:val="22"/>
        </w:rPr>
        <w:t xml:space="preserve">.  Its GDP per capita, among the lowest in the region, has </w:t>
      </w:r>
      <w:r>
        <w:rPr>
          <w:rFonts w:asciiTheme="minorHAnsi" w:hAnsiTheme="minorHAnsi" w:cstheme="minorHAnsi"/>
          <w:sz w:val="22"/>
          <w:szCs w:val="22"/>
        </w:rPr>
        <w:t xml:space="preserve">only now </w:t>
      </w:r>
      <w:r w:rsidRPr="00D92B41">
        <w:rPr>
          <w:rFonts w:asciiTheme="minorHAnsi" w:hAnsiTheme="minorHAnsi" w:cstheme="minorHAnsi"/>
          <w:sz w:val="22"/>
          <w:szCs w:val="22"/>
        </w:rPr>
        <w:t xml:space="preserve">recovered to income levels before the Tensions in 1998-2003. </w:t>
      </w:r>
      <w:r>
        <w:rPr>
          <w:rFonts w:asciiTheme="minorHAnsi" w:hAnsiTheme="minorHAnsi" w:cstheme="minorHAnsi"/>
          <w:sz w:val="22"/>
          <w:szCs w:val="22"/>
        </w:rPr>
        <w:t xml:space="preserve"> </w:t>
      </w:r>
      <w:r w:rsidRPr="00D92B41">
        <w:rPr>
          <w:rFonts w:asciiTheme="minorHAnsi" w:hAnsiTheme="minorHAnsi" w:cstheme="minorHAnsi"/>
          <w:sz w:val="22"/>
          <w:szCs w:val="22"/>
        </w:rPr>
        <w:t>Solomon Islands remains one of the most aid depend</w:t>
      </w:r>
      <w:r>
        <w:rPr>
          <w:rFonts w:asciiTheme="minorHAnsi" w:hAnsiTheme="minorHAnsi" w:cstheme="minorHAnsi"/>
          <w:sz w:val="22"/>
          <w:szCs w:val="22"/>
        </w:rPr>
        <w:t>e</w:t>
      </w:r>
      <w:r w:rsidRPr="00D92B41">
        <w:rPr>
          <w:rFonts w:asciiTheme="minorHAnsi" w:hAnsiTheme="minorHAnsi" w:cstheme="minorHAnsi"/>
          <w:sz w:val="22"/>
          <w:szCs w:val="22"/>
        </w:rPr>
        <w:t>nt count</w:t>
      </w:r>
      <w:r>
        <w:rPr>
          <w:rFonts w:asciiTheme="minorHAnsi" w:hAnsiTheme="minorHAnsi" w:cstheme="minorHAnsi"/>
          <w:sz w:val="22"/>
          <w:szCs w:val="22"/>
        </w:rPr>
        <w:t>r</w:t>
      </w:r>
      <w:r w:rsidRPr="00D92B41">
        <w:rPr>
          <w:rFonts w:asciiTheme="minorHAnsi" w:hAnsiTheme="minorHAnsi" w:cstheme="minorHAnsi"/>
          <w:sz w:val="22"/>
          <w:szCs w:val="22"/>
        </w:rPr>
        <w:t>ies in the world</w:t>
      </w:r>
      <w:r>
        <w:rPr>
          <w:rFonts w:asciiTheme="minorHAnsi" w:hAnsiTheme="minorHAnsi" w:cstheme="minorHAnsi"/>
          <w:sz w:val="22"/>
          <w:szCs w:val="22"/>
        </w:rPr>
        <w:t>,</w:t>
      </w:r>
      <w:r w:rsidRPr="00D92B41">
        <w:rPr>
          <w:rStyle w:val="FootnoteReference"/>
          <w:rFonts w:asciiTheme="minorHAnsi" w:hAnsiTheme="minorHAnsi" w:cstheme="minorHAnsi"/>
          <w:sz w:val="22"/>
          <w:szCs w:val="22"/>
          <w:vertAlign w:val="superscript"/>
        </w:rPr>
        <w:footnoteReference w:id="2"/>
      </w:r>
      <w:r>
        <w:rPr>
          <w:rFonts w:asciiTheme="minorHAnsi" w:hAnsiTheme="minorHAnsi" w:cstheme="minorHAnsi"/>
          <w:sz w:val="22"/>
          <w:szCs w:val="22"/>
        </w:rPr>
        <w:t xml:space="preserve"> and d</w:t>
      </w:r>
      <w:r w:rsidRPr="00D92B41">
        <w:rPr>
          <w:rFonts w:asciiTheme="minorHAnsi" w:hAnsiTheme="minorHAnsi" w:cstheme="minorHAnsi"/>
          <w:sz w:val="22"/>
          <w:szCs w:val="22"/>
        </w:rPr>
        <w:t>evelopment is tracking behind most Pacific island neighbours</w:t>
      </w:r>
      <w:r w:rsidR="005439F7" w:rsidRPr="00D92B41">
        <w:rPr>
          <w:rFonts w:asciiTheme="minorHAnsi" w:hAnsiTheme="minorHAnsi" w:cstheme="minorHAnsi"/>
          <w:sz w:val="22"/>
          <w:szCs w:val="22"/>
        </w:rPr>
        <w:t>.</w:t>
      </w:r>
      <w:r w:rsidRPr="00D92B41">
        <w:rPr>
          <w:rStyle w:val="FootnoteReference"/>
          <w:rFonts w:asciiTheme="minorHAnsi" w:hAnsiTheme="minorHAnsi" w:cstheme="minorHAnsi"/>
          <w:sz w:val="22"/>
          <w:szCs w:val="22"/>
          <w:vertAlign w:val="superscript"/>
        </w:rPr>
        <w:footnoteReference w:id="3"/>
      </w:r>
      <w:r w:rsidRPr="00D92B41">
        <w:rPr>
          <w:rFonts w:asciiTheme="minorHAnsi" w:hAnsiTheme="minorHAnsi" w:cstheme="minorHAnsi"/>
          <w:sz w:val="22"/>
          <w:szCs w:val="22"/>
        </w:rPr>
        <w:t xml:space="preserve"> Solomon Islands is off track for MDGs 3 (Promote Gender Equality and Empower Women) and 7 (Ensure Environmental Sustainability), and has ‘mixed results’ for the remaining indicators</w:t>
      </w:r>
      <w:r w:rsidRPr="00D92B41">
        <w:rPr>
          <w:rStyle w:val="FootnoteReference"/>
          <w:rFonts w:asciiTheme="minorHAnsi" w:hAnsiTheme="minorHAnsi" w:cstheme="minorHAnsi"/>
          <w:sz w:val="22"/>
          <w:szCs w:val="22"/>
          <w:vertAlign w:val="superscript"/>
        </w:rPr>
        <w:footnoteReference w:id="4"/>
      </w:r>
      <w:r w:rsidRPr="00D92B41">
        <w:rPr>
          <w:rFonts w:asciiTheme="minorHAnsi" w:hAnsiTheme="minorHAnsi" w:cstheme="minorHAnsi"/>
          <w:sz w:val="22"/>
          <w:szCs w:val="22"/>
        </w:rPr>
        <w:t xml:space="preserve">. </w:t>
      </w:r>
    </w:p>
    <w:p w:rsidR="00831DC0" w:rsidRPr="00D92B41" w:rsidRDefault="00831DC0" w:rsidP="00831DC0">
      <w:pPr>
        <w:pStyle w:val="ListBullet"/>
        <w:numPr>
          <w:ilvl w:val="0"/>
          <w:numId w:val="0"/>
        </w:numPr>
        <w:jc w:val="both"/>
        <w:rPr>
          <w:rFonts w:asciiTheme="minorHAnsi" w:hAnsiTheme="minorHAnsi" w:cstheme="minorHAnsi"/>
          <w:sz w:val="22"/>
          <w:szCs w:val="22"/>
        </w:rPr>
      </w:pPr>
      <w:r w:rsidRPr="00D92B41">
        <w:rPr>
          <w:rFonts w:asciiTheme="minorHAnsi" w:hAnsiTheme="minorHAnsi" w:cstheme="minorHAnsi"/>
          <w:sz w:val="22"/>
          <w:szCs w:val="22"/>
        </w:rPr>
        <w:t>Solomon Islands has significant gaps at secondary education levels. Women are under-represented in political and government institutions at national and provincial levels</w:t>
      </w:r>
      <w:r w:rsidR="005439F7">
        <w:rPr>
          <w:rFonts w:asciiTheme="minorHAnsi" w:hAnsiTheme="minorHAnsi" w:cstheme="minorHAnsi"/>
          <w:sz w:val="22"/>
          <w:szCs w:val="22"/>
        </w:rPr>
        <w:t>.</w:t>
      </w:r>
      <w:r w:rsidRPr="00D92B41">
        <w:rPr>
          <w:rStyle w:val="FootnoteReference"/>
          <w:rFonts w:asciiTheme="minorHAnsi" w:hAnsiTheme="minorHAnsi" w:cstheme="minorHAnsi"/>
          <w:sz w:val="22"/>
          <w:szCs w:val="22"/>
          <w:vertAlign w:val="superscript"/>
        </w:rPr>
        <w:footnoteReference w:id="5"/>
      </w:r>
      <w:r w:rsidRPr="00D92B41">
        <w:rPr>
          <w:rFonts w:asciiTheme="minorHAnsi" w:hAnsiTheme="minorHAnsi" w:cstheme="minorHAnsi"/>
          <w:sz w:val="22"/>
          <w:szCs w:val="22"/>
        </w:rPr>
        <w:t xml:space="preserve"> Violence against women is endemic.</w:t>
      </w:r>
      <w:r w:rsidRPr="00D92B41" w:rsidDel="00430FCC">
        <w:rPr>
          <w:rFonts w:asciiTheme="minorHAnsi" w:hAnsiTheme="minorHAnsi" w:cstheme="minorHAnsi"/>
          <w:sz w:val="22"/>
          <w:szCs w:val="22"/>
        </w:rPr>
        <w:t xml:space="preserve"> </w:t>
      </w:r>
      <w:r w:rsidRPr="00D92B41">
        <w:rPr>
          <w:rFonts w:asciiTheme="minorHAnsi" w:hAnsiTheme="minorHAnsi" w:cstheme="minorHAnsi"/>
          <w:sz w:val="22"/>
          <w:szCs w:val="22"/>
        </w:rPr>
        <w:t>Water and sanitation access is low, and needs to be tackled to im</w:t>
      </w:r>
      <w:r>
        <w:rPr>
          <w:rFonts w:asciiTheme="minorHAnsi" w:hAnsiTheme="minorHAnsi" w:cstheme="minorHAnsi"/>
          <w:sz w:val="22"/>
          <w:szCs w:val="22"/>
        </w:rPr>
        <w:t>prove overall public health.</w:t>
      </w:r>
      <w:r w:rsidRPr="00D578E2">
        <w:rPr>
          <w:rFonts w:asciiTheme="minorHAnsi" w:hAnsiTheme="minorHAnsi" w:cstheme="minorHAnsi"/>
          <w:sz w:val="22"/>
          <w:szCs w:val="22"/>
        </w:rPr>
        <w:t xml:space="preserve"> </w:t>
      </w:r>
      <w:r w:rsidRPr="00D92B41">
        <w:rPr>
          <w:rFonts w:asciiTheme="minorHAnsi" w:hAnsiTheme="minorHAnsi" w:cstheme="minorHAnsi"/>
          <w:sz w:val="22"/>
          <w:szCs w:val="22"/>
        </w:rPr>
        <w:t>Literacy levels are</w:t>
      </w:r>
      <w:r w:rsidR="002B1DD5">
        <w:rPr>
          <w:rFonts w:asciiTheme="minorHAnsi" w:hAnsiTheme="minorHAnsi" w:cstheme="minorHAnsi"/>
          <w:sz w:val="22"/>
          <w:szCs w:val="22"/>
        </w:rPr>
        <w:t xml:space="preserve"> likewise</w:t>
      </w:r>
      <w:r w:rsidRPr="00D92B41">
        <w:rPr>
          <w:rFonts w:asciiTheme="minorHAnsi" w:hAnsiTheme="minorHAnsi" w:cstheme="minorHAnsi"/>
          <w:sz w:val="22"/>
          <w:szCs w:val="22"/>
        </w:rPr>
        <w:t xml:space="preserve"> low.</w:t>
      </w:r>
    </w:p>
    <w:p w:rsidR="00831DC0" w:rsidRPr="00D92B41" w:rsidRDefault="00831DC0" w:rsidP="00831DC0">
      <w:pPr>
        <w:pStyle w:val="ListBullet"/>
        <w:numPr>
          <w:ilvl w:val="0"/>
          <w:numId w:val="0"/>
        </w:numPr>
        <w:jc w:val="both"/>
        <w:rPr>
          <w:rFonts w:asciiTheme="minorHAnsi" w:hAnsiTheme="minorHAnsi" w:cstheme="minorHAnsi"/>
          <w:sz w:val="22"/>
          <w:szCs w:val="22"/>
        </w:rPr>
      </w:pPr>
      <w:r w:rsidRPr="00D92B41">
        <w:rPr>
          <w:rFonts w:asciiTheme="minorHAnsi" w:hAnsiTheme="minorHAnsi" w:cstheme="minorHAnsi"/>
          <w:sz w:val="22"/>
          <w:szCs w:val="22"/>
        </w:rPr>
        <w:t>Basic service delivery is hampered by poor governance and geography</w:t>
      </w:r>
      <w:r w:rsidR="005439F7">
        <w:rPr>
          <w:rFonts w:asciiTheme="minorHAnsi" w:hAnsiTheme="minorHAnsi" w:cstheme="minorHAnsi"/>
          <w:sz w:val="22"/>
          <w:szCs w:val="22"/>
        </w:rPr>
        <w:t>–</w:t>
      </w:r>
      <w:r w:rsidRPr="00D92B41">
        <w:rPr>
          <w:rFonts w:asciiTheme="minorHAnsi" w:hAnsiTheme="minorHAnsi" w:cstheme="minorHAnsi"/>
          <w:sz w:val="22"/>
          <w:szCs w:val="22"/>
        </w:rPr>
        <w:t xml:space="preserve">about 550,000 people live across 92 of its 900 islands </w:t>
      </w:r>
      <w:r>
        <w:rPr>
          <w:rFonts w:asciiTheme="minorHAnsi" w:hAnsiTheme="minorHAnsi" w:cstheme="minorHAnsi"/>
          <w:sz w:val="22"/>
          <w:szCs w:val="22"/>
        </w:rPr>
        <w:t>with</w:t>
      </w:r>
      <w:r w:rsidRPr="00D92B41">
        <w:rPr>
          <w:rFonts w:asciiTheme="minorHAnsi" w:hAnsiTheme="minorHAnsi" w:cstheme="minorHAnsi"/>
          <w:sz w:val="22"/>
          <w:szCs w:val="22"/>
        </w:rPr>
        <w:t xml:space="preserve"> </w:t>
      </w:r>
      <w:r w:rsidR="002B1DD5">
        <w:rPr>
          <w:rFonts w:asciiTheme="minorHAnsi" w:hAnsiTheme="minorHAnsi" w:cstheme="minorHAnsi"/>
          <w:sz w:val="22"/>
          <w:szCs w:val="22"/>
        </w:rPr>
        <w:t>the majority</w:t>
      </w:r>
      <w:r w:rsidRPr="00D92B41">
        <w:rPr>
          <w:rFonts w:asciiTheme="minorHAnsi" w:hAnsiTheme="minorHAnsi" w:cstheme="minorHAnsi"/>
          <w:sz w:val="22"/>
          <w:szCs w:val="22"/>
        </w:rPr>
        <w:t xml:space="preserve"> </w:t>
      </w:r>
      <w:r>
        <w:rPr>
          <w:rFonts w:asciiTheme="minorHAnsi" w:hAnsiTheme="minorHAnsi" w:cstheme="minorHAnsi"/>
          <w:sz w:val="22"/>
          <w:szCs w:val="22"/>
        </w:rPr>
        <w:t>living</w:t>
      </w:r>
      <w:r w:rsidRPr="00D92B41">
        <w:rPr>
          <w:rFonts w:asciiTheme="minorHAnsi" w:hAnsiTheme="minorHAnsi" w:cstheme="minorHAnsi"/>
          <w:sz w:val="22"/>
          <w:szCs w:val="22"/>
        </w:rPr>
        <w:t xml:space="preserve"> in rural areas.  The ongoing use of Constituency Development Funds, with their poor accountability and transparency to the people</w:t>
      </w:r>
      <w:r>
        <w:rPr>
          <w:rFonts w:asciiTheme="minorHAnsi" w:hAnsiTheme="minorHAnsi" w:cstheme="minorHAnsi"/>
          <w:sz w:val="22"/>
          <w:szCs w:val="22"/>
        </w:rPr>
        <w:t>,</w:t>
      </w:r>
      <w:r w:rsidRPr="00D92B41">
        <w:rPr>
          <w:rFonts w:asciiTheme="minorHAnsi" w:hAnsiTheme="minorHAnsi" w:cstheme="minorHAnsi"/>
          <w:sz w:val="22"/>
          <w:szCs w:val="22"/>
        </w:rPr>
        <w:t xml:space="preserve"> present a further service delivery and budgetary challenge.</w:t>
      </w:r>
    </w:p>
    <w:p w:rsidR="00831DC0" w:rsidRPr="00D92B41" w:rsidRDefault="00831DC0" w:rsidP="00831DC0">
      <w:pPr>
        <w:pStyle w:val="ListBullet"/>
        <w:numPr>
          <w:ilvl w:val="0"/>
          <w:numId w:val="0"/>
        </w:numPr>
        <w:jc w:val="both"/>
        <w:rPr>
          <w:rFonts w:asciiTheme="minorHAnsi" w:hAnsiTheme="minorHAnsi" w:cstheme="minorHAnsi"/>
          <w:sz w:val="22"/>
          <w:szCs w:val="22"/>
        </w:rPr>
      </w:pPr>
      <w:r w:rsidRPr="00D92B41">
        <w:rPr>
          <w:rFonts w:asciiTheme="minorHAnsi" w:hAnsiTheme="minorHAnsi" w:cstheme="minorHAnsi"/>
          <w:sz w:val="22"/>
          <w:szCs w:val="22"/>
        </w:rPr>
        <w:t xml:space="preserve">Honiara </w:t>
      </w:r>
      <w:r>
        <w:rPr>
          <w:rFonts w:asciiTheme="minorHAnsi" w:hAnsiTheme="minorHAnsi" w:cstheme="minorHAnsi"/>
          <w:sz w:val="22"/>
          <w:szCs w:val="22"/>
        </w:rPr>
        <w:t>is</w:t>
      </w:r>
      <w:r w:rsidRPr="00D92B41">
        <w:rPr>
          <w:rFonts w:asciiTheme="minorHAnsi" w:hAnsiTheme="minorHAnsi" w:cstheme="minorHAnsi"/>
          <w:sz w:val="22"/>
          <w:szCs w:val="22"/>
        </w:rPr>
        <w:t xml:space="preserve"> the centre </w:t>
      </w:r>
      <w:r>
        <w:rPr>
          <w:rFonts w:asciiTheme="minorHAnsi" w:hAnsiTheme="minorHAnsi" w:cstheme="minorHAnsi"/>
          <w:sz w:val="22"/>
          <w:szCs w:val="22"/>
        </w:rPr>
        <w:t>of</w:t>
      </w:r>
      <w:r w:rsidRPr="00D92B41">
        <w:rPr>
          <w:rFonts w:asciiTheme="minorHAnsi" w:hAnsiTheme="minorHAnsi" w:cstheme="minorHAnsi"/>
          <w:sz w:val="22"/>
          <w:szCs w:val="22"/>
        </w:rPr>
        <w:t xml:space="preserve"> the formal economy</w:t>
      </w:r>
      <w:r>
        <w:rPr>
          <w:rFonts w:asciiTheme="minorHAnsi" w:hAnsiTheme="minorHAnsi" w:cstheme="minorHAnsi"/>
          <w:sz w:val="22"/>
          <w:szCs w:val="22"/>
        </w:rPr>
        <w:t xml:space="preserve"> and the </w:t>
      </w:r>
      <w:r w:rsidRPr="00D92B41">
        <w:rPr>
          <w:rFonts w:asciiTheme="minorHAnsi" w:hAnsiTheme="minorHAnsi" w:cstheme="minorHAnsi"/>
          <w:sz w:val="22"/>
          <w:szCs w:val="22"/>
        </w:rPr>
        <w:t>majority of employment</w:t>
      </w:r>
      <w:r>
        <w:rPr>
          <w:rFonts w:asciiTheme="minorHAnsi" w:hAnsiTheme="minorHAnsi" w:cstheme="minorHAnsi"/>
          <w:sz w:val="22"/>
          <w:szCs w:val="22"/>
        </w:rPr>
        <w:t xml:space="preserve"> is</w:t>
      </w:r>
      <w:r w:rsidRPr="00D92B41">
        <w:rPr>
          <w:rFonts w:asciiTheme="minorHAnsi" w:hAnsiTheme="minorHAnsi" w:cstheme="minorHAnsi"/>
          <w:sz w:val="22"/>
          <w:szCs w:val="22"/>
        </w:rPr>
        <w:t xml:space="preserve"> in the government</w:t>
      </w:r>
      <w:r>
        <w:rPr>
          <w:rFonts w:asciiTheme="minorHAnsi" w:hAnsiTheme="minorHAnsi" w:cstheme="minorHAnsi"/>
          <w:sz w:val="22"/>
          <w:szCs w:val="22"/>
        </w:rPr>
        <w:t xml:space="preserve"> sector</w:t>
      </w:r>
      <w:r w:rsidRPr="00D92B41">
        <w:rPr>
          <w:rFonts w:asciiTheme="minorHAnsi" w:hAnsiTheme="minorHAnsi" w:cstheme="minorHAnsi"/>
          <w:sz w:val="22"/>
          <w:szCs w:val="22"/>
        </w:rPr>
        <w:t xml:space="preserve">. </w:t>
      </w:r>
      <w:r>
        <w:rPr>
          <w:rFonts w:asciiTheme="minorHAnsi" w:hAnsiTheme="minorHAnsi" w:cstheme="minorHAnsi"/>
          <w:sz w:val="22"/>
          <w:szCs w:val="22"/>
        </w:rPr>
        <w:t>E</w:t>
      </w:r>
      <w:r w:rsidRPr="00D92B41">
        <w:rPr>
          <w:rFonts w:asciiTheme="minorHAnsi" w:hAnsiTheme="minorHAnsi" w:cstheme="minorHAnsi"/>
          <w:sz w:val="22"/>
          <w:szCs w:val="22"/>
        </w:rPr>
        <w:t xml:space="preserve">mployment growth is unable to keep up with demand, </w:t>
      </w:r>
      <w:r>
        <w:rPr>
          <w:rFonts w:asciiTheme="minorHAnsi" w:hAnsiTheme="minorHAnsi" w:cstheme="minorHAnsi"/>
          <w:sz w:val="22"/>
          <w:szCs w:val="22"/>
        </w:rPr>
        <w:t>with</w:t>
      </w:r>
      <w:r w:rsidRPr="00D92B41">
        <w:rPr>
          <w:rFonts w:asciiTheme="minorHAnsi" w:hAnsiTheme="minorHAnsi" w:cstheme="minorHAnsi"/>
          <w:sz w:val="22"/>
          <w:szCs w:val="22"/>
        </w:rPr>
        <w:t xml:space="preserve"> a population growth of 2</w:t>
      </w:r>
      <w:r w:rsidR="00670871">
        <w:rPr>
          <w:rFonts w:asciiTheme="minorHAnsi" w:hAnsiTheme="minorHAnsi" w:cstheme="minorHAnsi"/>
          <w:sz w:val="22"/>
          <w:szCs w:val="22"/>
        </w:rPr>
        <w:t xml:space="preserve"> per cent</w:t>
      </w:r>
      <w:r w:rsidRPr="00D92B41">
        <w:rPr>
          <w:rFonts w:asciiTheme="minorHAnsi" w:hAnsiTheme="minorHAnsi" w:cstheme="minorHAnsi"/>
          <w:sz w:val="22"/>
          <w:szCs w:val="22"/>
        </w:rPr>
        <w:t xml:space="preserve"> per annum and a </w:t>
      </w:r>
      <w:r>
        <w:rPr>
          <w:rFonts w:asciiTheme="minorHAnsi" w:hAnsiTheme="minorHAnsi" w:cstheme="minorHAnsi"/>
          <w:sz w:val="22"/>
          <w:szCs w:val="22"/>
        </w:rPr>
        <w:t>limited labour</w:t>
      </w:r>
      <w:r w:rsidRPr="00D92B41">
        <w:rPr>
          <w:rFonts w:asciiTheme="minorHAnsi" w:hAnsiTheme="minorHAnsi" w:cstheme="minorHAnsi"/>
          <w:sz w:val="22"/>
          <w:szCs w:val="22"/>
        </w:rPr>
        <w:t xml:space="preserve"> market </w:t>
      </w:r>
      <w:r w:rsidRPr="00B06044">
        <w:rPr>
          <w:rFonts w:asciiTheme="minorHAnsi" w:hAnsiTheme="minorHAnsi" w:cstheme="minorHAnsi"/>
          <w:sz w:val="22"/>
          <w:szCs w:val="22"/>
        </w:rPr>
        <w:t xml:space="preserve">of </w:t>
      </w:r>
      <w:r w:rsidR="00B06044" w:rsidRPr="00B06044">
        <w:rPr>
          <w:rFonts w:asciiTheme="minorHAnsi" w:hAnsiTheme="minorHAnsi" w:cstheme="minorHAnsi"/>
          <w:sz w:val="22"/>
          <w:szCs w:val="22"/>
        </w:rPr>
        <w:t>around 55,500</w:t>
      </w:r>
      <w:r w:rsidRPr="00B06044">
        <w:rPr>
          <w:rFonts w:asciiTheme="minorHAnsi" w:hAnsiTheme="minorHAnsi" w:cstheme="minorHAnsi"/>
          <w:sz w:val="22"/>
          <w:szCs w:val="22"/>
        </w:rPr>
        <w:t xml:space="preserve"> jobs</w:t>
      </w:r>
      <w:r w:rsidRPr="00D92B41">
        <w:rPr>
          <w:rFonts w:asciiTheme="minorHAnsi" w:hAnsiTheme="minorHAnsi" w:cstheme="minorHAnsi"/>
          <w:sz w:val="22"/>
          <w:szCs w:val="22"/>
        </w:rPr>
        <w:t>.</w:t>
      </w:r>
      <w:r w:rsidRPr="00D92B41">
        <w:rPr>
          <w:rStyle w:val="FootnoteReference"/>
          <w:rFonts w:asciiTheme="minorHAnsi" w:hAnsiTheme="minorHAnsi" w:cstheme="minorHAnsi"/>
          <w:sz w:val="22"/>
          <w:szCs w:val="22"/>
          <w:vertAlign w:val="superscript"/>
        </w:rPr>
        <w:footnoteReference w:id="6"/>
      </w:r>
      <w:r w:rsidRPr="00D92B41">
        <w:rPr>
          <w:rFonts w:asciiTheme="minorHAnsi" w:hAnsiTheme="minorHAnsi" w:cstheme="minorHAnsi"/>
          <w:sz w:val="22"/>
          <w:szCs w:val="22"/>
        </w:rPr>
        <w:t xml:space="preserve"> </w:t>
      </w:r>
      <w:r>
        <w:rPr>
          <w:rFonts w:asciiTheme="minorHAnsi" w:hAnsiTheme="minorHAnsi" w:cstheme="minorHAnsi"/>
          <w:sz w:val="22"/>
          <w:szCs w:val="22"/>
        </w:rPr>
        <w:t>O</w:t>
      </w:r>
      <w:r w:rsidRPr="00D92B41">
        <w:rPr>
          <w:rFonts w:asciiTheme="minorHAnsi" w:hAnsiTheme="minorHAnsi" w:cstheme="minorHAnsi"/>
          <w:sz w:val="22"/>
          <w:szCs w:val="22"/>
        </w:rPr>
        <w:t xml:space="preserve">nly 15 per cent </w:t>
      </w:r>
      <w:r>
        <w:rPr>
          <w:rFonts w:asciiTheme="minorHAnsi" w:hAnsiTheme="minorHAnsi" w:cstheme="minorHAnsi"/>
          <w:sz w:val="22"/>
          <w:szCs w:val="22"/>
        </w:rPr>
        <w:t>of school leavers find</w:t>
      </w:r>
      <w:r w:rsidRPr="00D92B41">
        <w:rPr>
          <w:rFonts w:asciiTheme="minorHAnsi" w:hAnsiTheme="minorHAnsi" w:cstheme="minorHAnsi"/>
          <w:sz w:val="22"/>
          <w:szCs w:val="22"/>
        </w:rPr>
        <w:t xml:space="preserve"> paid employment</w:t>
      </w:r>
      <w:r w:rsidRPr="00D92B41">
        <w:rPr>
          <w:rStyle w:val="FootnoteReference"/>
          <w:rFonts w:asciiTheme="minorHAnsi" w:hAnsiTheme="minorHAnsi" w:cstheme="minorHAnsi"/>
          <w:sz w:val="22"/>
          <w:szCs w:val="22"/>
          <w:vertAlign w:val="superscript"/>
        </w:rPr>
        <w:footnoteReference w:id="7"/>
      </w:r>
      <w:r>
        <w:rPr>
          <w:rFonts w:asciiTheme="minorHAnsi" w:hAnsiTheme="minorHAnsi" w:cstheme="minorHAnsi"/>
          <w:sz w:val="22"/>
          <w:szCs w:val="22"/>
        </w:rPr>
        <w:t>. O</w:t>
      </w:r>
      <w:r w:rsidRPr="00D92B41">
        <w:rPr>
          <w:rFonts w:asciiTheme="minorHAnsi" w:hAnsiTheme="minorHAnsi" w:cstheme="minorHAnsi"/>
          <w:sz w:val="22"/>
          <w:szCs w:val="22"/>
        </w:rPr>
        <w:t>ngoing internal migration to the capital in search of jobs and the cash economy</w:t>
      </w:r>
      <w:r>
        <w:rPr>
          <w:rFonts w:asciiTheme="minorHAnsi" w:hAnsiTheme="minorHAnsi" w:cstheme="minorHAnsi"/>
          <w:sz w:val="22"/>
          <w:szCs w:val="22"/>
        </w:rPr>
        <w:t xml:space="preserve"> increases the pressure on services in Honiara</w:t>
      </w:r>
      <w:r w:rsidRPr="00D92B41">
        <w:rPr>
          <w:rFonts w:asciiTheme="minorHAnsi" w:hAnsiTheme="minorHAnsi" w:cstheme="minorHAnsi"/>
          <w:sz w:val="22"/>
          <w:szCs w:val="22"/>
        </w:rPr>
        <w:t xml:space="preserve">. </w:t>
      </w:r>
    </w:p>
    <w:p w:rsidR="004D4625" w:rsidRDefault="00831DC0" w:rsidP="0089686B">
      <w:pPr>
        <w:spacing w:after="120"/>
        <w:rPr>
          <w:rFonts w:asciiTheme="minorHAnsi" w:hAnsiTheme="minorHAnsi" w:cstheme="minorHAnsi"/>
          <w:sz w:val="22"/>
          <w:szCs w:val="22"/>
        </w:rPr>
      </w:pPr>
      <w:r w:rsidRPr="00D92B41">
        <w:rPr>
          <w:rFonts w:asciiTheme="minorHAnsi" w:hAnsiTheme="minorHAnsi" w:cstheme="minorHAnsi"/>
          <w:b/>
          <w:sz w:val="22"/>
          <w:szCs w:val="22"/>
        </w:rPr>
        <w:t>Australia is the largest donor in Solomon Islands</w:t>
      </w:r>
      <w:r w:rsidRPr="00D92B41">
        <w:rPr>
          <w:rFonts w:asciiTheme="minorHAnsi" w:hAnsiTheme="minorHAnsi" w:cstheme="minorHAnsi"/>
          <w:sz w:val="22"/>
          <w:szCs w:val="22"/>
        </w:rPr>
        <w:t xml:space="preserve"> providing over 7</w:t>
      </w:r>
      <w:r>
        <w:rPr>
          <w:rFonts w:asciiTheme="minorHAnsi" w:hAnsiTheme="minorHAnsi" w:cstheme="minorHAnsi"/>
          <w:sz w:val="22"/>
          <w:szCs w:val="22"/>
        </w:rPr>
        <w:t>4</w:t>
      </w:r>
      <w:r w:rsidR="00670871">
        <w:rPr>
          <w:rFonts w:asciiTheme="minorHAnsi" w:hAnsiTheme="minorHAnsi" w:cstheme="minorHAnsi"/>
          <w:sz w:val="22"/>
          <w:szCs w:val="22"/>
        </w:rPr>
        <w:t xml:space="preserve"> per cent</w:t>
      </w:r>
      <w:r w:rsidRPr="00D92B41">
        <w:rPr>
          <w:rFonts w:asciiTheme="minorHAnsi" w:hAnsiTheme="minorHAnsi" w:cstheme="minorHAnsi"/>
          <w:sz w:val="22"/>
          <w:szCs w:val="22"/>
        </w:rPr>
        <w:t xml:space="preserve"> of all ODA</w:t>
      </w:r>
      <w:r>
        <w:rPr>
          <w:rStyle w:val="FootnoteReference"/>
          <w:rFonts w:cstheme="minorHAnsi"/>
        </w:rPr>
        <w:footnoteReference w:id="8"/>
      </w:r>
      <w:r w:rsidRPr="00D92B41">
        <w:rPr>
          <w:rFonts w:asciiTheme="minorHAnsi" w:hAnsiTheme="minorHAnsi" w:cstheme="minorHAnsi"/>
          <w:sz w:val="22"/>
          <w:szCs w:val="22"/>
        </w:rPr>
        <w:t>.</w:t>
      </w:r>
      <w:r w:rsidRPr="007C224E">
        <w:rPr>
          <w:rFonts w:asciiTheme="minorHAnsi" w:hAnsiTheme="minorHAnsi" w:cstheme="minorHAnsi"/>
          <w:sz w:val="22"/>
          <w:szCs w:val="22"/>
        </w:rPr>
        <w:t xml:space="preserve"> </w:t>
      </w:r>
      <w:r w:rsidR="0089686B" w:rsidRPr="007C224E">
        <w:rPr>
          <w:rFonts w:asciiTheme="minorHAnsi" w:hAnsiTheme="minorHAnsi" w:cstheme="minorHAnsi"/>
          <w:sz w:val="22"/>
          <w:szCs w:val="22"/>
        </w:rPr>
        <w:t xml:space="preserve">It is in Australia’s interests to assist Solomon Islands build a stable nation sustained by viable institutions and economic development and build on the peace and stability brought by RAMSI. </w:t>
      </w:r>
      <w:r w:rsidRPr="00D92B41">
        <w:rPr>
          <w:rFonts w:asciiTheme="minorHAnsi" w:hAnsiTheme="minorHAnsi" w:cstheme="minorHAnsi"/>
          <w:sz w:val="22"/>
          <w:szCs w:val="22"/>
        </w:rPr>
        <w:t>New Zealand, Japan, the European Union</w:t>
      </w:r>
      <w:r w:rsidR="00643E73">
        <w:rPr>
          <w:rFonts w:asciiTheme="minorHAnsi" w:hAnsiTheme="minorHAnsi" w:cstheme="minorHAnsi"/>
          <w:sz w:val="22"/>
          <w:szCs w:val="22"/>
        </w:rPr>
        <w:t>, the World Bank</w:t>
      </w:r>
      <w:r w:rsidRPr="00D92B41">
        <w:rPr>
          <w:rFonts w:asciiTheme="minorHAnsi" w:hAnsiTheme="minorHAnsi" w:cstheme="minorHAnsi"/>
          <w:sz w:val="22"/>
          <w:szCs w:val="22"/>
        </w:rPr>
        <w:t xml:space="preserve"> and the Asian Development Bank are also </w:t>
      </w:r>
      <w:r>
        <w:rPr>
          <w:rFonts w:asciiTheme="minorHAnsi" w:hAnsiTheme="minorHAnsi" w:cstheme="minorHAnsi"/>
          <w:sz w:val="22"/>
          <w:szCs w:val="22"/>
        </w:rPr>
        <w:t>major</w:t>
      </w:r>
      <w:r w:rsidRPr="00D92B41">
        <w:rPr>
          <w:rFonts w:asciiTheme="minorHAnsi" w:hAnsiTheme="minorHAnsi" w:cstheme="minorHAnsi"/>
          <w:sz w:val="22"/>
          <w:szCs w:val="22"/>
        </w:rPr>
        <w:t xml:space="preserve"> </w:t>
      </w:r>
      <w:r>
        <w:rPr>
          <w:rFonts w:asciiTheme="minorHAnsi" w:hAnsiTheme="minorHAnsi" w:cstheme="minorHAnsi"/>
          <w:sz w:val="22"/>
          <w:szCs w:val="22"/>
        </w:rPr>
        <w:t>partners</w:t>
      </w:r>
      <w:r w:rsidRPr="00D92B41">
        <w:rPr>
          <w:rFonts w:asciiTheme="minorHAnsi" w:hAnsiTheme="minorHAnsi" w:cstheme="minorHAnsi"/>
          <w:sz w:val="22"/>
          <w:szCs w:val="22"/>
        </w:rPr>
        <w:t>. Australia is the primary donor on law and justice, public sector management and accountability and health. Where possible, Australia works through sector</w:t>
      </w:r>
      <w:r w:rsidR="005439F7">
        <w:rPr>
          <w:rFonts w:asciiTheme="minorHAnsi" w:hAnsiTheme="minorHAnsi" w:cstheme="minorHAnsi"/>
          <w:sz w:val="22"/>
          <w:szCs w:val="22"/>
        </w:rPr>
        <w:t>-</w:t>
      </w:r>
      <w:r w:rsidRPr="00D92B41">
        <w:rPr>
          <w:rFonts w:asciiTheme="minorHAnsi" w:hAnsiTheme="minorHAnsi" w:cstheme="minorHAnsi"/>
          <w:sz w:val="22"/>
          <w:szCs w:val="22"/>
        </w:rPr>
        <w:t>wide approaches</w:t>
      </w:r>
      <w:r w:rsidR="005439F7">
        <w:rPr>
          <w:rFonts w:asciiTheme="minorHAnsi" w:hAnsiTheme="minorHAnsi" w:cstheme="minorHAnsi"/>
          <w:sz w:val="22"/>
          <w:szCs w:val="22"/>
        </w:rPr>
        <w:t xml:space="preserve"> (SWAp)</w:t>
      </w:r>
      <w:r w:rsidRPr="00D92B41">
        <w:rPr>
          <w:rFonts w:asciiTheme="minorHAnsi" w:hAnsiTheme="minorHAnsi" w:cstheme="minorHAnsi"/>
          <w:sz w:val="22"/>
          <w:szCs w:val="22"/>
        </w:rPr>
        <w:t xml:space="preserve">. </w:t>
      </w:r>
      <w:r>
        <w:rPr>
          <w:rFonts w:asciiTheme="minorHAnsi" w:hAnsiTheme="minorHAnsi" w:cstheme="minorHAnsi"/>
          <w:sz w:val="22"/>
          <w:szCs w:val="22"/>
        </w:rPr>
        <w:t>Australia works</w:t>
      </w:r>
      <w:r w:rsidRPr="00D92B41">
        <w:rPr>
          <w:rFonts w:asciiTheme="minorHAnsi" w:hAnsiTheme="minorHAnsi" w:cstheme="minorHAnsi"/>
          <w:sz w:val="22"/>
          <w:szCs w:val="22"/>
        </w:rPr>
        <w:t xml:space="preserve"> closely with New Zealand on education, support</w:t>
      </w:r>
      <w:r>
        <w:rPr>
          <w:rFonts w:asciiTheme="minorHAnsi" w:hAnsiTheme="minorHAnsi" w:cstheme="minorHAnsi"/>
          <w:sz w:val="22"/>
          <w:szCs w:val="22"/>
        </w:rPr>
        <w:t>s</w:t>
      </w:r>
      <w:r w:rsidRPr="00D92B41">
        <w:rPr>
          <w:rFonts w:asciiTheme="minorHAnsi" w:hAnsiTheme="minorHAnsi" w:cstheme="minorHAnsi"/>
          <w:sz w:val="22"/>
          <w:szCs w:val="22"/>
        </w:rPr>
        <w:t xml:space="preserve"> UNDP led electoral support and work</w:t>
      </w:r>
      <w:r>
        <w:rPr>
          <w:rFonts w:asciiTheme="minorHAnsi" w:hAnsiTheme="minorHAnsi" w:cstheme="minorHAnsi"/>
          <w:sz w:val="22"/>
          <w:szCs w:val="22"/>
        </w:rPr>
        <w:t>s</w:t>
      </w:r>
      <w:r w:rsidRPr="00D92B41">
        <w:rPr>
          <w:rFonts w:asciiTheme="minorHAnsi" w:hAnsiTheme="minorHAnsi" w:cstheme="minorHAnsi"/>
          <w:sz w:val="22"/>
          <w:szCs w:val="22"/>
        </w:rPr>
        <w:t xml:space="preserve"> closely with the World Bank, Asian Development Bank and IMF on economic growth and governance.</w:t>
      </w:r>
      <w:r>
        <w:rPr>
          <w:rFonts w:asciiTheme="minorHAnsi" w:hAnsiTheme="minorHAnsi" w:cstheme="minorHAnsi"/>
          <w:sz w:val="22"/>
          <w:szCs w:val="22"/>
        </w:rPr>
        <w:t xml:space="preserve"> Along with Solomon Islands Government, key partners in the health sector include the UN and Secretariat for the Pacific Community.</w:t>
      </w:r>
    </w:p>
    <w:p w:rsidR="004513BA" w:rsidRDefault="004513BA" w:rsidP="004513BA">
      <w:pPr>
        <w:pStyle w:val="Heading2"/>
        <w:rPr>
          <w:rFonts w:ascii="Calibri" w:hAnsi="Calibri"/>
          <w:sz w:val="22"/>
          <w:szCs w:val="22"/>
        </w:rPr>
      </w:pPr>
      <w:bookmarkStart w:id="2" w:name="_Toc373853206"/>
      <w:bookmarkEnd w:id="1"/>
      <w:r>
        <w:rPr>
          <w:sz w:val="28"/>
        </w:rPr>
        <w:lastRenderedPageBreak/>
        <w:t>Expenditure</w:t>
      </w:r>
      <w:r>
        <w:rPr>
          <w:rStyle w:val="CommentReference"/>
          <w:color w:val="auto"/>
          <w:sz w:val="18"/>
          <w:szCs w:val="18"/>
        </w:rPr>
        <w:t> </w:t>
      </w:r>
      <w:r>
        <w:rPr>
          <w:rStyle w:val="CommentReference"/>
        </w:rPr>
        <w:t> </w:t>
      </w:r>
    </w:p>
    <w:p w:rsidR="00A34882" w:rsidRPr="00E105D6" w:rsidRDefault="004513BA" w:rsidP="00E105D6">
      <w:pPr>
        <w:pStyle w:val="Caption"/>
        <w:rPr>
          <w:rFonts w:ascii="Calibri" w:hAnsi="Calibri"/>
          <w:sz w:val="22"/>
          <w:szCs w:val="22"/>
        </w:rPr>
      </w:pPr>
      <w:r>
        <w:rPr>
          <w:rFonts w:ascii="Calibri" w:hAnsi="Calibri"/>
          <w:sz w:val="22"/>
          <w:szCs w:val="22"/>
        </w:rPr>
        <w:t>Table 1 Expenditure in FY 2013-14</w:t>
      </w:r>
      <w:r w:rsidR="00E105D6">
        <w:rPr>
          <w:rFonts w:ascii="Calibri" w:hAnsi="Calibri"/>
          <w:sz w:val="22"/>
          <w:szCs w:val="22"/>
        </w:rPr>
        <w:t xml:space="preserve"> (A$ million)</w:t>
      </w:r>
    </w:p>
    <w:p w:rsidR="00A34882" w:rsidRDefault="00A34882" w:rsidP="00A34882">
      <w:pPr>
        <w:pStyle w:val="BodyText"/>
      </w:pPr>
    </w:p>
    <w:p w:rsidR="00E105D6" w:rsidRDefault="00E105D6" w:rsidP="00A34882">
      <w:pPr>
        <w:pStyle w:val="BodyText"/>
      </w:pPr>
    </w:p>
    <w:p w:rsidR="00E105D6" w:rsidRDefault="00E105D6" w:rsidP="00A34882">
      <w:pPr>
        <w:pStyle w:val="BodyText"/>
      </w:pPr>
    </w:p>
    <w:p w:rsidR="00E105D6" w:rsidRDefault="00E105D6" w:rsidP="00A34882">
      <w:pPr>
        <w:pStyle w:val="BodyText"/>
      </w:pPr>
    </w:p>
    <w:p w:rsidR="00E105D6" w:rsidRDefault="00E105D6" w:rsidP="00A34882">
      <w:pPr>
        <w:pStyle w:val="BodyText"/>
      </w:pPr>
    </w:p>
    <w:p w:rsidR="00E105D6" w:rsidRDefault="00E105D6" w:rsidP="00A34882">
      <w:pPr>
        <w:pStyle w:val="BodyText"/>
      </w:pPr>
    </w:p>
    <w:p w:rsidR="00E105D6" w:rsidRDefault="00E105D6" w:rsidP="00A34882">
      <w:pPr>
        <w:pStyle w:val="BodyText"/>
      </w:pPr>
    </w:p>
    <w:p w:rsidR="00E105D6" w:rsidRDefault="00E105D6" w:rsidP="00A34882">
      <w:pPr>
        <w:pStyle w:val="BodyText"/>
      </w:pPr>
    </w:p>
    <w:p w:rsidR="00E105D6" w:rsidRDefault="00E105D6" w:rsidP="00A34882">
      <w:pPr>
        <w:pStyle w:val="BodyText"/>
      </w:pPr>
    </w:p>
    <w:p w:rsidR="00E105D6" w:rsidRDefault="00E105D6" w:rsidP="00A34882">
      <w:pPr>
        <w:pStyle w:val="BodyText"/>
      </w:pPr>
    </w:p>
    <w:p w:rsidR="00E105D6" w:rsidRPr="00E105D6" w:rsidRDefault="00E105D6" w:rsidP="00A34882">
      <w:pPr>
        <w:pStyle w:val="BodyText"/>
        <w:rPr>
          <w:i/>
        </w:rPr>
      </w:pPr>
      <w:r w:rsidRPr="00E105D6">
        <w:rPr>
          <w:i/>
          <w:noProof/>
        </w:rPr>
        <w:drawing>
          <wp:anchor distT="0" distB="0" distL="114300" distR="114300" simplePos="0" relativeHeight="251665408" behindDoc="0" locked="0" layoutInCell="1" allowOverlap="1" wp14:anchorId="2A4CBBBC" wp14:editId="5CCAE600">
            <wp:simplePos x="0" y="0"/>
            <wp:positionH relativeFrom="column">
              <wp:posOffset>-2540</wp:posOffset>
            </wp:positionH>
            <wp:positionV relativeFrom="paragraph">
              <wp:posOffset>-2794635</wp:posOffset>
            </wp:positionV>
            <wp:extent cx="4772025" cy="2919413"/>
            <wp:effectExtent l="0" t="0" r="9525" b="1460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4513BA" w:rsidRPr="00C121C7" w:rsidRDefault="004513BA" w:rsidP="004513BA">
      <w:pPr>
        <w:pStyle w:val="Note"/>
        <w:rPr>
          <w:rFonts w:ascii="Calibri" w:eastAsiaTheme="minorHAnsi" w:hAnsi="Calibri"/>
          <w:sz w:val="22"/>
          <w:szCs w:val="22"/>
        </w:rPr>
      </w:pPr>
      <w:r w:rsidRPr="00C121C7">
        <w:rPr>
          <w:rFonts w:ascii="Calibri" w:hAnsi="Calibri"/>
          <w:sz w:val="22"/>
          <w:szCs w:val="22"/>
        </w:rPr>
        <w:t>Source: AidWorks</w:t>
      </w:r>
    </w:p>
    <w:p w:rsidR="004513BA" w:rsidRPr="0075089F" w:rsidRDefault="004513BA" w:rsidP="004513BA">
      <w:pPr>
        <w:tabs>
          <w:tab w:val="left" w:pos="227"/>
        </w:tabs>
        <w:spacing w:after="120"/>
        <w:rPr>
          <w:rFonts w:asciiTheme="minorHAnsi" w:hAnsiTheme="minorHAnsi" w:cstheme="minorHAnsi"/>
          <w:szCs w:val="20"/>
        </w:rPr>
      </w:pPr>
      <w:r w:rsidRPr="004513BA">
        <w:rPr>
          <w:rFonts w:asciiTheme="minorHAnsi" w:hAnsiTheme="minorHAnsi" w:cstheme="minorHAnsi"/>
          <w:sz w:val="22"/>
          <w:szCs w:val="22"/>
        </w:rPr>
        <w:t>*</w:t>
      </w:r>
      <w:r w:rsidRPr="0075089F">
        <w:rPr>
          <w:rFonts w:asciiTheme="minorHAnsi" w:hAnsiTheme="minorHAnsi" w:cstheme="minorHAnsi"/>
          <w:szCs w:val="20"/>
        </w:rPr>
        <w:t>Other includes: Program Management (5.54), Scholarships (4.17), Democratic Governance (2.73), Humanitarian Response and Disaster Management (2.72), NGOs (2.77), Stats (1.12) and Gender (1.11)</w:t>
      </w:r>
    </w:p>
    <w:p w:rsidR="000D733F" w:rsidRPr="00C56B9D" w:rsidRDefault="000D733F" w:rsidP="00C56B9D">
      <w:pPr>
        <w:pStyle w:val="Heading2"/>
        <w:rPr>
          <w:sz w:val="28"/>
        </w:rPr>
      </w:pPr>
      <w:r w:rsidRPr="00C56B9D">
        <w:rPr>
          <w:sz w:val="28"/>
        </w:rPr>
        <w:t>Progress</w:t>
      </w:r>
      <w:r w:rsidR="00D91326" w:rsidRPr="00C56B9D">
        <w:rPr>
          <w:sz w:val="28"/>
        </w:rPr>
        <w:t xml:space="preserve"> </w:t>
      </w:r>
      <w:r w:rsidRPr="00C56B9D">
        <w:rPr>
          <w:sz w:val="28"/>
        </w:rPr>
        <w:t>towards</w:t>
      </w:r>
      <w:r w:rsidR="00D91326" w:rsidRPr="00C56B9D">
        <w:rPr>
          <w:sz w:val="28"/>
        </w:rPr>
        <w:t xml:space="preserve"> </w:t>
      </w:r>
      <w:r w:rsidRPr="00C56B9D">
        <w:rPr>
          <w:sz w:val="28"/>
        </w:rPr>
        <w:t>objectives</w:t>
      </w:r>
      <w:r w:rsidRPr="00C56B9D">
        <w:rPr>
          <w:sz w:val="28"/>
        </w:rPr>
        <w:tab/>
      </w:r>
    </w:p>
    <w:p w:rsidR="000D733F" w:rsidRPr="00D92B41" w:rsidRDefault="000D733F" w:rsidP="000D733F">
      <w:pPr>
        <w:pStyle w:val="Caption"/>
        <w:rPr>
          <w:rFonts w:asciiTheme="minorHAnsi" w:hAnsiTheme="minorHAnsi" w:cstheme="minorHAnsi"/>
          <w:sz w:val="22"/>
          <w:szCs w:val="22"/>
        </w:rPr>
      </w:pPr>
      <w:r w:rsidRPr="00D92B41">
        <w:rPr>
          <w:rFonts w:asciiTheme="minorHAnsi" w:hAnsiTheme="minorHAnsi" w:cstheme="minorHAnsi"/>
          <w:sz w:val="22"/>
          <w:szCs w:val="22"/>
        </w:rPr>
        <w:t>Table</w:t>
      </w:r>
      <w:r w:rsidR="00D91326" w:rsidRPr="00D92B41">
        <w:rPr>
          <w:rFonts w:asciiTheme="minorHAnsi" w:hAnsiTheme="minorHAnsi" w:cstheme="minorHAnsi"/>
          <w:sz w:val="22"/>
          <w:szCs w:val="22"/>
        </w:rPr>
        <w:t xml:space="preserve"> </w:t>
      </w:r>
      <w:r w:rsidR="00801DDB" w:rsidRPr="00D92B41">
        <w:rPr>
          <w:rFonts w:asciiTheme="minorHAnsi" w:hAnsiTheme="minorHAnsi" w:cstheme="minorHAnsi"/>
          <w:sz w:val="22"/>
          <w:szCs w:val="22"/>
        </w:rPr>
        <w:fldChar w:fldCharType="begin"/>
      </w:r>
      <w:r w:rsidR="00801DDB" w:rsidRPr="00D92B41">
        <w:rPr>
          <w:rFonts w:asciiTheme="minorHAnsi" w:hAnsiTheme="minorHAnsi" w:cstheme="minorHAnsi"/>
          <w:sz w:val="22"/>
          <w:szCs w:val="22"/>
        </w:rPr>
        <w:instrText xml:space="preserve"> SEQ Table \* ARABIC </w:instrText>
      </w:r>
      <w:r w:rsidR="00801DDB" w:rsidRPr="00D92B41">
        <w:rPr>
          <w:rFonts w:asciiTheme="minorHAnsi" w:hAnsiTheme="minorHAnsi" w:cstheme="minorHAnsi"/>
          <w:sz w:val="22"/>
          <w:szCs w:val="22"/>
        </w:rPr>
        <w:fldChar w:fldCharType="separate"/>
      </w:r>
      <w:r w:rsidR="00662E17">
        <w:rPr>
          <w:rFonts w:asciiTheme="minorHAnsi" w:hAnsiTheme="minorHAnsi" w:cstheme="minorHAnsi"/>
          <w:noProof/>
          <w:sz w:val="22"/>
          <w:szCs w:val="22"/>
        </w:rPr>
        <w:t>1</w:t>
      </w:r>
      <w:r w:rsidR="00801DDB" w:rsidRPr="00D92B41">
        <w:rPr>
          <w:rFonts w:asciiTheme="minorHAnsi" w:hAnsiTheme="minorHAnsi" w:cstheme="minorHAnsi"/>
          <w:noProof/>
          <w:sz w:val="22"/>
          <w:szCs w:val="22"/>
        </w:rPr>
        <w:fldChar w:fldCharType="end"/>
      </w:r>
      <w:r w:rsidR="00D91326" w:rsidRPr="00D92B41">
        <w:rPr>
          <w:rFonts w:asciiTheme="minorHAnsi" w:hAnsiTheme="minorHAnsi" w:cstheme="minorHAnsi"/>
          <w:sz w:val="22"/>
          <w:szCs w:val="22"/>
        </w:rPr>
        <w:t xml:space="preserve"> </w:t>
      </w:r>
      <w:r w:rsidR="00643E73">
        <w:rPr>
          <w:rFonts w:asciiTheme="minorHAnsi" w:hAnsiTheme="minorHAnsi" w:cstheme="minorHAnsi"/>
          <w:sz w:val="22"/>
          <w:szCs w:val="22"/>
        </w:rPr>
        <w:t>P</w:t>
      </w:r>
      <w:r w:rsidRPr="00D92B41">
        <w:rPr>
          <w:rFonts w:asciiTheme="minorHAnsi" w:hAnsiTheme="minorHAnsi" w:cstheme="minorHAnsi"/>
          <w:sz w:val="22"/>
          <w:szCs w:val="22"/>
        </w:rPr>
        <w:t>rogress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towards</w:t>
      </w:r>
      <w:r w:rsidR="00D91326" w:rsidRPr="00D92B41">
        <w:rPr>
          <w:rFonts w:asciiTheme="minorHAnsi" w:hAnsiTheme="minorHAnsi" w:cstheme="minorHAnsi"/>
          <w:sz w:val="22"/>
          <w:szCs w:val="22"/>
        </w:rPr>
        <w:t xml:space="preserve"> </w:t>
      </w:r>
      <w:r w:rsidR="00643E73">
        <w:rPr>
          <w:rFonts w:asciiTheme="minorHAnsi" w:hAnsiTheme="minorHAnsi" w:cstheme="minorHAnsi"/>
          <w:sz w:val="22"/>
          <w:szCs w:val="22"/>
        </w:rPr>
        <w:t xml:space="preserve">the Solomon Islands - </w:t>
      </w:r>
      <w:r w:rsidRPr="00D92B41">
        <w:rPr>
          <w:rFonts w:asciiTheme="minorHAnsi" w:hAnsiTheme="minorHAnsi" w:cstheme="minorHAnsi"/>
          <w:sz w:val="22"/>
          <w:szCs w:val="22"/>
        </w:rPr>
        <w:t>Australia</w:t>
      </w:r>
      <w:r w:rsidR="00D91326" w:rsidRPr="00D92B41">
        <w:rPr>
          <w:rFonts w:asciiTheme="minorHAnsi" w:hAnsiTheme="minorHAnsi" w:cstheme="minorHAnsi"/>
          <w:sz w:val="22"/>
          <w:szCs w:val="22"/>
        </w:rPr>
        <w:t xml:space="preserve"> </w:t>
      </w:r>
      <w:r w:rsidR="00643E73">
        <w:rPr>
          <w:rFonts w:asciiTheme="minorHAnsi" w:hAnsiTheme="minorHAnsi" w:cstheme="minorHAnsi"/>
          <w:sz w:val="22"/>
          <w:szCs w:val="22"/>
        </w:rPr>
        <w:t>Partnership for Development</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objectives</w:t>
      </w:r>
    </w:p>
    <w:tbl>
      <w:tblPr>
        <w:tblStyle w:val="APPR"/>
        <w:tblW w:w="5000" w:type="pct"/>
        <w:tblLook w:val="0000" w:firstRow="0" w:lastRow="0" w:firstColumn="0" w:lastColumn="0" w:noHBand="0" w:noVBand="0"/>
      </w:tblPr>
      <w:tblGrid>
        <w:gridCol w:w="7554"/>
        <w:gridCol w:w="1239"/>
        <w:gridCol w:w="511"/>
        <w:gridCol w:w="1314"/>
      </w:tblGrid>
      <w:tr w:rsidR="000D733F" w:rsidRPr="00D92B41" w:rsidTr="000D733F">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0D733F" w:rsidRPr="00D92B41" w:rsidRDefault="000D733F" w:rsidP="000C7476">
            <w:pPr>
              <w:pStyle w:val="TableTextColumnHeading"/>
              <w:framePr w:wrap="around"/>
            </w:pPr>
            <w:r w:rsidRPr="00D92B41">
              <w:rPr>
                <w:noProof/>
                <w:lang w:eastAsia="en-AU"/>
              </w:rPr>
              <w:drawing>
                <wp:anchor distT="0" distB="0" distL="114300" distR="114300" simplePos="0" relativeHeight="251663360" behindDoc="0" locked="0" layoutInCell="1" allowOverlap="1" wp14:anchorId="6EE66B82" wp14:editId="18B74E71">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B41">
              <w:t>Objective</w:t>
            </w:r>
          </w:p>
        </w:tc>
        <w:tc>
          <w:tcPr>
            <w:tcW w:w="972" w:type="dxa"/>
          </w:tcPr>
          <w:p w:rsidR="000D733F" w:rsidRPr="00D92B41" w:rsidRDefault="004F4630" w:rsidP="000C7476">
            <w:pPr>
              <w:pStyle w:val="TableTextColumnHeading"/>
              <w:framePr w:wrap="around"/>
            </w:pPr>
            <w:r w:rsidRPr="00D92B41">
              <w:t>Previous</w:t>
            </w:r>
            <w:r w:rsidR="00D91326" w:rsidRPr="00D92B41">
              <w:t xml:space="preserve"> </w:t>
            </w:r>
            <w:r w:rsidRPr="00D92B41">
              <w:t>Rating</w:t>
            </w:r>
          </w:p>
        </w:tc>
        <w:tc>
          <w:tcPr>
            <w:tcW w:w="388" w:type="dxa"/>
          </w:tcPr>
          <w:p w:rsidR="000D733F" w:rsidRPr="00D92B41" w:rsidRDefault="000D733F" w:rsidP="000C7476">
            <w:pPr>
              <w:pStyle w:val="TableTextColumnHeading"/>
              <w:framePr w:wrap="around"/>
            </w:pPr>
          </w:p>
        </w:tc>
        <w:tc>
          <w:tcPr>
            <w:tcW w:w="1021" w:type="dxa"/>
          </w:tcPr>
          <w:p w:rsidR="000D733F" w:rsidRPr="00D92B41" w:rsidRDefault="004F4630" w:rsidP="000C7476">
            <w:pPr>
              <w:pStyle w:val="TableTextColumnHeading"/>
              <w:framePr w:wrap="around"/>
            </w:pPr>
            <w:r w:rsidRPr="00D92B41">
              <w:t>Current</w:t>
            </w:r>
            <w:r w:rsidR="00D91326" w:rsidRPr="00D92B41">
              <w:t xml:space="preserve"> </w:t>
            </w:r>
            <w:r w:rsidRPr="00D92B41">
              <w:t>Rating</w:t>
            </w:r>
          </w:p>
        </w:tc>
      </w:tr>
    </w:tbl>
    <w:tbl>
      <w:tblPr>
        <w:tblStyle w:val="APPR"/>
        <w:tblW w:w="5000" w:type="pct"/>
        <w:tblLook w:val="0000" w:firstRow="0" w:lastRow="0" w:firstColumn="0" w:lastColumn="0" w:noHBand="0" w:noVBand="0"/>
      </w:tblPr>
      <w:tblGrid>
        <w:gridCol w:w="7554"/>
        <w:gridCol w:w="1239"/>
        <w:gridCol w:w="511"/>
        <w:gridCol w:w="1314"/>
      </w:tblGrid>
      <w:tr w:rsidR="000D733F" w:rsidRPr="00D92B41" w:rsidTr="00C56B9D">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D92B41" w:rsidRDefault="00D24CDE" w:rsidP="00C56B9D">
            <w:pPr>
              <w:pStyle w:val="TableTextEntries"/>
              <w:rPr>
                <w:rFonts w:asciiTheme="minorHAnsi" w:hAnsiTheme="minorHAnsi" w:cstheme="minorHAnsi"/>
                <w:sz w:val="22"/>
                <w:szCs w:val="22"/>
              </w:rPr>
            </w:pPr>
            <w:r w:rsidRPr="00D24CDE">
              <w:rPr>
                <w:rFonts w:asciiTheme="minorHAnsi" w:hAnsiTheme="minorHAnsi" w:cstheme="minorHAnsi"/>
                <w:sz w:val="22"/>
                <w:szCs w:val="22"/>
              </w:rPr>
              <w:t xml:space="preserve">Priority Outcome 1 - </w:t>
            </w:r>
            <w:r w:rsidR="00C56B9D">
              <w:rPr>
                <w:rFonts w:asciiTheme="minorHAnsi" w:hAnsiTheme="minorHAnsi" w:cstheme="minorHAnsi"/>
                <w:sz w:val="22"/>
                <w:szCs w:val="22"/>
              </w:rPr>
              <w:t>Improved Service Delivery: Education</w:t>
            </w:r>
          </w:p>
        </w:tc>
        <w:tc>
          <w:tcPr>
            <w:tcW w:w="972" w:type="dxa"/>
            <w:shd w:val="clear" w:color="auto" w:fill="E36C0A" w:themeFill="accent6" w:themeFillShade="BF"/>
            <w:noWrap/>
          </w:tcPr>
          <w:p w:rsidR="000D733F" w:rsidRPr="00D92B41" w:rsidRDefault="00C56B9D" w:rsidP="000D733F">
            <w:pPr>
              <w:pStyle w:val="TableTextEntries"/>
              <w:jc w:val="center"/>
              <w:rPr>
                <w:rFonts w:asciiTheme="minorHAnsi" w:hAnsiTheme="minorHAnsi" w:cstheme="minorHAnsi"/>
                <w:color w:val="FFFFFF" w:themeColor="background1"/>
                <w:sz w:val="22"/>
                <w:szCs w:val="22"/>
              </w:rPr>
            </w:pPr>
            <w:r w:rsidRPr="00D92B41">
              <w:rPr>
                <w:rFonts w:asciiTheme="minorHAnsi" w:hAnsiTheme="minorHAnsi" w:cstheme="minorHAnsi"/>
                <w:color w:val="FFFFFF" w:themeColor="background1"/>
                <w:sz w:val="22"/>
                <w:szCs w:val="22"/>
              </w:rPr>
              <w:t>Amber</w:t>
            </w:r>
          </w:p>
        </w:tc>
        <w:tc>
          <w:tcPr>
            <w:tcW w:w="388" w:type="dxa"/>
          </w:tcPr>
          <w:p w:rsidR="000D733F" w:rsidRPr="00D92B41" w:rsidRDefault="000D733F" w:rsidP="000D733F">
            <w:pPr>
              <w:pStyle w:val="TableTextEntries"/>
              <w:jc w:val="center"/>
              <w:rPr>
                <w:rFonts w:asciiTheme="minorHAnsi" w:hAnsiTheme="minorHAnsi" w:cstheme="minorHAnsi"/>
                <w:color w:val="FFFFFF" w:themeColor="background1"/>
                <w:sz w:val="22"/>
                <w:szCs w:val="22"/>
              </w:rPr>
            </w:pPr>
          </w:p>
        </w:tc>
        <w:tc>
          <w:tcPr>
            <w:tcW w:w="1021" w:type="dxa"/>
            <w:shd w:val="clear" w:color="auto" w:fill="E36C0A"/>
            <w:noWrap/>
          </w:tcPr>
          <w:p w:rsidR="000D733F" w:rsidRPr="00D92B41" w:rsidRDefault="000D733F" w:rsidP="000D733F">
            <w:pPr>
              <w:pStyle w:val="TableTextEntries"/>
              <w:jc w:val="center"/>
              <w:rPr>
                <w:rFonts w:asciiTheme="minorHAnsi" w:hAnsiTheme="minorHAnsi" w:cstheme="minorHAnsi"/>
                <w:color w:val="FFFFFF" w:themeColor="background1"/>
                <w:sz w:val="22"/>
                <w:szCs w:val="22"/>
              </w:rPr>
            </w:pPr>
            <w:r w:rsidRPr="00D92B41">
              <w:rPr>
                <w:rFonts w:asciiTheme="minorHAnsi" w:hAnsiTheme="minorHAnsi" w:cstheme="minorHAnsi"/>
                <w:color w:val="FFFFFF" w:themeColor="background1"/>
                <w:sz w:val="22"/>
                <w:szCs w:val="22"/>
              </w:rPr>
              <w:t>Amber</w:t>
            </w:r>
          </w:p>
        </w:tc>
      </w:tr>
      <w:tr w:rsidR="000D733F" w:rsidRPr="00D92B41" w:rsidTr="007D3228">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D92B41" w:rsidRDefault="00D24CDE" w:rsidP="00C56B9D">
            <w:pPr>
              <w:pStyle w:val="TableTextEntries"/>
              <w:rPr>
                <w:rFonts w:asciiTheme="minorHAnsi" w:hAnsiTheme="minorHAnsi" w:cstheme="minorHAnsi"/>
                <w:sz w:val="22"/>
                <w:szCs w:val="22"/>
              </w:rPr>
            </w:pPr>
            <w:r w:rsidRPr="00D24CDE">
              <w:rPr>
                <w:rFonts w:asciiTheme="minorHAnsi" w:hAnsiTheme="minorHAnsi" w:cstheme="minorHAnsi"/>
                <w:sz w:val="22"/>
                <w:szCs w:val="22"/>
              </w:rPr>
              <w:t xml:space="preserve">Priority Outcome 1 - </w:t>
            </w:r>
            <w:r w:rsidR="00C56B9D">
              <w:rPr>
                <w:rFonts w:asciiTheme="minorHAnsi" w:hAnsiTheme="minorHAnsi" w:cstheme="minorHAnsi"/>
                <w:sz w:val="22"/>
                <w:szCs w:val="22"/>
              </w:rPr>
              <w:t xml:space="preserve">Improved Service Delivery: Health </w:t>
            </w:r>
          </w:p>
        </w:tc>
        <w:tc>
          <w:tcPr>
            <w:tcW w:w="972" w:type="dxa"/>
            <w:shd w:val="clear" w:color="auto" w:fill="E36C0A"/>
            <w:noWrap/>
          </w:tcPr>
          <w:p w:rsidR="000D733F" w:rsidRPr="00D92B41" w:rsidRDefault="000D733F" w:rsidP="000D733F">
            <w:pPr>
              <w:pStyle w:val="TableTextEntries"/>
              <w:jc w:val="center"/>
              <w:rPr>
                <w:rFonts w:asciiTheme="minorHAnsi" w:hAnsiTheme="minorHAnsi" w:cstheme="minorHAnsi"/>
                <w:color w:val="FFFFFF" w:themeColor="background1"/>
                <w:sz w:val="22"/>
                <w:szCs w:val="22"/>
              </w:rPr>
            </w:pPr>
            <w:r w:rsidRPr="00D92B41">
              <w:rPr>
                <w:rFonts w:asciiTheme="minorHAnsi" w:hAnsiTheme="minorHAnsi" w:cstheme="minorHAnsi"/>
                <w:color w:val="FFFFFF" w:themeColor="background1"/>
                <w:sz w:val="22"/>
                <w:szCs w:val="22"/>
              </w:rPr>
              <w:t>Amber</w:t>
            </w:r>
          </w:p>
        </w:tc>
        <w:tc>
          <w:tcPr>
            <w:tcW w:w="388" w:type="dxa"/>
          </w:tcPr>
          <w:p w:rsidR="000D733F" w:rsidRPr="00D92B41" w:rsidRDefault="000D733F" w:rsidP="000D733F">
            <w:pPr>
              <w:pStyle w:val="TableTextEntries"/>
              <w:jc w:val="center"/>
              <w:rPr>
                <w:rFonts w:asciiTheme="minorHAnsi" w:hAnsiTheme="minorHAnsi" w:cstheme="minorHAnsi"/>
                <w:color w:val="FFFFFF" w:themeColor="background1"/>
                <w:sz w:val="22"/>
                <w:szCs w:val="22"/>
              </w:rPr>
            </w:pPr>
          </w:p>
        </w:tc>
        <w:tc>
          <w:tcPr>
            <w:tcW w:w="1021" w:type="dxa"/>
            <w:shd w:val="clear" w:color="auto" w:fill="E36C0A" w:themeFill="accent6" w:themeFillShade="BF"/>
            <w:noWrap/>
          </w:tcPr>
          <w:p w:rsidR="000D733F" w:rsidRPr="00D92B41" w:rsidRDefault="007D3228" w:rsidP="000D733F">
            <w:pPr>
              <w:pStyle w:val="TableTextEntries"/>
              <w:jc w:val="center"/>
              <w:rPr>
                <w:rFonts w:asciiTheme="minorHAnsi" w:hAnsiTheme="minorHAnsi" w:cstheme="minorHAnsi"/>
                <w:color w:val="FFFFFF" w:themeColor="background1"/>
                <w:sz w:val="22"/>
                <w:szCs w:val="22"/>
              </w:rPr>
            </w:pPr>
            <w:r w:rsidRPr="00D92B41">
              <w:rPr>
                <w:rFonts w:asciiTheme="minorHAnsi" w:hAnsiTheme="minorHAnsi" w:cstheme="minorHAnsi"/>
                <w:color w:val="FFFFFF" w:themeColor="background1"/>
                <w:sz w:val="22"/>
                <w:szCs w:val="22"/>
              </w:rPr>
              <w:t>Amber</w:t>
            </w:r>
          </w:p>
        </w:tc>
      </w:tr>
      <w:tr w:rsidR="000D733F" w:rsidRPr="00D92B41" w:rsidTr="00130AAF">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D92B41" w:rsidRDefault="00D24CDE" w:rsidP="00D24CDE">
            <w:pPr>
              <w:pStyle w:val="TableTextEntries"/>
              <w:rPr>
                <w:rFonts w:asciiTheme="minorHAnsi" w:hAnsiTheme="minorHAnsi" w:cstheme="minorHAnsi"/>
                <w:sz w:val="22"/>
                <w:szCs w:val="22"/>
              </w:rPr>
            </w:pPr>
            <w:r w:rsidRPr="00D24CDE">
              <w:rPr>
                <w:rFonts w:asciiTheme="minorHAnsi" w:hAnsiTheme="minorHAnsi" w:cstheme="minorHAnsi"/>
                <w:sz w:val="22"/>
                <w:szCs w:val="22"/>
              </w:rPr>
              <w:t xml:space="preserve">Priority Outcome </w:t>
            </w:r>
            <w:r>
              <w:rPr>
                <w:rFonts w:asciiTheme="minorHAnsi" w:hAnsiTheme="minorHAnsi" w:cstheme="minorHAnsi"/>
                <w:sz w:val="22"/>
                <w:szCs w:val="22"/>
              </w:rPr>
              <w:t>2</w:t>
            </w:r>
            <w:r w:rsidRPr="00D24CDE">
              <w:rPr>
                <w:rFonts w:asciiTheme="minorHAnsi" w:hAnsiTheme="minorHAnsi" w:cstheme="minorHAnsi"/>
                <w:sz w:val="22"/>
                <w:szCs w:val="22"/>
              </w:rPr>
              <w:t xml:space="preserve"> - </w:t>
            </w:r>
            <w:r w:rsidR="00C56B9D">
              <w:rPr>
                <w:rFonts w:asciiTheme="minorHAnsi" w:hAnsiTheme="minorHAnsi" w:cstheme="minorHAnsi"/>
                <w:sz w:val="22"/>
                <w:szCs w:val="22"/>
              </w:rPr>
              <w:t>Broadbased Growth: Livelihoods</w:t>
            </w:r>
          </w:p>
        </w:tc>
        <w:tc>
          <w:tcPr>
            <w:tcW w:w="972" w:type="dxa"/>
            <w:shd w:val="clear" w:color="auto" w:fill="E36C0A" w:themeFill="accent6" w:themeFillShade="BF"/>
            <w:noWrap/>
          </w:tcPr>
          <w:p w:rsidR="000D733F" w:rsidRPr="00D92B41" w:rsidRDefault="00C56B9D" w:rsidP="000D733F">
            <w:pPr>
              <w:pStyle w:val="TableTextEntries"/>
              <w:jc w:val="center"/>
              <w:rPr>
                <w:rFonts w:asciiTheme="minorHAnsi" w:hAnsiTheme="minorHAnsi" w:cstheme="minorHAnsi"/>
                <w:color w:val="FFFFFF" w:themeColor="background1"/>
                <w:sz w:val="22"/>
                <w:szCs w:val="22"/>
              </w:rPr>
            </w:pPr>
            <w:r w:rsidRPr="00D92B41">
              <w:rPr>
                <w:rFonts w:asciiTheme="minorHAnsi" w:hAnsiTheme="minorHAnsi" w:cstheme="minorHAnsi"/>
                <w:color w:val="FFFFFF" w:themeColor="background1"/>
                <w:sz w:val="22"/>
                <w:szCs w:val="22"/>
              </w:rPr>
              <w:t>Amber</w:t>
            </w:r>
          </w:p>
        </w:tc>
        <w:tc>
          <w:tcPr>
            <w:tcW w:w="388" w:type="dxa"/>
          </w:tcPr>
          <w:p w:rsidR="000D733F" w:rsidRPr="00D92B41" w:rsidRDefault="000D733F" w:rsidP="000D733F">
            <w:pPr>
              <w:pStyle w:val="TableTextEntries"/>
              <w:jc w:val="center"/>
              <w:rPr>
                <w:rFonts w:asciiTheme="minorHAnsi" w:hAnsiTheme="minorHAnsi" w:cstheme="minorHAnsi"/>
                <w:color w:val="FFFFFF" w:themeColor="background1"/>
                <w:sz w:val="22"/>
                <w:szCs w:val="22"/>
              </w:rPr>
            </w:pPr>
          </w:p>
        </w:tc>
        <w:tc>
          <w:tcPr>
            <w:tcW w:w="1021" w:type="dxa"/>
            <w:shd w:val="clear" w:color="auto" w:fill="92D050"/>
            <w:noWrap/>
          </w:tcPr>
          <w:p w:rsidR="000D733F" w:rsidRPr="00D92B41" w:rsidRDefault="006848FC" w:rsidP="000D733F">
            <w:pPr>
              <w:pStyle w:val="TableTextEntries"/>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Green</w:t>
            </w:r>
          </w:p>
        </w:tc>
      </w:tr>
      <w:tr w:rsidR="00C56B9D" w:rsidRPr="00D92B41" w:rsidTr="00130AAF">
        <w:trPr>
          <w:cnfStyle w:val="000000010000" w:firstRow="0" w:lastRow="0" w:firstColumn="0" w:lastColumn="0" w:oddVBand="0" w:evenVBand="0" w:oddHBand="0" w:evenHBand="1" w:firstRowFirstColumn="0" w:firstRowLastColumn="0" w:lastRowFirstColumn="0" w:lastRowLastColumn="0"/>
        </w:trPr>
        <w:tc>
          <w:tcPr>
            <w:tcW w:w="6029" w:type="dxa"/>
          </w:tcPr>
          <w:p w:rsidR="00C56B9D" w:rsidRPr="00D92B41" w:rsidRDefault="00D24CDE" w:rsidP="00D24CDE">
            <w:pPr>
              <w:pStyle w:val="TableTextEntries"/>
              <w:rPr>
                <w:rFonts w:asciiTheme="minorHAnsi" w:hAnsiTheme="minorHAnsi" w:cstheme="minorHAnsi"/>
                <w:sz w:val="22"/>
                <w:szCs w:val="22"/>
              </w:rPr>
            </w:pPr>
            <w:r w:rsidRPr="00D24CDE">
              <w:rPr>
                <w:rFonts w:asciiTheme="minorHAnsi" w:hAnsiTheme="minorHAnsi" w:cstheme="minorHAnsi"/>
                <w:sz w:val="22"/>
                <w:szCs w:val="22"/>
              </w:rPr>
              <w:t xml:space="preserve">Priority Outcome </w:t>
            </w:r>
            <w:r>
              <w:rPr>
                <w:rFonts w:asciiTheme="minorHAnsi" w:hAnsiTheme="minorHAnsi" w:cstheme="minorHAnsi"/>
                <w:sz w:val="22"/>
                <w:szCs w:val="22"/>
              </w:rPr>
              <w:t>2</w:t>
            </w:r>
            <w:r w:rsidRPr="00D24CDE">
              <w:rPr>
                <w:rFonts w:asciiTheme="minorHAnsi" w:hAnsiTheme="minorHAnsi" w:cstheme="minorHAnsi"/>
                <w:sz w:val="22"/>
                <w:szCs w:val="22"/>
              </w:rPr>
              <w:t xml:space="preserve"> - </w:t>
            </w:r>
            <w:r w:rsidR="00C56B9D">
              <w:rPr>
                <w:rFonts w:asciiTheme="minorHAnsi" w:hAnsiTheme="minorHAnsi" w:cstheme="minorHAnsi"/>
                <w:sz w:val="22"/>
                <w:szCs w:val="22"/>
              </w:rPr>
              <w:t>Broadbased Growth: infrastructure</w:t>
            </w:r>
          </w:p>
        </w:tc>
        <w:tc>
          <w:tcPr>
            <w:tcW w:w="972" w:type="dxa"/>
            <w:shd w:val="clear" w:color="auto" w:fill="E36C0A" w:themeFill="accent6" w:themeFillShade="BF"/>
            <w:noWrap/>
          </w:tcPr>
          <w:p w:rsidR="00C56B9D" w:rsidRPr="00D92B41" w:rsidRDefault="00C56B9D" w:rsidP="000D733F">
            <w:pPr>
              <w:pStyle w:val="TableTextEntries"/>
              <w:jc w:val="center"/>
              <w:rPr>
                <w:rFonts w:asciiTheme="minorHAnsi" w:hAnsiTheme="minorHAnsi" w:cstheme="minorHAnsi"/>
                <w:color w:val="FFFFFF" w:themeColor="background1"/>
                <w:sz w:val="22"/>
                <w:szCs w:val="22"/>
              </w:rPr>
            </w:pPr>
            <w:r w:rsidRPr="00D92B41">
              <w:rPr>
                <w:rFonts w:asciiTheme="minorHAnsi" w:hAnsiTheme="minorHAnsi" w:cstheme="minorHAnsi"/>
                <w:color w:val="FFFFFF" w:themeColor="background1"/>
                <w:sz w:val="22"/>
                <w:szCs w:val="22"/>
              </w:rPr>
              <w:t>Amber</w:t>
            </w:r>
          </w:p>
        </w:tc>
        <w:tc>
          <w:tcPr>
            <w:tcW w:w="388" w:type="dxa"/>
          </w:tcPr>
          <w:p w:rsidR="00C56B9D" w:rsidRPr="00D92B41" w:rsidRDefault="00C56B9D" w:rsidP="000D733F">
            <w:pPr>
              <w:pStyle w:val="TableTextEntries"/>
              <w:jc w:val="center"/>
              <w:rPr>
                <w:rFonts w:asciiTheme="minorHAnsi" w:hAnsiTheme="minorHAnsi" w:cstheme="minorHAnsi"/>
                <w:color w:val="FFFFFF" w:themeColor="background1"/>
                <w:sz w:val="22"/>
                <w:szCs w:val="22"/>
              </w:rPr>
            </w:pPr>
          </w:p>
        </w:tc>
        <w:tc>
          <w:tcPr>
            <w:tcW w:w="1021" w:type="dxa"/>
            <w:shd w:val="clear" w:color="auto" w:fill="92D050"/>
            <w:noWrap/>
          </w:tcPr>
          <w:p w:rsidR="00C56B9D" w:rsidRPr="00D92B41" w:rsidRDefault="00C56B9D" w:rsidP="000D733F">
            <w:pPr>
              <w:pStyle w:val="TableTextEntries"/>
              <w:jc w:val="center"/>
              <w:rPr>
                <w:rFonts w:asciiTheme="minorHAnsi" w:hAnsiTheme="minorHAnsi" w:cstheme="minorHAnsi"/>
                <w:color w:val="FFFFFF" w:themeColor="background1"/>
                <w:sz w:val="22"/>
                <w:szCs w:val="22"/>
              </w:rPr>
            </w:pPr>
            <w:r w:rsidRPr="00D92B41">
              <w:rPr>
                <w:rFonts w:asciiTheme="minorHAnsi" w:hAnsiTheme="minorHAnsi" w:cstheme="minorHAnsi"/>
                <w:color w:val="FFFFFF" w:themeColor="background1"/>
                <w:sz w:val="22"/>
                <w:szCs w:val="22"/>
              </w:rPr>
              <w:t>Green</w:t>
            </w:r>
          </w:p>
        </w:tc>
      </w:tr>
      <w:tr w:rsidR="00C56B9D" w:rsidRPr="00D92B41" w:rsidTr="007D3228">
        <w:trPr>
          <w:cnfStyle w:val="000000010000" w:firstRow="0" w:lastRow="0" w:firstColumn="0" w:lastColumn="0" w:oddVBand="0" w:evenVBand="0" w:oddHBand="0" w:evenHBand="1" w:firstRowFirstColumn="0" w:firstRowLastColumn="0" w:lastRowFirstColumn="0" w:lastRowLastColumn="0"/>
        </w:trPr>
        <w:tc>
          <w:tcPr>
            <w:tcW w:w="6029" w:type="dxa"/>
          </w:tcPr>
          <w:p w:rsidR="00C56B9D" w:rsidRPr="00D92B41" w:rsidRDefault="00D24CDE" w:rsidP="00D24CDE">
            <w:pPr>
              <w:pStyle w:val="TableTextEntries"/>
              <w:rPr>
                <w:rFonts w:asciiTheme="minorHAnsi" w:hAnsiTheme="minorHAnsi" w:cstheme="minorHAnsi"/>
                <w:sz w:val="22"/>
                <w:szCs w:val="22"/>
              </w:rPr>
            </w:pPr>
            <w:r w:rsidRPr="00D24CDE">
              <w:rPr>
                <w:rFonts w:asciiTheme="minorHAnsi" w:hAnsiTheme="minorHAnsi" w:cstheme="minorHAnsi"/>
                <w:sz w:val="22"/>
                <w:szCs w:val="22"/>
              </w:rPr>
              <w:t xml:space="preserve">Priority Outcome </w:t>
            </w:r>
            <w:r>
              <w:rPr>
                <w:rFonts w:asciiTheme="minorHAnsi" w:hAnsiTheme="minorHAnsi" w:cstheme="minorHAnsi"/>
                <w:sz w:val="22"/>
                <w:szCs w:val="22"/>
              </w:rPr>
              <w:t>3</w:t>
            </w:r>
            <w:r w:rsidRPr="00D24CDE">
              <w:rPr>
                <w:rFonts w:asciiTheme="minorHAnsi" w:hAnsiTheme="minorHAnsi" w:cstheme="minorHAnsi"/>
                <w:sz w:val="22"/>
                <w:szCs w:val="22"/>
              </w:rPr>
              <w:t xml:space="preserve"> - </w:t>
            </w:r>
            <w:r w:rsidR="00C56B9D">
              <w:rPr>
                <w:rFonts w:asciiTheme="minorHAnsi" w:hAnsiTheme="minorHAnsi" w:cstheme="minorHAnsi"/>
                <w:sz w:val="22"/>
                <w:szCs w:val="22"/>
              </w:rPr>
              <w:t>Improved Governance</w:t>
            </w:r>
          </w:p>
        </w:tc>
        <w:tc>
          <w:tcPr>
            <w:tcW w:w="972" w:type="dxa"/>
            <w:shd w:val="clear" w:color="auto" w:fill="E36C0A" w:themeFill="accent6" w:themeFillShade="BF"/>
            <w:noWrap/>
          </w:tcPr>
          <w:p w:rsidR="00C56B9D" w:rsidRPr="00D92B41" w:rsidRDefault="00C56B9D" w:rsidP="000D733F">
            <w:pPr>
              <w:pStyle w:val="TableTextEntries"/>
              <w:jc w:val="center"/>
              <w:rPr>
                <w:rFonts w:asciiTheme="minorHAnsi" w:hAnsiTheme="minorHAnsi" w:cstheme="minorHAnsi"/>
                <w:color w:val="FFFFFF" w:themeColor="background1"/>
                <w:sz w:val="22"/>
                <w:szCs w:val="22"/>
              </w:rPr>
            </w:pPr>
            <w:r w:rsidRPr="00D92B41">
              <w:rPr>
                <w:rFonts w:asciiTheme="minorHAnsi" w:hAnsiTheme="minorHAnsi" w:cstheme="minorHAnsi"/>
                <w:color w:val="FFFFFF" w:themeColor="background1"/>
                <w:sz w:val="22"/>
                <w:szCs w:val="22"/>
              </w:rPr>
              <w:t>Amber</w:t>
            </w:r>
          </w:p>
        </w:tc>
        <w:tc>
          <w:tcPr>
            <w:tcW w:w="388" w:type="dxa"/>
          </w:tcPr>
          <w:p w:rsidR="00C56B9D" w:rsidRPr="00D92B41" w:rsidRDefault="00C56B9D" w:rsidP="000D733F">
            <w:pPr>
              <w:pStyle w:val="TableTextEntries"/>
              <w:jc w:val="center"/>
              <w:rPr>
                <w:rFonts w:asciiTheme="minorHAnsi" w:hAnsiTheme="minorHAnsi" w:cstheme="minorHAnsi"/>
                <w:color w:val="FFFFFF" w:themeColor="background1"/>
                <w:sz w:val="22"/>
                <w:szCs w:val="22"/>
              </w:rPr>
            </w:pPr>
          </w:p>
        </w:tc>
        <w:tc>
          <w:tcPr>
            <w:tcW w:w="1021" w:type="dxa"/>
            <w:shd w:val="clear" w:color="auto" w:fill="E36C0A" w:themeFill="accent6" w:themeFillShade="BF"/>
            <w:noWrap/>
          </w:tcPr>
          <w:p w:rsidR="00C56B9D" w:rsidRPr="00D92B41" w:rsidRDefault="007D3228" w:rsidP="000D733F">
            <w:pPr>
              <w:pStyle w:val="TableTextEntries"/>
              <w:jc w:val="center"/>
              <w:rPr>
                <w:rFonts w:asciiTheme="minorHAnsi" w:hAnsiTheme="minorHAnsi" w:cstheme="minorHAnsi"/>
                <w:color w:val="FFFFFF" w:themeColor="background1"/>
                <w:sz w:val="22"/>
                <w:szCs w:val="22"/>
              </w:rPr>
            </w:pPr>
            <w:r w:rsidRPr="00D92B41">
              <w:rPr>
                <w:rFonts w:asciiTheme="minorHAnsi" w:hAnsiTheme="minorHAnsi" w:cstheme="minorHAnsi"/>
                <w:color w:val="FFFFFF" w:themeColor="background1"/>
                <w:sz w:val="22"/>
                <w:szCs w:val="22"/>
              </w:rPr>
              <w:t>Amber</w:t>
            </w:r>
          </w:p>
        </w:tc>
      </w:tr>
      <w:tr w:rsidR="00C56B9D" w:rsidRPr="00D92B41" w:rsidTr="00130AAF">
        <w:trPr>
          <w:cnfStyle w:val="000000010000" w:firstRow="0" w:lastRow="0" w:firstColumn="0" w:lastColumn="0" w:oddVBand="0" w:evenVBand="0" w:oddHBand="0" w:evenHBand="1" w:firstRowFirstColumn="0" w:firstRowLastColumn="0" w:lastRowFirstColumn="0" w:lastRowLastColumn="0"/>
        </w:trPr>
        <w:tc>
          <w:tcPr>
            <w:tcW w:w="6029" w:type="dxa"/>
          </w:tcPr>
          <w:p w:rsidR="00C56B9D" w:rsidRPr="00D92B41" w:rsidRDefault="00D24CDE" w:rsidP="00D24CDE">
            <w:pPr>
              <w:pStyle w:val="TableTextEntries"/>
              <w:rPr>
                <w:rFonts w:asciiTheme="minorHAnsi" w:hAnsiTheme="minorHAnsi" w:cstheme="minorHAnsi"/>
                <w:sz w:val="22"/>
                <w:szCs w:val="22"/>
              </w:rPr>
            </w:pPr>
            <w:r w:rsidRPr="00D24CDE">
              <w:rPr>
                <w:rFonts w:asciiTheme="minorHAnsi" w:hAnsiTheme="minorHAnsi" w:cstheme="minorHAnsi"/>
                <w:sz w:val="22"/>
                <w:szCs w:val="22"/>
              </w:rPr>
              <w:t xml:space="preserve">Priority Outcome </w:t>
            </w:r>
            <w:r>
              <w:rPr>
                <w:rFonts w:asciiTheme="minorHAnsi" w:hAnsiTheme="minorHAnsi" w:cstheme="minorHAnsi"/>
                <w:sz w:val="22"/>
                <w:szCs w:val="22"/>
              </w:rPr>
              <w:t>4</w:t>
            </w:r>
            <w:r w:rsidRPr="00D24CDE">
              <w:rPr>
                <w:rFonts w:asciiTheme="minorHAnsi" w:hAnsiTheme="minorHAnsi" w:cstheme="minorHAnsi"/>
                <w:sz w:val="22"/>
                <w:szCs w:val="22"/>
              </w:rPr>
              <w:t xml:space="preserve"> - </w:t>
            </w:r>
            <w:r w:rsidR="00C56B9D">
              <w:rPr>
                <w:rFonts w:asciiTheme="minorHAnsi" w:hAnsiTheme="minorHAnsi" w:cstheme="minorHAnsi"/>
                <w:sz w:val="22"/>
                <w:szCs w:val="22"/>
              </w:rPr>
              <w:t>Improved Justice Services</w:t>
            </w:r>
          </w:p>
        </w:tc>
        <w:tc>
          <w:tcPr>
            <w:tcW w:w="972" w:type="dxa"/>
            <w:shd w:val="clear" w:color="auto" w:fill="E36C0A" w:themeFill="accent6" w:themeFillShade="BF"/>
            <w:noWrap/>
          </w:tcPr>
          <w:p w:rsidR="00C56B9D" w:rsidRPr="00D92B41" w:rsidRDefault="00C56B9D" w:rsidP="000D733F">
            <w:pPr>
              <w:pStyle w:val="TableTextEntries"/>
              <w:jc w:val="center"/>
              <w:rPr>
                <w:rFonts w:asciiTheme="minorHAnsi" w:hAnsiTheme="minorHAnsi" w:cstheme="minorHAnsi"/>
                <w:color w:val="FFFFFF" w:themeColor="background1"/>
                <w:sz w:val="22"/>
                <w:szCs w:val="22"/>
              </w:rPr>
            </w:pPr>
            <w:r w:rsidRPr="00D92B41">
              <w:rPr>
                <w:rFonts w:asciiTheme="minorHAnsi" w:hAnsiTheme="minorHAnsi" w:cstheme="minorHAnsi"/>
                <w:color w:val="FFFFFF" w:themeColor="background1"/>
                <w:sz w:val="22"/>
                <w:szCs w:val="22"/>
              </w:rPr>
              <w:t>Amber</w:t>
            </w:r>
          </w:p>
        </w:tc>
        <w:tc>
          <w:tcPr>
            <w:tcW w:w="388" w:type="dxa"/>
          </w:tcPr>
          <w:p w:rsidR="00C56B9D" w:rsidRPr="00D92B41" w:rsidRDefault="00C56B9D" w:rsidP="000D733F">
            <w:pPr>
              <w:pStyle w:val="TableTextEntries"/>
              <w:jc w:val="center"/>
              <w:rPr>
                <w:rFonts w:asciiTheme="minorHAnsi" w:hAnsiTheme="minorHAnsi" w:cstheme="minorHAnsi"/>
                <w:color w:val="FFFFFF" w:themeColor="background1"/>
                <w:sz w:val="22"/>
                <w:szCs w:val="22"/>
              </w:rPr>
            </w:pPr>
          </w:p>
        </w:tc>
        <w:tc>
          <w:tcPr>
            <w:tcW w:w="1021" w:type="dxa"/>
            <w:shd w:val="clear" w:color="auto" w:fill="E36C0A" w:themeFill="accent6" w:themeFillShade="BF"/>
            <w:noWrap/>
          </w:tcPr>
          <w:p w:rsidR="00C56B9D" w:rsidRPr="00D92B41" w:rsidRDefault="006848FC" w:rsidP="000D733F">
            <w:pPr>
              <w:pStyle w:val="TableTextEntries"/>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Amber</w:t>
            </w:r>
          </w:p>
        </w:tc>
      </w:tr>
    </w:tbl>
    <w:p w:rsidR="000D733F" w:rsidRPr="00D92B41" w:rsidRDefault="000D733F" w:rsidP="00130AAF">
      <w:pPr>
        <w:pStyle w:val="TableTextEntries"/>
        <w:jc w:val="center"/>
        <w:rPr>
          <w:rFonts w:asciiTheme="minorHAnsi" w:hAnsiTheme="minorHAnsi" w:cstheme="minorHAnsi"/>
          <w:color w:val="0C7DAF"/>
          <w:kern w:val="28"/>
          <w:sz w:val="22"/>
          <w:szCs w:val="22"/>
        </w:rPr>
      </w:pPr>
    </w:p>
    <w:p w:rsidR="009D3F80" w:rsidRPr="00B103CC" w:rsidRDefault="00CF1001" w:rsidP="00121815">
      <w:pPr>
        <w:pStyle w:val="Heading3"/>
      </w:pPr>
      <w:r w:rsidRPr="00EB78B3">
        <w:t>Priority Outcome 1 - Improved Service Delivery</w:t>
      </w:r>
      <w:r w:rsidR="009D3F80" w:rsidRPr="00B103CC">
        <w:t>:</w:t>
      </w:r>
      <w:r w:rsidR="00D91326" w:rsidRPr="00B103CC">
        <w:t xml:space="preserve"> </w:t>
      </w:r>
      <w:r w:rsidR="009D3F80" w:rsidRPr="00B103CC">
        <w:t>Education</w:t>
      </w:r>
    </w:p>
    <w:p w:rsidR="009D3F80" w:rsidRPr="00D92B41" w:rsidRDefault="00D91326" w:rsidP="009D3F80">
      <w:pPr>
        <w:tabs>
          <w:tab w:val="left" w:pos="227"/>
        </w:tabs>
        <w:spacing w:after="120"/>
        <w:rPr>
          <w:rFonts w:asciiTheme="minorHAnsi" w:hAnsiTheme="minorHAnsi" w:cstheme="minorHAnsi"/>
          <w:sz w:val="22"/>
          <w:szCs w:val="22"/>
        </w:rPr>
      </w:pPr>
      <w:r w:rsidRPr="00D92B41">
        <w:rPr>
          <w:rFonts w:asciiTheme="minorHAnsi" w:hAnsiTheme="minorHAnsi" w:cstheme="minorHAnsi"/>
          <w:sz w:val="22"/>
          <w:szCs w:val="22"/>
        </w:rPr>
        <w:t>Education supports economic growth through building human capital to address skills shortage</w:t>
      </w:r>
      <w:r w:rsidR="00240C93" w:rsidRPr="00D92B41">
        <w:rPr>
          <w:rFonts w:asciiTheme="minorHAnsi" w:hAnsiTheme="minorHAnsi" w:cstheme="minorHAnsi"/>
          <w:sz w:val="22"/>
          <w:szCs w:val="22"/>
        </w:rPr>
        <w:t>s</w:t>
      </w:r>
      <w:r w:rsidRPr="00D92B41">
        <w:rPr>
          <w:rFonts w:asciiTheme="minorHAnsi" w:hAnsiTheme="minorHAnsi" w:cstheme="minorHAnsi"/>
          <w:sz w:val="22"/>
          <w:szCs w:val="22"/>
        </w:rPr>
        <w:t xml:space="preserve">. Literate and skilled young people </w:t>
      </w:r>
      <w:r w:rsidR="0053757F">
        <w:rPr>
          <w:rFonts w:asciiTheme="minorHAnsi" w:hAnsiTheme="minorHAnsi" w:cstheme="minorHAnsi"/>
          <w:sz w:val="22"/>
          <w:szCs w:val="22"/>
        </w:rPr>
        <w:t>are</w:t>
      </w:r>
      <w:r w:rsidRPr="00D92B41">
        <w:rPr>
          <w:rFonts w:asciiTheme="minorHAnsi" w:hAnsiTheme="minorHAnsi" w:cstheme="minorHAnsi"/>
          <w:sz w:val="22"/>
          <w:szCs w:val="22"/>
        </w:rPr>
        <w:t xml:space="preserve"> critical to a stable and prosperous Solomon Islands. The People’s Survey</w:t>
      </w:r>
      <w:r w:rsidRPr="00D92B41">
        <w:rPr>
          <w:rFonts w:asciiTheme="minorHAnsi" w:eastAsia="Times New Roman" w:hAnsiTheme="minorHAnsi" w:cstheme="minorHAnsi"/>
          <w:sz w:val="22"/>
          <w:szCs w:val="22"/>
          <w:vertAlign w:val="superscript"/>
        </w:rPr>
        <w:footnoteReference w:id="9"/>
      </w:r>
      <w:r w:rsidRPr="00D92B41">
        <w:rPr>
          <w:rFonts w:asciiTheme="minorHAnsi" w:hAnsiTheme="minorHAnsi" w:cstheme="minorHAnsi"/>
          <w:sz w:val="22"/>
          <w:szCs w:val="22"/>
        </w:rPr>
        <w:t xml:space="preserve"> ranks education as the number one service Solomon</w:t>
      </w:r>
      <w:r w:rsidR="00053B79">
        <w:rPr>
          <w:rFonts w:asciiTheme="minorHAnsi" w:hAnsiTheme="minorHAnsi" w:cstheme="minorHAnsi"/>
          <w:sz w:val="22"/>
          <w:szCs w:val="22"/>
        </w:rPr>
        <w:t xml:space="preserve"> Islanders want from government. </w:t>
      </w:r>
      <w:r w:rsidR="00740290">
        <w:rPr>
          <w:rFonts w:asciiTheme="minorHAnsi" w:hAnsiTheme="minorHAnsi" w:cstheme="minorHAnsi"/>
          <w:sz w:val="22"/>
          <w:szCs w:val="22"/>
        </w:rPr>
        <w:t>The Solomon Islands Government</w:t>
      </w:r>
      <w:r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invests</w:t>
      </w:r>
      <w:r w:rsidRPr="00D92B41">
        <w:rPr>
          <w:rFonts w:asciiTheme="minorHAnsi" w:hAnsiTheme="minorHAnsi" w:cstheme="minorHAnsi"/>
          <w:sz w:val="22"/>
          <w:szCs w:val="22"/>
        </w:rPr>
        <w:t xml:space="preserve"> </w:t>
      </w:r>
      <w:r w:rsidR="00053B79">
        <w:rPr>
          <w:rFonts w:asciiTheme="minorHAnsi" w:hAnsiTheme="minorHAnsi" w:cstheme="minorHAnsi"/>
          <w:sz w:val="22"/>
          <w:szCs w:val="22"/>
        </w:rPr>
        <w:t>approximately</w:t>
      </w:r>
      <w:r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23</w:t>
      </w:r>
      <w:r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per</w:t>
      </w:r>
      <w:r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cent</w:t>
      </w:r>
      <w:r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of</w:t>
      </w:r>
      <w:r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its</w:t>
      </w:r>
      <w:r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annual</w:t>
      </w:r>
      <w:r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budget</w:t>
      </w:r>
      <w:r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w:t>
      </w:r>
      <w:r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education.</w:t>
      </w:r>
      <w:r w:rsidRPr="00D92B41">
        <w:rPr>
          <w:rFonts w:asciiTheme="minorHAnsi" w:hAnsiTheme="minorHAnsi" w:cstheme="minorHAnsi"/>
          <w:sz w:val="22"/>
          <w:szCs w:val="22"/>
        </w:rPr>
        <w:t xml:space="preserve"> </w:t>
      </w:r>
    </w:p>
    <w:p w:rsidR="009D3F80" w:rsidRPr="00D92B41" w:rsidRDefault="00895916" w:rsidP="009D3F80">
      <w:pPr>
        <w:pStyle w:val="ListBullet"/>
        <w:numPr>
          <w:ilvl w:val="0"/>
          <w:numId w:val="0"/>
        </w:numPr>
        <w:tabs>
          <w:tab w:val="clear" w:pos="284"/>
        </w:tabs>
        <w:spacing w:line="240" w:lineRule="auto"/>
        <w:rPr>
          <w:rFonts w:asciiTheme="minorHAnsi" w:hAnsiTheme="minorHAnsi" w:cstheme="minorHAnsi"/>
          <w:sz w:val="22"/>
          <w:szCs w:val="22"/>
        </w:rPr>
      </w:pPr>
      <w:r>
        <w:rPr>
          <w:rFonts w:asciiTheme="minorHAnsi" w:hAnsiTheme="minorHAnsi" w:cstheme="minorHAnsi"/>
          <w:sz w:val="22"/>
          <w:szCs w:val="22"/>
        </w:rPr>
        <w:t xml:space="preserve">Progress </w:t>
      </w:r>
      <w:r w:rsidR="00643E73">
        <w:rPr>
          <w:rFonts w:asciiTheme="minorHAnsi" w:hAnsiTheme="minorHAnsi" w:cstheme="minorHAnsi"/>
          <w:sz w:val="22"/>
          <w:szCs w:val="22"/>
        </w:rPr>
        <w:t xml:space="preserve">in education </w:t>
      </w:r>
      <w:r>
        <w:rPr>
          <w:rFonts w:asciiTheme="minorHAnsi" w:hAnsiTheme="minorHAnsi" w:cstheme="minorHAnsi"/>
          <w:sz w:val="22"/>
          <w:szCs w:val="22"/>
        </w:rPr>
        <w:t xml:space="preserve">has been </w:t>
      </w:r>
      <w:r w:rsidR="00CF52EE">
        <w:rPr>
          <w:rFonts w:asciiTheme="minorHAnsi" w:hAnsiTheme="minorHAnsi" w:cstheme="minorHAnsi"/>
          <w:sz w:val="22"/>
          <w:szCs w:val="22"/>
        </w:rPr>
        <w:t>mixed</w:t>
      </w:r>
      <w:r w:rsidR="00130AAF">
        <w:rPr>
          <w:rFonts w:asciiTheme="minorHAnsi" w:hAnsiTheme="minorHAnsi" w:cstheme="minorHAnsi"/>
          <w:sz w:val="22"/>
          <w:szCs w:val="22"/>
        </w:rPr>
        <w:t xml:space="preserve"> </w:t>
      </w:r>
      <w:r>
        <w:rPr>
          <w:rFonts w:asciiTheme="minorHAnsi" w:hAnsiTheme="minorHAnsi" w:cstheme="minorHAnsi"/>
          <w:sz w:val="22"/>
          <w:szCs w:val="22"/>
        </w:rPr>
        <w:t>and is rated as amber</w:t>
      </w:r>
      <w:r w:rsidR="00793A21">
        <w:rPr>
          <w:rFonts w:asciiTheme="minorHAnsi" w:hAnsiTheme="minorHAnsi" w:cstheme="minorHAnsi"/>
          <w:sz w:val="22"/>
          <w:szCs w:val="22"/>
        </w:rPr>
        <w:t xml:space="preserve"> </w:t>
      </w:r>
      <w:r w:rsidR="00793A21" w:rsidRPr="00793A21">
        <w:rPr>
          <w:rFonts w:asciiTheme="minorHAnsi" w:hAnsiTheme="minorHAnsi" w:cstheme="minorHAnsi"/>
          <w:sz w:val="22"/>
          <w:szCs w:val="22"/>
        </w:rPr>
        <w:t>reflecting the profound development challenges faced and Australia’s commitment to systemic change through gradual, but fundamental, improvement in government capacity.</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There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have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been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significant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achievements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teacher</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training,</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student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assessment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improved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student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results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literacy</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numeracy</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good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progress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on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scholarship</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reform.</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However,</w:t>
      </w:r>
      <w:r w:rsidR="00D91326" w:rsidRPr="00D92B41">
        <w:rPr>
          <w:rFonts w:asciiTheme="minorHAnsi" w:hAnsiTheme="minorHAnsi" w:cstheme="minorHAnsi"/>
          <w:sz w:val="22"/>
          <w:szCs w:val="22"/>
        </w:rPr>
        <w:t xml:space="preserve"> </w:t>
      </w:r>
      <w:r w:rsidR="00F413E6">
        <w:rPr>
          <w:rFonts w:asciiTheme="minorHAnsi" w:hAnsiTheme="minorHAnsi" w:cstheme="minorHAnsi"/>
          <w:sz w:val="22"/>
          <w:szCs w:val="22"/>
        </w:rPr>
        <w:t xml:space="preserve">the Solomon Islands </w:t>
      </w:r>
      <w:r w:rsidR="00F413E6">
        <w:rPr>
          <w:rFonts w:asciiTheme="minorHAnsi" w:hAnsiTheme="minorHAnsi" w:cstheme="minorHAnsi"/>
          <w:sz w:val="22"/>
          <w:szCs w:val="22"/>
        </w:rPr>
        <w:lastRenderedPageBreak/>
        <w:t>Government</w:t>
      </w:r>
      <w:r w:rsidR="00053B79">
        <w:rPr>
          <w:rFonts w:asciiTheme="minorHAnsi" w:hAnsiTheme="minorHAnsi" w:cstheme="minorHAnsi"/>
          <w:sz w:val="22"/>
          <w:szCs w:val="22"/>
        </w:rPr>
        <w:t xml:space="preserve">’s </w:t>
      </w:r>
      <w:r w:rsidR="009D3F80" w:rsidRPr="00D92B41">
        <w:rPr>
          <w:rFonts w:asciiTheme="minorHAnsi" w:hAnsiTheme="minorHAnsi" w:cstheme="minorHAnsi"/>
          <w:sz w:val="22"/>
          <w:szCs w:val="22"/>
        </w:rPr>
        <w:t>budget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execution,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particular</w:t>
      </w:r>
      <w:r w:rsidR="00D91326" w:rsidRPr="00D92B41">
        <w:rPr>
          <w:rFonts w:asciiTheme="minorHAnsi" w:hAnsiTheme="minorHAnsi" w:cstheme="minorHAnsi"/>
          <w:sz w:val="22"/>
          <w:szCs w:val="22"/>
        </w:rPr>
        <w:t xml:space="preserve">ly </w:t>
      </w:r>
      <w:r w:rsidR="009D3F80" w:rsidRPr="00D92B41">
        <w:rPr>
          <w:rFonts w:asciiTheme="minorHAnsi" w:hAnsiTheme="minorHAnsi" w:cstheme="minorHAnsi"/>
          <w:sz w:val="22"/>
          <w:szCs w:val="22"/>
        </w:rPr>
        <w:t>expenditure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for</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primary</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education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has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fallen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below</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expected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levels.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Specific</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assessments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against</w:t>
      </w:r>
      <w:r w:rsidR="00670871">
        <w:rPr>
          <w:rFonts w:asciiTheme="minorHAnsi" w:hAnsiTheme="minorHAnsi" w:cstheme="minorHAnsi"/>
          <w:sz w:val="22"/>
          <w:szCs w:val="22"/>
        </w:rPr>
        <w:t xml:space="preserve"> </w:t>
      </w:r>
      <w:r w:rsidR="00670871" w:rsidRPr="00670871">
        <w:rPr>
          <w:rFonts w:asciiTheme="minorHAnsi" w:hAnsiTheme="minorHAnsi" w:cstheme="minorHAnsi"/>
          <w:b/>
          <w:sz w:val="22"/>
          <w:szCs w:val="22"/>
        </w:rPr>
        <w:t>Performance Assessment Framework</w:t>
      </w:r>
      <w:r w:rsidR="00D91326" w:rsidRPr="00670871">
        <w:rPr>
          <w:rFonts w:asciiTheme="minorHAnsi" w:hAnsiTheme="minorHAnsi" w:cstheme="minorHAnsi"/>
          <w:b/>
          <w:sz w:val="22"/>
          <w:szCs w:val="22"/>
        </w:rPr>
        <w:t xml:space="preserve"> </w:t>
      </w:r>
      <w:r w:rsidR="00670871" w:rsidRPr="00670871">
        <w:rPr>
          <w:rFonts w:asciiTheme="minorHAnsi" w:hAnsiTheme="minorHAnsi" w:cstheme="minorHAnsi"/>
          <w:b/>
          <w:sz w:val="22"/>
          <w:szCs w:val="22"/>
        </w:rPr>
        <w:t>(</w:t>
      </w:r>
      <w:r w:rsidR="009D3F80" w:rsidRPr="00D92B41">
        <w:rPr>
          <w:rFonts w:asciiTheme="minorHAnsi" w:hAnsiTheme="minorHAnsi" w:cstheme="minorHAnsi"/>
          <w:b/>
          <w:sz w:val="22"/>
          <w:szCs w:val="22"/>
        </w:rPr>
        <w:t>PAF</w:t>
      </w:r>
      <w:r w:rsidR="00670871">
        <w:rPr>
          <w:rFonts w:asciiTheme="minorHAnsi" w:hAnsiTheme="minorHAnsi" w:cstheme="minorHAnsi"/>
          <w:b/>
          <w:sz w:val="22"/>
          <w:szCs w:val="22"/>
        </w:rPr>
        <w:t>)</w:t>
      </w:r>
      <w:r w:rsidR="00D91326" w:rsidRPr="00D92B41">
        <w:rPr>
          <w:rFonts w:asciiTheme="minorHAnsi" w:hAnsiTheme="minorHAnsi" w:cstheme="minorHAnsi"/>
          <w:b/>
          <w:sz w:val="22"/>
          <w:szCs w:val="22"/>
        </w:rPr>
        <w:t xml:space="preserve"> </w:t>
      </w:r>
      <w:r w:rsidR="009D3F80" w:rsidRPr="00D92B41">
        <w:rPr>
          <w:rFonts w:asciiTheme="minorHAnsi" w:hAnsiTheme="minorHAnsi" w:cstheme="minorHAnsi"/>
          <w:b/>
          <w:sz w:val="22"/>
          <w:szCs w:val="22"/>
        </w:rPr>
        <w:t>Targets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are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u w:val="single"/>
        </w:rPr>
        <w:t>Attachment</w:t>
      </w:r>
      <w:r w:rsidR="00D91326" w:rsidRPr="00D92B41">
        <w:rPr>
          <w:rFonts w:asciiTheme="minorHAnsi" w:hAnsiTheme="minorHAnsi" w:cstheme="minorHAnsi"/>
          <w:sz w:val="22"/>
          <w:szCs w:val="22"/>
          <w:u w:val="single"/>
        </w:rPr>
        <w:t xml:space="preserve"> </w:t>
      </w:r>
      <w:r w:rsidR="00BE3048">
        <w:rPr>
          <w:rFonts w:asciiTheme="minorHAnsi" w:hAnsiTheme="minorHAnsi" w:cstheme="minorHAnsi"/>
          <w:sz w:val="22"/>
          <w:szCs w:val="22"/>
          <w:u w:val="single"/>
        </w:rPr>
        <w:t>1</w:t>
      </w:r>
      <w:r w:rsidR="009D3F80" w:rsidRPr="00D92B41">
        <w:rPr>
          <w:rFonts w:asciiTheme="minorHAnsi" w:hAnsiTheme="minorHAnsi" w:cstheme="minorHAnsi"/>
          <w:sz w:val="22"/>
          <w:szCs w:val="22"/>
        </w:rPr>
        <w:t>.</w:t>
      </w:r>
      <w:r w:rsidR="00D91326" w:rsidRPr="00D92B41">
        <w:rPr>
          <w:rFonts w:asciiTheme="minorHAnsi" w:hAnsiTheme="minorHAnsi" w:cstheme="minorHAnsi"/>
          <w:sz w:val="22"/>
          <w:szCs w:val="22"/>
        </w:rPr>
        <w:t xml:space="preserve"> </w:t>
      </w:r>
    </w:p>
    <w:p w:rsidR="009D3F80" w:rsidRPr="00D92B41" w:rsidRDefault="009D3F80" w:rsidP="009D3F80">
      <w:pPr>
        <w:tabs>
          <w:tab w:val="left" w:pos="227"/>
        </w:tabs>
        <w:spacing w:after="120"/>
        <w:rPr>
          <w:rFonts w:asciiTheme="minorHAnsi" w:hAnsiTheme="minorHAnsi" w:cstheme="minorHAnsi"/>
          <w:sz w:val="22"/>
          <w:szCs w:val="22"/>
        </w:rPr>
      </w:pPr>
      <w:r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2013</w:t>
      </w:r>
      <w:r w:rsidR="00D91326" w:rsidRPr="00D92B41">
        <w:rPr>
          <w:rFonts w:asciiTheme="minorHAnsi" w:hAnsiTheme="minorHAnsi" w:cstheme="minorHAnsi"/>
          <w:sz w:val="22"/>
          <w:szCs w:val="22"/>
        </w:rPr>
        <w:t xml:space="preserve"> </w:t>
      </w:r>
      <w:r w:rsidR="00D91326" w:rsidRPr="00D92B41">
        <w:rPr>
          <w:rFonts w:asciiTheme="minorHAnsi" w:hAnsiTheme="minorHAnsi" w:cstheme="minorHAnsi"/>
          <w:b/>
          <w:sz w:val="22"/>
          <w:szCs w:val="22"/>
        </w:rPr>
        <w:t>basic education</w:t>
      </w:r>
      <w:r w:rsidR="00D91326" w:rsidRPr="00D92B41">
        <w:rPr>
          <w:rFonts w:asciiTheme="minorHAnsi" w:hAnsiTheme="minorHAnsi" w:cstheme="minorHAnsi"/>
          <w:sz w:val="22"/>
          <w:szCs w:val="22"/>
        </w:rPr>
        <w:t xml:space="preserve"> </w:t>
      </w:r>
      <w:r w:rsidRPr="00D92B41">
        <w:rPr>
          <w:rFonts w:asciiTheme="minorHAnsi" w:hAnsiTheme="minorHAnsi" w:cstheme="minorHAnsi"/>
          <w:b/>
          <w:sz w:val="22"/>
          <w:szCs w:val="22"/>
        </w:rPr>
        <w:t>achievements</w:t>
      </w:r>
      <w:r w:rsidR="00D91326" w:rsidRPr="00D92B41">
        <w:rPr>
          <w:rFonts w:asciiTheme="minorHAnsi" w:hAnsiTheme="minorHAnsi" w:cstheme="minorHAnsi"/>
          <w:b/>
          <w:sz w:val="22"/>
          <w:szCs w:val="22"/>
        </w:rPr>
        <w:t xml:space="preserve"> </w:t>
      </w:r>
      <w:r w:rsidR="00D91326" w:rsidRPr="00D92B41">
        <w:rPr>
          <w:rFonts w:asciiTheme="minorHAnsi" w:hAnsiTheme="minorHAnsi" w:cstheme="minorHAnsi"/>
          <w:sz w:val="22"/>
          <w:szCs w:val="22"/>
        </w:rPr>
        <w:t xml:space="preserve">included </w:t>
      </w:r>
      <w:r w:rsidRPr="00D92B41">
        <w:rPr>
          <w:rFonts w:asciiTheme="minorHAnsi" w:hAnsiTheme="minorHAnsi" w:cstheme="minorHAnsi"/>
          <w:sz w:val="22"/>
          <w:szCs w:val="22"/>
        </w:rPr>
        <w:t>reduced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financial</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barriers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for</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145,000</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children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through</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school</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grants,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an </w:t>
      </w:r>
      <w:r w:rsidRPr="00D92B41">
        <w:rPr>
          <w:rFonts w:asciiTheme="minorHAnsi" w:hAnsiTheme="minorHAnsi" w:cstheme="minorHAnsi"/>
          <w:sz w:val="22"/>
          <w:szCs w:val="22"/>
        </w:rPr>
        <w:t>increase</w:t>
      </w:r>
      <w:r w:rsidR="0053757F">
        <w:rPr>
          <w:rFonts w:asciiTheme="minorHAnsi" w:hAnsiTheme="minorHAnsi" w:cstheme="minorHAnsi"/>
          <w:sz w:val="22"/>
          <w:szCs w:val="22"/>
        </w:rPr>
        <w:t xml:space="preserve"> in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trained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primary</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teachers</w:t>
      </w:r>
      <w:r w:rsidR="00D91326" w:rsidRPr="00D92B41">
        <w:rPr>
          <w:rFonts w:asciiTheme="minorHAnsi" w:hAnsiTheme="minorHAnsi" w:cstheme="minorHAnsi"/>
          <w:sz w:val="22"/>
          <w:szCs w:val="22"/>
        </w:rPr>
        <w:t xml:space="preserve"> - </w:t>
      </w:r>
      <w:r w:rsidRPr="00D92B41">
        <w:rPr>
          <w:rFonts w:asciiTheme="minorHAnsi" w:hAnsiTheme="minorHAnsi" w:cstheme="minorHAnsi"/>
          <w:sz w:val="22"/>
          <w:szCs w:val="22"/>
        </w:rPr>
        <w:t>from</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60</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to</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70</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per</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cent</w:t>
      </w:r>
      <w:r w:rsidR="002915A2" w:rsidRPr="002915A2">
        <w:rPr>
          <w:rFonts w:asciiTheme="minorHAnsi" w:hAnsiTheme="minorHAnsi" w:cstheme="minorHAnsi"/>
          <w:sz w:val="22"/>
          <w:szCs w:val="22"/>
        </w:rPr>
        <w:t xml:space="preserve"> </w:t>
      </w:r>
      <w:r w:rsidR="002915A2" w:rsidRPr="00BD36CF">
        <w:rPr>
          <w:rFonts w:asciiTheme="minorHAnsi" w:hAnsiTheme="minorHAnsi" w:cstheme="minorHAnsi"/>
          <w:sz w:val="22"/>
          <w:szCs w:val="22"/>
        </w:rPr>
        <w:t>of the total teacher workforce of over 8,000 teachers</w:t>
      </w:r>
      <w:r w:rsidR="002915A2" w:rsidRPr="00D92B41">
        <w:rPr>
          <w:rFonts w:asciiTheme="minorHAnsi" w:hAnsiTheme="minorHAnsi" w:cstheme="minorHAnsi"/>
          <w:sz w:val="22"/>
          <w:szCs w:val="22"/>
        </w:rPr>
        <w:t xml:space="preserve"> in 2013</w:t>
      </w:r>
      <w:r w:rsidRPr="00D92B41">
        <w:rPr>
          <w:rFonts w:asciiTheme="minorHAnsi" w:hAnsiTheme="minorHAnsi" w:cstheme="minorHAnsi"/>
          <w:sz w:val="22"/>
          <w:szCs w:val="22"/>
        </w:rPr>
        <w:t>.</w:t>
      </w:r>
      <w:r w:rsidR="00D91326" w:rsidRPr="00D92B41">
        <w:rPr>
          <w:rFonts w:asciiTheme="minorHAnsi" w:hAnsiTheme="minorHAnsi" w:cstheme="minorHAnsi"/>
          <w:sz w:val="22"/>
          <w:szCs w:val="22"/>
        </w:rPr>
        <w:t xml:space="preserve"> </w:t>
      </w:r>
      <w:r w:rsidR="0053757F">
        <w:rPr>
          <w:rFonts w:asciiTheme="minorHAnsi" w:hAnsiTheme="minorHAnsi" w:cstheme="minorHAnsi"/>
          <w:sz w:val="22"/>
          <w:szCs w:val="22"/>
        </w:rPr>
        <w:t>A</w:t>
      </w:r>
      <w:r w:rsidRPr="00D92B41">
        <w:rPr>
          <w:rFonts w:asciiTheme="minorHAnsi" w:hAnsiTheme="minorHAnsi" w:cstheme="minorHAnsi"/>
          <w:sz w:val="22"/>
          <w:szCs w:val="22"/>
        </w:rPr>
        <w:t>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improved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assessment</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tool</w:t>
      </w:r>
      <w:r w:rsidR="002D3E0C">
        <w:rPr>
          <w:rFonts w:asciiTheme="minorHAnsi" w:hAnsiTheme="minorHAnsi" w:cstheme="minorHAnsi"/>
          <w:sz w:val="22"/>
          <w:szCs w:val="22"/>
        </w:rPr>
        <w:t>,</w:t>
      </w:r>
      <w:r w:rsidR="00D91326" w:rsidRPr="00D92B41">
        <w:rPr>
          <w:rFonts w:asciiTheme="minorHAnsi" w:hAnsiTheme="minorHAnsi" w:cstheme="minorHAnsi"/>
          <w:sz w:val="22"/>
          <w:szCs w:val="22"/>
        </w:rPr>
        <w:t xml:space="preserve"> </w:t>
      </w:r>
      <w:r w:rsidR="002D3E0C">
        <w:rPr>
          <w:rFonts w:asciiTheme="minorHAnsi" w:hAnsiTheme="minorHAnsi" w:cstheme="minorHAnsi"/>
          <w:sz w:val="22"/>
          <w:szCs w:val="22"/>
        </w:rPr>
        <w:t xml:space="preserve">developed in partnership with the Australian Council for Education Research, </w:t>
      </w:r>
      <w:r w:rsidR="0053757F">
        <w:rPr>
          <w:rFonts w:asciiTheme="minorHAnsi" w:hAnsiTheme="minorHAnsi" w:cstheme="minorHAnsi"/>
          <w:sz w:val="22"/>
          <w:szCs w:val="22"/>
        </w:rPr>
        <w:t xml:space="preserve">reported </w:t>
      </w:r>
      <w:r w:rsidRPr="00D92B41">
        <w:rPr>
          <w:rFonts w:asciiTheme="minorHAnsi" w:hAnsiTheme="minorHAnsi" w:cstheme="minorHAnsi"/>
          <w:sz w:val="22"/>
          <w:szCs w:val="22"/>
        </w:rPr>
        <w:t>large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increases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literacy</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numeracy</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rates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for</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year</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4</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6</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students</w:t>
      </w:r>
      <w:r w:rsidR="00503EEC">
        <w:rPr>
          <w:rStyle w:val="FootnoteReference"/>
          <w:rFonts w:cstheme="minorHAnsi"/>
        </w:rPr>
        <w:footnoteReference w:id="10"/>
      </w:r>
      <w:r w:rsidRPr="00D92B41">
        <w:rPr>
          <w:rFonts w:asciiTheme="minorHAnsi" w:hAnsiTheme="minorHAnsi" w:cstheme="minorHAnsi"/>
          <w:sz w:val="22"/>
          <w:szCs w:val="22"/>
        </w:rPr>
        <w:t>.</w:t>
      </w:r>
      <w:r w:rsidR="00D91326" w:rsidRPr="00D92B41">
        <w:rPr>
          <w:rFonts w:asciiTheme="minorHAnsi" w:hAnsiTheme="minorHAnsi" w:cstheme="minorHAnsi"/>
          <w:sz w:val="22"/>
          <w:szCs w:val="22"/>
        </w:rPr>
        <w:t xml:space="preserve"> </w:t>
      </w:r>
    </w:p>
    <w:p w:rsidR="009D3F80" w:rsidRPr="00D92B41" w:rsidRDefault="0053757F" w:rsidP="009D3F80">
      <w:pPr>
        <w:tabs>
          <w:tab w:val="left" w:pos="227"/>
        </w:tabs>
        <w:spacing w:after="120"/>
        <w:rPr>
          <w:rFonts w:asciiTheme="minorHAnsi" w:hAnsiTheme="minorHAnsi" w:cstheme="minorHAnsi"/>
          <w:sz w:val="22"/>
          <w:szCs w:val="22"/>
        </w:rPr>
      </w:pPr>
      <w:r>
        <w:rPr>
          <w:rFonts w:asciiTheme="minorHAnsi" w:hAnsiTheme="minorHAnsi" w:cstheme="minorHAnsi"/>
          <w:sz w:val="22"/>
          <w:szCs w:val="22"/>
        </w:rPr>
        <w:t>Australia</w:t>
      </w:r>
      <w:r w:rsidR="00402B6D">
        <w:rPr>
          <w:rFonts w:asciiTheme="minorHAnsi" w:hAnsiTheme="minorHAnsi" w:cstheme="minorHAnsi"/>
          <w:sz w:val="22"/>
          <w:szCs w:val="22"/>
        </w:rPr>
        <w:t>’</w:t>
      </w:r>
      <w:r>
        <w:rPr>
          <w:rFonts w:asciiTheme="minorHAnsi" w:hAnsiTheme="minorHAnsi" w:cstheme="minorHAnsi"/>
          <w:sz w:val="22"/>
          <w:szCs w:val="22"/>
        </w:rPr>
        <w:t>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b/>
          <w:sz w:val="22"/>
          <w:szCs w:val="22"/>
        </w:rPr>
        <w:t>policy</w:t>
      </w:r>
      <w:r w:rsidR="00D91326" w:rsidRPr="00D92B41">
        <w:rPr>
          <w:rFonts w:asciiTheme="minorHAnsi" w:hAnsiTheme="minorHAnsi" w:cstheme="minorHAnsi"/>
          <w:b/>
          <w:sz w:val="22"/>
          <w:szCs w:val="22"/>
        </w:rPr>
        <w:t xml:space="preserve"> </w:t>
      </w:r>
      <w:r w:rsidR="009D3F80" w:rsidRPr="00D92B41">
        <w:rPr>
          <w:rFonts w:asciiTheme="minorHAnsi" w:hAnsiTheme="minorHAnsi" w:cstheme="minorHAnsi"/>
          <w:b/>
          <w:sz w:val="22"/>
          <w:szCs w:val="22"/>
        </w:rPr>
        <w:t>dialogue</w:t>
      </w:r>
      <w:r w:rsidR="00D91326" w:rsidRPr="00D92B41">
        <w:rPr>
          <w:rFonts w:asciiTheme="minorHAnsi" w:hAnsiTheme="minorHAnsi" w:cstheme="minorHAnsi"/>
          <w:b/>
          <w:sz w:val="22"/>
          <w:szCs w:val="22"/>
        </w:rPr>
        <w:t xml:space="preserve"> </w:t>
      </w:r>
      <w:r w:rsidR="009D3F80" w:rsidRPr="00D92B41">
        <w:rPr>
          <w:rFonts w:asciiTheme="minorHAnsi" w:hAnsiTheme="minorHAnsi" w:cstheme="minorHAnsi"/>
          <w:sz w:val="22"/>
          <w:szCs w:val="22"/>
        </w:rPr>
        <w:t>with</w:t>
      </w:r>
      <w:r w:rsidR="00D91326" w:rsidRPr="00D92B41">
        <w:rPr>
          <w:rFonts w:asciiTheme="minorHAnsi" w:hAnsiTheme="minorHAnsi" w:cstheme="minorHAnsi"/>
          <w:sz w:val="22"/>
          <w:szCs w:val="22"/>
        </w:rPr>
        <w:t xml:space="preserve"> </w:t>
      </w:r>
      <w:r w:rsidR="00740290">
        <w:rPr>
          <w:rFonts w:asciiTheme="minorHAnsi" w:hAnsiTheme="minorHAnsi" w:cstheme="minorHAnsi"/>
          <w:sz w:val="22"/>
          <w:szCs w:val="22"/>
        </w:rPr>
        <w:t>Solomon Islands</w:t>
      </w:r>
      <w:r>
        <w:rPr>
          <w:rFonts w:asciiTheme="minorHAnsi" w:hAnsiTheme="minorHAnsi" w:cstheme="minorHAnsi"/>
          <w:sz w:val="22"/>
          <w:szCs w:val="22"/>
        </w:rPr>
        <w:t xml:space="preserve"> </w:t>
      </w:r>
      <w:r w:rsidR="00402B6D">
        <w:rPr>
          <w:rFonts w:asciiTheme="minorHAnsi" w:hAnsiTheme="minorHAnsi" w:cstheme="minorHAnsi"/>
          <w:sz w:val="22"/>
          <w:szCs w:val="22"/>
        </w:rPr>
        <w:t>focuses on</w:t>
      </w:r>
      <w:r w:rsidR="00D91326" w:rsidRPr="00D92B41">
        <w:rPr>
          <w:rFonts w:asciiTheme="minorHAnsi" w:hAnsiTheme="minorHAnsi" w:cstheme="minorHAnsi"/>
          <w:sz w:val="22"/>
          <w:szCs w:val="22"/>
        </w:rPr>
        <w:t xml:space="preserve"> </w:t>
      </w:r>
      <w:r w:rsidR="00895916">
        <w:rPr>
          <w:rFonts w:asciiTheme="minorHAnsi" w:hAnsiTheme="minorHAnsi" w:cstheme="minorHAnsi"/>
          <w:sz w:val="22"/>
          <w:szCs w:val="22"/>
        </w:rPr>
        <w:t xml:space="preserve">improving </w:t>
      </w:r>
      <w:r w:rsidR="009D3F80" w:rsidRPr="00D92B41">
        <w:rPr>
          <w:rFonts w:asciiTheme="minorHAnsi" w:hAnsiTheme="minorHAnsi" w:cstheme="minorHAnsi"/>
          <w:sz w:val="22"/>
          <w:szCs w:val="22"/>
        </w:rPr>
        <w:t>literacy,</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teacher</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training,</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school</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based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management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and</w:t>
      </w:r>
      <w:r w:rsidR="00740290">
        <w:rPr>
          <w:rFonts w:asciiTheme="minorHAnsi" w:hAnsiTheme="minorHAnsi" w:cstheme="minorHAnsi"/>
          <w:sz w:val="22"/>
          <w:szCs w:val="22"/>
        </w:rPr>
        <w:t xml:space="preserve"> the </w:t>
      </w:r>
      <w:r w:rsidR="00F413E6">
        <w:rPr>
          <w:rFonts w:asciiTheme="minorHAnsi" w:hAnsiTheme="minorHAnsi" w:cstheme="minorHAnsi"/>
          <w:sz w:val="22"/>
          <w:szCs w:val="22"/>
        </w:rPr>
        <w:t>Solomon Islands Government</w:t>
      </w:r>
      <w:r w:rsidR="00740290">
        <w:rPr>
          <w:rFonts w:asciiTheme="minorHAnsi" w:hAnsiTheme="minorHAnsi" w:cstheme="minorHAnsi"/>
          <w:sz w:val="22"/>
          <w:szCs w:val="22"/>
        </w:rPr>
        <w:t xml:space="preserve">’s </w:t>
      </w:r>
      <w:r w:rsidR="009D3F80" w:rsidRPr="00D92B41">
        <w:rPr>
          <w:rFonts w:asciiTheme="minorHAnsi" w:hAnsiTheme="minorHAnsi" w:cstheme="minorHAnsi"/>
          <w:sz w:val="22"/>
          <w:szCs w:val="22"/>
        </w:rPr>
        <w:t>scholarship</w:t>
      </w:r>
      <w:r w:rsidR="00895916">
        <w:rPr>
          <w:rFonts w:asciiTheme="minorHAnsi" w:hAnsiTheme="minorHAnsi" w:cstheme="minorHAnsi"/>
          <w:sz w:val="22"/>
          <w:szCs w:val="22"/>
        </w:rPr>
        <w:t xml:space="preserve"> management</w:t>
      </w:r>
      <w:r w:rsidR="009D3F80" w:rsidRPr="00D92B41">
        <w:rPr>
          <w:rFonts w:asciiTheme="minorHAnsi" w:hAnsiTheme="minorHAnsi" w:cstheme="minorHAnsi"/>
          <w:sz w:val="22"/>
          <w:szCs w:val="22"/>
        </w:rPr>
        <w:t>.</w:t>
      </w:r>
      <w:r w:rsidR="00D91326" w:rsidRPr="00D92B41">
        <w:rPr>
          <w:rFonts w:asciiTheme="minorHAnsi" w:hAnsiTheme="minorHAnsi" w:cstheme="minorHAnsi"/>
          <w:sz w:val="22"/>
          <w:szCs w:val="22"/>
        </w:rPr>
        <w:t xml:space="preserve"> Twenty </w:t>
      </w:r>
      <w:r w:rsidR="009D3F80" w:rsidRPr="00D92B41">
        <w:rPr>
          <w:rFonts w:asciiTheme="minorHAnsi" w:hAnsiTheme="minorHAnsi" w:cstheme="minorHAnsi"/>
          <w:sz w:val="22"/>
          <w:szCs w:val="22"/>
        </w:rPr>
        <w:t>per</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cent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of</w:t>
      </w:r>
      <w:r w:rsidR="00D91326" w:rsidRPr="00D92B41">
        <w:rPr>
          <w:rFonts w:asciiTheme="minorHAnsi" w:hAnsiTheme="minorHAnsi" w:cstheme="minorHAnsi"/>
          <w:sz w:val="22"/>
          <w:szCs w:val="22"/>
        </w:rPr>
        <w:t xml:space="preserve"> </w:t>
      </w:r>
      <w:r w:rsidR="002857C6" w:rsidRPr="00D92B41">
        <w:rPr>
          <w:rFonts w:asciiTheme="minorHAnsi" w:hAnsiTheme="minorHAnsi" w:cstheme="minorHAnsi"/>
          <w:sz w:val="22"/>
          <w:szCs w:val="22"/>
        </w:rPr>
        <w:t>Australia’s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education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funds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are</w:t>
      </w:r>
      <w:r w:rsidR="00D91326" w:rsidRPr="00D92B41">
        <w:rPr>
          <w:rFonts w:asciiTheme="minorHAnsi" w:hAnsiTheme="minorHAnsi" w:cstheme="minorHAnsi"/>
          <w:sz w:val="22"/>
          <w:szCs w:val="22"/>
        </w:rPr>
        <w:t xml:space="preserve"> </w:t>
      </w:r>
      <w:r w:rsidR="002857C6" w:rsidRPr="00D92B41">
        <w:rPr>
          <w:rFonts w:asciiTheme="minorHAnsi" w:hAnsiTheme="minorHAnsi" w:cstheme="minorHAnsi"/>
          <w:sz w:val="22"/>
          <w:szCs w:val="22"/>
        </w:rPr>
        <w:t>targeted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to</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performance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benchmarks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allocated</w:t>
      </w:r>
      <w:r w:rsidR="00D91326" w:rsidRPr="00D92B41">
        <w:rPr>
          <w:rFonts w:asciiTheme="minorHAnsi" w:hAnsiTheme="minorHAnsi" w:cstheme="minorHAnsi"/>
          <w:sz w:val="22"/>
          <w:szCs w:val="22"/>
        </w:rPr>
        <w:t xml:space="preserve"> </w:t>
      </w:r>
      <w:r w:rsidR="00402B6D">
        <w:rPr>
          <w:rFonts w:asciiTheme="minorHAnsi" w:hAnsiTheme="minorHAnsi" w:cstheme="minorHAnsi"/>
          <w:sz w:val="22"/>
          <w:szCs w:val="22"/>
        </w:rPr>
        <w:t>based on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independent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annual</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assessment</w:t>
      </w:r>
      <w:r>
        <w:rPr>
          <w:rFonts w:asciiTheme="minorHAnsi" w:hAnsiTheme="minorHAnsi" w:cstheme="minorHAnsi"/>
          <w:sz w:val="22"/>
          <w:szCs w:val="22"/>
        </w:rPr>
        <w:t xml:space="preserve">. </w:t>
      </w:r>
      <w:r w:rsidR="002857C6" w:rsidRPr="00D92B41">
        <w:rPr>
          <w:rFonts w:asciiTheme="minorHAnsi" w:hAnsiTheme="minorHAnsi" w:cstheme="minorHAnsi"/>
          <w:sz w:val="22"/>
          <w:szCs w:val="22"/>
        </w:rPr>
        <w:t>A</w:t>
      </w:r>
      <w:r w:rsidR="009D3F80" w:rsidRPr="00D92B41">
        <w:rPr>
          <w:rFonts w:asciiTheme="minorHAnsi" w:hAnsiTheme="minorHAnsi" w:cstheme="minorHAnsi"/>
          <w:sz w:val="22"/>
          <w:szCs w:val="22"/>
        </w:rPr>
        <w:t>nalysis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of</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management</w:t>
      </w:r>
      <w:r w:rsidR="00D91326" w:rsidRPr="00D92B41">
        <w:rPr>
          <w:rFonts w:asciiTheme="minorHAnsi" w:hAnsiTheme="minorHAnsi" w:cstheme="minorHAnsi"/>
          <w:sz w:val="22"/>
          <w:szCs w:val="22"/>
        </w:rPr>
        <w:t xml:space="preserve"> </w:t>
      </w:r>
      <w:r w:rsidR="00AA49B8">
        <w:rPr>
          <w:rFonts w:asciiTheme="minorHAnsi" w:hAnsiTheme="minorHAnsi" w:cstheme="minorHAnsi"/>
          <w:sz w:val="22"/>
          <w:szCs w:val="22"/>
        </w:rPr>
        <w:t xml:space="preserve">of Solomon Islands Government funded </w:t>
      </w:r>
      <w:r w:rsidR="00AA49B8" w:rsidRPr="00D92B41">
        <w:rPr>
          <w:rFonts w:asciiTheme="minorHAnsi" w:hAnsiTheme="minorHAnsi" w:cstheme="minorHAnsi"/>
          <w:sz w:val="22"/>
          <w:szCs w:val="22"/>
        </w:rPr>
        <w:t>scholarship</w:t>
      </w:r>
      <w:r w:rsidR="00670871">
        <w:rPr>
          <w:rFonts w:asciiTheme="minorHAnsi" w:hAnsiTheme="minorHAnsi" w:cstheme="minorHAnsi"/>
          <w:sz w:val="22"/>
          <w:szCs w:val="22"/>
        </w:rPr>
        <w:t>s</w:t>
      </w:r>
      <w:r w:rsidR="00AA49B8"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showed</w:t>
      </w:r>
      <w:r w:rsidR="00D91326" w:rsidRPr="00D92B41">
        <w:rPr>
          <w:rFonts w:asciiTheme="minorHAnsi" w:hAnsiTheme="minorHAnsi" w:cstheme="minorHAnsi"/>
          <w:sz w:val="22"/>
          <w:szCs w:val="22"/>
        </w:rPr>
        <w:t xml:space="preserve"> </w:t>
      </w:r>
      <w:r w:rsidR="00740290">
        <w:rPr>
          <w:rFonts w:asciiTheme="minorHAnsi" w:hAnsiTheme="minorHAnsi" w:cstheme="minorHAnsi"/>
          <w:sz w:val="22"/>
          <w:szCs w:val="22"/>
        </w:rPr>
        <w:t>Solomon Islands</w:t>
      </w:r>
      <w:r w:rsidR="00895916">
        <w:rPr>
          <w:rFonts w:asciiTheme="minorHAnsi" w:hAnsiTheme="minorHAnsi" w:cstheme="minorHAnsi"/>
          <w:sz w:val="22"/>
          <w:szCs w:val="22"/>
        </w:rPr>
        <w:t xml:space="preserve">’ </w:t>
      </w:r>
      <w:r w:rsidR="009D3F80" w:rsidRPr="00D92B41">
        <w:rPr>
          <w:rFonts w:asciiTheme="minorHAnsi" w:hAnsiTheme="minorHAnsi" w:cstheme="minorHAnsi"/>
          <w:sz w:val="22"/>
          <w:szCs w:val="22"/>
        </w:rPr>
        <w:t>tertiary</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expenditure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was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undermining</w:t>
      </w:r>
      <w:r w:rsidR="00D91326" w:rsidRPr="00D92B41">
        <w:rPr>
          <w:rFonts w:asciiTheme="minorHAnsi" w:hAnsiTheme="minorHAnsi" w:cstheme="minorHAnsi"/>
          <w:sz w:val="22"/>
          <w:szCs w:val="22"/>
        </w:rPr>
        <w:t xml:space="preserve"> primary education</w:t>
      </w:r>
      <w:r w:rsidR="002857C6" w:rsidRPr="00D92B41">
        <w:rPr>
          <w:rFonts w:asciiTheme="minorHAnsi" w:hAnsiTheme="minorHAnsi" w:cstheme="minorHAnsi"/>
          <w:sz w:val="22"/>
          <w:szCs w:val="22"/>
        </w:rPr>
        <w:t>. T</w:t>
      </w:r>
      <w:r w:rsidR="00053B79">
        <w:rPr>
          <w:rFonts w:asciiTheme="minorHAnsi" w:hAnsiTheme="minorHAnsi" w:cstheme="minorHAnsi"/>
          <w:sz w:val="22"/>
          <w:szCs w:val="22"/>
        </w:rPr>
        <w:t>h</w:t>
      </w:r>
      <w:r w:rsidR="002857C6" w:rsidRPr="00D92B41">
        <w:rPr>
          <w:rFonts w:asciiTheme="minorHAnsi" w:hAnsiTheme="minorHAnsi" w:cstheme="minorHAnsi"/>
          <w:sz w:val="22"/>
          <w:szCs w:val="22"/>
        </w:rPr>
        <w:t>is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led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to</w:t>
      </w:r>
      <w:r w:rsidR="00D91326" w:rsidRPr="00D92B41">
        <w:rPr>
          <w:rFonts w:asciiTheme="minorHAnsi" w:hAnsiTheme="minorHAnsi" w:cstheme="minorHAnsi"/>
          <w:sz w:val="22"/>
          <w:szCs w:val="22"/>
        </w:rPr>
        <w:t xml:space="preserve"> </w:t>
      </w:r>
      <w:r w:rsidR="003373E9">
        <w:rPr>
          <w:rFonts w:asciiTheme="minorHAnsi" w:hAnsiTheme="minorHAnsi" w:cstheme="minorHAnsi"/>
          <w:sz w:val="22"/>
          <w:szCs w:val="22"/>
        </w:rPr>
        <w:t xml:space="preserve">the </w:t>
      </w:r>
      <w:r w:rsidR="00F413E6">
        <w:rPr>
          <w:rFonts w:asciiTheme="minorHAnsi" w:hAnsiTheme="minorHAnsi" w:cstheme="minorHAnsi"/>
          <w:sz w:val="22"/>
          <w:szCs w:val="22"/>
        </w:rPr>
        <w:t>Solomon Islands Government</w:t>
      </w:r>
      <w:r w:rsidR="003373E9">
        <w:rPr>
          <w:rFonts w:asciiTheme="minorHAnsi" w:hAnsiTheme="minorHAnsi" w:cstheme="minorHAnsi"/>
          <w:sz w:val="22"/>
          <w:szCs w:val="22"/>
        </w:rPr>
        <w:t xml:space="preserve"> </w:t>
      </w:r>
      <w:r w:rsidR="009D3F80" w:rsidRPr="00D92B41">
        <w:rPr>
          <w:rFonts w:asciiTheme="minorHAnsi" w:hAnsiTheme="minorHAnsi" w:cstheme="minorHAnsi"/>
          <w:sz w:val="22"/>
          <w:szCs w:val="22"/>
        </w:rPr>
        <w:t>agreeing</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to</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reform</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its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scholarship</w:t>
      </w:r>
      <w:r w:rsidR="00053B79">
        <w:rPr>
          <w:rFonts w:asciiTheme="minorHAnsi" w:hAnsiTheme="minorHAnsi" w:cstheme="minorHAnsi"/>
          <w:sz w:val="22"/>
          <w:szCs w:val="22"/>
        </w:rPr>
        <w:t xml:space="preserve"> program</w:t>
      </w:r>
      <w:r w:rsidR="009D3F80" w:rsidRPr="00D92B41">
        <w:rPr>
          <w:rFonts w:asciiTheme="minorHAnsi" w:hAnsiTheme="minorHAnsi" w:cstheme="minorHAnsi"/>
          <w:sz w:val="22"/>
          <w:szCs w:val="22"/>
        </w:rPr>
        <w:t>.</w:t>
      </w:r>
      <w:r w:rsidR="00D91326" w:rsidRPr="00D92B41">
        <w:rPr>
          <w:rFonts w:asciiTheme="minorHAnsi" w:hAnsiTheme="minorHAnsi" w:cstheme="minorHAnsi"/>
          <w:sz w:val="22"/>
          <w:szCs w:val="22"/>
        </w:rPr>
        <w:t xml:space="preserve"> </w:t>
      </w:r>
    </w:p>
    <w:p w:rsidR="009D3F80" w:rsidRPr="00D92B41" w:rsidRDefault="0054434C" w:rsidP="009D3F80">
      <w:pPr>
        <w:tabs>
          <w:tab w:val="left" w:pos="227"/>
        </w:tabs>
        <w:spacing w:after="120"/>
        <w:rPr>
          <w:rFonts w:asciiTheme="minorHAnsi" w:hAnsiTheme="minorHAnsi" w:cstheme="minorHAnsi"/>
          <w:sz w:val="22"/>
          <w:szCs w:val="22"/>
        </w:rPr>
      </w:pPr>
      <w:r>
        <w:rPr>
          <w:rFonts w:asciiTheme="minorHAnsi" w:hAnsiTheme="minorHAnsi" w:cstheme="minorHAnsi"/>
          <w:sz w:val="22"/>
          <w:szCs w:val="22"/>
        </w:rPr>
        <w:t xml:space="preserve">Australia is designing a </w:t>
      </w:r>
      <w:r w:rsidR="0053757F">
        <w:rPr>
          <w:rFonts w:asciiTheme="minorHAnsi" w:hAnsiTheme="minorHAnsi" w:cstheme="minorHAnsi"/>
          <w:sz w:val="22"/>
          <w:szCs w:val="22"/>
        </w:rPr>
        <w:t>new</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phase</w:t>
      </w:r>
      <w:r w:rsidR="00D91326" w:rsidRPr="00D92B41">
        <w:rPr>
          <w:rFonts w:asciiTheme="minorHAnsi" w:hAnsiTheme="minorHAnsi" w:cstheme="minorHAnsi"/>
          <w:sz w:val="22"/>
          <w:szCs w:val="22"/>
        </w:rPr>
        <w:t xml:space="preserve"> of</w:t>
      </w:r>
      <w:r w:rsidR="0053757F">
        <w:rPr>
          <w:rFonts w:asciiTheme="minorHAnsi" w:hAnsiTheme="minorHAnsi" w:cstheme="minorHAnsi"/>
          <w:sz w:val="22"/>
          <w:szCs w:val="22"/>
        </w:rPr>
        <w:t xml:space="preserve"> e</w:t>
      </w:r>
      <w:r w:rsidR="009D3F80" w:rsidRPr="00D92B41">
        <w:rPr>
          <w:rFonts w:asciiTheme="minorHAnsi" w:hAnsiTheme="minorHAnsi" w:cstheme="minorHAnsi"/>
          <w:sz w:val="22"/>
          <w:szCs w:val="22"/>
        </w:rPr>
        <w:t>ducation</w:t>
      </w:r>
      <w:r w:rsidR="0053757F">
        <w:rPr>
          <w:rFonts w:asciiTheme="minorHAnsi" w:hAnsiTheme="minorHAnsi" w:cstheme="minorHAnsi"/>
          <w:sz w:val="22"/>
          <w:szCs w:val="22"/>
        </w:rPr>
        <w:t xml:space="preserve"> s</w:t>
      </w:r>
      <w:r w:rsidR="009D3F80" w:rsidRPr="00D92B41">
        <w:rPr>
          <w:rFonts w:asciiTheme="minorHAnsi" w:hAnsiTheme="minorHAnsi" w:cstheme="minorHAnsi"/>
          <w:sz w:val="22"/>
          <w:szCs w:val="22"/>
        </w:rPr>
        <w:t>upport</w:t>
      </w:r>
      <w:r>
        <w:rPr>
          <w:rFonts w:asciiTheme="minorHAnsi" w:hAnsiTheme="minorHAnsi" w:cstheme="minorHAnsi"/>
          <w:sz w:val="22"/>
          <w:szCs w:val="22"/>
        </w:rPr>
        <w:t xml:space="preserve"> which </w:t>
      </w:r>
      <w:r w:rsidR="009D3F80" w:rsidRPr="00D92B41">
        <w:rPr>
          <w:rFonts w:asciiTheme="minorHAnsi" w:hAnsiTheme="minorHAnsi" w:cstheme="minorHAnsi"/>
          <w:sz w:val="22"/>
          <w:szCs w:val="22"/>
        </w:rPr>
        <w:t>will</w:t>
      </w:r>
      <w:r w:rsidR="00D91326" w:rsidRPr="00D92B41">
        <w:rPr>
          <w:rFonts w:asciiTheme="minorHAnsi" w:hAnsiTheme="minorHAnsi" w:cstheme="minorHAnsi"/>
          <w:sz w:val="22"/>
          <w:szCs w:val="22"/>
        </w:rPr>
        <w:t xml:space="preserve"> include </w:t>
      </w:r>
      <w:r w:rsidR="009D3F80" w:rsidRPr="00D92B41">
        <w:rPr>
          <w:rFonts w:asciiTheme="minorHAnsi" w:hAnsiTheme="minorHAnsi" w:cstheme="minorHAnsi"/>
          <w:sz w:val="22"/>
          <w:szCs w:val="22"/>
        </w:rPr>
        <w:t>a</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skills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component</w:t>
      </w:r>
      <w:r w:rsidR="00053B79">
        <w:rPr>
          <w:rFonts w:asciiTheme="minorHAnsi" w:hAnsiTheme="minorHAnsi" w:cstheme="minorHAnsi"/>
          <w:sz w:val="22"/>
          <w:szCs w:val="22"/>
        </w:rPr>
        <w:t xml:space="preserve"> for implementation in </w:t>
      </w:r>
      <w:r w:rsidR="00445E6A">
        <w:rPr>
          <w:rFonts w:asciiTheme="minorHAnsi" w:hAnsiTheme="minorHAnsi" w:cstheme="minorHAnsi"/>
          <w:sz w:val="22"/>
          <w:szCs w:val="22"/>
        </w:rPr>
        <w:t>early 2015</w:t>
      </w:r>
      <w:r w:rsidR="009D3F80" w:rsidRPr="00D92B41">
        <w:rPr>
          <w:rFonts w:asciiTheme="minorHAnsi" w:hAnsiTheme="minorHAnsi" w:cstheme="minorHAnsi"/>
          <w:sz w:val="22"/>
          <w:szCs w:val="22"/>
        </w:rPr>
        <w: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Th</w:t>
      </w:r>
      <w:r w:rsidR="0053757F">
        <w:rPr>
          <w:rFonts w:asciiTheme="minorHAnsi" w:hAnsiTheme="minorHAnsi" w:cstheme="minorHAnsi"/>
          <w:sz w:val="22"/>
          <w:szCs w:val="22"/>
        </w:rPr>
        <w:t>is</w:t>
      </w:r>
      <w:r w:rsidR="00D91326" w:rsidRPr="00D92B41">
        <w:rPr>
          <w:rFonts w:asciiTheme="minorHAnsi" w:hAnsiTheme="minorHAnsi" w:cstheme="minorHAnsi"/>
          <w:sz w:val="22"/>
          <w:szCs w:val="22"/>
        </w:rPr>
        <w:t xml:space="preserve"> </w:t>
      </w:r>
      <w:r w:rsidR="00AA49B8">
        <w:rPr>
          <w:rFonts w:asciiTheme="minorHAnsi" w:hAnsiTheme="minorHAnsi" w:cstheme="minorHAnsi"/>
          <w:sz w:val="22"/>
          <w:szCs w:val="22"/>
        </w:rPr>
        <w:t xml:space="preserve">whole of sector partnership </w:t>
      </w:r>
      <w:r w:rsidR="009D3F80" w:rsidRPr="00D92B41">
        <w:rPr>
          <w:rFonts w:asciiTheme="minorHAnsi" w:hAnsiTheme="minorHAnsi" w:cstheme="minorHAnsi"/>
          <w:sz w:val="22"/>
          <w:szCs w:val="22"/>
        </w:rPr>
        <w:t>will</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complement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Australia</w:t>
      </w:r>
      <w:r w:rsidR="00445E6A">
        <w:rPr>
          <w:rFonts w:asciiTheme="minorHAnsi" w:hAnsiTheme="minorHAnsi" w:cstheme="minorHAnsi"/>
          <w:sz w:val="22"/>
          <w:szCs w:val="22"/>
        </w:rPr>
        <w:t>-</w:t>
      </w:r>
      <w:r w:rsidR="009D3F80" w:rsidRPr="00D92B41">
        <w:rPr>
          <w:rFonts w:asciiTheme="minorHAnsi" w:hAnsiTheme="minorHAnsi" w:cstheme="minorHAnsi"/>
          <w:sz w:val="22"/>
          <w:szCs w:val="22"/>
        </w:rPr>
        <w:t>Pacific</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Technical</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College</w:t>
      </w:r>
      <w:r w:rsidR="00D91326" w:rsidRPr="00D92B41">
        <w:rPr>
          <w:rFonts w:asciiTheme="minorHAnsi" w:hAnsiTheme="minorHAnsi" w:cstheme="minorHAnsi"/>
          <w:sz w:val="22"/>
          <w:szCs w:val="22"/>
        </w:rPr>
        <w:t xml:space="preserve"> (APTC) </w:t>
      </w:r>
      <w:r w:rsidR="009D3F80"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providing</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Certificate</w:t>
      </w:r>
      <w:r w:rsidR="00D91326" w:rsidRPr="00D92B41">
        <w:rPr>
          <w:rFonts w:asciiTheme="minorHAnsi" w:hAnsiTheme="minorHAnsi" w:cstheme="minorHAnsi"/>
          <w:sz w:val="22"/>
          <w:szCs w:val="22"/>
        </w:rPr>
        <w:t>-</w:t>
      </w:r>
      <w:r w:rsidR="009D3F80" w:rsidRPr="00D92B41">
        <w:rPr>
          <w:rFonts w:asciiTheme="minorHAnsi" w:hAnsiTheme="minorHAnsi" w:cstheme="minorHAnsi"/>
          <w:sz w:val="22"/>
          <w:szCs w:val="22"/>
        </w:rPr>
        <w:t>level</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qualifications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areas</w:t>
      </w:r>
      <w:r w:rsidR="00D91326" w:rsidRPr="00D92B41">
        <w:rPr>
          <w:rFonts w:asciiTheme="minorHAnsi" w:hAnsiTheme="minorHAnsi" w:cstheme="minorHAnsi"/>
          <w:sz w:val="22"/>
          <w:szCs w:val="22"/>
        </w:rPr>
        <w:t xml:space="preserve"> with labour</w:t>
      </w:r>
      <w:r w:rsidR="005439F7">
        <w:rPr>
          <w:rFonts w:asciiTheme="minorHAnsi" w:hAnsiTheme="minorHAnsi" w:cstheme="minorHAnsi"/>
          <w:sz w:val="22"/>
          <w:szCs w:val="22"/>
        </w:rPr>
        <w:t>-</w:t>
      </w:r>
      <w:r w:rsidR="00D91326" w:rsidRPr="00D92B41">
        <w:rPr>
          <w:rFonts w:asciiTheme="minorHAnsi" w:hAnsiTheme="minorHAnsi" w:cstheme="minorHAnsi"/>
          <w:sz w:val="22"/>
          <w:szCs w:val="22"/>
        </w:rPr>
        <w:t xml:space="preserve">market shortages including </w:t>
      </w:r>
      <w:r w:rsidR="009D3F80" w:rsidRPr="00D92B41">
        <w:rPr>
          <w:rFonts w:asciiTheme="minorHAnsi" w:hAnsiTheme="minorHAnsi" w:cstheme="minorHAnsi"/>
          <w:sz w:val="22"/>
          <w:szCs w:val="22"/>
        </w:rPr>
        <w:t>construction,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business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skills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early</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childhood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APTC</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supporting</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joint-delivery</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of</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Certificate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Level</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2</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qualifications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automotive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repair</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carpentry</w:t>
      </w:r>
      <w:r w:rsidR="00643E73">
        <w:rPr>
          <w:rFonts w:asciiTheme="minorHAnsi" w:hAnsiTheme="minorHAnsi" w:cstheme="minorHAnsi"/>
          <w:sz w:val="22"/>
          <w:szCs w:val="22"/>
        </w:rPr>
        <w:t xml:space="preserve"> through a partnership with Don Bosco technical college</w:t>
      </w:r>
      <w:r w:rsidR="009D3F80" w:rsidRPr="00D92B41">
        <w:rPr>
          <w:rFonts w:asciiTheme="minorHAnsi" w:hAnsiTheme="minorHAnsi" w:cstheme="minorHAnsi"/>
          <w:sz w:val="22"/>
          <w:szCs w:val="22"/>
        </w:rPr>
        <w: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first</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intake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of</w:t>
      </w:r>
      <w:r w:rsidR="00D91326" w:rsidRPr="00D92B41">
        <w:rPr>
          <w:rFonts w:asciiTheme="minorHAnsi" w:hAnsiTheme="minorHAnsi" w:cstheme="minorHAnsi"/>
          <w:sz w:val="22"/>
          <w:szCs w:val="22"/>
        </w:rPr>
        <w:t xml:space="preserve"> 40 </w:t>
      </w:r>
      <w:r w:rsidR="00A34882" w:rsidRPr="00D92B41">
        <w:rPr>
          <w:rFonts w:asciiTheme="minorHAnsi" w:hAnsiTheme="minorHAnsi" w:cstheme="minorHAnsi"/>
          <w:sz w:val="22"/>
          <w:szCs w:val="22"/>
        </w:rPr>
        <w:t>students graduated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June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2014</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along</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with</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50</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technical</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trainers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who</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attained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Australian</w:t>
      </w:r>
      <w:r w:rsidR="002E7F1D" w:rsidRPr="00D92B41">
        <w:rPr>
          <w:rFonts w:asciiTheme="minorHAnsi" w:hAnsiTheme="minorHAnsi" w:cstheme="minorHAnsi"/>
          <w:sz w:val="22"/>
          <w:szCs w:val="22"/>
        </w:rPr>
        <w:t>-</w:t>
      </w:r>
      <w:r w:rsidR="009D3F80" w:rsidRPr="00D92B41">
        <w:rPr>
          <w:rFonts w:asciiTheme="minorHAnsi" w:hAnsiTheme="minorHAnsi" w:cstheme="minorHAnsi"/>
          <w:sz w:val="22"/>
          <w:szCs w:val="22"/>
        </w:rPr>
        <w:t>standard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qualification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Training</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Assessment.</w:t>
      </w:r>
      <w:r w:rsidR="00D91326" w:rsidRPr="00D92B41">
        <w:rPr>
          <w:rFonts w:asciiTheme="minorHAnsi" w:hAnsiTheme="minorHAnsi" w:cstheme="minorHAnsi"/>
          <w:sz w:val="22"/>
          <w:szCs w:val="22"/>
        </w:rPr>
        <w:t xml:space="preserve"> </w:t>
      </w:r>
    </w:p>
    <w:p w:rsidR="009D3F80" w:rsidRDefault="00895916" w:rsidP="009D3F80">
      <w:pPr>
        <w:tabs>
          <w:tab w:val="left" w:pos="227"/>
        </w:tabs>
        <w:spacing w:after="120"/>
        <w:rPr>
          <w:rFonts w:asciiTheme="minorHAnsi" w:hAnsiTheme="minorHAnsi" w:cstheme="minorHAnsi"/>
          <w:sz w:val="22"/>
          <w:szCs w:val="22"/>
        </w:rPr>
      </w:pPr>
      <w:r>
        <w:rPr>
          <w:rFonts w:asciiTheme="minorHAnsi" w:hAnsiTheme="minorHAnsi" w:cstheme="minorHAnsi"/>
          <w:sz w:val="22"/>
          <w:szCs w:val="22"/>
        </w:rPr>
        <w:t>The Ministry of Education and Human Resource Development</w:t>
      </w:r>
      <w:r w:rsidR="00053B79">
        <w:rPr>
          <w:rFonts w:asciiTheme="minorHAnsi" w:hAnsiTheme="minorHAnsi" w:cstheme="minorHAnsi"/>
          <w:sz w:val="22"/>
          <w:szCs w:val="22"/>
        </w:rPr>
        <w:t xml:space="preserve"> has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develop</w:t>
      </w:r>
      <w:r w:rsidR="002857C6" w:rsidRPr="00D92B41">
        <w:rPr>
          <w:rFonts w:asciiTheme="minorHAnsi" w:hAnsiTheme="minorHAnsi" w:cstheme="minorHAnsi"/>
          <w:sz w:val="22"/>
          <w:szCs w:val="22"/>
        </w:rPr>
        <w:t>ed</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w:t>
      </w:r>
      <w:r w:rsidR="00D91326" w:rsidRPr="00D92B41">
        <w:rPr>
          <w:rFonts w:asciiTheme="minorHAnsi" w:hAnsiTheme="minorHAnsi" w:cstheme="minorHAnsi"/>
          <w:sz w:val="22"/>
          <w:szCs w:val="22"/>
        </w:rPr>
        <w:t xml:space="preserve"> </w:t>
      </w:r>
      <w:r w:rsidR="009D3F80" w:rsidRPr="0053757F">
        <w:rPr>
          <w:rFonts w:asciiTheme="minorHAnsi" w:hAnsiTheme="minorHAnsi" w:cstheme="minorHAnsi"/>
          <w:b/>
          <w:sz w:val="22"/>
          <w:szCs w:val="22"/>
        </w:rPr>
        <w:t>Gender</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Equity</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Education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policy.</w:t>
      </w:r>
      <w:r w:rsidR="00D91326" w:rsidRPr="00D92B41">
        <w:rPr>
          <w:rFonts w:asciiTheme="minorHAnsi" w:hAnsiTheme="minorHAnsi" w:cstheme="minorHAnsi"/>
          <w:sz w:val="22"/>
          <w:szCs w:val="22"/>
        </w:rPr>
        <w:t xml:space="preserve"> </w:t>
      </w:r>
      <w:r w:rsidR="00053B79">
        <w:rPr>
          <w:rFonts w:asciiTheme="minorHAnsi" w:hAnsiTheme="minorHAnsi" w:cstheme="minorHAnsi"/>
          <w:sz w:val="22"/>
          <w:szCs w:val="22"/>
        </w:rPr>
        <w:t xml:space="preserve">Australia supported </w:t>
      </w:r>
      <w:r w:rsidR="003373E9">
        <w:rPr>
          <w:rFonts w:asciiTheme="minorHAnsi" w:hAnsiTheme="minorHAnsi" w:cstheme="minorHAnsi"/>
          <w:sz w:val="22"/>
          <w:szCs w:val="22"/>
        </w:rPr>
        <w:t>the Ministry</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to</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develop</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an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inclusive</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education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(disability)</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policy.</w:t>
      </w:r>
      <w:r w:rsidR="00D91326" w:rsidRPr="00D92B41">
        <w:rPr>
          <w:rFonts w:asciiTheme="minorHAnsi" w:hAnsiTheme="minorHAnsi" w:cstheme="minorHAnsi"/>
          <w:sz w:val="22"/>
          <w:szCs w:val="22"/>
        </w:rPr>
        <w:t xml:space="preserve"> </w:t>
      </w:r>
      <w:r w:rsidR="003373E9">
        <w:rPr>
          <w:rFonts w:asciiTheme="minorHAnsi" w:hAnsiTheme="minorHAnsi" w:cstheme="minorHAnsi"/>
          <w:sz w:val="22"/>
          <w:szCs w:val="22"/>
        </w:rPr>
        <w:t>Australia</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has</w:t>
      </w:r>
      <w:r w:rsidR="00D91326" w:rsidRPr="00D92B41">
        <w:rPr>
          <w:rFonts w:asciiTheme="minorHAnsi" w:hAnsiTheme="minorHAnsi" w:cstheme="minorHAnsi"/>
          <w:sz w:val="22"/>
          <w:szCs w:val="22"/>
        </w:rPr>
        <w:t xml:space="preserve"> </w:t>
      </w:r>
      <w:r>
        <w:rPr>
          <w:rFonts w:asciiTheme="minorHAnsi" w:hAnsiTheme="minorHAnsi" w:cstheme="minorHAnsi"/>
          <w:sz w:val="22"/>
          <w:szCs w:val="22"/>
        </w:rPr>
        <w:t>advocated for disability inclusion</w:t>
      </w:r>
      <w:r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education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priorities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Solomon</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Islands</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with</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other</w:t>
      </w:r>
      <w:r w:rsidR="00D91326" w:rsidRPr="00D92B41">
        <w:rPr>
          <w:rFonts w:asciiTheme="minorHAnsi" w:hAnsiTheme="minorHAnsi" w:cstheme="minorHAnsi"/>
          <w:sz w:val="22"/>
          <w:szCs w:val="22"/>
        </w:rPr>
        <w:t xml:space="preserve"> </w:t>
      </w:r>
      <w:r w:rsidR="009D3F80" w:rsidRPr="00D92B41">
        <w:rPr>
          <w:rFonts w:asciiTheme="minorHAnsi" w:hAnsiTheme="minorHAnsi" w:cstheme="minorHAnsi"/>
          <w:sz w:val="22"/>
          <w:szCs w:val="22"/>
        </w:rPr>
        <w:t>stakeholders.</w:t>
      </w:r>
      <w:r w:rsidR="00D91326" w:rsidRPr="00D92B41">
        <w:rPr>
          <w:rFonts w:asciiTheme="minorHAnsi" w:hAnsiTheme="minorHAnsi" w:cstheme="minorHAnsi"/>
          <w:sz w:val="22"/>
          <w:szCs w:val="22"/>
        </w:rPr>
        <w:t xml:space="preserve"> </w:t>
      </w:r>
      <w:r w:rsidR="00FB0505" w:rsidRPr="00FB0505">
        <w:rPr>
          <w:rFonts w:asciiTheme="minorHAnsi" w:hAnsiTheme="minorHAnsi" w:cstheme="minorHAnsi"/>
          <w:sz w:val="22"/>
          <w:szCs w:val="22"/>
        </w:rPr>
        <w:t>Girls have high enrolment rates (89</w:t>
      </w:r>
      <w:r w:rsidR="00670871">
        <w:rPr>
          <w:rFonts w:asciiTheme="minorHAnsi" w:hAnsiTheme="minorHAnsi" w:cstheme="minorHAnsi"/>
          <w:sz w:val="22"/>
          <w:szCs w:val="22"/>
        </w:rPr>
        <w:t xml:space="preserve"> per cent</w:t>
      </w:r>
      <w:r w:rsidR="00FB0505" w:rsidRPr="00FB0505">
        <w:rPr>
          <w:rFonts w:asciiTheme="minorHAnsi" w:hAnsiTheme="minorHAnsi" w:cstheme="minorHAnsi"/>
          <w:sz w:val="22"/>
          <w:szCs w:val="22"/>
        </w:rPr>
        <w:t>) and high completion rates (83</w:t>
      </w:r>
      <w:r w:rsidR="00670871">
        <w:rPr>
          <w:rFonts w:asciiTheme="minorHAnsi" w:hAnsiTheme="minorHAnsi" w:cstheme="minorHAnsi"/>
          <w:sz w:val="22"/>
          <w:szCs w:val="22"/>
        </w:rPr>
        <w:t xml:space="preserve"> per cent</w:t>
      </w:r>
      <w:r w:rsidR="00FB0505" w:rsidRPr="00FB0505">
        <w:rPr>
          <w:rFonts w:asciiTheme="minorHAnsi" w:hAnsiTheme="minorHAnsi" w:cstheme="minorHAnsi"/>
          <w:sz w:val="22"/>
          <w:szCs w:val="22"/>
        </w:rPr>
        <w:t>) in year 6.  However, girls have lower access rates at secondary level (39</w:t>
      </w:r>
      <w:r w:rsidR="00670871">
        <w:rPr>
          <w:rFonts w:asciiTheme="minorHAnsi" w:hAnsiTheme="minorHAnsi" w:cstheme="minorHAnsi"/>
          <w:sz w:val="22"/>
          <w:szCs w:val="22"/>
        </w:rPr>
        <w:t xml:space="preserve"> per cent</w:t>
      </w:r>
      <w:r w:rsidR="00FB0505" w:rsidRPr="00FB0505">
        <w:rPr>
          <w:rFonts w:asciiTheme="minorHAnsi" w:hAnsiTheme="minorHAnsi" w:cstheme="minorHAnsi"/>
          <w:sz w:val="22"/>
          <w:szCs w:val="22"/>
        </w:rPr>
        <w:t>) - partly due to lack of dormitory facilities and inadequate toilets and washing facilities in secondary schools.</w:t>
      </w:r>
    </w:p>
    <w:p w:rsidR="00557FB1" w:rsidRPr="00D92B41" w:rsidRDefault="00557FB1" w:rsidP="00121815">
      <w:pPr>
        <w:pStyle w:val="Heading4"/>
      </w:pPr>
      <w:r w:rsidRPr="00D92B41">
        <w:t>Scholarships</w:t>
      </w:r>
    </w:p>
    <w:p w:rsidR="00557FB1" w:rsidRPr="00D92B41" w:rsidRDefault="00557FB1" w:rsidP="00557FB1">
      <w:pPr>
        <w:pStyle w:val="ListBullet"/>
        <w:numPr>
          <w:ilvl w:val="0"/>
          <w:numId w:val="0"/>
        </w:numPr>
        <w:spacing w:line="240" w:lineRule="auto"/>
        <w:rPr>
          <w:rFonts w:asciiTheme="minorHAnsi" w:hAnsiTheme="minorHAnsi" w:cstheme="minorHAnsi"/>
          <w:sz w:val="22"/>
          <w:szCs w:val="22"/>
        </w:rPr>
      </w:pPr>
      <w:r w:rsidRPr="00D92B41">
        <w:rPr>
          <w:rFonts w:asciiTheme="minorHAnsi" w:hAnsiTheme="minorHAnsi" w:cstheme="minorHAnsi"/>
          <w:sz w:val="22"/>
          <w:szCs w:val="22"/>
        </w:rPr>
        <w:t>Australia Awards help build Solomon Islands’ human capital base</w:t>
      </w:r>
      <w:r w:rsidR="00402B6D" w:rsidRPr="00402B6D">
        <w:rPr>
          <w:rFonts w:asciiTheme="minorHAnsi" w:hAnsiTheme="minorHAnsi" w:cstheme="minorHAnsi"/>
          <w:sz w:val="22"/>
          <w:szCs w:val="22"/>
        </w:rPr>
        <w:t xml:space="preserve"> </w:t>
      </w:r>
      <w:r w:rsidR="00402B6D" w:rsidRPr="00D92B41">
        <w:rPr>
          <w:rFonts w:asciiTheme="minorHAnsi" w:hAnsiTheme="minorHAnsi" w:cstheme="minorHAnsi"/>
          <w:sz w:val="22"/>
          <w:szCs w:val="22"/>
        </w:rPr>
        <w:t>support</w:t>
      </w:r>
      <w:r w:rsidR="00402B6D">
        <w:rPr>
          <w:rFonts w:asciiTheme="minorHAnsi" w:hAnsiTheme="minorHAnsi" w:cstheme="minorHAnsi"/>
          <w:sz w:val="22"/>
          <w:szCs w:val="22"/>
        </w:rPr>
        <w:t>ing</w:t>
      </w:r>
      <w:r w:rsidR="00402B6D" w:rsidRPr="00D92B41">
        <w:rPr>
          <w:rFonts w:asciiTheme="minorHAnsi" w:hAnsiTheme="minorHAnsi" w:cstheme="minorHAnsi"/>
          <w:sz w:val="22"/>
          <w:szCs w:val="22"/>
        </w:rPr>
        <w:t xml:space="preserve"> human resource development in priority areas for Solomon Islands such as engineering, business and accounting, health, law and education</w:t>
      </w:r>
      <w:r w:rsidRPr="00D92B41">
        <w:rPr>
          <w:rFonts w:asciiTheme="minorHAnsi" w:hAnsiTheme="minorHAnsi" w:cstheme="minorHAnsi"/>
          <w:sz w:val="22"/>
          <w:szCs w:val="22"/>
        </w:rPr>
        <w:t xml:space="preserve">. </w:t>
      </w:r>
      <w:r w:rsidR="00402B6D">
        <w:rPr>
          <w:rFonts w:asciiTheme="minorHAnsi" w:hAnsiTheme="minorHAnsi" w:cstheme="minorHAnsi"/>
          <w:sz w:val="22"/>
          <w:szCs w:val="22"/>
        </w:rPr>
        <w:t>T</w:t>
      </w:r>
      <w:r w:rsidRPr="00D92B41">
        <w:rPr>
          <w:rFonts w:asciiTheme="minorHAnsi" w:hAnsiTheme="minorHAnsi" w:cstheme="minorHAnsi"/>
          <w:sz w:val="22"/>
          <w:szCs w:val="22"/>
        </w:rPr>
        <w:t xml:space="preserve">ertiary education options </w:t>
      </w:r>
      <w:r w:rsidR="00402B6D">
        <w:rPr>
          <w:rFonts w:asciiTheme="minorHAnsi" w:hAnsiTheme="minorHAnsi" w:cstheme="minorHAnsi"/>
          <w:sz w:val="22"/>
          <w:szCs w:val="22"/>
        </w:rPr>
        <w:t>are limited in Solomon Islands–</w:t>
      </w:r>
      <w:r w:rsidRPr="00D92B41">
        <w:rPr>
          <w:rFonts w:asciiTheme="minorHAnsi" w:hAnsiTheme="minorHAnsi" w:cstheme="minorHAnsi"/>
          <w:sz w:val="22"/>
          <w:szCs w:val="22"/>
        </w:rPr>
        <w:t xml:space="preserve">only two per cent of the population has a tertiary qualification. Tertiary scholarships to study in Australia and regional institutions are </w:t>
      </w:r>
      <w:r w:rsidR="00402B6D">
        <w:rPr>
          <w:rFonts w:asciiTheme="minorHAnsi" w:hAnsiTheme="minorHAnsi" w:cstheme="minorHAnsi"/>
          <w:sz w:val="22"/>
          <w:szCs w:val="22"/>
        </w:rPr>
        <w:t xml:space="preserve">therefore </w:t>
      </w:r>
      <w:r w:rsidR="002061C8">
        <w:rPr>
          <w:rFonts w:asciiTheme="minorHAnsi" w:hAnsiTheme="minorHAnsi" w:cstheme="minorHAnsi"/>
          <w:sz w:val="22"/>
          <w:szCs w:val="22"/>
        </w:rPr>
        <w:t>valuable for</w:t>
      </w:r>
      <w:r w:rsidRPr="00D92B41">
        <w:rPr>
          <w:rFonts w:asciiTheme="minorHAnsi" w:hAnsiTheme="minorHAnsi" w:cstheme="minorHAnsi"/>
          <w:sz w:val="22"/>
          <w:szCs w:val="22"/>
        </w:rPr>
        <w:t xml:space="preserve"> education and skills development.  </w:t>
      </w:r>
    </w:p>
    <w:p w:rsidR="00557FB1" w:rsidRPr="00D35776" w:rsidRDefault="00557FB1" w:rsidP="00D35776">
      <w:pPr>
        <w:spacing w:after="120"/>
        <w:rPr>
          <w:rFonts w:asciiTheme="minorHAnsi" w:eastAsia="Times New Roman" w:hAnsiTheme="minorHAnsi" w:cstheme="minorHAnsi"/>
          <w:sz w:val="22"/>
          <w:szCs w:val="22"/>
        </w:rPr>
      </w:pPr>
      <w:r w:rsidRPr="00D92B41">
        <w:rPr>
          <w:rFonts w:asciiTheme="minorHAnsi" w:eastAsia="Times New Roman" w:hAnsiTheme="minorHAnsi" w:cstheme="minorHAnsi"/>
          <w:sz w:val="22"/>
          <w:szCs w:val="22"/>
        </w:rPr>
        <w:t xml:space="preserve">A </w:t>
      </w:r>
      <w:r w:rsidR="009B33E5">
        <w:rPr>
          <w:rFonts w:asciiTheme="minorHAnsi" w:eastAsia="Times New Roman" w:hAnsiTheme="minorHAnsi" w:cstheme="minorHAnsi"/>
          <w:sz w:val="22"/>
          <w:szCs w:val="22"/>
        </w:rPr>
        <w:t xml:space="preserve">2013 </w:t>
      </w:r>
      <w:r w:rsidRPr="00D92B41">
        <w:rPr>
          <w:rFonts w:asciiTheme="minorHAnsi" w:eastAsia="Times New Roman" w:hAnsiTheme="minorHAnsi" w:cstheme="minorHAnsi"/>
          <w:sz w:val="22"/>
          <w:szCs w:val="22"/>
        </w:rPr>
        <w:t xml:space="preserve">study </w:t>
      </w:r>
      <w:r w:rsidR="009B33E5">
        <w:rPr>
          <w:rFonts w:asciiTheme="minorHAnsi" w:eastAsia="Times New Roman" w:hAnsiTheme="minorHAnsi" w:cstheme="minorHAnsi"/>
          <w:sz w:val="22"/>
          <w:szCs w:val="22"/>
        </w:rPr>
        <w:t xml:space="preserve">of returned graduates </w:t>
      </w:r>
      <w:r w:rsidRPr="00D92B41">
        <w:rPr>
          <w:rFonts w:asciiTheme="minorHAnsi" w:eastAsia="Times New Roman" w:hAnsiTheme="minorHAnsi" w:cstheme="minorHAnsi"/>
          <w:sz w:val="22"/>
          <w:szCs w:val="22"/>
        </w:rPr>
        <w:t xml:space="preserve">revealed </w:t>
      </w:r>
      <w:r w:rsidRPr="00D92B41">
        <w:rPr>
          <w:rFonts w:asciiTheme="minorHAnsi" w:eastAsia="Times New Roman" w:hAnsiTheme="minorHAnsi" w:cstheme="minorHAnsi"/>
          <w:b/>
          <w:sz w:val="22"/>
          <w:szCs w:val="22"/>
        </w:rPr>
        <w:t>mixed achievements</w:t>
      </w:r>
      <w:r w:rsidRPr="00D92B41">
        <w:rPr>
          <w:rFonts w:asciiTheme="minorHAnsi" w:eastAsia="Times New Roman" w:hAnsiTheme="minorHAnsi" w:cstheme="minorHAnsi"/>
          <w:sz w:val="22"/>
          <w:szCs w:val="22"/>
        </w:rPr>
        <w:t xml:space="preserve">. Australia Awards have reduced capacity gaps and improved effectiveness of organisations, but </w:t>
      </w:r>
      <w:r w:rsidR="00643E73">
        <w:rPr>
          <w:rFonts w:asciiTheme="minorHAnsi" w:eastAsia="Times New Roman" w:hAnsiTheme="minorHAnsi" w:cstheme="minorHAnsi"/>
          <w:sz w:val="22"/>
          <w:szCs w:val="22"/>
        </w:rPr>
        <w:t>would benefit from</w:t>
      </w:r>
      <w:r w:rsidRPr="00D92B41">
        <w:rPr>
          <w:rFonts w:asciiTheme="minorHAnsi" w:eastAsia="Times New Roman" w:hAnsiTheme="minorHAnsi" w:cstheme="minorHAnsi"/>
          <w:sz w:val="22"/>
          <w:szCs w:val="22"/>
        </w:rPr>
        <w:t xml:space="preserve"> more focus. In 2014 targeting </w:t>
      </w:r>
      <w:r w:rsidR="00904F5D">
        <w:rPr>
          <w:rFonts w:asciiTheme="minorHAnsi" w:eastAsia="Times New Roman" w:hAnsiTheme="minorHAnsi" w:cstheme="minorHAnsi"/>
          <w:sz w:val="22"/>
          <w:szCs w:val="22"/>
        </w:rPr>
        <w:t xml:space="preserve">will </w:t>
      </w:r>
      <w:r w:rsidR="009B33E5">
        <w:rPr>
          <w:rFonts w:asciiTheme="minorHAnsi" w:eastAsia="Times New Roman" w:hAnsiTheme="minorHAnsi" w:cstheme="minorHAnsi"/>
          <w:sz w:val="22"/>
          <w:szCs w:val="22"/>
        </w:rPr>
        <w:t>use</w:t>
      </w:r>
      <w:r w:rsidRPr="00D92B41">
        <w:rPr>
          <w:rFonts w:asciiTheme="minorHAnsi" w:eastAsia="Times New Roman" w:hAnsiTheme="minorHAnsi" w:cstheme="minorHAnsi"/>
          <w:sz w:val="22"/>
          <w:szCs w:val="22"/>
        </w:rPr>
        <w:t xml:space="preserve"> the </w:t>
      </w:r>
      <w:r w:rsidR="009B33E5" w:rsidRPr="00D92B41">
        <w:rPr>
          <w:rFonts w:asciiTheme="minorHAnsi" w:eastAsia="Times New Roman" w:hAnsiTheme="minorHAnsi" w:cstheme="minorHAnsi"/>
          <w:sz w:val="22"/>
          <w:szCs w:val="22"/>
        </w:rPr>
        <w:t xml:space="preserve">2013 </w:t>
      </w:r>
      <w:r w:rsidRPr="00D92B41">
        <w:rPr>
          <w:rFonts w:asciiTheme="minorHAnsi" w:eastAsia="Times New Roman" w:hAnsiTheme="minorHAnsi" w:cstheme="minorHAnsi"/>
          <w:sz w:val="22"/>
          <w:szCs w:val="22"/>
        </w:rPr>
        <w:t>labour market analysis which prioritised construction, health, education, business and finance.</w:t>
      </w:r>
      <w:r w:rsidR="00D35776">
        <w:rPr>
          <w:rFonts w:asciiTheme="minorHAnsi" w:eastAsia="Times New Roman" w:hAnsiTheme="minorHAnsi" w:cstheme="minorHAnsi"/>
          <w:sz w:val="22"/>
          <w:szCs w:val="22"/>
        </w:rPr>
        <w:t xml:space="preserve"> </w:t>
      </w:r>
      <w:r w:rsidR="00402B6D">
        <w:rPr>
          <w:rFonts w:asciiTheme="minorHAnsi" w:hAnsiTheme="minorHAnsi" w:cstheme="minorHAnsi"/>
          <w:sz w:val="22"/>
          <w:szCs w:val="22"/>
        </w:rPr>
        <w:t>L</w:t>
      </w:r>
      <w:r w:rsidRPr="00D92B41">
        <w:rPr>
          <w:rFonts w:asciiTheme="minorHAnsi" w:hAnsiTheme="minorHAnsi" w:cstheme="minorHAnsi"/>
          <w:sz w:val="22"/>
          <w:szCs w:val="22"/>
        </w:rPr>
        <w:t>ow levels of English and a low academic foundation</w:t>
      </w:r>
      <w:r w:rsidR="00904F5D">
        <w:rPr>
          <w:rFonts w:asciiTheme="minorHAnsi" w:hAnsiTheme="minorHAnsi" w:cstheme="minorHAnsi"/>
          <w:sz w:val="22"/>
          <w:szCs w:val="22"/>
        </w:rPr>
        <w:t>–</w:t>
      </w:r>
      <w:r w:rsidR="00402B6D">
        <w:rPr>
          <w:rFonts w:asciiTheme="minorHAnsi" w:hAnsiTheme="minorHAnsi" w:cstheme="minorHAnsi"/>
          <w:sz w:val="22"/>
          <w:szCs w:val="22"/>
        </w:rPr>
        <w:t>even by high</w:t>
      </w:r>
      <w:r w:rsidR="00643E73">
        <w:rPr>
          <w:rFonts w:asciiTheme="minorHAnsi" w:hAnsiTheme="minorHAnsi" w:cstheme="minorHAnsi"/>
          <w:sz w:val="22"/>
          <w:szCs w:val="22"/>
        </w:rPr>
        <w:t>est ranking</w:t>
      </w:r>
      <w:r w:rsidR="00402B6D">
        <w:rPr>
          <w:rFonts w:asciiTheme="minorHAnsi" w:hAnsiTheme="minorHAnsi" w:cstheme="minorHAnsi"/>
          <w:sz w:val="22"/>
          <w:szCs w:val="22"/>
        </w:rPr>
        <w:t xml:space="preserve"> applicants–</w:t>
      </w:r>
      <w:r w:rsidRPr="00D92B41">
        <w:rPr>
          <w:rFonts w:asciiTheme="minorHAnsi" w:hAnsiTheme="minorHAnsi" w:cstheme="minorHAnsi"/>
          <w:sz w:val="22"/>
          <w:szCs w:val="22"/>
        </w:rPr>
        <w:t>highligh</w:t>
      </w:r>
      <w:r w:rsidR="00402B6D">
        <w:rPr>
          <w:rFonts w:asciiTheme="minorHAnsi" w:hAnsiTheme="minorHAnsi" w:cstheme="minorHAnsi"/>
          <w:sz w:val="22"/>
          <w:szCs w:val="22"/>
        </w:rPr>
        <w:t>t</w:t>
      </w:r>
      <w:r w:rsidRPr="00D92B41">
        <w:rPr>
          <w:rFonts w:asciiTheme="minorHAnsi" w:hAnsiTheme="minorHAnsi" w:cstheme="minorHAnsi"/>
          <w:sz w:val="22"/>
          <w:szCs w:val="22"/>
        </w:rPr>
        <w:t xml:space="preserve"> the importance of </w:t>
      </w:r>
      <w:r w:rsidR="00250629">
        <w:rPr>
          <w:rFonts w:asciiTheme="minorHAnsi" w:hAnsiTheme="minorHAnsi" w:cstheme="minorHAnsi"/>
          <w:sz w:val="22"/>
          <w:szCs w:val="22"/>
        </w:rPr>
        <w:t>Australia’s</w:t>
      </w:r>
      <w:r w:rsidRPr="00D92B41">
        <w:rPr>
          <w:rFonts w:asciiTheme="minorHAnsi" w:hAnsiTheme="minorHAnsi" w:cstheme="minorHAnsi"/>
          <w:sz w:val="22"/>
          <w:szCs w:val="22"/>
        </w:rPr>
        <w:t xml:space="preserve"> investments in basic education. </w:t>
      </w:r>
    </w:p>
    <w:p w:rsidR="00557FB1" w:rsidRPr="00D92B41" w:rsidRDefault="00557FB1" w:rsidP="00557FB1">
      <w:pPr>
        <w:pStyle w:val="ListBullet"/>
        <w:numPr>
          <w:ilvl w:val="0"/>
          <w:numId w:val="0"/>
        </w:numPr>
        <w:tabs>
          <w:tab w:val="clear" w:pos="284"/>
        </w:tabs>
        <w:spacing w:line="240" w:lineRule="auto"/>
        <w:rPr>
          <w:rFonts w:asciiTheme="minorHAnsi" w:hAnsiTheme="minorHAnsi" w:cstheme="minorHAnsi"/>
          <w:sz w:val="22"/>
          <w:szCs w:val="22"/>
        </w:rPr>
      </w:pPr>
      <w:r w:rsidRPr="00D92B41">
        <w:rPr>
          <w:rFonts w:asciiTheme="minorHAnsi" w:hAnsiTheme="minorHAnsi" w:cstheme="minorHAnsi"/>
          <w:b/>
          <w:sz w:val="22"/>
          <w:szCs w:val="22"/>
        </w:rPr>
        <w:t xml:space="preserve">Gender targets are met within the scholarships program </w:t>
      </w:r>
      <w:r w:rsidR="00904F5D">
        <w:rPr>
          <w:rFonts w:asciiTheme="minorHAnsi" w:hAnsiTheme="minorHAnsi" w:cstheme="minorHAnsi"/>
          <w:sz w:val="22"/>
          <w:szCs w:val="22"/>
        </w:rPr>
        <w:t>although</w:t>
      </w:r>
      <w:r w:rsidRPr="00D92B41">
        <w:rPr>
          <w:rFonts w:asciiTheme="minorHAnsi" w:hAnsiTheme="minorHAnsi" w:cstheme="minorHAnsi"/>
          <w:b/>
          <w:sz w:val="22"/>
          <w:szCs w:val="22"/>
        </w:rPr>
        <w:t xml:space="preserve"> </w:t>
      </w:r>
      <w:r w:rsidR="00402B6D">
        <w:rPr>
          <w:rFonts w:asciiTheme="minorHAnsi" w:hAnsiTheme="minorHAnsi" w:cstheme="minorHAnsi"/>
          <w:sz w:val="22"/>
          <w:szCs w:val="22"/>
        </w:rPr>
        <w:t>fewer</w:t>
      </w:r>
      <w:r w:rsidRPr="00D92B41">
        <w:rPr>
          <w:rFonts w:asciiTheme="minorHAnsi" w:hAnsiTheme="minorHAnsi" w:cstheme="minorHAnsi"/>
          <w:sz w:val="22"/>
          <w:szCs w:val="22"/>
        </w:rPr>
        <w:t xml:space="preserve"> female</w:t>
      </w:r>
      <w:r w:rsidR="00402B6D">
        <w:rPr>
          <w:rFonts w:asciiTheme="minorHAnsi" w:hAnsiTheme="minorHAnsi" w:cstheme="minorHAnsi"/>
          <w:sz w:val="22"/>
          <w:szCs w:val="22"/>
        </w:rPr>
        <w:t>s</w:t>
      </w:r>
      <w:r w:rsidRPr="00D92B41">
        <w:rPr>
          <w:rFonts w:asciiTheme="minorHAnsi" w:hAnsiTheme="minorHAnsi" w:cstheme="minorHAnsi"/>
          <w:sz w:val="22"/>
          <w:szCs w:val="22"/>
        </w:rPr>
        <w:t xml:space="preserve"> </w:t>
      </w:r>
      <w:r w:rsidR="00402B6D">
        <w:rPr>
          <w:rFonts w:asciiTheme="minorHAnsi" w:hAnsiTheme="minorHAnsi" w:cstheme="minorHAnsi"/>
          <w:sz w:val="22"/>
          <w:szCs w:val="22"/>
        </w:rPr>
        <w:t>than males apply</w:t>
      </w:r>
      <w:r w:rsidRPr="00D92B41">
        <w:rPr>
          <w:rFonts w:asciiTheme="minorHAnsi" w:hAnsiTheme="minorHAnsi" w:cstheme="minorHAnsi"/>
          <w:sz w:val="22"/>
          <w:szCs w:val="22"/>
        </w:rPr>
        <w:t xml:space="preserve">. The program actively targets female recipients </w:t>
      </w:r>
      <w:r w:rsidR="00402B6D">
        <w:rPr>
          <w:rFonts w:asciiTheme="minorHAnsi" w:hAnsiTheme="minorHAnsi" w:cstheme="minorHAnsi"/>
          <w:sz w:val="22"/>
          <w:szCs w:val="22"/>
        </w:rPr>
        <w:t>and</w:t>
      </w:r>
      <w:r w:rsidRPr="00D92B41">
        <w:rPr>
          <w:rFonts w:asciiTheme="minorHAnsi" w:hAnsiTheme="minorHAnsi" w:cstheme="minorHAnsi"/>
          <w:sz w:val="22"/>
          <w:szCs w:val="22"/>
        </w:rPr>
        <w:t xml:space="preserve"> gives priority to </w:t>
      </w:r>
      <w:r w:rsidR="00152CF0" w:rsidRPr="00D92B41">
        <w:rPr>
          <w:rFonts w:asciiTheme="minorHAnsi" w:hAnsiTheme="minorHAnsi" w:cstheme="minorHAnsi"/>
          <w:sz w:val="22"/>
          <w:szCs w:val="22"/>
        </w:rPr>
        <w:t>women wanting to study “traditionally male” courses (four women undertook engineering in 2013)</w:t>
      </w:r>
      <w:r w:rsidR="00152CF0">
        <w:rPr>
          <w:rFonts w:asciiTheme="minorHAnsi" w:hAnsiTheme="minorHAnsi" w:cstheme="minorHAnsi"/>
          <w:sz w:val="22"/>
          <w:szCs w:val="22"/>
        </w:rPr>
        <w:t xml:space="preserve"> and </w:t>
      </w:r>
      <w:r w:rsidRPr="00D92B41">
        <w:rPr>
          <w:rFonts w:asciiTheme="minorHAnsi" w:hAnsiTheme="minorHAnsi" w:cstheme="minorHAnsi"/>
          <w:sz w:val="22"/>
          <w:szCs w:val="22"/>
        </w:rPr>
        <w:t>those undertaking gender studies (at least four recipients in the 2013 intake). In 2013 and 2014 intakes, the proportion of female recipients was higher than male recipients.</w:t>
      </w:r>
      <w:r w:rsidR="00974FDF">
        <w:rPr>
          <w:rFonts w:asciiTheme="minorHAnsi" w:hAnsiTheme="minorHAnsi" w:cstheme="minorHAnsi"/>
          <w:sz w:val="22"/>
          <w:szCs w:val="22"/>
        </w:rPr>
        <w:t xml:space="preserve"> </w:t>
      </w:r>
      <w:r w:rsidR="002061C8">
        <w:rPr>
          <w:rFonts w:asciiTheme="minorHAnsi" w:hAnsiTheme="minorHAnsi" w:cstheme="minorHAnsi"/>
          <w:sz w:val="22"/>
          <w:szCs w:val="22"/>
        </w:rPr>
        <w:t>Australia</w:t>
      </w:r>
      <w:r w:rsidR="002061C8" w:rsidRPr="00D92B41">
        <w:rPr>
          <w:rFonts w:asciiTheme="minorHAnsi" w:hAnsiTheme="minorHAnsi" w:cstheme="minorHAnsi"/>
          <w:sz w:val="22"/>
          <w:szCs w:val="22"/>
        </w:rPr>
        <w:t xml:space="preserve"> </w:t>
      </w:r>
      <w:r w:rsidRPr="00D92B41">
        <w:rPr>
          <w:rFonts w:asciiTheme="minorHAnsi" w:hAnsiTheme="minorHAnsi" w:cstheme="minorHAnsi"/>
          <w:sz w:val="22"/>
          <w:szCs w:val="22"/>
        </w:rPr>
        <w:t xml:space="preserve">continues to work with </w:t>
      </w:r>
      <w:r w:rsidR="003373E9">
        <w:rPr>
          <w:rFonts w:asciiTheme="minorHAnsi" w:hAnsiTheme="minorHAnsi" w:cstheme="minorHAnsi"/>
          <w:sz w:val="22"/>
          <w:szCs w:val="22"/>
        </w:rPr>
        <w:t xml:space="preserve">the </w:t>
      </w:r>
      <w:r w:rsidR="00F413E6">
        <w:rPr>
          <w:rFonts w:asciiTheme="minorHAnsi" w:hAnsiTheme="minorHAnsi" w:cstheme="minorHAnsi"/>
          <w:sz w:val="22"/>
          <w:szCs w:val="22"/>
        </w:rPr>
        <w:t>Solomon Islands Government</w:t>
      </w:r>
      <w:r w:rsidR="003373E9">
        <w:rPr>
          <w:rFonts w:asciiTheme="minorHAnsi" w:hAnsiTheme="minorHAnsi" w:cstheme="minorHAnsi"/>
          <w:sz w:val="22"/>
          <w:szCs w:val="22"/>
        </w:rPr>
        <w:t xml:space="preserve"> a</w:t>
      </w:r>
      <w:r w:rsidRPr="00D92B41">
        <w:rPr>
          <w:rFonts w:asciiTheme="minorHAnsi" w:hAnsiTheme="minorHAnsi" w:cstheme="minorHAnsi"/>
          <w:sz w:val="22"/>
          <w:szCs w:val="22"/>
        </w:rPr>
        <w:t xml:space="preserve">nd other scholarship stakeholders, to ensure that cross-cutting issues—particularly gender, </w:t>
      </w:r>
      <w:r w:rsidRPr="00D92B41">
        <w:rPr>
          <w:rFonts w:asciiTheme="minorHAnsi" w:hAnsiTheme="minorHAnsi" w:cstheme="minorHAnsi"/>
          <w:b/>
          <w:sz w:val="22"/>
          <w:szCs w:val="22"/>
        </w:rPr>
        <w:t>environment and disability</w:t>
      </w:r>
      <w:r w:rsidRPr="00D92B41">
        <w:rPr>
          <w:rFonts w:asciiTheme="minorHAnsi" w:hAnsiTheme="minorHAnsi" w:cstheme="minorHAnsi"/>
          <w:sz w:val="22"/>
          <w:szCs w:val="22"/>
        </w:rPr>
        <w:t>—are addressed. In 2013 four scholarships were awarded in the area</w:t>
      </w:r>
      <w:r w:rsidR="00152CF0">
        <w:rPr>
          <w:rFonts w:asciiTheme="minorHAnsi" w:hAnsiTheme="minorHAnsi" w:cstheme="minorHAnsi"/>
          <w:sz w:val="22"/>
          <w:szCs w:val="22"/>
        </w:rPr>
        <w:t>s</w:t>
      </w:r>
      <w:r w:rsidRPr="00D92B41">
        <w:rPr>
          <w:rFonts w:asciiTheme="minorHAnsi" w:hAnsiTheme="minorHAnsi" w:cstheme="minorHAnsi"/>
          <w:sz w:val="22"/>
          <w:szCs w:val="22"/>
        </w:rPr>
        <w:t xml:space="preserve"> of </w:t>
      </w:r>
      <w:r w:rsidR="00904F5D">
        <w:rPr>
          <w:rFonts w:asciiTheme="minorHAnsi" w:hAnsiTheme="minorHAnsi" w:cstheme="minorHAnsi"/>
          <w:sz w:val="22"/>
          <w:szCs w:val="22"/>
        </w:rPr>
        <w:t xml:space="preserve">environment, </w:t>
      </w:r>
      <w:r w:rsidR="00152CF0" w:rsidRPr="00D92B41">
        <w:rPr>
          <w:rFonts w:asciiTheme="minorHAnsi" w:hAnsiTheme="minorHAnsi" w:cstheme="minorHAnsi"/>
          <w:sz w:val="22"/>
          <w:szCs w:val="22"/>
        </w:rPr>
        <w:t>climate change</w:t>
      </w:r>
      <w:r w:rsidR="00904F5D">
        <w:rPr>
          <w:rFonts w:asciiTheme="minorHAnsi" w:hAnsiTheme="minorHAnsi" w:cstheme="minorHAnsi"/>
          <w:sz w:val="22"/>
          <w:szCs w:val="22"/>
        </w:rPr>
        <w:t>,</w:t>
      </w:r>
      <w:r w:rsidR="00152CF0" w:rsidRPr="00D92B41">
        <w:rPr>
          <w:rFonts w:asciiTheme="minorHAnsi" w:hAnsiTheme="minorHAnsi" w:cstheme="minorHAnsi"/>
          <w:sz w:val="22"/>
          <w:szCs w:val="22"/>
        </w:rPr>
        <w:t xml:space="preserve"> </w:t>
      </w:r>
      <w:r w:rsidRPr="00D92B41">
        <w:rPr>
          <w:rFonts w:asciiTheme="minorHAnsi" w:hAnsiTheme="minorHAnsi" w:cstheme="minorHAnsi"/>
          <w:sz w:val="22"/>
          <w:szCs w:val="22"/>
        </w:rPr>
        <w:t>disability and rehabilitation.</w:t>
      </w:r>
    </w:p>
    <w:p w:rsidR="006D5B03" w:rsidRPr="00D92B41" w:rsidRDefault="00CF1001" w:rsidP="00121815">
      <w:pPr>
        <w:pStyle w:val="Heading3"/>
      </w:pPr>
      <w:r w:rsidRPr="00EB78B3">
        <w:lastRenderedPageBreak/>
        <w:t>Priority Outcome 1 - Improved Service Delivery</w:t>
      </w:r>
      <w:r w:rsidRPr="00B103CC">
        <w:t xml:space="preserve">: </w:t>
      </w:r>
      <w:r w:rsidR="006D5B03" w:rsidRPr="00D92B41">
        <w:t>Health</w:t>
      </w:r>
    </w:p>
    <w:p w:rsidR="006D5B03" w:rsidRPr="00D92B41" w:rsidRDefault="00402B6D" w:rsidP="006D5B03">
      <w:pPr>
        <w:pStyle w:val="ListBullet"/>
        <w:numPr>
          <w:ilvl w:val="0"/>
          <w:numId w:val="0"/>
        </w:numPr>
        <w:tabs>
          <w:tab w:val="clear" w:pos="284"/>
        </w:tabs>
        <w:spacing w:line="240" w:lineRule="auto"/>
        <w:rPr>
          <w:rFonts w:asciiTheme="minorHAnsi" w:hAnsiTheme="minorHAnsi" w:cstheme="minorHAnsi"/>
          <w:sz w:val="22"/>
          <w:szCs w:val="22"/>
        </w:rPr>
      </w:pPr>
      <w:r>
        <w:rPr>
          <w:rFonts w:asciiTheme="minorHAnsi" w:hAnsiTheme="minorHAnsi" w:cstheme="minorHAnsi"/>
          <w:sz w:val="22"/>
          <w:szCs w:val="22"/>
        </w:rPr>
        <w:t>G</w:t>
      </w:r>
      <w:r w:rsidR="006D5B03" w:rsidRPr="00D92B41">
        <w:rPr>
          <w:rFonts w:asciiTheme="minorHAnsi" w:hAnsiTheme="minorHAnsi" w:cstheme="minorHAnsi"/>
          <w:sz w:val="22"/>
          <w:szCs w:val="22"/>
        </w:rPr>
        <w:t>ood health services support</w:t>
      </w:r>
      <w:r>
        <w:rPr>
          <w:rFonts w:asciiTheme="minorHAnsi" w:hAnsiTheme="minorHAnsi" w:cstheme="minorHAnsi"/>
          <w:sz w:val="22"/>
          <w:szCs w:val="22"/>
        </w:rPr>
        <w:t xml:space="preserve"> </w:t>
      </w:r>
      <w:r w:rsidR="006D5B03" w:rsidRPr="00D92B41">
        <w:rPr>
          <w:rFonts w:asciiTheme="minorHAnsi" w:hAnsiTheme="minorHAnsi" w:cstheme="minorHAnsi"/>
          <w:sz w:val="22"/>
          <w:szCs w:val="22"/>
        </w:rPr>
        <w:t xml:space="preserve">Solomon Islands to have </w:t>
      </w:r>
      <w:r>
        <w:rPr>
          <w:rFonts w:asciiTheme="minorHAnsi" w:hAnsiTheme="minorHAnsi" w:cstheme="minorHAnsi"/>
          <w:sz w:val="22"/>
          <w:szCs w:val="22"/>
        </w:rPr>
        <w:t>the</w:t>
      </w:r>
      <w:r w:rsidR="006D5B03" w:rsidRPr="00D92B41">
        <w:rPr>
          <w:rFonts w:asciiTheme="minorHAnsi" w:hAnsiTheme="minorHAnsi" w:cstheme="minorHAnsi"/>
          <w:sz w:val="22"/>
          <w:szCs w:val="22"/>
        </w:rPr>
        <w:t xml:space="preserve"> healthy workforce </w:t>
      </w:r>
      <w:r>
        <w:rPr>
          <w:rFonts w:asciiTheme="minorHAnsi" w:hAnsiTheme="minorHAnsi" w:cstheme="minorHAnsi"/>
          <w:sz w:val="22"/>
          <w:szCs w:val="22"/>
        </w:rPr>
        <w:t xml:space="preserve">needed to grow the economy. </w:t>
      </w:r>
      <w:r w:rsidR="007D3228">
        <w:rPr>
          <w:rFonts w:ascii="Calibri" w:hAnsi="Calibri" w:cs="Calibri"/>
          <w:sz w:val="22"/>
          <w:szCs w:val="22"/>
        </w:rPr>
        <w:t>Progress is rated amber– despite improvements in several key indicators such as declining maternal and infant mortality rates, areas for improvement in effective delivery of health services remain. However, the Ministry did meet the majority of performance targets as confirmed by independent assessment in May 2014.</w:t>
      </w:r>
      <w:r w:rsidR="00401292">
        <w:rPr>
          <w:rFonts w:asciiTheme="minorHAnsi" w:hAnsiTheme="minorHAnsi" w:cstheme="minorHAnsi"/>
          <w:sz w:val="22"/>
          <w:szCs w:val="22"/>
        </w:rPr>
        <w:t xml:space="preserve"> </w:t>
      </w:r>
      <w:r w:rsidR="006D5B03" w:rsidRPr="00D92B41">
        <w:rPr>
          <w:rFonts w:asciiTheme="minorHAnsi" w:hAnsiTheme="minorHAnsi" w:cstheme="minorHAnsi"/>
          <w:sz w:val="22"/>
          <w:szCs w:val="22"/>
        </w:rPr>
        <w:t xml:space="preserve">Specific assessments against </w:t>
      </w:r>
      <w:r w:rsidR="006D5B03" w:rsidRPr="00D92B41">
        <w:rPr>
          <w:rFonts w:asciiTheme="minorHAnsi" w:hAnsiTheme="minorHAnsi" w:cstheme="minorHAnsi"/>
          <w:b/>
          <w:sz w:val="22"/>
          <w:szCs w:val="22"/>
        </w:rPr>
        <w:t>PAF Targets</w:t>
      </w:r>
      <w:r w:rsidR="006D5B03" w:rsidRPr="00D92B41">
        <w:rPr>
          <w:rFonts w:asciiTheme="minorHAnsi" w:hAnsiTheme="minorHAnsi" w:cstheme="minorHAnsi"/>
          <w:sz w:val="22"/>
          <w:szCs w:val="22"/>
        </w:rPr>
        <w:t xml:space="preserve"> are at </w:t>
      </w:r>
      <w:r w:rsidR="006D5B03" w:rsidRPr="00D92B41">
        <w:rPr>
          <w:rFonts w:asciiTheme="minorHAnsi" w:hAnsiTheme="minorHAnsi" w:cstheme="minorHAnsi"/>
          <w:sz w:val="22"/>
          <w:szCs w:val="22"/>
          <w:u w:val="single"/>
        </w:rPr>
        <w:t xml:space="preserve">Attachment </w:t>
      </w:r>
      <w:r w:rsidR="00BE3048">
        <w:rPr>
          <w:rFonts w:asciiTheme="minorHAnsi" w:hAnsiTheme="minorHAnsi" w:cstheme="minorHAnsi"/>
          <w:sz w:val="22"/>
          <w:szCs w:val="22"/>
          <w:u w:val="single"/>
        </w:rPr>
        <w:t>2</w:t>
      </w:r>
      <w:r w:rsidR="006D5B03" w:rsidRPr="00D92B41">
        <w:rPr>
          <w:rFonts w:asciiTheme="minorHAnsi" w:hAnsiTheme="minorHAnsi" w:cstheme="minorHAnsi"/>
          <w:sz w:val="22"/>
          <w:szCs w:val="22"/>
        </w:rPr>
        <w:t>.</w:t>
      </w:r>
    </w:p>
    <w:p w:rsidR="002D3E0C" w:rsidRPr="00051B6E" w:rsidRDefault="00402B6D" w:rsidP="00912585">
      <w:pPr>
        <w:pStyle w:val="ListBullet"/>
        <w:numPr>
          <w:ilvl w:val="0"/>
          <w:numId w:val="0"/>
        </w:numPr>
        <w:tabs>
          <w:tab w:val="clear" w:pos="284"/>
        </w:tabs>
        <w:spacing w:line="240" w:lineRule="auto"/>
        <w:rPr>
          <w:rFonts w:ascii="Calibri" w:hAnsi="Calibri"/>
          <w:sz w:val="22"/>
          <w:szCs w:val="22"/>
        </w:rPr>
      </w:pPr>
      <w:r>
        <w:rPr>
          <w:rFonts w:ascii="Calibri" w:hAnsi="Calibri"/>
          <w:sz w:val="22"/>
          <w:szCs w:val="22"/>
        </w:rPr>
        <w:t>Falling m</w:t>
      </w:r>
      <w:r w:rsidR="002D3E0C" w:rsidRPr="00051B6E">
        <w:rPr>
          <w:rFonts w:ascii="Calibri" w:hAnsi="Calibri"/>
          <w:sz w:val="22"/>
          <w:szCs w:val="22"/>
        </w:rPr>
        <w:t>aternal and infant mortality rates</w:t>
      </w:r>
      <w:r>
        <w:rPr>
          <w:rFonts w:ascii="Calibri" w:hAnsi="Calibri"/>
          <w:sz w:val="22"/>
          <w:szCs w:val="22"/>
        </w:rPr>
        <w:t>–</w:t>
      </w:r>
      <w:r w:rsidRPr="00051B6E">
        <w:rPr>
          <w:rFonts w:ascii="Calibri" w:hAnsi="Calibri"/>
          <w:sz w:val="22"/>
          <w:szCs w:val="22"/>
        </w:rPr>
        <w:t xml:space="preserve">due to increases in skilled birth </w:t>
      </w:r>
      <w:r w:rsidR="00D63FF0" w:rsidRPr="00051B6E">
        <w:rPr>
          <w:rFonts w:ascii="Calibri" w:hAnsi="Calibri"/>
          <w:sz w:val="22"/>
          <w:szCs w:val="22"/>
        </w:rPr>
        <w:t>attendance</w:t>
      </w:r>
      <w:r w:rsidRPr="00051B6E">
        <w:rPr>
          <w:rFonts w:ascii="Calibri" w:hAnsi="Calibri"/>
          <w:sz w:val="22"/>
          <w:szCs w:val="22"/>
        </w:rPr>
        <w:t xml:space="preserve"> and in the availability of essential medicine</w:t>
      </w:r>
      <w:r>
        <w:rPr>
          <w:rFonts w:ascii="Calibri" w:hAnsi="Calibri"/>
          <w:sz w:val="22"/>
          <w:szCs w:val="22"/>
        </w:rPr>
        <w:t>–demonstrate</w:t>
      </w:r>
      <w:r w:rsidR="002D3E0C" w:rsidRPr="00051B6E">
        <w:rPr>
          <w:rFonts w:ascii="Calibri" w:hAnsi="Calibri"/>
          <w:sz w:val="22"/>
          <w:szCs w:val="22"/>
        </w:rPr>
        <w:t xml:space="preserve"> a strengthened health system</w:t>
      </w:r>
      <w:r w:rsidR="00EC3A11">
        <w:rPr>
          <w:rFonts w:ascii="Calibri" w:hAnsi="Calibri"/>
          <w:sz w:val="22"/>
          <w:szCs w:val="22"/>
        </w:rPr>
        <w:t>, and are</w:t>
      </w:r>
      <w:r w:rsidR="002D3E0C" w:rsidRPr="00051B6E">
        <w:rPr>
          <w:rFonts w:ascii="Calibri" w:hAnsi="Calibri"/>
          <w:sz w:val="22"/>
          <w:szCs w:val="22"/>
        </w:rPr>
        <w:t xml:space="preserve"> the program’s key achievements.  </w:t>
      </w:r>
    </w:p>
    <w:p w:rsidR="006D5B03" w:rsidRPr="00051B6E" w:rsidRDefault="006D5B03" w:rsidP="006D5B03">
      <w:pPr>
        <w:pStyle w:val="ListBullet"/>
        <w:numPr>
          <w:ilvl w:val="0"/>
          <w:numId w:val="0"/>
        </w:numPr>
        <w:tabs>
          <w:tab w:val="clear" w:pos="284"/>
        </w:tabs>
        <w:spacing w:line="240" w:lineRule="auto"/>
        <w:rPr>
          <w:rFonts w:ascii="Calibri" w:hAnsi="Calibri"/>
          <w:sz w:val="22"/>
          <w:szCs w:val="22"/>
        </w:rPr>
      </w:pPr>
      <w:r w:rsidRPr="00051B6E">
        <w:rPr>
          <w:rFonts w:ascii="Calibri" w:hAnsi="Calibri"/>
          <w:sz w:val="22"/>
          <w:szCs w:val="22"/>
        </w:rPr>
        <w:t>In 2013 the Pharmacy Division successfully completed the Central Province Medical Supplies Distribution Pilot and develop</w:t>
      </w:r>
      <w:r w:rsidR="00EC3A11">
        <w:rPr>
          <w:rFonts w:ascii="Calibri" w:hAnsi="Calibri"/>
          <w:sz w:val="22"/>
          <w:szCs w:val="22"/>
        </w:rPr>
        <w:t>ed</w:t>
      </w:r>
      <w:r w:rsidRPr="00051B6E">
        <w:rPr>
          <w:rFonts w:ascii="Calibri" w:hAnsi="Calibri"/>
          <w:sz w:val="22"/>
          <w:szCs w:val="22"/>
        </w:rPr>
        <w:t xml:space="preserve"> a dist</w:t>
      </w:r>
      <w:r w:rsidR="00402B6D">
        <w:rPr>
          <w:rFonts w:ascii="Calibri" w:hAnsi="Calibri"/>
          <w:sz w:val="22"/>
          <w:szCs w:val="22"/>
        </w:rPr>
        <w:t xml:space="preserve">ribution plan for the </w:t>
      </w:r>
      <w:r w:rsidR="00EC3A11">
        <w:rPr>
          <w:rFonts w:ascii="Calibri" w:hAnsi="Calibri"/>
          <w:sz w:val="22"/>
          <w:szCs w:val="22"/>
        </w:rPr>
        <w:t xml:space="preserve">remainder of the </w:t>
      </w:r>
      <w:r w:rsidR="00402B6D">
        <w:rPr>
          <w:rFonts w:ascii="Calibri" w:hAnsi="Calibri"/>
          <w:sz w:val="22"/>
          <w:szCs w:val="22"/>
        </w:rPr>
        <w:t>country. As a result</w:t>
      </w:r>
      <w:r w:rsidRPr="00051B6E">
        <w:rPr>
          <w:rFonts w:ascii="Calibri" w:hAnsi="Calibri"/>
          <w:sz w:val="22"/>
          <w:szCs w:val="22"/>
        </w:rPr>
        <w:t xml:space="preserve"> availability </w:t>
      </w:r>
      <w:r w:rsidR="007E29B7" w:rsidRPr="00051B6E">
        <w:rPr>
          <w:rFonts w:ascii="Calibri" w:hAnsi="Calibri"/>
          <w:sz w:val="22"/>
          <w:szCs w:val="22"/>
        </w:rPr>
        <w:t xml:space="preserve">of essential lifesaving medicine </w:t>
      </w:r>
      <w:r w:rsidR="00402B6D">
        <w:rPr>
          <w:rFonts w:ascii="Calibri" w:hAnsi="Calibri"/>
          <w:sz w:val="22"/>
          <w:szCs w:val="22"/>
        </w:rPr>
        <w:t>increased</w:t>
      </w:r>
      <w:r w:rsidR="007E29B7" w:rsidRPr="00051B6E">
        <w:rPr>
          <w:rFonts w:ascii="Calibri" w:hAnsi="Calibri"/>
          <w:sz w:val="22"/>
          <w:szCs w:val="22"/>
        </w:rPr>
        <w:t xml:space="preserve"> </w:t>
      </w:r>
      <w:r w:rsidRPr="00051B6E">
        <w:rPr>
          <w:rFonts w:ascii="Calibri" w:hAnsi="Calibri"/>
          <w:sz w:val="22"/>
          <w:szCs w:val="22"/>
        </w:rPr>
        <w:t>at rural health clinic</w:t>
      </w:r>
      <w:r w:rsidR="00402B6D">
        <w:rPr>
          <w:rFonts w:ascii="Calibri" w:hAnsi="Calibri"/>
          <w:sz w:val="22"/>
          <w:szCs w:val="22"/>
        </w:rPr>
        <w:t xml:space="preserve">s </w:t>
      </w:r>
      <w:r w:rsidRPr="00051B6E">
        <w:rPr>
          <w:rFonts w:ascii="Calibri" w:hAnsi="Calibri"/>
          <w:sz w:val="22"/>
          <w:szCs w:val="22"/>
        </w:rPr>
        <w:t>(from 58 per cent to more than 80 per cent)</w:t>
      </w:r>
      <w:r w:rsidR="009E546D" w:rsidRPr="00051B6E">
        <w:rPr>
          <w:rFonts w:ascii="Calibri" w:hAnsi="Calibri"/>
          <w:sz w:val="22"/>
          <w:szCs w:val="22"/>
        </w:rPr>
        <w:t xml:space="preserve"> and a</w:t>
      </w:r>
      <w:r w:rsidRPr="00051B6E">
        <w:rPr>
          <w:rFonts w:ascii="Calibri" w:hAnsi="Calibri"/>
          <w:sz w:val="22"/>
          <w:szCs w:val="22"/>
        </w:rPr>
        <w:t>t provincial hospital</w:t>
      </w:r>
      <w:r w:rsidR="00EC3A11">
        <w:rPr>
          <w:rFonts w:ascii="Calibri" w:hAnsi="Calibri"/>
          <w:sz w:val="22"/>
          <w:szCs w:val="22"/>
        </w:rPr>
        <w:t>s</w:t>
      </w:r>
      <w:r w:rsidRPr="00051B6E">
        <w:rPr>
          <w:rFonts w:ascii="Calibri" w:hAnsi="Calibri"/>
          <w:sz w:val="22"/>
          <w:szCs w:val="22"/>
        </w:rPr>
        <w:t xml:space="preserve"> </w:t>
      </w:r>
      <w:r w:rsidR="009E546D" w:rsidRPr="00051B6E">
        <w:rPr>
          <w:rFonts w:ascii="Calibri" w:hAnsi="Calibri"/>
          <w:sz w:val="22"/>
          <w:szCs w:val="22"/>
        </w:rPr>
        <w:t>(</w:t>
      </w:r>
      <w:r w:rsidRPr="00051B6E">
        <w:rPr>
          <w:rFonts w:ascii="Calibri" w:hAnsi="Calibri"/>
          <w:sz w:val="22"/>
          <w:szCs w:val="22"/>
        </w:rPr>
        <w:t>from less than 65 per cent in 2010 to over 88 per cent in 2013</w:t>
      </w:r>
      <w:r w:rsidR="009E546D" w:rsidRPr="00051B6E">
        <w:rPr>
          <w:rFonts w:ascii="Calibri" w:hAnsi="Calibri"/>
          <w:sz w:val="22"/>
          <w:szCs w:val="22"/>
        </w:rPr>
        <w:t>-14</w:t>
      </w:r>
      <w:r w:rsidRPr="00051B6E">
        <w:rPr>
          <w:rFonts w:ascii="Calibri" w:hAnsi="Calibri"/>
          <w:sz w:val="22"/>
          <w:szCs w:val="22"/>
        </w:rPr>
        <w:t>.</w:t>
      </w:r>
      <w:r w:rsidR="009E546D" w:rsidRPr="00051B6E">
        <w:rPr>
          <w:rFonts w:ascii="Calibri" w:hAnsi="Calibri"/>
          <w:sz w:val="22"/>
          <w:szCs w:val="22"/>
        </w:rPr>
        <w:t>)</w:t>
      </w:r>
      <w:r w:rsidRPr="00051B6E">
        <w:rPr>
          <w:rFonts w:ascii="Calibri" w:hAnsi="Calibri"/>
          <w:sz w:val="22"/>
          <w:szCs w:val="22"/>
        </w:rPr>
        <w:t xml:space="preserve"> </w:t>
      </w:r>
      <w:r w:rsidR="007E29B7" w:rsidRPr="00051B6E">
        <w:rPr>
          <w:rFonts w:ascii="Calibri" w:hAnsi="Calibri"/>
          <w:sz w:val="22"/>
          <w:szCs w:val="22"/>
        </w:rPr>
        <w:t>These results were independently verified in July 2014.</w:t>
      </w:r>
    </w:p>
    <w:p w:rsidR="006D5B03" w:rsidRPr="00D92B41" w:rsidRDefault="00B513B2" w:rsidP="00912585">
      <w:pPr>
        <w:pStyle w:val="ListBullet"/>
        <w:numPr>
          <w:ilvl w:val="0"/>
          <w:numId w:val="0"/>
        </w:numPr>
        <w:tabs>
          <w:tab w:val="clear" w:pos="284"/>
        </w:tabs>
        <w:spacing w:line="240" w:lineRule="auto"/>
        <w:rPr>
          <w:rFonts w:asciiTheme="minorHAnsi" w:hAnsiTheme="minorHAnsi" w:cstheme="minorHAnsi"/>
          <w:sz w:val="22"/>
          <w:szCs w:val="22"/>
        </w:rPr>
      </w:pPr>
      <w:r w:rsidRPr="002B1DD5">
        <w:rPr>
          <w:rFonts w:ascii="Calibri" w:hAnsi="Calibri"/>
          <w:sz w:val="22"/>
          <w:szCs w:val="22"/>
        </w:rPr>
        <w:t>Reduction in malaria rates is a significant achievement of the program.</w:t>
      </w:r>
      <w:r w:rsidR="002D3E0C" w:rsidRPr="00912585">
        <w:rPr>
          <w:rFonts w:asciiTheme="minorHAnsi" w:hAnsiTheme="minorHAnsi" w:cstheme="minorHAnsi"/>
          <w:sz w:val="22"/>
          <w:szCs w:val="22"/>
        </w:rPr>
        <w:t>  Malaria is also one of the leading causes of death in Solomon Islands. </w:t>
      </w:r>
      <w:r w:rsidR="002D3E0C">
        <w:rPr>
          <w:color w:val="1F497D"/>
        </w:rPr>
        <w:t xml:space="preserve"> </w:t>
      </w:r>
      <w:r w:rsidR="006D5B03" w:rsidRPr="00D92B41">
        <w:rPr>
          <w:rFonts w:asciiTheme="minorHAnsi" w:hAnsiTheme="minorHAnsi" w:cstheme="minorHAnsi"/>
          <w:sz w:val="22"/>
          <w:szCs w:val="22"/>
        </w:rPr>
        <w:t>The</w:t>
      </w:r>
      <w:r w:rsidR="00401292">
        <w:rPr>
          <w:rFonts w:asciiTheme="minorHAnsi" w:hAnsiTheme="minorHAnsi" w:cstheme="minorHAnsi"/>
          <w:sz w:val="22"/>
          <w:szCs w:val="22"/>
        </w:rPr>
        <w:t xml:space="preserve"> </w:t>
      </w:r>
      <w:r w:rsidR="00E429E1">
        <w:rPr>
          <w:rFonts w:asciiTheme="minorHAnsi" w:hAnsiTheme="minorHAnsi" w:cstheme="minorHAnsi"/>
          <w:sz w:val="22"/>
          <w:szCs w:val="22"/>
        </w:rPr>
        <w:t xml:space="preserve">dramatic decreases in malaria rates over previous years have plateaued, </w:t>
      </w:r>
      <w:r w:rsidR="0053342A">
        <w:rPr>
          <w:rFonts w:asciiTheme="minorHAnsi" w:hAnsiTheme="minorHAnsi" w:cstheme="minorHAnsi"/>
          <w:sz w:val="22"/>
          <w:szCs w:val="22"/>
        </w:rPr>
        <w:t>and</w:t>
      </w:r>
      <w:r w:rsidR="00E429E1">
        <w:rPr>
          <w:rFonts w:asciiTheme="minorHAnsi" w:hAnsiTheme="minorHAnsi" w:cstheme="minorHAnsi"/>
          <w:sz w:val="22"/>
          <w:szCs w:val="22"/>
        </w:rPr>
        <w:t xml:space="preserve"> the </w:t>
      </w:r>
      <w:r w:rsidR="00401292">
        <w:rPr>
          <w:rFonts w:asciiTheme="minorHAnsi" w:hAnsiTheme="minorHAnsi" w:cstheme="minorHAnsi"/>
          <w:sz w:val="22"/>
          <w:szCs w:val="22"/>
        </w:rPr>
        <w:t>malaria</w:t>
      </w:r>
      <w:r w:rsidR="00950DD0">
        <w:rPr>
          <w:rFonts w:asciiTheme="minorHAnsi" w:hAnsiTheme="minorHAnsi" w:cstheme="minorHAnsi"/>
          <w:sz w:val="22"/>
          <w:szCs w:val="22"/>
        </w:rPr>
        <w:t>-</w:t>
      </w:r>
      <w:r w:rsidR="006D5B03" w:rsidRPr="00D92B41">
        <w:rPr>
          <w:rFonts w:asciiTheme="minorHAnsi" w:hAnsiTheme="minorHAnsi" w:cstheme="minorHAnsi"/>
          <w:sz w:val="22"/>
          <w:szCs w:val="22"/>
        </w:rPr>
        <w:t xml:space="preserve">incidence rate </w:t>
      </w:r>
      <w:r w:rsidR="0053342A">
        <w:rPr>
          <w:rFonts w:asciiTheme="minorHAnsi" w:hAnsiTheme="minorHAnsi" w:cstheme="minorHAnsi"/>
          <w:sz w:val="22"/>
          <w:szCs w:val="22"/>
        </w:rPr>
        <w:t xml:space="preserve">is </w:t>
      </w:r>
      <w:r w:rsidR="006D5B03" w:rsidRPr="00D92B41">
        <w:rPr>
          <w:rFonts w:asciiTheme="minorHAnsi" w:hAnsiTheme="minorHAnsi" w:cstheme="minorHAnsi"/>
          <w:sz w:val="22"/>
          <w:szCs w:val="22"/>
        </w:rPr>
        <w:t xml:space="preserve">now 45 </w:t>
      </w:r>
      <w:r w:rsidR="00117B79">
        <w:rPr>
          <w:rFonts w:asciiTheme="minorHAnsi" w:hAnsiTheme="minorHAnsi" w:cstheme="minorHAnsi"/>
          <w:sz w:val="22"/>
          <w:szCs w:val="22"/>
        </w:rPr>
        <w:t xml:space="preserve">cases </w:t>
      </w:r>
      <w:r w:rsidR="006D5B03" w:rsidRPr="00D92B41">
        <w:rPr>
          <w:rFonts w:asciiTheme="minorHAnsi" w:hAnsiTheme="minorHAnsi" w:cstheme="minorHAnsi"/>
          <w:sz w:val="22"/>
          <w:szCs w:val="22"/>
        </w:rPr>
        <w:t>per thousand people</w:t>
      </w:r>
      <w:r w:rsidR="00F9572E">
        <w:rPr>
          <w:rFonts w:asciiTheme="minorHAnsi" w:hAnsiTheme="minorHAnsi" w:cstheme="minorHAnsi"/>
          <w:sz w:val="22"/>
          <w:szCs w:val="22"/>
        </w:rPr>
        <w:t xml:space="preserve">–close to the target of 40 cases per thousand people by 2015. </w:t>
      </w:r>
      <w:r w:rsidR="0053342A">
        <w:rPr>
          <w:rFonts w:asciiTheme="minorHAnsi" w:hAnsiTheme="minorHAnsi" w:cstheme="minorHAnsi"/>
          <w:sz w:val="22"/>
          <w:szCs w:val="22"/>
        </w:rPr>
        <w:t>This is c</w:t>
      </w:r>
      <w:r w:rsidR="006D5B03" w:rsidRPr="00D92B41">
        <w:rPr>
          <w:rFonts w:asciiTheme="minorHAnsi" w:hAnsiTheme="minorHAnsi" w:cstheme="minorHAnsi"/>
          <w:sz w:val="22"/>
          <w:szCs w:val="22"/>
        </w:rPr>
        <w:t>ompared with 199 per thousand in 2003.</w:t>
      </w:r>
      <w:r w:rsidR="00A34882">
        <w:rPr>
          <w:rFonts w:asciiTheme="minorHAnsi" w:hAnsiTheme="minorHAnsi" w:cstheme="minorHAnsi"/>
          <w:sz w:val="22"/>
          <w:szCs w:val="22"/>
        </w:rPr>
        <w:t xml:space="preserve"> T</w:t>
      </w:r>
      <w:r w:rsidR="00E429E1">
        <w:rPr>
          <w:rFonts w:asciiTheme="minorHAnsi" w:hAnsiTheme="minorHAnsi" w:cstheme="minorHAnsi"/>
          <w:sz w:val="22"/>
          <w:szCs w:val="22"/>
        </w:rPr>
        <w:t>he pr</w:t>
      </w:r>
      <w:r w:rsidR="00E429E1" w:rsidRPr="00D92B41">
        <w:rPr>
          <w:rFonts w:asciiTheme="minorHAnsi" w:hAnsiTheme="minorHAnsi" w:cstheme="minorHAnsi"/>
          <w:sz w:val="22"/>
          <w:szCs w:val="22"/>
        </w:rPr>
        <w:t xml:space="preserve">oportion of clinics with rapid diagnostic tests or microscopes increased to 97 per </w:t>
      </w:r>
      <w:r w:rsidR="00E429E1">
        <w:rPr>
          <w:rFonts w:asciiTheme="minorHAnsi" w:hAnsiTheme="minorHAnsi" w:cstheme="minorHAnsi"/>
          <w:sz w:val="22"/>
          <w:szCs w:val="22"/>
        </w:rPr>
        <w:t>cent (from 80 per cent in 2010).</w:t>
      </w:r>
      <w:r w:rsidR="00E429E1" w:rsidRPr="00D92B41">
        <w:rPr>
          <w:rFonts w:asciiTheme="minorHAnsi" w:hAnsiTheme="minorHAnsi" w:cstheme="minorHAnsi"/>
          <w:sz w:val="22"/>
          <w:szCs w:val="22"/>
        </w:rPr>
        <w:t xml:space="preserve"> </w:t>
      </w:r>
      <w:r w:rsidR="006D5B03" w:rsidRPr="00D92B41">
        <w:rPr>
          <w:rFonts w:asciiTheme="minorHAnsi" w:hAnsiTheme="minorHAnsi" w:cstheme="minorHAnsi"/>
          <w:sz w:val="22"/>
          <w:szCs w:val="22"/>
        </w:rPr>
        <w:t>In 2013</w:t>
      </w:r>
      <w:r w:rsidR="009E546D">
        <w:rPr>
          <w:rFonts w:asciiTheme="minorHAnsi" w:hAnsiTheme="minorHAnsi" w:cstheme="minorHAnsi"/>
          <w:sz w:val="22"/>
          <w:szCs w:val="22"/>
        </w:rPr>
        <w:t>-14</w:t>
      </w:r>
      <w:r w:rsidR="006D5B03" w:rsidRPr="00D92B41">
        <w:rPr>
          <w:rFonts w:asciiTheme="minorHAnsi" w:hAnsiTheme="minorHAnsi" w:cstheme="minorHAnsi"/>
          <w:sz w:val="22"/>
          <w:szCs w:val="22"/>
        </w:rPr>
        <w:t xml:space="preserve"> Australia helped distribute 377,312 insecticide treated bed nets. </w:t>
      </w:r>
    </w:p>
    <w:p w:rsidR="006D5B03" w:rsidRPr="00D92B41" w:rsidRDefault="00445E6A" w:rsidP="006D5B03">
      <w:pPr>
        <w:pStyle w:val="ListBullet"/>
        <w:numPr>
          <w:ilvl w:val="0"/>
          <w:numId w:val="0"/>
        </w:numPr>
        <w:tabs>
          <w:tab w:val="clear" w:pos="284"/>
        </w:tabs>
        <w:spacing w:line="240" w:lineRule="auto"/>
        <w:rPr>
          <w:rFonts w:asciiTheme="minorHAnsi" w:hAnsiTheme="minorHAnsi" w:cstheme="minorHAnsi"/>
          <w:sz w:val="22"/>
          <w:szCs w:val="22"/>
        </w:rPr>
      </w:pPr>
      <w:r>
        <w:rPr>
          <w:rFonts w:asciiTheme="minorHAnsi" w:hAnsiTheme="minorHAnsi" w:cstheme="minorHAnsi"/>
          <w:sz w:val="22"/>
          <w:szCs w:val="22"/>
        </w:rPr>
        <w:t>Australia</w:t>
      </w:r>
      <w:r w:rsidR="006D5B03" w:rsidRPr="00D92B41">
        <w:rPr>
          <w:rFonts w:asciiTheme="minorHAnsi" w:hAnsiTheme="minorHAnsi" w:cstheme="minorHAnsi"/>
          <w:sz w:val="22"/>
          <w:szCs w:val="22"/>
        </w:rPr>
        <w:t xml:space="preserve"> </w:t>
      </w:r>
      <w:r w:rsidR="000543E8">
        <w:rPr>
          <w:rFonts w:asciiTheme="minorHAnsi" w:hAnsiTheme="minorHAnsi" w:cstheme="minorHAnsi"/>
          <w:sz w:val="22"/>
          <w:szCs w:val="22"/>
        </w:rPr>
        <w:t>use</w:t>
      </w:r>
      <w:r>
        <w:rPr>
          <w:rFonts w:asciiTheme="minorHAnsi" w:hAnsiTheme="minorHAnsi" w:cstheme="minorHAnsi"/>
          <w:sz w:val="22"/>
          <w:szCs w:val="22"/>
        </w:rPr>
        <w:t>s</w:t>
      </w:r>
      <w:r w:rsidR="006D5B03" w:rsidRPr="00D92B41">
        <w:rPr>
          <w:rFonts w:asciiTheme="minorHAnsi" w:hAnsiTheme="minorHAnsi" w:cstheme="minorHAnsi"/>
          <w:sz w:val="22"/>
          <w:szCs w:val="22"/>
        </w:rPr>
        <w:t xml:space="preserve"> </w:t>
      </w:r>
      <w:r w:rsidR="006D5B03" w:rsidRPr="00D92B41">
        <w:rPr>
          <w:rFonts w:asciiTheme="minorHAnsi" w:hAnsiTheme="minorHAnsi" w:cstheme="minorHAnsi"/>
          <w:b/>
          <w:sz w:val="22"/>
          <w:szCs w:val="22"/>
        </w:rPr>
        <w:t>policy dialogue</w:t>
      </w:r>
      <w:r w:rsidR="006D5B03" w:rsidRPr="00D92B41">
        <w:rPr>
          <w:rFonts w:asciiTheme="minorHAnsi" w:hAnsiTheme="minorHAnsi" w:cstheme="minorHAnsi"/>
          <w:sz w:val="22"/>
          <w:szCs w:val="22"/>
        </w:rPr>
        <w:t xml:space="preserve"> to </w:t>
      </w:r>
      <w:r w:rsidR="000543E8">
        <w:rPr>
          <w:rFonts w:asciiTheme="minorHAnsi" w:hAnsiTheme="minorHAnsi" w:cstheme="minorHAnsi"/>
          <w:sz w:val="22"/>
          <w:szCs w:val="22"/>
        </w:rPr>
        <w:t>improve</w:t>
      </w:r>
      <w:r w:rsidR="006D5B03" w:rsidRPr="00D92B41">
        <w:rPr>
          <w:rFonts w:asciiTheme="minorHAnsi" w:hAnsiTheme="minorHAnsi" w:cstheme="minorHAnsi"/>
          <w:sz w:val="22"/>
          <w:szCs w:val="22"/>
        </w:rPr>
        <w:t xml:space="preserve"> health outcomes </w:t>
      </w:r>
      <w:r w:rsidR="000543E8">
        <w:rPr>
          <w:rFonts w:asciiTheme="minorHAnsi" w:hAnsiTheme="minorHAnsi" w:cstheme="minorHAnsi"/>
          <w:sz w:val="22"/>
          <w:szCs w:val="22"/>
        </w:rPr>
        <w:t xml:space="preserve">and </w:t>
      </w:r>
      <w:r w:rsidR="006D5B03" w:rsidRPr="00D92B41">
        <w:rPr>
          <w:rFonts w:asciiTheme="minorHAnsi" w:hAnsiTheme="minorHAnsi" w:cstheme="minorHAnsi"/>
          <w:sz w:val="22"/>
          <w:szCs w:val="22"/>
        </w:rPr>
        <w:t xml:space="preserve">protect the system from deterioration. </w:t>
      </w:r>
      <w:r>
        <w:rPr>
          <w:rFonts w:asciiTheme="minorHAnsi" w:hAnsiTheme="minorHAnsi" w:cstheme="minorHAnsi"/>
          <w:sz w:val="22"/>
          <w:szCs w:val="22"/>
        </w:rPr>
        <w:t>Australia’s</w:t>
      </w:r>
      <w:r w:rsidR="006D5B03" w:rsidRPr="00D92B41">
        <w:rPr>
          <w:rFonts w:asciiTheme="minorHAnsi" w:hAnsiTheme="minorHAnsi" w:cstheme="minorHAnsi"/>
          <w:sz w:val="22"/>
          <w:szCs w:val="22"/>
        </w:rPr>
        <w:t xml:space="preserve"> financial support </w:t>
      </w:r>
      <w:r>
        <w:rPr>
          <w:rFonts w:asciiTheme="minorHAnsi" w:hAnsiTheme="minorHAnsi" w:cstheme="minorHAnsi"/>
          <w:sz w:val="22"/>
          <w:szCs w:val="22"/>
        </w:rPr>
        <w:t xml:space="preserve">is </w:t>
      </w:r>
      <w:r w:rsidR="00670871">
        <w:rPr>
          <w:rFonts w:asciiTheme="minorHAnsi" w:hAnsiTheme="minorHAnsi" w:cstheme="minorHAnsi"/>
          <w:sz w:val="22"/>
          <w:szCs w:val="22"/>
        </w:rPr>
        <w:t>complement</w:t>
      </w:r>
      <w:r>
        <w:rPr>
          <w:rFonts w:asciiTheme="minorHAnsi" w:hAnsiTheme="minorHAnsi" w:cstheme="minorHAnsi"/>
          <w:sz w:val="22"/>
          <w:szCs w:val="22"/>
        </w:rPr>
        <w:t xml:space="preserve">ed </w:t>
      </w:r>
      <w:r w:rsidR="006D5B03" w:rsidRPr="00D92B41">
        <w:rPr>
          <w:rFonts w:asciiTheme="minorHAnsi" w:hAnsiTheme="minorHAnsi" w:cstheme="minorHAnsi"/>
          <w:sz w:val="22"/>
          <w:szCs w:val="22"/>
        </w:rPr>
        <w:t xml:space="preserve">with targeted </w:t>
      </w:r>
      <w:r w:rsidR="00117B79">
        <w:rPr>
          <w:rFonts w:asciiTheme="minorHAnsi" w:hAnsiTheme="minorHAnsi" w:cstheme="minorHAnsi"/>
          <w:sz w:val="22"/>
          <w:szCs w:val="22"/>
        </w:rPr>
        <w:t>advice and technical support</w:t>
      </w:r>
      <w:r w:rsidR="000543E8">
        <w:rPr>
          <w:rFonts w:asciiTheme="minorHAnsi" w:hAnsiTheme="minorHAnsi" w:cstheme="minorHAnsi"/>
          <w:sz w:val="22"/>
          <w:szCs w:val="22"/>
        </w:rPr>
        <w:t xml:space="preserve"> and leverag</w:t>
      </w:r>
      <w:r w:rsidR="003173BB">
        <w:rPr>
          <w:rFonts w:asciiTheme="minorHAnsi" w:hAnsiTheme="minorHAnsi" w:cstheme="minorHAnsi"/>
          <w:sz w:val="22"/>
          <w:szCs w:val="22"/>
        </w:rPr>
        <w:t>e</w:t>
      </w:r>
      <w:r w:rsidR="00826828">
        <w:rPr>
          <w:rFonts w:asciiTheme="minorHAnsi" w:hAnsiTheme="minorHAnsi" w:cstheme="minorHAnsi"/>
          <w:sz w:val="22"/>
          <w:szCs w:val="22"/>
        </w:rPr>
        <w:t>s</w:t>
      </w:r>
      <w:r w:rsidR="006D5B03" w:rsidRPr="00D92B41">
        <w:rPr>
          <w:rFonts w:asciiTheme="minorHAnsi" w:hAnsiTheme="minorHAnsi" w:cstheme="minorHAnsi"/>
          <w:sz w:val="22"/>
          <w:szCs w:val="22"/>
        </w:rPr>
        <w:t xml:space="preserve"> value from other donors, including multilateral partners. </w:t>
      </w:r>
      <w:r w:rsidR="00117B79">
        <w:rPr>
          <w:rFonts w:asciiTheme="minorHAnsi" w:hAnsiTheme="minorHAnsi" w:cstheme="minorHAnsi"/>
          <w:sz w:val="22"/>
          <w:szCs w:val="22"/>
        </w:rPr>
        <w:t>A</w:t>
      </w:r>
      <w:r w:rsidR="006D5B03" w:rsidRPr="00D92B41">
        <w:rPr>
          <w:rFonts w:asciiTheme="minorHAnsi" w:hAnsiTheme="minorHAnsi" w:cstheme="minorHAnsi"/>
          <w:sz w:val="22"/>
          <w:szCs w:val="22"/>
        </w:rPr>
        <w:t xml:space="preserve"> health facility costing study will improve resource allocation. Coordination between development partners is strong, </w:t>
      </w:r>
      <w:r w:rsidR="000543E8">
        <w:rPr>
          <w:rFonts w:asciiTheme="minorHAnsi" w:hAnsiTheme="minorHAnsi" w:cstheme="minorHAnsi"/>
          <w:sz w:val="22"/>
          <w:szCs w:val="22"/>
        </w:rPr>
        <w:t xml:space="preserve">with monthly </w:t>
      </w:r>
      <w:r w:rsidR="000543E8" w:rsidRPr="00D92B41">
        <w:rPr>
          <w:rFonts w:asciiTheme="minorHAnsi" w:hAnsiTheme="minorHAnsi" w:cstheme="minorHAnsi"/>
          <w:sz w:val="22"/>
          <w:szCs w:val="22"/>
        </w:rPr>
        <w:t xml:space="preserve">donor </w:t>
      </w:r>
      <w:r w:rsidR="006D5B03" w:rsidRPr="00D92B41">
        <w:rPr>
          <w:rFonts w:asciiTheme="minorHAnsi" w:hAnsiTheme="minorHAnsi" w:cstheme="minorHAnsi"/>
          <w:sz w:val="22"/>
          <w:szCs w:val="22"/>
        </w:rPr>
        <w:t>meeting</w:t>
      </w:r>
      <w:r w:rsidR="000543E8">
        <w:rPr>
          <w:rFonts w:asciiTheme="minorHAnsi" w:hAnsiTheme="minorHAnsi" w:cstheme="minorHAnsi"/>
          <w:sz w:val="22"/>
          <w:szCs w:val="22"/>
        </w:rPr>
        <w:t>s</w:t>
      </w:r>
      <w:r w:rsidR="006D5B03" w:rsidRPr="00D92B41">
        <w:rPr>
          <w:rFonts w:asciiTheme="minorHAnsi" w:hAnsiTheme="minorHAnsi" w:cstheme="minorHAnsi"/>
          <w:sz w:val="22"/>
          <w:szCs w:val="22"/>
        </w:rPr>
        <w:t xml:space="preserve"> and quarterly with </w:t>
      </w:r>
      <w:r w:rsidR="003373E9">
        <w:rPr>
          <w:rFonts w:asciiTheme="minorHAnsi" w:hAnsiTheme="minorHAnsi" w:cstheme="minorHAnsi"/>
          <w:sz w:val="22"/>
          <w:szCs w:val="22"/>
        </w:rPr>
        <w:t xml:space="preserve">the </w:t>
      </w:r>
      <w:r w:rsidR="00F413E6">
        <w:rPr>
          <w:rFonts w:asciiTheme="minorHAnsi" w:hAnsiTheme="minorHAnsi" w:cstheme="minorHAnsi"/>
          <w:sz w:val="22"/>
          <w:szCs w:val="22"/>
        </w:rPr>
        <w:t>Solomon Islands Government</w:t>
      </w:r>
      <w:r w:rsidR="006D5B03" w:rsidRPr="00D92B41">
        <w:rPr>
          <w:rFonts w:asciiTheme="minorHAnsi" w:hAnsiTheme="minorHAnsi" w:cstheme="minorHAnsi"/>
          <w:sz w:val="22"/>
          <w:szCs w:val="22"/>
        </w:rPr>
        <w:t xml:space="preserve">. </w:t>
      </w:r>
      <w:r w:rsidR="00826828" w:rsidRPr="00912585">
        <w:rPr>
          <w:rFonts w:asciiTheme="minorHAnsi" w:hAnsiTheme="minorHAnsi" w:cstheme="minorHAnsi"/>
          <w:sz w:val="22"/>
          <w:szCs w:val="22"/>
        </w:rPr>
        <w:t>Australia works through a sector</w:t>
      </w:r>
      <w:r w:rsidR="00950DD0">
        <w:rPr>
          <w:rFonts w:asciiTheme="minorHAnsi" w:hAnsiTheme="minorHAnsi" w:cstheme="minorHAnsi"/>
          <w:sz w:val="22"/>
          <w:szCs w:val="22"/>
        </w:rPr>
        <w:t>-</w:t>
      </w:r>
      <w:r w:rsidR="00826828" w:rsidRPr="00912585">
        <w:rPr>
          <w:rFonts w:asciiTheme="minorHAnsi" w:hAnsiTheme="minorHAnsi" w:cstheme="minorHAnsi"/>
          <w:sz w:val="22"/>
          <w:szCs w:val="22"/>
        </w:rPr>
        <w:t>wide approach and remains the main financier, by providing substantial and flexible targeted financing to the Ministry of Health.</w:t>
      </w:r>
    </w:p>
    <w:p w:rsidR="00912585" w:rsidRPr="00912585" w:rsidRDefault="0053342A" w:rsidP="00912585">
      <w:pPr>
        <w:pStyle w:val="ListBullet"/>
        <w:numPr>
          <w:ilvl w:val="0"/>
          <w:numId w:val="0"/>
        </w:numPr>
        <w:tabs>
          <w:tab w:val="clear" w:pos="284"/>
        </w:tabs>
        <w:spacing w:line="240" w:lineRule="auto"/>
        <w:rPr>
          <w:rFonts w:asciiTheme="minorHAnsi" w:hAnsiTheme="minorHAnsi" w:cstheme="minorHAnsi"/>
          <w:sz w:val="22"/>
          <w:szCs w:val="22"/>
        </w:rPr>
      </w:pPr>
      <w:r>
        <w:rPr>
          <w:rFonts w:asciiTheme="minorHAnsi" w:hAnsiTheme="minorHAnsi" w:cstheme="minorHAnsi"/>
          <w:sz w:val="22"/>
          <w:szCs w:val="22"/>
        </w:rPr>
        <w:t>C</w:t>
      </w:r>
      <w:r w:rsidR="00912585" w:rsidRPr="00912585">
        <w:rPr>
          <w:rFonts w:asciiTheme="minorHAnsi" w:hAnsiTheme="minorHAnsi" w:cstheme="minorHAnsi"/>
          <w:sz w:val="22"/>
          <w:szCs w:val="22"/>
        </w:rPr>
        <w:t>orporate functions such as human resource and public financial management</w:t>
      </w:r>
      <w:r>
        <w:rPr>
          <w:rFonts w:asciiTheme="minorHAnsi" w:hAnsiTheme="minorHAnsi" w:cstheme="minorHAnsi"/>
          <w:sz w:val="22"/>
          <w:szCs w:val="22"/>
        </w:rPr>
        <w:t xml:space="preserve"> are we</w:t>
      </w:r>
      <w:r w:rsidR="00404A9B">
        <w:rPr>
          <w:rFonts w:asciiTheme="minorHAnsi" w:hAnsiTheme="minorHAnsi" w:cstheme="minorHAnsi"/>
          <w:sz w:val="22"/>
          <w:szCs w:val="22"/>
        </w:rPr>
        <w:t>a</w:t>
      </w:r>
      <w:r>
        <w:rPr>
          <w:rFonts w:asciiTheme="minorHAnsi" w:hAnsiTheme="minorHAnsi" w:cstheme="minorHAnsi"/>
          <w:sz w:val="22"/>
          <w:szCs w:val="22"/>
        </w:rPr>
        <w:t>k</w:t>
      </w:r>
      <w:r w:rsidR="00912585" w:rsidRPr="00912585">
        <w:rPr>
          <w:rFonts w:asciiTheme="minorHAnsi" w:hAnsiTheme="minorHAnsi" w:cstheme="minorHAnsi"/>
          <w:sz w:val="22"/>
          <w:szCs w:val="22"/>
        </w:rPr>
        <w:t xml:space="preserve">.  </w:t>
      </w:r>
      <w:r w:rsidR="00826828">
        <w:rPr>
          <w:rFonts w:asciiTheme="minorHAnsi" w:hAnsiTheme="minorHAnsi" w:cstheme="minorHAnsi"/>
          <w:sz w:val="22"/>
          <w:szCs w:val="22"/>
        </w:rPr>
        <w:t>However, p</w:t>
      </w:r>
      <w:r w:rsidR="00826828" w:rsidRPr="00912585">
        <w:rPr>
          <w:rFonts w:asciiTheme="minorHAnsi" w:hAnsiTheme="minorHAnsi" w:cstheme="minorHAnsi"/>
          <w:sz w:val="22"/>
          <w:szCs w:val="22"/>
        </w:rPr>
        <w:t>ublic financial management and operational planning have improved</w:t>
      </w:r>
      <w:r w:rsidR="00826828">
        <w:rPr>
          <w:rFonts w:asciiTheme="minorHAnsi" w:hAnsiTheme="minorHAnsi" w:cstheme="minorHAnsi"/>
          <w:sz w:val="22"/>
          <w:szCs w:val="22"/>
        </w:rPr>
        <w:t>,</w:t>
      </w:r>
      <w:r w:rsidR="00826828" w:rsidRPr="00912585">
        <w:rPr>
          <w:rFonts w:asciiTheme="minorHAnsi" w:hAnsiTheme="minorHAnsi" w:cstheme="minorHAnsi"/>
          <w:sz w:val="22"/>
          <w:szCs w:val="22"/>
        </w:rPr>
        <w:t xml:space="preserve"> incentivised through </w:t>
      </w:r>
      <w:r w:rsidR="00826828">
        <w:rPr>
          <w:rFonts w:asciiTheme="minorHAnsi" w:hAnsiTheme="minorHAnsi" w:cstheme="minorHAnsi"/>
          <w:sz w:val="22"/>
          <w:szCs w:val="22"/>
        </w:rPr>
        <w:t>Australia’s</w:t>
      </w:r>
      <w:r w:rsidR="00826828" w:rsidRPr="00912585">
        <w:rPr>
          <w:rFonts w:asciiTheme="minorHAnsi" w:hAnsiTheme="minorHAnsi" w:cstheme="minorHAnsi"/>
          <w:sz w:val="22"/>
          <w:szCs w:val="22"/>
        </w:rPr>
        <w:t xml:space="preserve"> performance</w:t>
      </w:r>
      <w:r w:rsidR="00950DD0">
        <w:rPr>
          <w:rFonts w:asciiTheme="minorHAnsi" w:hAnsiTheme="minorHAnsi" w:cstheme="minorHAnsi"/>
          <w:sz w:val="22"/>
          <w:szCs w:val="22"/>
        </w:rPr>
        <w:t>-</w:t>
      </w:r>
      <w:r w:rsidR="00826828" w:rsidRPr="00912585">
        <w:rPr>
          <w:rFonts w:asciiTheme="minorHAnsi" w:hAnsiTheme="minorHAnsi" w:cstheme="minorHAnsi"/>
          <w:sz w:val="22"/>
          <w:szCs w:val="22"/>
        </w:rPr>
        <w:t>linked aid</w:t>
      </w:r>
      <w:r w:rsidR="00826828">
        <w:rPr>
          <w:rFonts w:asciiTheme="minorHAnsi" w:hAnsiTheme="minorHAnsi" w:cstheme="minorHAnsi"/>
          <w:sz w:val="22"/>
          <w:szCs w:val="22"/>
        </w:rPr>
        <w:t xml:space="preserve"> </w:t>
      </w:r>
      <w:r w:rsidR="00EC3A11">
        <w:rPr>
          <w:rFonts w:asciiTheme="minorHAnsi" w:hAnsiTheme="minorHAnsi" w:cstheme="minorHAnsi"/>
          <w:sz w:val="22"/>
          <w:szCs w:val="22"/>
        </w:rPr>
        <w:t>leading</w:t>
      </w:r>
      <w:r w:rsidR="00826828">
        <w:rPr>
          <w:rFonts w:asciiTheme="minorHAnsi" w:hAnsiTheme="minorHAnsi" w:cstheme="minorHAnsi"/>
          <w:sz w:val="22"/>
          <w:szCs w:val="22"/>
        </w:rPr>
        <w:t xml:space="preserve"> to greater resources reliably reaching the provinces.  </w:t>
      </w:r>
      <w:r w:rsidR="00CC220F">
        <w:rPr>
          <w:rFonts w:asciiTheme="minorHAnsi" w:hAnsiTheme="minorHAnsi" w:cstheme="minorHAnsi"/>
          <w:sz w:val="22"/>
          <w:szCs w:val="22"/>
        </w:rPr>
        <w:t>In addition</w:t>
      </w:r>
      <w:r w:rsidR="00826828">
        <w:rPr>
          <w:rFonts w:asciiTheme="minorHAnsi" w:hAnsiTheme="minorHAnsi" w:cstheme="minorHAnsi"/>
          <w:sz w:val="22"/>
          <w:szCs w:val="22"/>
        </w:rPr>
        <w:t xml:space="preserve">, the Ministry is piloting a recruitment program </w:t>
      </w:r>
      <w:r w:rsidR="00912585" w:rsidRPr="00912585">
        <w:rPr>
          <w:rFonts w:asciiTheme="minorHAnsi" w:hAnsiTheme="minorHAnsi" w:cstheme="minorHAnsi"/>
          <w:sz w:val="22"/>
          <w:szCs w:val="22"/>
        </w:rPr>
        <w:t>which is reducing recruitment time</w:t>
      </w:r>
      <w:r w:rsidR="00814426">
        <w:rPr>
          <w:rFonts w:asciiTheme="minorHAnsi" w:hAnsiTheme="minorHAnsi" w:cstheme="minorHAnsi"/>
          <w:sz w:val="22"/>
          <w:szCs w:val="22"/>
        </w:rPr>
        <w:t xml:space="preserve"> down from eighteen months</w:t>
      </w:r>
      <w:r w:rsidR="00912585" w:rsidRPr="00912585">
        <w:rPr>
          <w:rFonts w:asciiTheme="minorHAnsi" w:hAnsiTheme="minorHAnsi" w:cstheme="minorHAnsi"/>
          <w:sz w:val="22"/>
          <w:szCs w:val="22"/>
        </w:rPr>
        <w:t xml:space="preserve"> to </w:t>
      </w:r>
      <w:r w:rsidR="00912585">
        <w:rPr>
          <w:rFonts w:asciiTheme="minorHAnsi" w:hAnsiTheme="minorHAnsi" w:cstheme="minorHAnsi"/>
          <w:sz w:val="22"/>
          <w:szCs w:val="22"/>
        </w:rPr>
        <w:t>three</w:t>
      </w:r>
      <w:r w:rsidR="00912585" w:rsidRPr="00912585">
        <w:rPr>
          <w:rFonts w:asciiTheme="minorHAnsi" w:hAnsiTheme="minorHAnsi" w:cstheme="minorHAnsi"/>
          <w:sz w:val="22"/>
          <w:szCs w:val="22"/>
        </w:rPr>
        <w:t>. </w:t>
      </w:r>
      <w:r w:rsidR="00826828" w:rsidRPr="00912585">
        <w:rPr>
          <w:rFonts w:asciiTheme="minorHAnsi" w:hAnsiTheme="minorHAnsi" w:cstheme="minorHAnsi"/>
          <w:sz w:val="22"/>
          <w:szCs w:val="22"/>
        </w:rPr>
        <w:t xml:space="preserve"> </w:t>
      </w:r>
      <w:r w:rsidR="002B1DD5">
        <w:rPr>
          <w:rFonts w:asciiTheme="minorHAnsi" w:hAnsiTheme="minorHAnsi" w:cstheme="minorHAnsi"/>
          <w:sz w:val="22"/>
          <w:szCs w:val="22"/>
        </w:rPr>
        <w:t>The Solomon Islands Government responded swiftly to a large scale fraud in the health sector and has successfully prosecuted on</w:t>
      </w:r>
      <w:r w:rsidR="00670871">
        <w:rPr>
          <w:rFonts w:asciiTheme="minorHAnsi" w:hAnsiTheme="minorHAnsi" w:cstheme="minorHAnsi"/>
          <w:sz w:val="22"/>
          <w:szCs w:val="22"/>
        </w:rPr>
        <w:t>e</w:t>
      </w:r>
      <w:r w:rsidR="002B1DD5">
        <w:rPr>
          <w:rFonts w:asciiTheme="minorHAnsi" w:hAnsiTheme="minorHAnsi" w:cstheme="minorHAnsi"/>
          <w:sz w:val="22"/>
          <w:szCs w:val="22"/>
        </w:rPr>
        <w:t xml:space="preserve"> of the perpetrators.</w:t>
      </w:r>
      <w:r w:rsidR="00466100">
        <w:rPr>
          <w:rFonts w:asciiTheme="minorHAnsi" w:hAnsiTheme="minorHAnsi" w:cstheme="minorHAnsi"/>
          <w:sz w:val="22"/>
          <w:szCs w:val="22"/>
        </w:rPr>
        <w:t xml:space="preserve"> </w:t>
      </w:r>
      <w:r w:rsidR="00466100" w:rsidRPr="00466100">
        <w:rPr>
          <w:rFonts w:asciiTheme="minorHAnsi" w:hAnsiTheme="minorHAnsi" w:cstheme="minorHAnsi"/>
          <w:sz w:val="22"/>
          <w:szCs w:val="22"/>
        </w:rPr>
        <w:t>Performance elements of the program were strengthened in 2013 including by the finalisation of the Ministry’s results framework and the introduction of performance-linked-aid component of the program which ties 20 per cent of funding to the achievement of benchmarks on service delivery and better resource management.</w:t>
      </w:r>
    </w:p>
    <w:p w:rsidR="006D5B03" w:rsidRPr="00D92B41" w:rsidRDefault="00B513B2" w:rsidP="00912585">
      <w:pPr>
        <w:pStyle w:val="ListBullet"/>
        <w:numPr>
          <w:ilvl w:val="0"/>
          <w:numId w:val="0"/>
        </w:numPr>
        <w:tabs>
          <w:tab w:val="clear" w:pos="284"/>
        </w:tabs>
        <w:spacing w:line="240" w:lineRule="auto"/>
        <w:rPr>
          <w:rFonts w:asciiTheme="minorHAnsi" w:hAnsiTheme="minorHAnsi" w:cstheme="minorHAnsi"/>
          <w:sz w:val="22"/>
          <w:szCs w:val="22"/>
        </w:rPr>
      </w:pPr>
      <w:r>
        <w:rPr>
          <w:rFonts w:asciiTheme="minorHAnsi" w:hAnsiTheme="minorHAnsi" w:cstheme="minorHAnsi"/>
          <w:sz w:val="22"/>
          <w:szCs w:val="22"/>
        </w:rPr>
        <w:t>T</w:t>
      </w:r>
      <w:r w:rsidR="00F413E6">
        <w:rPr>
          <w:rFonts w:asciiTheme="minorHAnsi" w:hAnsiTheme="minorHAnsi" w:cstheme="minorHAnsi"/>
          <w:sz w:val="22"/>
          <w:szCs w:val="22"/>
        </w:rPr>
        <w:t>he Solomon Islands Government</w:t>
      </w:r>
      <w:r w:rsidR="00F413E6" w:rsidRPr="00D92B41">
        <w:rPr>
          <w:rFonts w:asciiTheme="minorHAnsi" w:hAnsiTheme="minorHAnsi" w:cstheme="minorHAnsi"/>
          <w:sz w:val="22"/>
          <w:szCs w:val="22"/>
        </w:rPr>
        <w:t xml:space="preserve">’s </w:t>
      </w:r>
      <w:r w:rsidR="006D5B03" w:rsidRPr="00D92B41">
        <w:rPr>
          <w:rFonts w:asciiTheme="minorHAnsi" w:hAnsiTheme="minorHAnsi" w:cstheme="minorHAnsi"/>
          <w:b/>
          <w:sz w:val="22"/>
          <w:szCs w:val="22"/>
        </w:rPr>
        <w:t>monitoring and health information systems</w:t>
      </w:r>
      <w:r w:rsidR="006D5B03" w:rsidRPr="00D92B41">
        <w:rPr>
          <w:rFonts w:asciiTheme="minorHAnsi" w:hAnsiTheme="minorHAnsi" w:cstheme="minorHAnsi"/>
          <w:sz w:val="22"/>
          <w:szCs w:val="22"/>
        </w:rPr>
        <w:t xml:space="preserve"> were strengthened in 2013</w:t>
      </w:r>
      <w:r w:rsidR="009E546D">
        <w:rPr>
          <w:rFonts w:asciiTheme="minorHAnsi" w:hAnsiTheme="minorHAnsi" w:cstheme="minorHAnsi"/>
          <w:sz w:val="22"/>
          <w:szCs w:val="22"/>
        </w:rPr>
        <w:t>-14</w:t>
      </w:r>
      <w:r w:rsidR="006D5B03" w:rsidRPr="00D92B41">
        <w:rPr>
          <w:rFonts w:asciiTheme="minorHAnsi" w:hAnsiTheme="minorHAnsi" w:cstheme="minorHAnsi"/>
          <w:sz w:val="22"/>
          <w:szCs w:val="22"/>
        </w:rPr>
        <w:t xml:space="preserve"> through the ongoing development of the Ministry’s Results Framework. </w:t>
      </w:r>
      <w:r w:rsidR="003373E9">
        <w:rPr>
          <w:rFonts w:asciiTheme="minorHAnsi" w:hAnsiTheme="minorHAnsi" w:cstheme="minorHAnsi"/>
          <w:sz w:val="22"/>
          <w:szCs w:val="22"/>
        </w:rPr>
        <w:t>The Ministry</w:t>
      </w:r>
      <w:r w:rsidR="006D5B03" w:rsidRPr="00D92B41">
        <w:rPr>
          <w:rFonts w:asciiTheme="minorHAnsi" w:hAnsiTheme="minorHAnsi" w:cstheme="minorHAnsi"/>
          <w:sz w:val="22"/>
          <w:szCs w:val="22"/>
        </w:rPr>
        <w:t xml:space="preserve"> produced the second annual report against their Results Framework utilising real time data from the digital health information system. The report captured health information from 87</w:t>
      </w:r>
      <w:r w:rsidR="00670871">
        <w:rPr>
          <w:rFonts w:asciiTheme="minorHAnsi" w:hAnsiTheme="minorHAnsi" w:cstheme="minorHAnsi"/>
          <w:sz w:val="22"/>
          <w:szCs w:val="22"/>
        </w:rPr>
        <w:t xml:space="preserve"> per cent</w:t>
      </w:r>
      <w:r w:rsidR="006D5B03" w:rsidRPr="00D92B41">
        <w:rPr>
          <w:rFonts w:asciiTheme="minorHAnsi" w:hAnsiTheme="minorHAnsi" w:cstheme="minorHAnsi"/>
          <w:sz w:val="22"/>
          <w:szCs w:val="22"/>
        </w:rPr>
        <w:t xml:space="preserve"> of facilities.</w:t>
      </w:r>
    </w:p>
    <w:p w:rsidR="006D5B03" w:rsidRPr="00D92B41" w:rsidRDefault="006D5B03" w:rsidP="00401292">
      <w:pPr>
        <w:tabs>
          <w:tab w:val="left" w:pos="227"/>
        </w:tabs>
        <w:spacing w:after="120"/>
        <w:rPr>
          <w:rFonts w:asciiTheme="minorHAnsi" w:hAnsiTheme="minorHAnsi" w:cstheme="minorHAnsi"/>
          <w:sz w:val="22"/>
          <w:szCs w:val="22"/>
        </w:rPr>
      </w:pPr>
      <w:r w:rsidRPr="00D92B41">
        <w:rPr>
          <w:rFonts w:asciiTheme="minorHAnsi" w:hAnsiTheme="minorHAnsi" w:cstheme="minorHAnsi"/>
          <w:sz w:val="22"/>
          <w:szCs w:val="22"/>
        </w:rPr>
        <w:t xml:space="preserve">Australia is supporting </w:t>
      </w:r>
      <w:r w:rsidRPr="00D92B41">
        <w:rPr>
          <w:rFonts w:asciiTheme="minorHAnsi" w:hAnsiTheme="minorHAnsi" w:cstheme="minorHAnsi"/>
          <w:b/>
          <w:sz w:val="22"/>
          <w:szCs w:val="22"/>
        </w:rPr>
        <w:t>mental health activities and disability rehabilitation support</w:t>
      </w:r>
      <w:r w:rsidRPr="00D92B41">
        <w:rPr>
          <w:rFonts w:asciiTheme="minorHAnsi" w:hAnsiTheme="minorHAnsi" w:cstheme="minorHAnsi"/>
          <w:sz w:val="22"/>
          <w:szCs w:val="22"/>
        </w:rPr>
        <w:t xml:space="preserve"> through targeted support for clinic</w:t>
      </w:r>
      <w:r w:rsidR="00117B79">
        <w:rPr>
          <w:rFonts w:asciiTheme="minorHAnsi" w:hAnsiTheme="minorHAnsi" w:cstheme="minorHAnsi"/>
          <w:sz w:val="22"/>
          <w:szCs w:val="22"/>
        </w:rPr>
        <w:t>s</w:t>
      </w:r>
      <w:r w:rsidRPr="00D92B41">
        <w:rPr>
          <w:rFonts w:asciiTheme="minorHAnsi" w:hAnsiTheme="minorHAnsi" w:cstheme="minorHAnsi"/>
          <w:sz w:val="22"/>
          <w:szCs w:val="22"/>
        </w:rPr>
        <w:t xml:space="preserve">, community awareness, health promotion and outreach. </w:t>
      </w:r>
    </w:p>
    <w:p w:rsidR="00873B98" w:rsidRDefault="00CF1001" w:rsidP="00121815">
      <w:pPr>
        <w:pStyle w:val="Heading3"/>
      </w:pPr>
      <w:r w:rsidRPr="00EB78B3">
        <w:t xml:space="preserve">Priority Outcome 2 - </w:t>
      </w:r>
      <w:r w:rsidR="00873B98">
        <w:t>Broad-based Growth: Improved Livelihoods</w:t>
      </w:r>
    </w:p>
    <w:p w:rsidR="00873B98" w:rsidRPr="00873B98" w:rsidRDefault="00873B98" w:rsidP="00873B98">
      <w:pPr>
        <w:pStyle w:val="ListBullet"/>
        <w:numPr>
          <w:ilvl w:val="0"/>
          <w:numId w:val="0"/>
        </w:numPr>
        <w:tabs>
          <w:tab w:val="clear" w:pos="284"/>
        </w:tabs>
        <w:rPr>
          <w:rFonts w:asciiTheme="minorHAnsi" w:hAnsiTheme="minorHAnsi" w:cstheme="minorHAnsi"/>
          <w:sz w:val="22"/>
          <w:szCs w:val="22"/>
        </w:rPr>
      </w:pPr>
      <w:r w:rsidRPr="00873B98">
        <w:rPr>
          <w:rFonts w:asciiTheme="minorHAnsi" w:hAnsiTheme="minorHAnsi" w:cstheme="minorHAnsi"/>
          <w:sz w:val="22"/>
          <w:szCs w:val="22"/>
        </w:rPr>
        <w:t>The program supports productive agriculture and increase</w:t>
      </w:r>
      <w:r w:rsidR="00445E6A">
        <w:rPr>
          <w:rFonts w:asciiTheme="minorHAnsi" w:hAnsiTheme="minorHAnsi" w:cstheme="minorHAnsi"/>
          <w:sz w:val="22"/>
          <w:szCs w:val="22"/>
        </w:rPr>
        <w:t>d</w:t>
      </w:r>
      <w:r w:rsidRPr="00873B98">
        <w:rPr>
          <w:rFonts w:asciiTheme="minorHAnsi" w:hAnsiTheme="minorHAnsi" w:cstheme="minorHAnsi"/>
          <w:sz w:val="22"/>
          <w:szCs w:val="22"/>
        </w:rPr>
        <w:t xml:space="preserve"> access to financial services. </w:t>
      </w:r>
      <w:r w:rsidR="00445E6A">
        <w:rPr>
          <w:rFonts w:asciiTheme="minorHAnsi" w:hAnsiTheme="minorHAnsi" w:cstheme="minorHAnsi"/>
          <w:sz w:val="22"/>
          <w:szCs w:val="22"/>
        </w:rPr>
        <w:t xml:space="preserve">Progress is </w:t>
      </w:r>
      <w:r w:rsidRPr="00873B98">
        <w:rPr>
          <w:rFonts w:asciiTheme="minorHAnsi" w:hAnsiTheme="minorHAnsi" w:cstheme="minorHAnsi"/>
          <w:sz w:val="22"/>
          <w:szCs w:val="22"/>
        </w:rPr>
        <w:t xml:space="preserve">rated green because of </w:t>
      </w:r>
      <w:r w:rsidR="00466100">
        <w:rPr>
          <w:rFonts w:asciiTheme="minorHAnsi" w:hAnsiTheme="minorHAnsi" w:cstheme="minorHAnsi"/>
          <w:sz w:val="22"/>
          <w:szCs w:val="22"/>
        </w:rPr>
        <w:t xml:space="preserve">significant </w:t>
      </w:r>
      <w:r w:rsidR="00445E6A">
        <w:rPr>
          <w:rFonts w:asciiTheme="minorHAnsi" w:hAnsiTheme="minorHAnsi" w:cstheme="minorHAnsi"/>
          <w:sz w:val="22"/>
          <w:szCs w:val="22"/>
        </w:rPr>
        <w:t>achievements in</w:t>
      </w:r>
      <w:r w:rsidRPr="00873B98">
        <w:rPr>
          <w:rFonts w:asciiTheme="minorHAnsi" w:hAnsiTheme="minorHAnsi" w:cstheme="minorHAnsi"/>
          <w:sz w:val="22"/>
          <w:szCs w:val="22"/>
        </w:rPr>
        <w:t xml:space="preserve"> financial inclusion and the agricultural sector over the last year</w:t>
      </w:r>
      <w:r w:rsidR="00466100">
        <w:rPr>
          <w:rFonts w:asciiTheme="minorHAnsi" w:hAnsiTheme="minorHAnsi" w:cstheme="minorHAnsi"/>
          <w:sz w:val="22"/>
          <w:szCs w:val="22"/>
        </w:rPr>
        <w:t xml:space="preserve"> – </w:t>
      </w:r>
      <w:r w:rsidR="00F131F0">
        <w:rPr>
          <w:rFonts w:asciiTheme="minorHAnsi" w:hAnsiTheme="minorHAnsi" w:cstheme="minorHAnsi"/>
          <w:sz w:val="22"/>
          <w:szCs w:val="22"/>
        </w:rPr>
        <w:t>building o</w:t>
      </w:r>
      <w:r w:rsidR="00466100">
        <w:rPr>
          <w:rFonts w:asciiTheme="minorHAnsi" w:hAnsiTheme="minorHAnsi" w:cstheme="minorHAnsi"/>
          <w:sz w:val="22"/>
          <w:szCs w:val="22"/>
        </w:rPr>
        <w:t xml:space="preserve">n previous </w:t>
      </w:r>
      <w:r w:rsidR="00F131F0">
        <w:rPr>
          <w:rFonts w:asciiTheme="minorHAnsi" w:hAnsiTheme="minorHAnsi" w:cstheme="minorHAnsi"/>
          <w:sz w:val="22"/>
          <w:szCs w:val="22"/>
        </w:rPr>
        <w:t>year’s</w:t>
      </w:r>
      <w:r w:rsidR="00466100">
        <w:rPr>
          <w:rFonts w:asciiTheme="minorHAnsi" w:hAnsiTheme="minorHAnsi" w:cstheme="minorHAnsi"/>
          <w:sz w:val="22"/>
          <w:szCs w:val="22"/>
        </w:rPr>
        <w:t xml:space="preserve"> performance</w:t>
      </w:r>
      <w:r w:rsidRPr="00873B98">
        <w:rPr>
          <w:rFonts w:asciiTheme="minorHAnsi" w:hAnsiTheme="minorHAnsi" w:cstheme="minorHAnsi"/>
          <w:sz w:val="22"/>
          <w:szCs w:val="22"/>
        </w:rPr>
        <w:t xml:space="preserve">. Specific assessments against PAF Targets are at </w:t>
      </w:r>
      <w:r w:rsidRPr="003373E9">
        <w:rPr>
          <w:rFonts w:asciiTheme="minorHAnsi" w:hAnsiTheme="minorHAnsi" w:cstheme="minorHAnsi"/>
          <w:sz w:val="22"/>
          <w:szCs w:val="22"/>
          <w:u w:val="single"/>
        </w:rPr>
        <w:t xml:space="preserve">Attachment </w:t>
      </w:r>
      <w:r w:rsidR="00BE3048">
        <w:rPr>
          <w:rFonts w:asciiTheme="minorHAnsi" w:hAnsiTheme="minorHAnsi" w:cstheme="minorHAnsi"/>
          <w:sz w:val="22"/>
          <w:szCs w:val="22"/>
          <w:u w:val="single"/>
        </w:rPr>
        <w:t>3</w:t>
      </w:r>
      <w:r w:rsidRPr="00873B98">
        <w:rPr>
          <w:rFonts w:asciiTheme="minorHAnsi" w:hAnsiTheme="minorHAnsi" w:cstheme="minorHAnsi"/>
          <w:sz w:val="22"/>
          <w:szCs w:val="22"/>
        </w:rPr>
        <w:t>.</w:t>
      </w:r>
    </w:p>
    <w:p w:rsidR="00873B98" w:rsidRPr="00873B98" w:rsidRDefault="00873B98" w:rsidP="00873B98">
      <w:pPr>
        <w:pStyle w:val="ListBullet"/>
        <w:numPr>
          <w:ilvl w:val="0"/>
          <w:numId w:val="0"/>
        </w:numPr>
        <w:tabs>
          <w:tab w:val="clear" w:pos="284"/>
        </w:tabs>
        <w:rPr>
          <w:rFonts w:asciiTheme="minorHAnsi" w:hAnsiTheme="minorHAnsi" w:cstheme="minorHAnsi"/>
          <w:sz w:val="22"/>
          <w:szCs w:val="22"/>
        </w:rPr>
      </w:pPr>
      <w:r w:rsidRPr="00873B98">
        <w:rPr>
          <w:rFonts w:asciiTheme="minorHAnsi" w:hAnsiTheme="minorHAnsi" w:cstheme="minorHAnsi"/>
          <w:sz w:val="22"/>
          <w:szCs w:val="22"/>
        </w:rPr>
        <w:t>Access to low-cost financial services is an enabler of economic growth. In 2010 only 15 per cent of Solomon Islanders were using banking and other financial services</w:t>
      </w:r>
      <w:r w:rsidR="00445E6A">
        <w:rPr>
          <w:rStyle w:val="FootnoteReference"/>
          <w:rFonts w:cstheme="minorHAnsi"/>
        </w:rPr>
        <w:footnoteReference w:id="11"/>
      </w:r>
      <w:r w:rsidRPr="00873B98">
        <w:rPr>
          <w:rFonts w:asciiTheme="minorHAnsi" w:hAnsiTheme="minorHAnsi" w:cstheme="minorHAnsi"/>
          <w:sz w:val="22"/>
          <w:szCs w:val="22"/>
        </w:rPr>
        <w:t xml:space="preserve">. Access to credit, a safe place to save, appropriate </w:t>
      </w:r>
      <w:r w:rsidRPr="00873B98">
        <w:rPr>
          <w:rFonts w:asciiTheme="minorHAnsi" w:hAnsiTheme="minorHAnsi" w:cstheme="minorHAnsi"/>
          <w:sz w:val="22"/>
          <w:szCs w:val="22"/>
        </w:rPr>
        <w:lastRenderedPageBreak/>
        <w:t xml:space="preserve">insurance products and efficient payment mechanisms are essential to enable people to build up financial reserves </w:t>
      </w:r>
      <w:r w:rsidR="00670871">
        <w:rPr>
          <w:rFonts w:asciiTheme="minorHAnsi" w:hAnsiTheme="minorHAnsi" w:cstheme="minorHAnsi"/>
          <w:sz w:val="22"/>
          <w:szCs w:val="22"/>
        </w:rPr>
        <w:t xml:space="preserve">and </w:t>
      </w:r>
      <w:r w:rsidRPr="00873B98">
        <w:rPr>
          <w:rFonts w:asciiTheme="minorHAnsi" w:hAnsiTheme="minorHAnsi" w:cstheme="minorHAnsi"/>
          <w:sz w:val="22"/>
          <w:szCs w:val="22"/>
        </w:rPr>
        <w:t xml:space="preserve">invest in productive assets. </w:t>
      </w:r>
    </w:p>
    <w:p w:rsidR="00E5658C" w:rsidRPr="00873B98" w:rsidRDefault="00873B98" w:rsidP="00873B98">
      <w:pPr>
        <w:pStyle w:val="ListBullet"/>
        <w:numPr>
          <w:ilvl w:val="0"/>
          <w:numId w:val="0"/>
        </w:numPr>
        <w:tabs>
          <w:tab w:val="clear" w:pos="284"/>
        </w:tabs>
        <w:rPr>
          <w:rFonts w:asciiTheme="minorHAnsi" w:hAnsiTheme="minorHAnsi" w:cstheme="minorHAnsi"/>
          <w:sz w:val="22"/>
          <w:szCs w:val="22"/>
        </w:rPr>
      </w:pPr>
      <w:r w:rsidRPr="00873B98">
        <w:rPr>
          <w:rFonts w:asciiTheme="minorHAnsi" w:hAnsiTheme="minorHAnsi" w:cstheme="minorHAnsi"/>
          <w:sz w:val="22"/>
          <w:szCs w:val="22"/>
        </w:rPr>
        <w:t>The target of reaching 70,</w:t>
      </w:r>
      <w:r w:rsidR="00466DE1">
        <w:rPr>
          <w:rFonts w:asciiTheme="minorHAnsi" w:hAnsiTheme="minorHAnsi" w:cstheme="minorHAnsi"/>
          <w:sz w:val="22"/>
          <w:szCs w:val="22"/>
        </w:rPr>
        <w:t xml:space="preserve">000 </w:t>
      </w:r>
      <w:r w:rsidRPr="00873B98">
        <w:rPr>
          <w:rFonts w:asciiTheme="minorHAnsi" w:hAnsiTheme="minorHAnsi" w:cstheme="minorHAnsi"/>
          <w:sz w:val="22"/>
          <w:szCs w:val="22"/>
        </w:rPr>
        <w:t>new bank customers by 2015, set by the National Financial Inclusion Taskforce</w:t>
      </w:r>
      <w:r w:rsidR="00445E6A">
        <w:rPr>
          <w:rStyle w:val="FootnoteReference"/>
          <w:rFonts w:cstheme="minorHAnsi"/>
        </w:rPr>
        <w:footnoteReference w:id="12"/>
      </w:r>
      <w:r w:rsidRPr="00873B98">
        <w:rPr>
          <w:rFonts w:asciiTheme="minorHAnsi" w:hAnsiTheme="minorHAnsi" w:cstheme="minorHAnsi"/>
          <w:sz w:val="22"/>
          <w:szCs w:val="22"/>
        </w:rPr>
        <w:t xml:space="preserve"> </w:t>
      </w:r>
      <w:r w:rsidR="00950DD0">
        <w:rPr>
          <w:rFonts w:asciiTheme="minorHAnsi" w:hAnsiTheme="minorHAnsi" w:cstheme="minorHAnsi"/>
          <w:sz w:val="22"/>
          <w:szCs w:val="22"/>
        </w:rPr>
        <w:t>was</w:t>
      </w:r>
      <w:r w:rsidRPr="00873B98">
        <w:rPr>
          <w:rFonts w:asciiTheme="minorHAnsi" w:hAnsiTheme="minorHAnsi" w:cstheme="minorHAnsi"/>
          <w:sz w:val="22"/>
          <w:szCs w:val="22"/>
        </w:rPr>
        <w:t xml:space="preserve"> met 18 months ahead of schedule. There were also more than 100 new access points added across the country by the three commercial banks, many in rural areas. </w:t>
      </w:r>
      <w:r w:rsidR="00E5658C">
        <w:rPr>
          <w:rFonts w:asciiTheme="minorHAnsi" w:hAnsiTheme="minorHAnsi" w:cstheme="minorHAnsi"/>
          <w:sz w:val="22"/>
          <w:szCs w:val="22"/>
        </w:rPr>
        <w:t xml:space="preserve">New mobile banking access has also assisted in meeting this target. </w:t>
      </w:r>
      <w:r w:rsidR="00BD36CF">
        <w:rPr>
          <w:rFonts w:asciiTheme="minorHAnsi" w:hAnsiTheme="minorHAnsi" w:cstheme="minorHAnsi"/>
          <w:sz w:val="22"/>
          <w:szCs w:val="22"/>
        </w:rPr>
        <w:t>Sixty</w:t>
      </w:r>
      <w:r w:rsidR="003F1E1B">
        <w:rPr>
          <w:rFonts w:asciiTheme="minorHAnsi" w:hAnsiTheme="minorHAnsi" w:cstheme="minorHAnsi"/>
          <w:sz w:val="22"/>
          <w:szCs w:val="22"/>
        </w:rPr>
        <w:t xml:space="preserve"> per cent of Solomon Islanders now have access to banking and other financial services.</w:t>
      </w:r>
      <w:r w:rsidR="00E5658C">
        <w:rPr>
          <w:rFonts w:asciiTheme="minorHAnsi" w:hAnsiTheme="minorHAnsi" w:cstheme="minorHAnsi"/>
          <w:sz w:val="22"/>
          <w:szCs w:val="22"/>
        </w:rPr>
        <w:t xml:space="preserve"> </w:t>
      </w:r>
    </w:p>
    <w:p w:rsidR="00873B98" w:rsidRPr="00873B98" w:rsidRDefault="00873B98" w:rsidP="00873B98">
      <w:pPr>
        <w:pStyle w:val="ListBullet"/>
        <w:numPr>
          <w:ilvl w:val="0"/>
          <w:numId w:val="0"/>
        </w:numPr>
        <w:tabs>
          <w:tab w:val="clear" w:pos="284"/>
        </w:tabs>
        <w:rPr>
          <w:rFonts w:asciiTheme="minorHAnsi" w:hAnsiTheme="minorHAnsi" w:cstheme="minorHAnsi"/>
          <w:sz w:val="22"/>
          <w:szCs w:val="22"/>
        </w:rPr>
      </w:pPr>
      <w:r w:rsidRPr="00873B98">
        <w:rPr>
          <w:rFonts w:asciiTheme="minorHAnsi" w:hAnsiTheme="minorHAnsi" w:cstheme="minorHAnsi"/>
          <w:sz w:val="22"/>
          <w:szCs w:val="22"/>
        </w:rPr>
        <w:t>An evaluation of the Rural Development Program (RDP)</w:t>
      </w:r>
      <w:r w:rsidR="00B82D34">
        <w:rPr>
          <w:rStyle w:val="FootnoteReference"/>
          <w:rFonts w:cstheme="minorHAnsi"/>
        </w:rPr>
        <w:footnoteReference w:id="13"/>
      </w:r>
      <w:r w:rsidRPr="00873B98">
        <w:rPr>
          <w:rFonts w:asciiTheme="minorHAnsi" w:hAnsiTheme="minorHAnsi" w:cstheme="minorHAnsi"/>
          <w:sz w:val="22"/>
          <w:szCs w:val="22"/>
        </w:rPr>
        <w:t xml:space="preserve"> found it had significant impact in improving or providing stability </w:t>
      </w:r>
      <w:r w:rsidR="00670871">
        <w:rPr>
          <w:rFonts w:asciiTheme="minorHAnsi" w:hAnsiTheme="minorHAnsi" w:cstheme="minorHAnsi"/>
          <w:sz w:val="22"/>
          <w:szCs w:val="22"/>
        </w:rPr>
        <w:t>of</w:t>
      </w:r>
      <w:r w:rsidRPr="00873B98">
        <w:rPr>
          <w:rFonts w:asciiTheme="minorHAnsi" w:hAnsiTheme="minorHAnsi" w:cstheme="minorHAnsi"/>
          <w:sz w:val="22"/>
          <w:szCs w:val="22"/>
        </w:rPr>
        <w:t xml:space="preserve"> access </w:t>
      </w:r>
      <w:r w:rsidR="00670871">
        <w:rPr>
          <w:rFonts w:asciiTheme="minorHAnsi" w:hAnsiTheme="minorHAnsi" w:cstheme="minorHAnsi"/>
          <w:sz w:val="22"/>
          <w:szCs w:val="22"/>
        </w:rPr>
        <w:t>to</w:t>
      </w:r>
      <w:r w:rsidRPr="00873B98">
        <w:rPr>
          <w:rFonts w:asciiTheme="minorHAnsi" w:hAnsiTheme="minorHAnsi" w:cstheme="minorHAnsi"/>
          <w:sz w:val="22"/>
          <w:szCs w:val="22"/>
        </w:rPr>
        <w:t xml:space="preserve"> basic services in target villages and delivering agricultural services. The evaluation found that 50 per cent of famers who received agricultural advice from the Ministry of Agriculture and Livestock changed their farming practices as a result of that advice. RDP supported 58 rural businesses to access bank loans, expand their services for rural people and increase employment (around 350 new jobs).</w:t>
      </w:r>
    </w:p>
    <w:p w:rsidR="00873B98" w:rsidRPr="00873B98" w:rsidRDefault="00873B98" w:rsidP="00873B98">
      <w:pPr>
        <w:pStyle w:val="ListBullet"/>
        <w:numPr>
          <w:ilvl w:val="0"/>
          <w:numId w:val="0"/>
        </w:numPr>
        <w:tabs>
          <w:tab w:val="clear" w:pos="284"/>
        </w:tabs>
        <w:rPr>
          <w:rFonts w:asciiTheme="minorHAnsi" w:hAnsiTheme="minorHAnsi" w:cstheme="minorHAnsi"/>
          <w:sz w:val="22"/>
          <w:szCs w:val="22"/>
        </w:rPr>
      </w:pPr>
      <w:r w:rsidRPr="00873B98">
        <w:rPr>
          <w:rFonts w:asciiTheme="minorHAnsi" w:hAnsiTheme="minorHAnsi" w:cstheme="minorHAnsi"/>
          <w:sz w:val="22"/>
          <w:szCs w:val="22"/>
        </w:rPr>
        <w:t>The Pacific Horticultural and Agricultural Market Access Program (PHAMA) has been effective in maintaining or expanding market access for primary products from Solomon Islands. Three copra and palm oil mills were successfully reaccredited to export livestock feed to Australia (worth $0.5m in annual exports). PHAMA also helped develop timber legality guidelines for Solomon Islands, which have been approved by Australia and will allow exports of sawn timber to continue.</w:t>
      </w:r>
      <w:r w:rsidR="00814426">
        <w:rPr>
          <w:rFonts w:asciiTheme="minorHAnsi" w:hAnsiTheme="minorHAnsi" w:cstheme="minorHAnsi"/>
          <w:sz w:val="22"/>
          <w:szCs w:val="22"/>
        </w:rPr>
        <w:t xml:space="preserve"> Solomon Islands is the first Pacific island country to achieve this status.</w:t>
      </w:r>
    </w:p>
    <w:p w:rsidR="00873B98" w:rsidRPr="00873B98" w:rsidRDefault="00873B98" w:rsidP="00873B98">
      <w:pPr>
        <w:pStyle w:val="ListBullet"/>
        <w:numPr>
          <w:ilvl w:val="0"/>
          <w:numId w:val="0"/>
        </w:numPr>
        <w:tabs>
          <w:tab w:val="clear" w:pos="284"/>
        </w:tabs>
        <w:rPr>
          <w:rFonts w:asciiTheme="minorHAnsi" w:hAnsiTheme="minorHAnsi" w:cstheme="minorHAnsi"/>
          <w:sz w:val="22"/>
          <w:szCs w:val="22"/>
        </w:rPr>
      </w:pPr>
      <w:r w:rsidRPr="00873B98">
        <w:rPr>
          <w:rFonts w:asciiTheme="minorHAnsi" w:hAnsiTheme="minorHAnsi" w:cstheme="minorHAnsi"/>
          <w:sz w:val="22"/>
          <w:szCs w:val="22"/>
        </w:rPr>
        <w:t xml:space="preserve">There was an increase in Kastom Gaden Association’s Plant Material Network members – 4,339 (3,627 last year), making it the largest farmer network in Solomon Islands. It facilitated constitutions for local partner organisations and provided relevant governance and leadership training to strengthen management capacity. </w:t>
      </w:r>
    </w:p>
    <w:p w:rsidR="00873B98" w:rsidRPr="00873B98" w:rsidRDefault="00873B98" w:rsidP="00873B98">
      <w:pPr>
        <w:pStyle w:val="ListBullet"/>
        <w:numPr>
          <w:ilvl w:val="0"/>
          <w:numId w:val="0"/>
        </w:numPr>
        <w:tabs>
          <w:tab w:val="clear" w:pos="284"/>
        </w:tabs>
        <w:rPr>
          <w:rFonts w:asciiTheme="minorHAnsi" w:hAnsiTheme="minorHAnsi" w:cstheme="minorHAnsi"/>
          <w:sz w:val="22"/>
          <w:szCs w:val="22"/>
        </w:rPr>
      </w:pPr>
      <w:r w:rsidRPr="00873B98">
        <w:rPr>
          <w:rFonts w:asciiTheme="minorHAnsi" w:hAnsiTheme="minorHAnsi" w:cstheme="minorHAnsi"/>
          <w:sz w:val="22"/>
          <w:szCs w:val="22"/>
        </w:rPr>
        <w:t xml:space="preserve">Agriculture and financial inclusion have potential for furthering the goal of gender equality. Women play a vital role in food production and income generation through micro and small businesses. In 2013 one third of all new bank clients were women.  Almost 80 </w:t>
      </w:r>
      <w:r w:rsidR="00AB5D2B">
        <w:rPr>
          <w:rFonts w:asciiTheme="minorHAnsi" w:hAnsiTheme="minorHAnsi" w:cstheme="minorHAnsi"/>
          <w:sz w:val="22"/>
          <w:szCs w:val="22"/>
        </w:rPr>
        <w:t>per cent</w:t>
      </w:r>
      <w:r w:rsidRPr="00873B98">
        <w:rPr>
          <w:rFonts w:asciiTheme="minorHAnsi" w:hAnsiTheme="minorHAnsi" w:cstheme="minorHAnsi"/>
          <w:sz w:val="22"/>
          <w:szCs w:val="22"/>
        </w:rPr>
        <w:t xml:space="preserve"> of </w:t>
      </w:r>
      <w:r w:rsidR="00EC3A11" w:rsidRPr="00873B98">
        <w:rPr>
          <w:rFonts w:asciiTheme="minorHAnsi" w:hAnsiTheme="minorHAnsi" w:cstheme="minorHAnsi"/>
          <w:sz w:val="22"/>
          <w:szCs w:val="22"/>
        </w:rPr>
        <w:t>Kastom Gaden Association’s</w:t>
      </w:r>
      <w:r w:rsidRPr="00873B98">
        <w:rPr>
          <w:rFonts w:asciiTheme="minorHAnsi" w:hAnsiTheme="minorHAnsi" w:cstheme="minorHAnsi"/>
          <w:sz w:val="22"/>
          <w:szCs w:val="22"/>
        </w:rPr>
        <w:t xml:space="preserve"> partner organisations have female representatives on their management committees and in leadership roles. </w:t>
      </w:r>
    </w:p>
    <w:p w:rsidR="00873B98" w:rsidRPr="00873B98" w:rsidRDefault="00873B98" w:rsidP="00873B98">
      <w:pPr>
        <w:pStyle w:val="ListBullet"/>
        <w:numPr>
          <w:ilvl w:val="0"/>
          <w:numId w:val="0"/>
        </w:numPr>
        <w:tabs>
          <w:tab w:val="clear" w:pos="284"/>
        </w:tabs>
        <w:rPr>
          <w:rFonts w:asciiTheme="minorHAnsi" w:hAnsiTheme="minorHAnsi" w:cstheme="minorHAnsi"/>
          <w:sz w:val="22"/>
          <w:szCs w:val="22"/>
        </w:rPr>
      </w:pPr>
      <w:r w:rsidRPr="00873B98">
        <w:rPr>
          <w:rFonts w:asciiTheme="minorHAnsi" w:hAnsiTheme="minorHAnsi" w:cstheme="minorHAnsi"/>
          <w:sz w:val="22"/>
          <w:szCs w:val="22"/>
        </w:rPr>
        <w:t>The Financial Inclusion Program is supporting the Central Bank Solomon Islands</w:t>
      </w:r>
      <w:r w:rsidR="003373E9">
        <w:rPr>
          <w:rFonts w:asciiTheme="minorHAnsi" w:hAnsiTheme="minorHAnsi" w:cstheme="minorHAnsi"/>
          <w:sz w:val="22"/>
          <w:szCs w:val="22"/>
        </w:rPr>
        <w:t xml:space="preserve"> (CBSI)</w:t>
      </w:r>
      <w:r w:rsidRPr="00873B98">
        <w:rPr>
          <w:rFonts w:asciiTheme="minorHAnsi" w:hAnsiTheme="minorHAnsi" w:cstheme="minorHAnsi"/>
          <w:sz w:val="22"/>
          <w:szCs w:val="22"/>
        </w:rPr>
        <w:t xml:space="preserve"> in its regulatory and reporting role. It supports CBSI to run the National Financial Inclusion Taskforce, which brings together </w:t>
      </w:r>
      <w:r w:rsidR="00F413E6">
        <w:rPr>
          <w:rFonts w:asciiTheme="minorHAnsi" w:hAnsiTheme="minorHAnsi" w:cstheme="minorHAnsi"/>
          <w:sz w:val="22"/>
          <w:szCs w:val="22"/>
        </w:rPr>
        <w:t>Solomon Islands Government</w:t>
      </w:r>
      <w:r w:rsidR="003373E9">
        <w:rPr>
          <w:rFonts w:asciiTheme="minorHAnsi" w:hAnsiTheme="minorHAnsi" w:cstheme="minorHAnsi"/>
          <w:sz w:val="22"/>
          <w:szCs w:val="22"/>
        </w:rPr>
        <w:t xml:space="preserve"> </w:t>
      </w:r>
      <w:r w:rsidRPr="00873B98">
        <w:rPr>
          <w:rFonts w:asciiTheme="minorHAnsi" w:hAnsiTheme="minorHAnsi" w:cstheme="minorHAnsi"/>
          <w:sz w:val="22"/>
          <w:szCs w:val="22"/>
        </w:rPr>
        <w:t xml:space="preserve">ministries, donors and the private sector and </w:t>
      </w:r>
      <w:r w:rsidR="00EC3A11">
        <w:rPr>
          <w:rFonts w:asciiTheme="minorHAnsi" w:hAnsiTheme="minorHAnsi" w:cstheme="minorHAnsi"/>
          <w:sz w:val="22"/>
          <w:szCs w:val="22"/>
        </w:rPr>
        <w:t>is</w:t>
      </w:r>
      <w:r w:rsidRPr="00873B98">
        <w:rPr>
          <w:rFonts w:asciiTheme="minorHAnsi" w:hAnsiTheme="minorHAnsi" w:cstheme="minorHAnsi"/>
          <w:sz w:val="22"/>
          <w:szCs w:val="22"/>
        </w:rPr>
        <w:t xml:space="preserve"> the primary mechanism for coordination and planning of financial inclusion activities.</w:t>
      </w:r>
    </w:p>
    <w:p w:rsidR="002F075F" w:rsidRPr="002F075F" w:rsidRDefault="00CF1001" w:rsidP="002F075F">
      <w:pPr>
        <w:numPr>
          <w:ilvl w:val="2"/>
          <w:numId w:val="0"/>
        </w:numPr>
        <w:spacing w:after="120"/>
        <w:outlineLvl w:val="2"/>
        <w:rPr>
          <w:rFonts w:asciiTheme="minorHAnsi" w:eastAsia="Times New Roman" w:hAnsiTheme="minorHAnsi" w:cstheme="minorHAnsi"/>
          <w:b/>
          <w:color w:val="124486"/>
          <w:kern w:val="28"/>
          <w:sz w:val="24"/>
          <w:lang w:eastAsia="zh-CN"/>
        </w:rPr>
      </w:pPr>
      <w:r w:rsidRPr="00CF1001">
        <w:rPr>
          <w:rFonts w:asciiTheme="minorHAnsi" w:eastAsia="Times New Roman" w:hAnsiTheme="minorHAnsi" w:cstheme="minorHAnsi"/>
          <w:b/>
          <w:color w:val="124486"/>
          <w:kern w:val="28"/>
          <w:sz w:val="24"/>
          <w:lang w:eastAsia="zh-CN"/>
        </w:rPr>
        <w:t xml:space="preserve">Priority Outcome 2 - Broad-based Growth: </w:t>
      </w:r>
      <w:r w:rsidR="002F075F" w:rsidRPr="002F075F">
        <w:rPr>
          <w:rFonts w:asciiTheme="minorHAnsi" w:eastAsia="Times New Roman" w:hAnsiTheme="minorHAnsi" w:cstheme="minorHAnsi"/>
          <w:b/>
          <w:color w:val="124486"/>
          <w:kern w:val="28"/>
          <w:sz w:val="24"/>
          <w:lang w:eastAsia="zh-CN"/>
        </w:rPr>
        <w:t xml:space="preserve"> Infrastructure</w:t>
      </w:r>
    </w:p>
    <w:p w:rsidR="002F075F" w:rsidRPr="002F075F" w:rsidRDefault="002F075F" w:rsidP="002F075F">
      <w:pPr>
        <w:spacing w:after="120"/>
        <w:rPr>
          <w:rFonts w:asciiTheme="minorHAnsi" w:hAnsiTheme="minorHAnsi" w:cstheme="minorHAnsi"/>
          <w:sz w:val="22"/>
          <w:szCs w:val="22"/>
        </w:rPr>
      </w:pPr>
      <w:r w:rsidRPr="002F075F">
        <w:rPr>
          <w:rFonts w:asciiTheme="minorHAnsi" w:hAnsiTheme="minorHAnsi" w:cstheme="minorHAnsi"/>
          <w:sz w:val="22"/>
          <w:szCs w:val="22"/>
        </w:rPr>
        <w:t>Increasing trade, economic growth and service delivery through better access to utilities, telecommunications and transport infrastructure is crucial to Solomon Islands</w:t>
      </w:r>
      <w:r w:rsidR="00670871" w:rsidRPr="002F075F">
        <w:rPr>
          <w:rFonts w:asciiTheme="minorHAnsi" w:hAnsiTheme="minorHAnsi" w:cstheme="minorHAnsi"/>
          <w:sz w:val="22"/>
          <w:szCs w:val="22"/>
        </w:rPr>
        <w:t>’</w:t>
      </w:r>
      <w:r w:rsidRPr="002F075F">
        <w:rPr>
          <w:rFonts w:asciiTheme="minorHAnsi" w:hAnsiTheme="minorHAnsi" w:cstheme="minorHAnsi"/>
          <w:sz w:val="22"/>
          <w:szCs w:val="22"/>
        </w:rPr>
        <w:t xml:space="preserve"> prosperity and stability. The rising cost of utilities is cited as a major constraint to private sector development by a majority of Solomon Islands businesses</w:t>
      </w:r>
      <w:r w:rsidRPr="00F131F0">
        <w:rPr>
          <w:rFonts w:asciiTheme="minorHAnsi" w:eastAsia="Times New Roman" w:hAnsiTheme="minorHAnsi" w:cstheme="minorHAnsi"/>
          <w:position w:val="6"/>
          <w:sz w:val="16"/>
          <w:szCs w:val="12"/>
        </w:rPr>
        <w:footnoteReference w:id="14"/>
      </w:r>
      <w:r w:rsidRPr="002F075F">
        <w:rPr>
          <w:rFonts w:asciiTheme="minorHAnsi" w:hAnsiTheme="minorHAnsi" w:cstheme="minorHAnsi"/>
          <w:sz w:val="22"/>
          <w:szCs w:val="22"/>
        </w:rPr>
        <w:t xml:space="preserve">. </w:t>
      </w:r>
    </w:p>
    <w:p w:rsidR="002F075F" w:rsidRPr="002F075F" w:rsidRDefault="00781A6E" w:rsidP="002F075F">
      <w:pPr>
        <w:tabs>
          <w:tab w:val="left" w:pos="227"/>
        </w:tabs>
        <w:spacing w:after="120"/>
        <w:rPr>
          <w:rFonts w:asciiTheme="minorHAnsi" w:hAnsiTheme="minorHAnsi" w:cstheme="minorHAnsi"/>
          <w:sz w:val="22"/>
          <w:szCs w:val="22"/>
        </w:rPr>
      </w:pPr>
      <w:r>
        <w:rPr>
          <w:rFonts w:asciiTheme="minorHAnsi" w:hAnsiTheme="minorHAnsi" w:cstheme="minorHAnsi"/>
          <w:sz w:val="22"/>
          <w:szCs w:val="22"/>
        </w:rPr>
        <w:t xml:space="preserve">Performance </w:t>
      </w:r>
      <w:r w:rsidR="002F075F" w:rsidRPr="002F075F">
        <w:rPr>
          <w:rFonts w:asciiTheme="minorHAnsi" w:hAnsiTheme="minorHAnsi" w:cstheme="minorHAnsi"/>
          <w:sz w:val="22"/>
          <w:szCs w:val="22"/>
        </w:rPr>
        <w:t xml:space="preserve">was rated green because </w:t>
      </w:r>
      <w:r w:rsidR="00CC220F">
        <w:rPr>
          <w:rFonts w:asciiTheme="minorHAnsi" w:hAnsiTheme="minorHAnsi" w:cstheme="minorHAnsi"/>
          <w:sz w:val="22"/>
          <w:szCs w:val="22"/>
        </w:rPr>
        <w:t xml:space="preserve">of </w:t>
      </w:r>
      <w:r w:rsidR="002F075F" w:rsidRPr="002F075F">
        <w:rPr>
          <w:rFonts w:asciiTheme="minorHAnsi" w:hAnsiTheme="minorHAnsi" w:cstheme="minorHAnsi"/>
          <w:sz w:val="22"/>
          <w:szCs w:val="22"/>
        </w:rPr>
        <w:t>substantial progress in improving access to economic infrastructure, despite the limited financial resources and capacity of Solomon Islands organisations</w:t>
      </w:r>
      <w:r w:rsidR="00D271B6">
        <w:rPr>
          <w:rFonts w:asciiTheme="minorHAnsi" w:hAnsiTheme="minorHAnsi" w:cstheme="minorHAnsi"/>
          <w:sz w:val="22"/>
          <w:szCs w:val="22"/>
        </w:rPr>
        <w:t xml:space="preserve"> which in previous years has hindered performance. </w:t>
      </w:r>
      <w:r w:rsidR="002F075F" w:rsidRPr="002F075F">
        <w:rPr>
          <w:rFonts w:asciiTheme="minorHAnsi" w:hAnsiTheme="minorHAnsi" w:cstheme="minorHAnsi"/>
          <w:sz w:val="22"/>
          <w:szCs w:val="22"/>
        </w:rPr>
        <w:t xml:space="preserve">Specific assessments against </w:t>
      </w:r>
      <w:r w:rsidR="002F075F" w:rsidRPr="002F075F">
        <w:rPr>
          <w:rFonts w:asciiTheme="minorHAnsi" w:hAnsiTheme="minorHAnsi" w:cstheme="minorHAnsi"/>
          <w:b/>
          <w:sz w:val="22"/>
          <w:szCs w:val="22"/>
        </w:rPr>
        <w:t>PAF Targets</w:t>
      </w:r>
      <w:r w:rsidR="002F075F" w:rsidRPr="002F075F">
        <w:rPr>
          <w:rFonts w:asciiTheme="minorHAnsi" w:hAnsiTheme="minorHAnsi" w:cstheme="minorHAnsi"/>
          <w:sz w:val="22"/>
          <w:szCs w:val="22"/>
        </w:rPr>
        <w:t xml:space="preserve"> are at </w:t>
      </w:r>
      <w:r w:rsidR="002F075F" w:rsidRPr="002F075F">
        <w:rPr>
          <w:rFonts w:asciiTheme="minorHAnsi" w:hAnsiTheme="minorHAnsi" w:cstheme="minorHAnsi"/>
          <w:sz w:val="22"/>
          <w:szCs w:val="22"/>
          <w:u w:val="single"/>
        </w:rPr>
        <w:t xml:space="preserve">Attachment </w:t>
      </w:r>
      <w:r w:rsidR="00BE3048">
        <w:rPr>
          <w:rFonts w:asciiTheme="minorHAnsi" w:hAnsiTheme="minorHAnsi" w:cstheme="minorHAnsi"/>
          <w:sz w:val="22"/>
          <w:szCs w:val="22"/>
          <w:u w:val="single"/>
        </w:rPr>
        <w:t>4</w:t>
      </w:r>
      <w:r w:rsidR="002F075F" w:rsidRPr="002F075F">
        <w:rPr>
          <w:rFonts w:asciiTheme="minorHAnsi" w:hAnsiTheme="minorHAnsi" w:cstheme="minorHAnsi"/>
          <w:sz w:val="22"/>
          <w:szCs w:val="22"/>
        </w:rPr>
        <w:t>.</w:t>
      </w:r>
    </w:p>
    <w:p w:rsidR="002F075F" w:rsidRPr="002F075F" w:rsidRDefault="002F075F" w:rsidP="002F075F">
      <w:pPr>
        <w:spacing w:after="120" w:line="280" w:lineRule="exact"/>
        <w:rPr>
          <w:rFonts w:asciiTheme="minorHAnsi" w:eastAsia="Times New Roman" w:hAnsiTheme="minorHAnsi" w:cstheme="minorHAnsi"/>
          <w:sz w:val="22"/>
          <w:szCs w:val="22"/>
        </w:rPr>
      </w:pPr>
      <w:r w:rsidRPr="002F075F">
        <w:rPr>
          <w:rFonts w:asciiTheme="minorHAnsi" w:eastAsia="Times New Roman" w:hAnsiTheme="minorHAnsi" w:cstheme="minorHAnsi"/>
          <w:sz w:val="22"/>
          <w:szCs w:val="22"/>
        </w:rPr>
        <w:t>Only 23 per cent of the rural population are estimated to have road access</w:t>
      </w:r>
      <w:r w:rsidRPr="002F075F">
        <w:rPr>
          <w:rFonts w:asciiTheme="minorHAnsi" w:eastAsia="Times New Roman" w:hAnsiTheme="minorHAnsi" w:cstheme="minorHAnsi"/>
          <w:position w:val="6"/>
          <w:sz w:val="16"/>
          <w:szCs w:val="12"/>
        </w:rPr>
        <w:footnoteReference w:id="15"/>
      </w:r>
      <w:r w:rsidRPr="002F075F">
        <w:rPr>
          <w:rFonts w:asciiTheme="minorHAnsi" w:eastAsia="Times New Roman" w:hAnsiTheme="minorHAnsi" w:cstheme="minorHAnsi"/>
          <w:sz w:val="22"/>
          <w:szCs w:val="22"/>
        </w:rPr>
        <w:t>.  With Australian support, progress has been made in systematic maintenance of roads and wharves and improving access by rehabilitating or replacing damaged infrastructure</w:t>
      </w:r>
      <w:r w:rsidR="00950DD0">
        <w:rPr>
          <w:rFonts w:asciiTheme="minorHAnsi" w:eastAsia="Times New Roman" w:hAnsiTheme="minorHAnsi" w:cstheme="minorHAnsi"/>
          <w:sz w:val="22"/>
          <w:szCs w:val="22"/>
        </w:rPr>
        <w:t>–</w:t>
      </w:r>
      <w:r w:rsidRPr="002F075F">
        <w:rPr>
          <w:rFonts w:asciiTheme="minorHAnsi" w:eastAsia="Times New Roman" w:hAnsiTheme="minorHAnsi" w:cstheme="minorHAnsi"/>
          <w:sz w:val="22"/>
          <w:szCs w:val="22"/>
        </w:rPr>
        <w:t xml:space="preserve">including the </w:t>
      </w:r>
      <w:r w:rsidRPr="002F075F">
        <w:rPr>
          <w:rFonts w:asciiTheme="minorHAnsi" w:eastAsia="Times New Roman" w:hAnsiTheme="minorHAnsi" w:cstheme="minorHAnsi"/>
          <w:b/>
          <w:sz w:val="22"/>
          <w:szCs w:val="22"/>
        </w:rPr>
        <w:t xml:space="preserve">maintenance of 386 km and rehabilitation of 31 km </w:t>
      </w:r>
      <w:r w:rsidRPr="002F075F">
        <w:rPr>
          <w:rFonts w:asciiTheme="minorHAnsi" w:eastAsia="Times New Roman" w:hAnsiTheme="minorHAnsi" w:cstheme="minorHAnsi"/>
          <w:sz w:val="22"/>
          <w:szCs w:val="22"/>
        </w:rPr>
        <w:t xml:space="preserve">of roads in 2013. </w:t>
      </w:r>
      <w:r w:rsidR="002915A2">
        <w:rPr>
          <w:rFonts w:asciiTheme="minorHAnsi" w:eastAsia="Times New Roman" w:hAnsiTheme="minorHAnsi" w:cstheme="minorHAnsi"/>
          <w:sz w:val="22"/>
          <w:szCs w:val="22"/>
        </w:rPr>
        <w:t xml:space="preserve">This continues the work in 2012 where </w:t>
      </w:r>
      <w:r w:rsidR="002915A2" w:rsidRPr="002915A2">
        <w:rPr>
          <w:rFonts w:asciiTheme="minorHAnsi" w:eastAsia="Times New Roman" w:hAnsiTheme="minorHAnsi" w:cstheme="minorHAnsi"/>
          <w:sz w:val="22"/>
          <w:szCs w:val="22"/>
        </w:rPr>
        <w:t>344 kilometres of roads were maintained.</w:t>
      </w:r>
    </w:p>
    <w:p w:rsidR="002F075F" w:rsidRPr="002F075F" w:rsidRDefault="002F075F" w:rsidP="002F075F">
      <w:pPr>
        <w:tabs>
          <w:tab w:val="left" w:pos="227"/>
        </w:tabs>
        <w:spacing w:after="120"/>
        <w:rPr>
          <w:rFonts w:asciiTheme="minorHAnsi" w:hAnsiTheme="minorHAnsi" w:cstheme="minorHAnsi"/>
          <w:sz w:val="22"/>
          <w:szCs w:val="22"/>
        </w:rPr>
      </w:pPr>
      <w:r w:rsidRPr="002F075F">
        <w:rPr>
          <w:rFonts w:asciiTheme="minorHAnsi" w:hAnsiTheme="minorHAnsi" w:cstheme="minorHAnsi"/>
          <w:sz w:val="22"/>
          <w:szCs w:val="22"/>
        </w:rPr>
        <w:lastRenderedPageBreak/>
        <w:t xml:space="preserve">Progress has been slower than expected but improved planning and implementation was evident during 2013-14. Contracts are underway or planned </w:t>
      </w:r>
      <w:r w:rsidR="00781A6E">
        <w:rPr>
          <w:rFonts w:asciiTheme="minorHAnsi" w:hAnsiTheme="minorHAnsi" w:cstheme="minorHAnsi"/>
          <w:sz w:val="22"/>
          <w:szCs w:val="22"/>
        </w:rPr>
        <w:t xml:space="preserve">and </w:t>
      </w:r>
      <w:r w:rsidR="00E6385F">
        <w:rPr>
          <w:rFonts w:asciiTheme="minorHAnsi" w:hAnsiTheme="minorHAnsi" w:cstheme="minorHAnsi"/>
          <w:sz w:val="22"/>
          <w:szCs w:val="22"/>
        </w:rPr>
        <w:t>aim</w:t>
      </w:r>
      <w:r w:rsidRPr="002F075F">
        <w:rPr>
          <w:rFonts w:asciiTheme="minorHAnsi" w:hAnsiTheme="minorHAnsi" w:cstheme="minorHAnsi"/>
          <w:sz w:val="22"/>
          <w:szCs w:val="22"/>
        </w:rPr>
        <w:t xml:space="preserve"> to expand road maintenance to most of the maintainable network by the end of 2014. Contracting out of transport works is increasing opportunities for the </w:t>
      </w:r>
      <w:r w:rsidRPr="002F075F">
        <w:rPr>
          <w:rFonts w:asciiTheme="minorHAnsi" w:hAnsiTheme="minorHAnsi" w:cstheme="minorHAnsi"/>
          <w:b/>
          <w:sz w:val="22"/>
          <w:szCs w:val="22"/>
        </w:rPr>
        <w:t>local</w:t>
      </w:r>
      <w:r w:rsidRPr="002F075F">
        <w:rPr>
          <w:rFonts w:asciiTheme="minorHAnsi" w:hAnsiTheme="minorHAnsi" w:cstheme="minorHAnsi"/>
          <w:sz w:val="22"/>
          <w:szCs w:val="22"/>
        </w:rPr>
        <w:t xml:space="preserve"> </w:t>
      </w:r>
      <w:r w:rsidRPr="002F075F">
        <w:rPr>
          <w:rFonts w:asciiTheme="minorHAnsi" w:hAnsiTheme="minorHAnsi" w:cstheme="minorHAnsi"/>
          <w:b/>
          <w:sz w:val="22"/>
          <w:szCs w:val="22"/>
        </w:rPr>
        <w:t xml:space="preserve">private sector </w:t>
      </w:r>
      <w:r w:rsidRPr="002F075F">
        <w:rPr>
          <w:rFonts w:asciiTheme="minorHAnsi" w:hAnsiTheme="minorHAnsi" w:cstheme="minorHAnsi"/>
          <w:sz w:val="22"/>
          <w:szCs w:val="22"/>
        </w:rPr>
        <w:t>and firms are responding to new opportunities by investing in equipment.</w:t>
      </w:r>
    </w:p>
    <w:p w:rsidR="002F075F" w:rsidRPr="002F075F" w:rsidRDefault="002F075F" w:rsidP="002F075F">
      <w:pPr>
        <w:tabs>
          <w:tab w:val="left" w:pos="227"/>
        </w:tabs>
        <w:spacing w:after="120"/>
        <w:rPr>
          <w:rFonts w:asciiTheme="minorHAnsi" w:hAnsiTheme="minorHAnsi" w:cstheme="minorHAnsi"/>
          <w:sz w:val="22"/>
          <w:szCs w:val="22"/>
        </w:rPr>
      </w:pPr>
      <w:r w:rsidRPr="002F075F">
        <w:rPr>
          <w:rFonts w:asciiTheme="minorHAnsi" w:hAnsiTheme="minorHAnsi" w:cstheme="minorHAnsi"/>
          <w:sz w:val="22"/>
          <w:szCs w:val="22"/>
        </w:rPr>
        <w:t xml:space="preserve">Transport works are creating </w:t>
      </w:r>
      <w:r w:rsidRPr="002F075F">
        <w:rPr>
          <w:rFonts w:asciiTheme="minorHAnsi" w:hAnsiTheme="minorHAnsi" w:cstheme="minorHAnsi"/>
          <w:b/>
          <w:sz w:val="22"/>
          <w:szCs w:val="22"/>
        </w:rPr>
        <w:t>business management opportunities for women</w:t>
      </w:r>
      <w:r w:rsidRPr="002F075F">
        <w:rPr>
          <w:rFonts w:asciiTheme="minorHAnsi" w:hAnsiTheme="minorHAnsi" w:cstheme="minorHAnsi"/>
          <w:sz w:val="22"/>
          <w:szCs w:val="22"/>
        </w:rPr>
        <w:t xml:space="preserve">: of the 56 </w:t>
      </w:r>
      <w:r w:rsidR="003373E9">
        <w:rPr>
          <w:rFonts w:asciiTheme="minorHAnsi" w:hAnsiTheme="minorHAnsi" w:cstheme="minorHAnsi"/>
          <w:sz w:val="22"/>
          <w:szCs w:val="22"/>
        </w:rPr>
        <w:t>National Transport Fund (</w:t>
      </w:r>
      <w:r w:rsidRPr="002F075F">
        <w:rPr>
          <w:rFonts w:asciiTheme="minorHAnsi" w:hAnsiTheme="minorHAnsi" w:cstheme="minorHAnsi"/>
          <w:sz w:val="22"/>
          <w:szCs w:val="22"/>
        </w:rPr>
        <w:t>NTF</w:t>
      </w:r>
      <w:r w:rsidR="003373E9">
        <w:rPr>
          <w:rFonts w:asciiTheme="minorHAnsi" w:hAnsiTheme="minorHAnsi" w:cstheme="minorHAnsi"/>
          <w:sz w:val="22"/>
          <w:szCs w:val="22"/>
        </w:rPr>
        <w:t>)</w:t>
      </w:r>
      <w:r w:rsidRPr="002F075F">
        <w:rPr>
          <w:rFonts w:asciiTheme="minorHAnsi" w:hAnsiTheme="minorHAnsi" w:cstheme="minorHAnsi"/>
          <w:sz w:val="22"/>
          <w:szCs w:val="22"/>
        </w:rPr>
        <w:t xml:space="preserve">-funded contracts operating in 2013, 17 contractors had women in management roles. NTF labour-based road maintenance and Rapid Employment Project urban infrastructure works in Honiara have an important </w:t>
      </w:r>
      <w:r w:rsidRPr="002F075F">
        <w:rPr>
          <w:rFonts w:asciiTheme="minorHAnsi" w:hAnsiTheme="minorHAnsi" w:cstheme="minorHAnsi"/>
          <w:b/>
          <w:sz w:val="22"/>
          <w:szCs w:val="22"/>
        </w:rPr>
        <w:t>social inclusion</w:t>
      </w:r>
      <w:r w:rsidRPr="002F075F">
        <w:rPr>
          <w:rFonts w:asciiTheme="minorHAnsi" w:hAnsiTheme="minorHAnsi" w:cstheme="minorHAnsi"/>
          <w:sz w:val="22"/>
          <w:szCs w:val="22"/>
        </w:rPr>
        <w:t xml:space="preserve"> function, providing paid work for low-income earners and the unemployed.</w:t>
      </w:r>
    </w:p>
    <w:p w:rsidR="002F075F" w:rsidRPr="002F075F" w:rsidRDefault="002F075F" w:rsidP="002F075F">
      <w:pPr>
        <w:spacing w:after="120"/>
        <w:rPr>
          <w:rFonts w:asciiTheme="minorHAnsi" w:hAnsiTheme="minorHAnsi" w:cstheme="minorHAnsi"/>
          <w:sz w:val="22"/>
          <w:szCs w:val="22"/>
        </w:rPr>
      </w:pPr>
      <w:r w:rsidRPr="002F075F">
        <w:rPr>
          <w:rFonts w:asciiTheme="minorHAnsi" w:hAnsiTheme="minorHAnsi" w:cstheme="minorHAnsi"/>
          <w:sz w:val="22"/>
          <w:szCs w:val="22"/>
        </w:rPr>
        <w:t xml:space="preserve">Australian support to </w:t>
      </w:r>
      <w:r w:rsidRPr="002F075F">
        <w:rPr>
          <w:rFonts w:asciiTheme="minorHAnsi" w:hAnsiTheme="minorHAnsi" w:cstheme="minorHAnsi"/>
          <w:b/>
          <w:i/>
          <w:sz w:val="22"/>
          <w:szCs w:val="22"/>
        </w:rPr>
        <w:t>Solomon Water</w:t>
      </w:r>
      <w:r w:rsidRPr="002F075F">
        <w:rPr>
          <w:rFonts w:asciiTheme="minorHAnsi" w:hAnsiTheme="minorHAnsi" w:cstheme="minorHAnsi"/>
          <w:sz w:val="22"/>
          <w:szCs w:val="22"/>
        </w:rPr>
        <w:t xml:space="preserve"> has seen a dramatic turnaround in the performance of the organisation since 2011. It is financially solvent and </w:t>
      </w:r>
      <w:r w:rsidRPr="002F075F">
        <w:rPr>
          <w:rFonts w:asciiTheme="minorHAnsi" w:hAnsiTheme="minorHAnsi" w:cstheme="minorHAnsi"/>
          <w:b/>
          <w:sz w:val="22"/>
          <w:szCs w:val="22"/>
        </w:rPr>
        <w:t>the reliability and quality of water services have improved</w:t>
      </w:r>
      <w:r w:rsidRPr="002F075F">
        <w:rPr>
          <w:rFonts w:asciiTheme="minorHAnsi" w:hAnsiTheme="minorHAnsi" w:cstheme="minorHAnsi"/>
          <w:sz w:val="22"/>
          <w:szCs w:val="22"/>
        </w:rPr>
        <w:t xml:space="preserve">. The average proportion of water samples that pass WHO bacteria standards increased from less than half in 2011 to 90 per cent in 2013. All areas of Honiara received water and </w:t>
      </w:r>
      <w:r w:rsidR="00781A6E">
        <w:rPr>
          <w:rFonts w:asciiTheme="minorHAnsi" w:hAnsiTheme="minorHAnsi" w:cstheme="minorHAnsi"/>
          <w:sz w:val="22"/>
          <w:szCs w:val="22"/>
        </w:rPr>
        <w:t xml:space="preserve">daily </w:t>
      </w:r>
      <w:r w:rsidRPr="002F075F">
        <w:rPr>
          <w:rFonts w:asciiTheme="minorHAnsi" w:hAnsiTheme="minorHAnsi" w:cstheme="minorHAnsi"/>
          <w:sz w:val="22"/>
          <w:szCs w:val="22"/>
        </w:rPr>
        <w:t>average hours of supply increased to 18 hours. Over 40 per cent of the population can access 24-hour supply and 94 per cent can access at least 12 hours of supply</w:t>
      </w:r>
      <w:r w:rsidRPr="002F075F">
        <w:rPr>
          <w:rFonts w:asciiTheme="minorHAnsi" w:eastAsia="Times New Roman" w:hAnsiTheme="minorHAnsi" w:cstheme="minorHAnsi"/>
          <w:position w:val="6"/>
          <w:sz w:val="16"/>
          <w:szCs w:val="12"/>
        </w:rPr>
        <w:footnoteReference w:id="16"/>
      </w:r>
      <w:r w:rsidRPr="002F075F">
        <w:rPr>
          <w:rFonts w:asciiTheme="minorHAnsi" w:hAnsiTheme="minorHAnsi" w:cstheme="minorHAnsi"/>
          <w:sz w:val="22"/>
          <w:szCs w:val="22"/>
        </w:rPr>
        <w:t xml:space="preserve">. </w:t>
      </w:r>
      <w:r w:rsidR="00E5658C">
        <w:rPr>
          <w:rFonts w:asciiTheme="minorHAnsi" w:hAnsiTheme="minorHAnsi" w:cstheme="minorHAnsi"/>
          <w:sz w:val="22"/>
          <w:szCs w:val="22"/>
        </w:rPr>
        <w:t xml:space="preserve"> As a result of the new debt management strategy and arrangements, the </w:t>
      </w:r>
      <w:r w:rsidR="00E5658C" w:rsidRPr="00E5658C">
        <w:rPr>
          <w:rFonts w:asciiTheme="minorHAnsi" w:hAnsiTheme="minorHAnsi" w:cstheme="minorHAnsi"/>
          <w:b/>
          <w:i/>
          <w:sz w:val="22"/>
          <w:szCs w:val="22"/>
        </w:rPr>
        <w:t>Solomon Islands Electricity Authority</w:t>
      </w:r>
      <w:r w:rsidR="00E5658C">
        <w:rPr>
          <w:rFonts w:asciiTheme="minorHAnsi" w:hAnsiTheme="minorHAnsi" w:cstheme="minorHAnsi"/>
          <w:sz w:val="22"/>
          <w:szCs w:val="22"/>
        </w:rPr>
        <w:t xml:space="preserve"> has invested heavily in new generators and transmission lines.</w:t>
      </w:r>
    </w:p>
    <w:p w:rsidR="002F075F" w:rsidRPr="002F075F" w:rsidRDefault="002F075F" w:rsidP="002F075F">
      <w:pPr>
        <w:tabs>
          <w:tab w:val="left" w:pos="227"/>
        </w:tabs>
        <w:spacing w:after="120"/>
        <w:rPr>
          <w:rFonts w:asciiTheme="minorHAnsi" w:hAnsiTheme="minorHAnsi" w:cstheme="minorHAnsi"/>
          <w:sz w:val="22"/>
          <w:szCs w:val="22"/>
        </w:rPr>
      </w:pPr>
      <w:r w:rsidRPr="002F075F">
        <w:rPr>
          <w:rFonts w:asciiTheme="minorHAnsi" w:hAnsiTheme="minorHAnsi" w:cstheme="minorHAnsi"/>
          <w:sz w:val="22"/>
          <w:szCs w:val="22"/>
        </w:rPr>
        <w:t xml:space="preserve">Continued </w:t>
      </w:r>
      <w:r w:rsidRPr="002F075F">
        <w:rPr>
          <w:rFonts w:asciiTheme="minorHAnsi" w:hAnsiTheme="minorHAnsi" w:cstheme="minorHAnsi"/>
          <w:b/>
          <w:sz w:val="22"/>
          <w:szCs w:val="22"/>
        </w:rPr>
        <w:t>effective regulation of the telecommunications sector</w:t>
      </w:r>
      <w:r w:rsidRPr="002F075F">
        <w:rPr>
          <w:rFonts w:asciiTheme="minorHAnsi" w:hAnsiTheme="minorHAnsi" w:cstheme="minorHAnsi"/>
          <w:sz w:val="22"/>
          <w:szCs w:val="22"/>
        </w:rPr>
        <w:t xml:space="preserve"> has seen ongoing improvements to service access. An estimated 83 per cent of the population had access to a mobile signal in 2013, compared to 80 per cent in 2012 and only 20 per cent in 2009.</w:t>
      </w:r>
      <w:r w:rsidRPr="002F075F">
        <w:rPr>
          <w:rFonts w:asciiTheme="minorHAnsi" w:eastAsia="Times New Roman" w:hAnsiTheme="minorHAnsi" w:cstheme="minorHAnsi"/>
          <w:position w:val="6"/>
          <w:sz w:val="16"/>
          <w:szCs w:val="12"/>
        </w:rPr>
        <w:footnoteReference w:id="17"/>
      </w:r>
    </w:p>
    <w:p w:rsidR="002F075F" w:rsidRDefault="002F075F" w:rsidP="002F075F">
      <w:pPr>
        <w:tabs>
          <w:tab w:val="left" w:pos="227"/>
        </w:tabs>
        <w:spacing w:after="120"/>
        <w:rPr>
          <w:rFonts w:asciiTheme="minorHAnsi" w:hAnsiTheme="minorHAnsi" w:cstheme="minorHAnsi"/>
          <w:sz w:val="22"/>
          <w:szCs w:val="22"/>
        </w:rPr>
      </w:pPr>
      <w:r w:rsidRPr="002F075F">
        <w:rPr>
          <w:rFonts w:asciiTheme="minorHAnsi" w:hAnsiTheme="minorHAnsi" w:cstheme="minorHAnsi"/>
          <w:sz w:val="22"/>
          <w:szCs w:val="22"/>
        </w:rPr>
        <w:t xml:space="preserve">Significant progress was made on the </w:t>
      </w:r>
      <w:r w:rsidRPr="002F075F">
        <w:rPr>
          <w:rFonts w:asciiTheme="minorHAnsi" w:hAnsiTheme="minorHAnsi" w:cstheme="minorHAnsi"/>
          <w:b/>
          <w:sz w:val="22"/>
          <w:szCs w:val="22"/>
        </w:rPr>
        <w:t>Tina River hydropower project</w:t>
      </w:r>
      <w:r w:rsidRPr="002F075F">
        <w:rPr>
          <w:rFonts w:asciiTheme="minorHAnsi" w:hAnsiTheme="minorHAnsi" w:cstheme="minorHAnsi"/>
          <w:sz w:val="22"/>
          <w:szCs w:val="22"/>
        </w:rPr>
        <w:t xml:space="preserve"> during 2013</w:t>
      </w:r>
      <w:r w:rsidRPr="002F075F">
        <w:rPr>
          <w:rFonts w:asciiTheme="minorHAnsi" w:hAnsiTheme="minorHAnsi" w:cstheme="minorHAnsi"/>
          <w:sz w:val="22"/>
          <w:szCs w:val="22"/>
        </w:rPr>
        <w:noBreakHyphen/>
        <w:t>14. The project will lower electricity costs and reduce dependence on imported diesel.</w:t>
      </w:r>
      <w:r w:rsidRPr="002F075F">
        <w:rPr>
          <w:rFonts w:asciiTheme="minorHAnsi" w:hAnsiTheme="minorHAnsi" w:cstheme="minorHAnsi"/>
          <w:i/>
          <w:sz w:val="22"/>
          <w:szCs w:val="22"/>
        </w:rPr>
        <w:t xml:space="preserve"> </w:t>
      </w:r>
      <w:r w:rsidRPr="002F075F">
        <w:rPr>
          <w:rFonts w:asciiTheme="minorHAnsi" w:hAnsiTheme="minorHAnsi" w:cstheme="minorHAnsi"/>
          <w:sz w:val="22"/>
          <w:szCs w:val="22"/>
        </w:rPr>
        <w:t>Electricity prices in Solomon Islands are currently among the highest in the world</w:t>
      </w:r>
      <w:r w:rsidRPr="002F075F">
        <w:rPr>
          <w:rFonts w:asciiTheme="minorHAnsi" w:eastAsia="Times New Roman" w:hAnsiTheme="minorHAnsi" w:cstheme="minorHAnsi"/>
          <w:position w:val="6"/>
          <w:sz w:val="16"/>
          <w:szCs w:val="12"/>
        </w:rPr>
        <w:footnoteReference w:id="18"/>
      </w:r>
      <w:r w:rsidRPr="002F075F">
        <w:rPr>
          <w:rFonts w:asciiTheme="minorHAnsi" w:hAnsiTheme="minorHAnsi" w:cstheme="minorHAnsi"/>
          <w:sz w:val="22"/>
          <w:szCs w:val="22"/>
        </w:rPr>
        <w:t xml:space="preserve">. The project will be built by a private developer in the </w:t>
      </w:r>
      <w:r w:rsidRPr="002F075F">
        <w:rPr>
          <w:rFonts w:asciiTheme="minorHAnsi" w:hAnsiTheme="minorHAnsi" w:cstheme="minorHAnsi"/>
          <w:b/>
          <w:sz w:val="22"/>
          <w:szCs w:val="22"/>
        </w:rPr>
        <w:t>first public-private partnership of its type</w:t>
      </w:r>
      <w:r w:rsidRPr="002F075F">
        <w:rPr>
          <w:rFonts w:asciiTheme="minorHAnsi" w:hAnsiTheme="minorHAnsi" w:cstheme="minorHAnsi"/>
          <w:sz w:val="22"/>
          <w:szCs w:val="22"/>
        </w:rPr>
        <w:t xml:space="preserve"> in Solomon Islands. With Australian support through the World Bank, </w:t>
      </w:r>
      <w:r w:rsidR="003373E9">
        <w:rPr>
          <w:rFonts w:asciiTheme="minorHAnsi" w:hAnsiTheme="minorHAnsi" w:cstheme="minorHAnsi"/>
          <w:sz w:val="22"/>
          <w:szCs w:val="22"/>
        </w:rPr>
        <w:t xml:space="preserve">the </w:t>
      </w:r>
      <w:r w:rsidR="00F413E6">
        <w:rPr>
          <w:rFonts w:asciiTheme="minorHAnsi" w:hAnsiTheme="minorHAnsi" w:cstheme="minorHAnsi"/>
          <w:sz w:val="22"/>
          <w:szCs w:val="22"/>
        </w:rPr>
        <w:t>Solomon Islands Government</w:t>
      </w:r>
      <w:r w:rsidR="003373E9">
        <w:rPr>
          <w:rFonts w:asciiTheme="minorHAnsi" w:hAnsiTheme="minorHAnsi" w:cstheme="minorHAnsi"/>
          <w:sz w:val="22"/>
          <w:szCs w:val="22"/>
        </w:rPr>
        <w:t xml:space="preserve"> </w:t>
      </w:r>
      <w:r w:rsidRPr="002F075F">
        <w:rPr>
          <w:rFonts w:asciiTheme="minorHAnsi" w:hAnsiTheme="minorHAnsi" w:cstheme="minorHAnsi"/>
          <w:sz w:val="22"/>
          <w:szCs w:val="22"/>
        </w:rPr>
        <w:t xml:space="preserve">has invested significant resources in addressing environmental and social safeguards issues. While difficulties and delays have been experienced, the project </w:t>
      </w:r>
      <w:r w:rsidR="00950DD0">
        <w:rPr>
          <w:rFonts w:asciiTheme="minorHAnsi" w:hAnsiTheme="minorHAnsi" w:cstheme="minorHAnsi"/>
          <w:sz w:val="22"/>
          <w:szCs w:val="22"/>
        </w:rPr>
        <w:t>promises to</w:t>
      </w:r>
      <w:r w:rsidRPr="002F075F">
        <w:rPr>
          <w:rFonts w:asciiTheme="minorHAnsi" w:hAnsiTheme="minorHAnsi" w:cstheme="minorHAnsi"/>
          <w:sz w:val="22"/>
          <w:szCs w:val="22"/>
        </w:rPr>
        <w:t xml:space="preserve"> be </w:t>
      </w:r>
      <w:r w:rsidRPr="002F075F">
        <w:rPr>
          <w:rFonts w:asciiTheme="minorHAnsi" w:hAnsiTheme="minorHAnsi" w:cstheme="minorHAnsi"/>
          <w:b/>
          <w:sz w:val="22"/>
          <w:szCs w:val="22"/>
        </w:rPr>
        <w:t>a model for the management of community relations and land access in Solomon Islands</w:t>
      </w:r>
      <w:r w:rsidRPr="002F075F">
        <w:rPr>
          <w:rFonts w:asciiTheme="minorHAnsi" w:hAnsiTheme="minorHAnsi" w:cstheme="minorHAnsi"/>
          <w:sz w:val="22"/>
          <w:szCs w:val="22"/>
        </w:rPr>
        <w:t>. Initial assessments show the project complies with the international best-practice of obtaining free, prior and informed consent.</w:t>
      </w:r>
    </w:p>
    <w:p w:rsidR="00E6385F" w:rsidRPr="002F075F" w:rsidRDefault="00E6385F" w:rsidP="00831DC0">
      <w:pPr>
        <w:tabs>
          <w:tab w:val="left" w:pos="227"/>
        </w:tabs>
        <w:spacing w:after="120"/>
        <w:rPr>
          <w:rFonts w:asciiTheme="minorHAnsi" w:hAnsiTheme="minorHAnsi" w:cstheme="minorHAnsi"/>
          <w:sz w:val="22"/>
          <w:szCs w:val="22"/>
        </w:rPr>
      </w:pPr>
      <w:r w:rsidRPr="002F075F">
        <w:rPr>
          <w:rFonts w:asciiTheme="minorHAnsi" w:hAnsiTheme="minorHAnsi" w:cstheme="minorHAnsi"/>
          <w:sz w:val="22"/>
          <w:szCs w:val="22"/>
        </w:rPr>
        <w:t>The April floods caused significant damage to infrastructure. M</w:t>
      </w:r>
      <w:r>
        <w:rPr>
          <w:rFonts w:asciiTheme="minorHAnsi" w:hAnsiTheme="minorHAnsi" w:cstheme="minorHAnsi"/>
          <w:sz w:val="22"/>
          <w:szCs w:val="22"/>
        </w:rPr>
        <w:t>inistry of Infrastructure Development</w:t>
      </w:r>
      <w:r w:rsidRPr="002F075F">
        <w:rPr>
          <w:rFonts w:asciiTheme="minorHAnsi" w:hAnsiTheme="minorHAnsi" w:cstheme="minorHAnsi"/>
          <w:sz w:val="22"/>
          <w:szCs w:val="22"/>
        </w:rPr>
        <w:t xml:space="preserve"> responded quickly to prevent the collapse of the main bridge in Honiara</w:t>
      </w:r>
      <w:r w:rsidRPr="002F075F">
        <w:rPr>
          <w:rFonts w:asciiTheme="minorHAnsi" w:hAnsiTheme="minorHAnsi" w:cstheme="minorHAnsi"/>
          <w:sz w:val="22"/>
          <w:szCs w:val="22"/>
        </w:rPr>
        <w:softHyphen/>
        <w:t>–supported by technical advisors, including from the Australian Civilian Corps and Australian Defence Force. Australia is funding works through the N</w:t>
      </w:r>
      <w:r>
        <w:rPr>
          <w:rFonts w:asciiTheme="minorHAnsi" w:hAnsiTheme="minorHAnsi" w:cstheme="minorHAnsi"/>
          <w:sz w:val="22"/>
          <w:szCs w:val="22"/>
        </w:rPr>
        <w:t>ational Transport Fund</w:t>
      </w:r>
      <w:r w:rsidRPr="002F075F">
        <w:rPr>
          <w:rFonts w:asciiTheme="minorHAnsi" w:hAnsiTheme="minorHAnsi" w:cstheme="minorHAnsi"/>
          <w:sz w:val="22"/>
          <w:szCs w:val="22"/>
        </w:rPr>
        <w:t xml:space="preserve"> to</w:t>
      </w:r>
      <w:r w:rsidR="00EC3A11">
        <w:rPr>
          <w:rFonts w:asciiTheme="minorHAnsi" w:hAnsiTheme="minorHAnsi" w:cstheme="minorHAnsi"/>
          <w:sz w:val="22"/>
          <w:szCs w:val="22"/>
        </w:rPr>
        <w:t xml:space="preserve"> restore damaged infrastructure, particularly on the main supply road in west Guadalcanal.</w:t>
      </w:r>
    </w:p>
    <w:p w:rsidR="00E6385F" w:rsidRPr="002F075F" w:rsidRDefault="00E6385F" w:rsidP="00831DC0">
      <w:pPr>
        <w:tabs>
          <w:tab w:val="left" w:pos="227"/>
        </w:tabs>
        <w:spacing w:after="120"/>
        <w:rPr>
          <w:rFonts w:asciiTheme="minorHAnsi" w:hAnsiTheme="minorHAnsi" w:cstheme="minorHAnsi"/>
          <w:sz w:val="22"/>
          <w:szCs w:val="22"/>
        </w:rPr>
      </w:pPr>
      <w:r w:rsidRPr="002F075F">
        <w:rPr>
          <w:rFonts w:asciiTheme="minorHAnsi" w:hAnsiTheme="minorHAnsi" w:cstheme="minorHAnsi"/>
          <w:b/>
          <w:sz w:val="22"/>
          <w:szCs w:val="22"/>
        </w:rPr>
        <w:t>Solomon Water responded</w:t>
      </w:r>
      <w:r w:rsidRPr="002F075F">
        <w:rPr>
          <w:rFonts w:asciiTheme="minorHAnsi" w:hAnsiTheme="minorHAnsi" w:cstheme="minorHAnsi"/>
          <w:sz w:val="22"/>
          <w:szCs w:val="22"/>
        </w:rPr>
        <w:t xml:space="preserve"> </w:t>
      </w:r>
      <w:r w:rsidR="00EC3A11">
        <w:rPr>
          <w:rFonts w:asciiTheme="minorHAnsi" w:hAnsiTheme="minorHAnsi" w:cstheme="minorHAnsi"/>
          <w:sz w:val="22"/>
          <w:szCs w:val="22"/>
        </w:rPr>
        <w:t xml:space="preserve">well, </w:t>
      </w:r>
      <w:r w:rsidRPr="002F075F">
        <w:rPr>
          <w:rFonts w:asciiTheme="minorHAnsi" w:hAnsiTheme="minorHAnsi" w:cstheme="minorHAnsi"/>
          <w:sz w:val="22"/>
          <w:szCs w:val="22"/>
        </w:rPr>
        <w:t xml:space="preserve">under the leadership of the Australian-funded General Manager. Solomon Water was able to increase supply quickly after the floods, including by using new pumps and increased disinfection </w:t>
      </w:r>
      <w:r w:rsidR="00EC3A11">
        <w:rPr>
          <w:rFonts w:asciiTheme="minorHAnsi" w:hAnsiTheme="minorHAnsi" w:cstheme="minorHAnsi"/>
          <w:sz w:val="22"/>
          <w:szCs w:val="22"/>
        </w:rPr>
        <w:t xml:space="preserve">which </w:t>
      </w:r>
      <w:r w:rsidRPr="002F075F">
        <w:rPr>
          <w:rFonts w:asciiTheme="minorHAnsi" w:hAnsiTheme="minorHAnsi" w:cstheme="minorHAnsi"/>
          <w:sz w:val="22"/>
          <w:szCs w:val="22"/>
        </w:rPr>
        <w:t xml:space="preserve">helped reduce water contamination. </w:t>
      </w:r>
      <w:r w:rsidR="00950DD0">
        <w:rPr>
          <w:rFonts w:asciiTheme="minorHAnsi" w:hAnsiTheme="minorHAnsi" w:cstheme="minorHAnsi"/>
          <w:sz w:val="22"/>
          <w:szCs w:val="22"/>
        </w:rPr>
        <w:t>P</w:t>
      </w:r>
      <w:r w:rsidRPr="002F075F">
        <w:rPr>
          <w:rFonts w:asciiTheme="minorHAnsi" w:hAnsiTheme="minorHAnsi" w:cstheme="minorHAnsi"/>
          <w:b/>
          <w:sz w:val="22"/>
          <w:szCs w:val="22"/>
        </w:rPr>
        <w:t>rogress remains fragile</w:t>
      </w:r>
      <w:r w:rsidRPr="002F075F">
        <w:rPr>
          <w:rFonts w:asciiTheme="minorHAnsi" w:hAnsiTheme="minorHAnsi" w:cstheme="minorHAnsi"/>
          <w:sz w:val="22"/>
          <w:szCs w:val="22"/>
        </w:rPr>
        <w:t xml:space="preserve"> and dependent on Australian funded managers. </w:t>
      </w:r>
    </w:p>
    <w:p w:rsidR="00C250E1" w:rsidRPr="00801D53" w:rsidRDefault="00B57737" w:rsidP="00121815">
      <w:pPr>
        <w:pStyle w:val="Heading3"/>
      </w:pPr>
      <w:r w:rsidRPr="00B57737">
        <w:t>Priority Outcome 3</w:t>
      </w:r>
      <w:r>
        <w:t xml:space="preserve"> -</w:t>
      </w:r>
      <w:r w:rsidRPr="00B57737">
        <w:t xml:space="preserve"> </w:t>
      </w:r>
      <w:r w:rsidR="00C250E1">
        <w:t xml:space="preserve">Improved </w:t>
      </w:r>
      <w:r w:rsidR="00C250E1" w:rsidRPr="00801D53">
        <w:t>Governance</w:t>
      </w:r>
    </w:p>
    <w:p w:rsidR="00A416D1" w:rsidRDefault="00A416D1" w:rsidP="00A416D1">
      <w:pPr>
        <w:pStyle w:val="ListBullet"/>
        <w:numPr>
          <w:ilvl w:val="0"/>
          <w:numId w:val="0"/>
        </w:numPr>
        <w:tabs>
          <w:tab w:val="clear" w:pos="284"/>
        </w:tabs>
        <w:rPr>
          <w:rFonts w:asciiTheme="minorHAnsi" w:hAnsiTheme="minorHAnsi" w:cstheme="minorHAnsi"/>
          <w:sz w:val="22"/>
          <w:szCs w:val="22"/>
        </w:rPr>
      </w:pPr>
      <w:r w:rsidRPr="00C250E1">
        <w:rPr>
          <w:rFonts w:asciiTheme="minorHAnsi" w:hAnsiTheme="minorHAnsi" w:cstheme="minorHAnsi"/>
          <w:sz w:val="22"/>
          <w:szCs w:val="22"/>
        </w:rPr>
        <w:t xml:space="preserve">The Solomon Islands Economic and Public Sector Governance Program </w:t>
      </w:r>
      <w:r>
        <w:rPr>
          <w:rFonts w:asciiTheme="minorHAnsi" w:hAnsiTheme="minorHAnsi" w:cstheme="minorHAnsi"/>
          <w:sz w:val="22"/>
          <w:szCs w:val="22"/>
        </w:rPr>
        <w:t>commenced in July 2013 following transition of RAMSI programs into the bilateral program. It is the first phase of a 30</w:t>
      </w:r>
      <w:r w:rsidR="00950DD0">
        <w:rPr>
          <w:rFonts w:asciiTheme="minorHAnsi" w:hAnsiTheme="minorHAnsi" w:cstheme="minorHAnsi"/>
          <w:sz w:val="22"/>
          <w:szCs w:val="22"/>
        </w:rPr>
        <w:t>-</w:t>
      </w:r>
      <w:r>
        <w:rPr>
          <w:rFonts w:asciiTheme="minorHAnsi" w:hAnsiTheme="minorHAnsi" w:cstheme="minorHAnsi"/>
          <w:sz w:val="22"/>
          <w:szCs w:val="22"/>
        </w:rPr>
        <w:t>year engagement.</w:t>
      </w:r>
      <w:r w:rsidRPr="003773D9">
        <w:rPr>
          <w:rFonts w:asciiTheme="minorHAnsi" w:hAnsiTheme="minorHAnsi" w:cstheme="minorHAnsi"/>
          <w:sz w:val="22"/>
          <w:szCs w:val="22"/>
        </w:rPr>
        <w:t xml:space="preserve"> </w:t>
      </w:r>
      <w:r w:rsidRPr="00031E1D">
        <w:rPr>
          <w:rFonts w:asciiTheme="minorHAnsi" w:hAnsiTheme="minorHAnsi" w:cstheme="minorHAnsi"/>
          <w:sz w:val="22"/>
          <w:szCs w:val="22"/>
        </w:rPr>
        <w:t xml:space="preserve">Improving the quality of governance in Solomon Islands </w:t>
      </w:r>
      <w:r>
        <w:rPr>
          <w:rFonts w:asciiTheme="minorHAnsi" w:hAnsiTheme="minorHAnsi" w:cstheme="minorHAnsi"/>
          <w:sz w:val="22"/>
          <w:szCs w:val="22"/>
        </w:rPr>
        <w:t xml:space="preserve">is central </w:t>
      </w:r>
      <w:r w:rsidRPr="00031E1D">
        <w:rPr>
          <w:rFonts w:asciiTheme="minorHAnsi" w:hAnsiTheme="minorHAnsi" w:cstheme="minorHAnsi"/>
          <w:sz w:val="22"/>
          <w:szCs w:val="22"/>
        </w:rPr>
        <w:t xml:space="preserve">to </w:t>
      </w:r>
      <w:r>
        <w:rPr>
          <w:rFonts w:asciiTheme="minorHAnsi" w:hAnsiTheme="minorHAnsi" w:cstheme="minorHAnsi"/>
          <w:sz w:val="22"/>
          <w:szCs w:val="22"/>
        </w:rPr>
        <w:t>private sector confidence, service delivery and stability.</w:t>
      </w:r>
      <w:r w:rsidRPr="00CE529D">
        <w:rPr>
          <w:rFonts w:asciiTheme="minorHAnsi" w:hAnsiTheme="minorHAnsi" w:cstheme="minorHAnsi"/>
          <w:sz w:val="22"/>
          <w:szCs w:val="22"/>
        </w:rPr>
        <w:t xml:space="preserve"> </w:t>
      </w:r>
      <w:r w:rsidRPr="007069FC">
        <w:rPr>
          <w:rFonts w:asciiTheme="minorHAnsi" w:hAnsiTheme="minorHAnsi" w:cstheme="minorHAnsi"/>
          <w:sz w:val="22"/>
          <w:szCs w:val="22"/>
        </w:rPr>
        <w:t xml:space="preserve">The first year of SIGOV has focussed on </w:t>
      </w:r>
      <w:r>
        <w:rPr>
          <w:rFonts w:asciiTheme="minorHAnsi" w:hAnsiTheme="minorHAnsi" w:cstheme="minorHAnsi"/>
          <w:sz w:val="22"/>
          <w:szCs w:val="22"/>
        </w:rPr>
        <w:t>improving the ability of government to manage the economy and its finances.</w:t>
      </w:r>
    </w:p>
    <w:p w:rsidR="00A416D1" w:rsidRDefault="00A416D1" w:rsidP="00A416D1">
      <w:pPr>
        <w:pStyle w:val="ListBullet"/>
        <w:numPr>
          <w:ilvl w:val="0"/>
          <w:numId w:val="0"/>
        </w:numPr>
        <w:tabs>
          <w:tab w:val="clear" w:pos="284"/>
        </w:tabs>
        <w:rPr>
          <w:rFonts w:asciiTheme="minorHAnsi" w:hAnsiTheme="minorHAnsi" w:cstheme="minorHAnsi"/>
          <w:sz w:val="22"/>
          <w:szCs w:val="22"/>
        </w:rPr>
      </w:pPr>
      <w:r>
        <w:rPr>
          <w:rFonts w:ascii="Calibri" w:hAnsi="Calibri" w:cs="Calibri"/>
          <w:sz w:val="22"/>
          <w:szCs w:val="22"/>
        </w:rPr>
        <w:t>The objective was rated amber</w:t>
      </w:r>
      <w:r w:rsidR="00950DD0">
        <w:rPr>
          <w:rFonts w:ascii="Calibri" w:hAnsi="Calibri" w:cs="Calibri"/>
          <w:sz w:val="22"/>
          <w:szCs w:val="22"/>
        </w:rPr>
        <w:t xml:space="preserve">; </w:t>
      </w:r>
      <w:r>
        <w:rPr>
          <w:rFonts w:ascii="Calibri" w:hAnsi="Calibri" w:cs="Calibri"/>
          <w:sz w:val="22"/>
          <w:szCs w:val="22"/>
        </w:rPr>
        <w:t>s</w:t>
      </w:r>
      <w:r w:rsidRPr="004E0E7F">
        <w:rPr>
          <w:rFonts w:asciiTheme="minorHAnsi" w:hAnsiTheme="minorHAnsi" w:cstheme="minorHAnsi"/>
          <w:sz w:val="22"/>
          <w:szCs w:val="22"/>
        </w:rPr>
        <w:t xml:space="preserve">pecific assessments against </w:t>
      </w:r>
      <w:r w:rsidRPr="004E0E7F">
        <w:rPr>
          <w:rFonts w:asciiTheme="minorHAnsi" w:hAnsiTheme="minorHAnsi" w:cstheme="minorHAnsi"/>
          <w:b/>
          <w:sz w:val="22"/>
          <w:szCs w:val="22"/>
        </w:rPr>
        <w:t>PAF Targets</w:t>
      </w:r>
      <w:r w:rsidRPr="004E0E7F">
        <w:rPr>
          <w:rFonts w:asciiTheme="minorHAnsi" w:hAnsiTheme="minorHAnsi" w:cstheme="minorHAnsi"/>
          <w:sz w:val="22"/>
          <w:szCs w:val="22"/>
        </w:rPr>
        <w:t xml:space="preserve"> are at </w:t>
      </w:r>
      <w:r w:rsidRPr="004E0E7F">
        <w:rPr>
          <w:rFonts w:asciiTheme="minorHAnsi" w:hAnsiTheme="minorHAnsi" w:cstheme="minorHAnsi"/>
          <w:sz w:val="22"/>
          <w:szCs w:val="22"/>
          <w:u w:val="single"/>
        </w:rPr>
        <w:t xml:space="preserve">Attachment </w:t>
      </w:r>
      <w:r>
        <w:rPr>
          <w:rFonts w:asciiTheme="minorHAnsi" w:hAnsiTheme="minorHAnsi" w:cstheme="minorHAnsi"/>
          <w:sz w:val="22"/>
          <w:szCs w:val="22"/>
          <w:u w:val="single"/>
        </w:rPr>
        <w:t>5</w:t>
      </w:r>
      <w:r w:rsidRPr="004E0E7F">
        <w:rPr>
          <w:rFonts w:asciiTheme="minorHAnsi" w:hAnsiTheme="minorHAnsi" w:cstheme="minorHAnsi"/>
          <w:sz w:val="22"/>
          <w:szCs w:val="22"/>
        </w:rPr>
        <w:t>.</w:t>
      </w:r>
      <w:r>
        <w:rPr>
          <w:rFonts w:asciiTheme="minorHAnsi" w:hAnsiTheme="minorHAnsi" w:cstheme="minorHAnsi"/>
          <w:sz w:val="22"/>
          <w:szCs w:val="22"/>
        </w:rPr>
        <w:t xml:space="preserve"> The program will undertake a review after the first twelve months of operation to realign priorities with government policy and develop</w:t>
      </w:r>
      <w:r w:rsidR="00950DD0">
        <w:rPr>
          <w:rFonts w:asciiTheme="minorHAnsi" w:hAnsiTheme="minorHAnsi" w:cstheme="minorHAnsi"/>
          <w:sz w:val="22"/>
          <w:szCs w:val="22"/>
        </w:rPr>
        <w:t>ment</w:t>
      </w:r>
      <w:r>
        <w:rPr>
          <w:rFonts w:asciiTheme="minorHAnsi" w:hAnsiTheme="minorHAnsi" w:cstheme="minorHAnsi"/>
          <w:sz w:val="22"/>
          <w:szCs w:val="22"/>
        </w:rPr>
        <w:t xml:space="preserve"> of </w:t>
      </w:r>
      <w:r w:rsidR="00950DD0">
        <w:rPr>
          <w:rFonts w:asciiTheme="minorHAnsi" w:hAnsiTheme="minorHAnsi" w:cstheme="minorHAnsi"/>
          <w:sz w:val="22"/>
          <w:szCs w:val="22"/>
        </w:rPr>
        <w:t xml:space="preserve">a </w:t>
      </w:r>
      <w:r>
        <w:rPr>
          <w:rFonts w:asciiTheme="minorHAnsi" w:hAnsiTheme="minorHAnsi" w:cstheme="minorHAnsi"/>
          <w:sz w:val="22"/>
          <w:szCs w:val="22"/>
        </w:rPr>
        <w:t>more robust monitoring and evaluation framework.</w:t>
      </w:r>
    </w:p>
    <w:p w:rsidR="00A416D1" w:rsidRDefault="00A416D1" w:rsidP="00A416D1">
      <w:pPr>
        <w:tabs>
          <w:tab w:val="left" w:pos="227"/>
        </w:tabs>
        <w:spacing w:after="120"/>
        <w:rPr>
          <w:rFonts w:asciiTheme="minorHAnsi" w:hAnsiTheme="minorHAnsi" w:cstheme="minorHAnsi"/>
          <w:sz w:val="22"/>
          <w:szCs w:val="22"/>
        </w:rPr>
      </w:pPr>
      <w:r>
        <w:rPr>
          <w:rFonts w:asciiTheme="minorHAnsi" w:hAnsiTheme="minorHAnsi" w:cstheme="minorHAnsi"/>
          <w:sz w:val="22"/>
          <w:szCs w:val="22"/>
        </w:rPr>
        <w:t xml:space="preserve">In the wake of the dual shocks to both the economy and budget following the suspension of production at the Gold Ridge mine and the April floods, SIGOV officers assisted </w:t>
      </w:r>
      <w:r w:rsidRPr="00734434">
        <w:rPr>
          <w:rFonts w:asciiTheme="minorHAnsi" w:hAnsiTheme="minorHAnsi" w:cstheme="minorHAnsi"/>
          <w:sz w:val="22"/>
          <w:szCs w:val="22"/>
        </w:rPr>
        <w:t>Ministry of Finance and Treasury (MoFT)</w:t>
      </w:r>
      <w:r>
        <w:rPr>
          <w:rFonts w:asciiTheme="minorHAnsi" w:hAnsiTheme="minorHAnsi" w:cstheme="minorHAnsi"/>
          <w:sz w:val="22"/>
          <w:szCs w:val="22"/>
        </w:rPr>
        <w:t xml:space="preserve"> develop a credible financing plan to help manage a very difficult situation. </w:t>
      </w:r>
    </w:p>
    <w:p w:rsidR="00A416D1" w:rsidRDefault="00A416D1" w:rsidP="00A416D1">
      <w:pPr>
        <w:tabs>
          <w:tab w:val="left" w:pos="227"/>
        </w:tabs>
        <w:spacing w:after="120"/>
        <w:rPr>
          <w:rFonts w:asciiTheme="minorHAnsi" w:hAnsiTheme="minorHAnsi" w:cstheme="minorHAnsi"/>
          <w:sz w:val="22"/>
          <w:szCs w:val="22"/>
        </w:rPr>
      </w:pPr>
      <w:r>
        <w:rPr>
          <w:rFonts w:asciiTheme="minorHAnsi" w:hAnsiTheme="minorHAnsi" w:cstheme="minorHAnsi"/>
          <w:sz w:val="22"/>
          <w:szCs w:val="22"/>
        </w:rPr>
        <w:lastRenderedPageBreak/>
        <w:t>T</w:t>
      </w:r>
      <w:r w:rsidRPr="00734434">
        <w:rPr>
          <w:rFonts w:asciiTheme="minorHAnsi" w:hAnsiTheme="minorHAnsi" w:cstheme="minorHAnsi"/>
          <w:sz w:val="22"/>
          <w:szCs w:val="22"/>
        </w:rPr>
        <w:t xml:space="preserve">he Economic Reform Unit (ERU) in MoFT has </w:t>
      </w:r>
      <w:r>
        <w:rPr>
          <w:rFonts w:asciiTheme="minorHAnsi" w:hAnsiTheme="minorHAnsi" w:cstheme="minorHAnsi"/>
          <w:sz w:val="22"/>
          <w:szCs w:val="22"/>
        </w:rPr>
        <w:t>assisted the Ministry</w:t>
      </w:r>
      <w:r w:rsidR="00950DD0">
        <w:rPr>
          <w:rFonts w:asciiTheme="minorHAnsi" w:hAnsiTheme="minorHAnsi" w:cstheme="minorHAnsi"/>
          <w:sz w:val="22"/>
          <w:szCs w:val="22"/>
        </w:rPr>
        <w:t xml:space="preserve"> to</w:t>
      </w:r>
      <w:r>
        <w:rPr>
          <w:rFonts w:asciiTheme="minorHAnsi" w:hAnsiTheme="minorHAnsi" w:cstheme="minorHAnsi"/>
          <w:sz w:val="22"/>
          <w:szCs w:val="22"/>
        </w:rPr>
        <w:t xml:space="preserve"> </w:t>
      </w:r>
      <w:r w:rsidRPr="009D70D6">
        <w:rPr>
          <w:rFonts w:asciiTheme="minorHAnsi" w:hAnsiTheme="minorHAnsi" w:cstheme="minorHAnsi"/>
          <w:b/>
          <w:sz w:val="22"/>
          <w:szCs w:val="22"/>
        </w:rPr>
        <w:t>provide advice to government</w:t>
      </w:r>
      <w:r w:rsidRPr="00734434">
        <w:rPr>
          <w:rFonts w:asciiTheme="minorHAnsi" w:hAnsiTheme="minorHAnsi" w:cstheme="minorHAnsi"/>
          <w:sz w:val="22"/>
          <w:szCs w:val="22"/>
        </w:rPr>
        <w:t xml:space="preserve"> on </w:t>
      </w:r>
      <w:r w:rsidRPr="009D70D6">
        <w:rPr>
          <w:rFonts w:asciiTheme="minorHAnsi" w:hAnsiTheme="minorHAnsi" w:cstheme="minorHAnsi"/>
          <w:b/>
          <w:sz w:val="22"/>
          <w:szCs w:val="22"/>
        </w:rPr>
        <w:t>critical investment projects</w:t>
      </w:r>
      <w:r>
        <w:rPr>
          <w:rFonts w:asciiTheme="minorHAnsi" w:hAnsiTheme="minorHAnsi" w:cstheme="minorHAnsi"/>
          <w:b/>
          <w:sz w:val="22"/>
          <w:szCs w:val="22"/>
        </w:rPr>
        <w:t xml:space="preserve"> </w:t>
      </w:r>
      <w:r w:rsidRPr="00734434">
        <w:rPr>
          <w:rFonts w:asciiTheme="minorHAnsi" w:hAnsiTheme="minorHAnsi" w:cstheme="minorHAnsi"/>
          <w:sz w:val="22"/>
          <w:szCs w:val="22"/>
        </w:rPr>
        <w:t>expected to deliver substantial economic and social benefits. These include</w:t>
      </w:r>
      <w:r>
        <w:rPr>
          <w:rFonts w:asciiTheme="minorHAnsi" w:hAnsiTheme="minorHAnsi" w:cstheme="minorHAnsi"/>
          <w:sz w:val="22"/>
          <w:szCs w:val="22"/>
        </w:rPr>
        <w:t xml:space="preserve"> </w:t>
      </w:r>
      <w:r w:rsidRPr="00734434">
        <w:rPr>
          <w:rFonts w:asciiTheme="minorHAnsi" w:hAnsiTheme="minorHAnsi" w:cstheme="minorHAnsi"/>
          <w:sz w:val="22"/>
          <w:szCs w:val="22"/>
        </w:rPr>
        <w:t>investments in the electricity sector</w:t>
      </w:r>
      <w:r w:rsidR="00950DD0">
        <w:rPr>
          <w:rFonts w:asciiTheme="minorHAnsi" w:hAnsiTheme="minorHAnsi" w:cstheme="minorHAnsi"/>
          <w:sz w:val="22"/>
          <w:szCs w:val="22"/>
        </w:rPr>
        <w:t>:</w:t>
      </w:r>
      <w:r>
        <w:rPr>
          <w:rFonts w:asciiTheme="minorHAnsi" w:hAnsiTheme="minorHAnsi" w:cstheme="minorHAnsi"/>
          <w:sz w:val="22"/>
          <w:szCs w:val="22"/>
        </w:rPr>
        <w:t xml:space="preserve"> including </w:t>
      </w:r>
      <w:r w:rsidRPr="00734434">
        <w:rPr>
          <w:rFonts w:asciiTheme="minorHAnsi" w:hAnsiTheme="minorHAnsi" w:cstheme="minorHAnsi"/>
          <w:sz w:val="22"/>
          <w:szCs w:val="22"/>
        </w:rPr>
        <w:t xml:space="preserve">the Tina River Hydro Development Project; and the undersea fibre optic cable project.   </w:t>
      </w:r>
    </w:p>
    <w:p w:rsidR="00A416D1" w:rsidRDefault="00A416D1" w:rsidP="00A416D1">
      <w:pPr>
        <w:tabs>
          <w:tab w:val="left" w:pos="227"/>
        </w:tabs>
        <w:spacing w:after="120"/>
        <w:rPr>
          <w:rFonts w:asciiTheme="minorHAnsi" w:hAnsiTheme="minorHAnsi" w:cstheme="minorHAnsi"/>
          <w:sz w:val="22"/>
          <w:szCs w:val="22"/>
        </w:rPr>
      </w:pPr>
      <w:r>
        <w:rPr>
          <w:rFonts w:asciiTheme="minorHAnsi" w:hAnsiTheme="minorHAnsi" w:cstheme="minorHAnsi"/>
          <w:sz w:val="22"/>
          <w:szCs w:val="22"/>
        </w:rPr>
        <w:t xml:space="preserve">The ERU has also assisted MoFT advance legislation that will improve the enabling environment for growth. </w:t>
      </w:r>
      <w:r w:rsidRPr="00734434">
        <w:rPr>
          <w:rFonts w:asciiTheme="minorHAnsi" w:hAnsiTheme="minorHAnsi" w:cstheme="minorHAnsi"/>
          <w:sz w:val="22"/>
          <w:szCs w:val="22"/>
        </w:rPr>
        <w:t>The new mining tax framework was enacted by the Parliament in April 2014, meeting a long standing IMF Benchmark. Other legislative priorities have included amendments to the Sales Tax Act</w:t>
      </w:r>
      <w:r w:rsidR="00950DD0">
        <w:rPr>
          <w:rFonts w:asciiTheme="minorHAnsi" w:hAnsiTheme="minorHAnsi" w:cstheme="minorHAnsi"/>
          <w:sz w:val="22"/>
          <w:szCs w:val="22"/>
        </w:rPr>
        <w:t>,</w:t>
      </w:r>
      <w:r w:rsidRPr="00734434">
        <w:rPr>
          <w:rFonts w:asciiTheme="minorHAnsi" w:hAnsiTheme="minorHAnsi" w:cstheme="minorHAnsi"/>
          <w:sz w:val="22"/>
          <w:szCs w:val="22"/>
        </w:rPr>
        <w:t xml:space="preserve"> work on the Customs and Excise Bill</w:t>
      </w:r>
      <w:r w:rsidR="00950DD0">
        <w:rPr>
          <w:rFonts w:asciiTheme="minorHAnsi" w:hAnsiTheme="minorHAnsi" w:cstheme="minorHAnsi"/>
          <w:sz w:val="22"/>
          <w:szCs w:val="22"/>
        </w:rPr>
        <w:t>,</w:t>
      </w:r>
      <w:r w:rsidRPr="00734434">
        <w:rPr>
          <w:rFonts w:asciiTheme="minorHAnsi" w:hAnsiTheme="minorHAnsi" w:cstheme="minorHAnsi"/>
          <w:sz w:val="22"/>
          <w:szCs w:val="22"/>
        </w:rPr>
        <w:t xml:space="preserve"> the National Provident Fund Bill</w:t>
      </w:r>
      <w:r w:rsidR="00950DD0">
        <w:rPr>
          <w:rFonts w:asciiTheme="minorHAnsi" w:hAnsiTheme="minorHAnsi" w:cstheme="minorHAnsi"/>
          <w:sz w:val="22"/>
          <w:szCs w:val="22"/>
        </w:rPr>
        <w:t>,</w:t>
      </w:r>
      <w:r w:rsidRPr="00734434">
        <w:rPr>
          <w:rFonts w:asciiTheme="minorHAnsi" w:hAnsiTheme="minorHAnsi" w:cstheme="minorHAnsi"/>
          <w:sz w:val="22"/>
          <w:szCs w:val="22"/>
        </w:rPr>
        <w:t xml:space="preserve"> and consultations on credit union reform.  </w:t>
      </w:r>
    </w:p>
    <w:p w:rsidR="00A416D1" w:rsidRPr="00A94955" w:rsidRDefault="00A416D1" w:rsidP="00A416D1">
      <w:pPr>
        <w:tabs>
          <w:tab w:val="left" w:pos="227"/>
        </w:tabs>
        <w:spacing w:after="120"/>
        <w:rPr>
          <w:rFonts w:asciiTheme="minorHAnsi" w:hAnsiTheme="minorHAnsi" w:cstheme="minorHAnsi"/>
          <w:sz w:val="22"/>
          <w:szCs w:val="22"/>
        </w:rPr>
      </w:pPr>
      <w:r>
        <w:rPr>
          <w:rFonts w:asciiTheme="minorHAnsi" w:hAnsiTheme="minorHAnsi" w:cstheme="minorHAnsi"/>
          <w:sz w:val="22"/>
          <w:szCs w:val="22"/>
        </w:rPr>
        <w:t>W</w:t>
      </w:r>
      <w:r w:rsidRPr="00734434">
        <w:rPr>
          <w:rFonts w:asciiTheme="minorHAnsi" w:hAnsiTheme="minorHAnsi" w:cstheme="minorHAnsi"/>
          <w:sz w:val="22"/>
          <w:szCs w:val="22"/>
        </w:rPr>
        <w:t xml:space="preserve">ork on State Owned Enterprises reform has included advice on: issues around the Solomon Islands Ports Authority Board; further development of the Community Service Obligation program; a focus on efficiency and value for money; and further bedding in of the </w:t>
      </w:r>
      <w:r>
        <w:rPr>
          <w:rFonts w:asciiTheme="minorHAnsi" w:hAnsiTheme="minorHAnsi" w:cstheme="minorHAnsi"/>
          <w:sz w:val="22"/>
          <w:szCs w:val="22"/>
        </w:rPr>
        <w:t>state owned enterprise</w:t>
      </w:r>
      <w:r w:rsidRPr="00734434">
        <w:rPr>
          <w:rFonts w:asciiTheme="minorHAnsi" w:hAnsiTheme="minorHAnsi" w:cstheme="minorHAnsi"/>
          <w:sz w:val="22"/>
          <w:szCs w:val="22"/>
        </w:rPr>
        <w:t xml:space="preserve"> framework. </w:t>
      </w:r>
    </w:p>
    <w:p w:rsidR="00A416D1" w:rsidRDefault="00A416D1" w:rsidP="00A416D1">
      <w:pPr>
        <w:tabs>
          <w:tab w:val="left" w:pos="227"/>
        </w:tabs>
        <w:spacing w:after="120"/>
        <w:rPr>
          <w:rFonts w:asciiTheme="minorHAnsi" w:hAnsiTheme="minorHAnsi" w:cstheme="minorHAnsi"/>
          <w:sz w:val="22"/>
          <w:szCs w:val="22"/>
        </w:rPr>
      </w:pPr>
      <w:r>
        <w:rPr>
          <w:rFonts w:asciiTheme="minorHAnsi" w:hAnsiTheme="minorHAnsi" w:cstheme="minorHAnsi"/>
          <w:sz w:val="22"/>
          <w:szCs w:val="22"/>
        </w:rPr>
        <w:t xml:space="preserve">Australia’s advisor support has strengthened and supported implementation of the </w:t>
      </w:r>
      <w:r w:rsidRPr="00CE352B">
        <w:rPr>
          <w:rFonts w:asciiTheme="minorHAnsi" w:hAnsiTheme="minorHAnsi" w:cstheme="minorHAnsi"/>
          <w:b/>
          <w:sz w:val="22"/>
          <w:szCs w:val="22"/>
        </w:rPr>
        <w:t>Debt Management Framework</w:t>
      </w:r>
      <w:r>
        <w:rPr>
          <w:rFonts w:asciiTheme="minorHAnsi" w:hAnsiTheme="minorHAnsi" w:cstheme="minorHAnsi"/>
          <w:sz w:val="22"/>
          <w:szCs w:val="22"/>
        </w:rPr>
        <w:t>. From August 2012 Solomon Islands has been able to borrow for productive infrastructure investments and has the capacity to negotiate more favourable terms on new loans. Controlled and prudent borrowing is well under way.</w:t>
      </w:r>
    </w:p>
    <w:p w:rsidR="00A416D1" w:rsidRDefault="00A416D1" w:rsidP="00A416D1">
      <w:pPr>
        <w:tabs>
          <w:tab w:val="left" w:pos="227"/>
        </w:tabs>
        <w:spacing w:after="120"/>
        <w:rPr>
          <w:rFonts w:asciiTheme="minorHAnsi" w:hAnsiTheme="minorHAnsi" w:cstheme="minorHAnsi"/>
          <w:sz w:val="22"/>
          <w:szCs w:val="22"/>
        </w:rPr>
      </w:pPr>
      <w:r>
        <w:rPr>
          <w:rFonts w:ascii="Arial" w:eastAsia="Times New Roman" w:hAnsi="Arial" w:cs="Arial"/>
          <w:color w:val="000000"/>
          <w:szCs w:val="20"/>
        </w:rPr>
        <w:t>Australia supported</w:t>
      </w:r>
      <w:r w:rsidRPr="000C495E">
        <w:rPr>
          <w:rFonts w:asciiTheme="minorHAnsi" w:hAnsiTheme="minorHAnsi" w:cstheme="minorHAnsi"/>
          <w:sz w:val="22"/>
          <w:szCs w:val="22"/>
        </w:rPr>
        <w:t xml:space="preserve"> </w:t>
      </w:r>
      <w:r>
        <w:rPr>
          <w:rFonts w:asciiTheme="minorHAnsi" w:hAnsiTheme="minorHAnsi" w:cstheme="minorHAnsi"/>
          <w:sz w:val="22"/>
          <w:szCs w:val="22"/>
        </w:rPr>
        <w:t>implementing</w:t>
      </w:r>
      <w:r w:rsidRPr="000C495E">
        <w:rPr>
          <w:rFonts w:asciiTheme="minorHAnsi" w:hAnsiTheme="minorHAnsi" w:cstheme="minorHAnsi"/>
          <w:sz w:val="22"/>
          <w:szCs w:val="22"/>
        </w:rPr>
        <w:t xml:space="preserve"> the new </w:t>
      </w:r>
      <w:r w:rsidRPr="000C495E">
        <w:rPr>
          <w:rFonts w:asciiTheme="minorHAnsi" w:hAnsiTheme="minorHAnsi" w:cstheme="minorHAnsi"/>
          <w:i/>
          <w:sz w:val="22"/>
          <w:szCs w:val="22"/>
        </w:rPr>
        <w:t>Public Financial Management Act 2013</w:t>
      </w:r>
      <w:r w:rsidRPr="00734434">
        <w:rPr>
          <w:rFonts w:asciiTheme="minorHAnsi" w:hAnsiTheme="minorHAnsi" w:cstheme="minorHAnsi"/>
          <w:sz w:val="22"/>
          <w:szCs w:val="22"/>
        </w:rPr>
        <w:t xml:space="preserve">, including </w:t>
      </w:r>
      <w:r>
        <w:rPr>
          <w:rFonts w:asciiTheme="minorHAnsi" w:hAnsiTheme="minorHAnsi" w:cstheme="minorHAnsi"/>
          <w:sz w:val="22"/>
          <w:szCs w:val="22"/>
        </w:rPr>
        <w:t>delivering</w:t>
      </w:r>
      <w:r w:rsidRPr="00734434">
        <w:rPr>
          <w:rFonts w:asciiTheme="minorHAnsi" w:hAnsiTheme="minorHAnsi" w:cstheme="minorHAnsi"/>
          <w:sz w:val="22"/>
          <w:szCs w:val="22"/>
        </w:rPr>
        <w:t xml:space="preserve"> new</w:t>
      </w:r>
      <w:r>
        <w:rPr>
          <w:rFonts w:asciiTheme="minorHAnsi" w:hAnsiTheme="minorHAnsi" w:cstheme="minorHAnsi"/>
          <w:sz w:val="22"/>
          <w:szCs w:val="22"/>
        </w:rPr>
        <w:t xml:space="preserve"> fiscal responsibility products</w:t>
      </w:r>
      <w:r w:rsidRPr="000C495E">
        <w:rPr>
          <w:rFonts w:asciiTheme="minorHAnsi" w:hAnsiTheme="minorHAnsi" w:cstheme="minorHAnsi"/>
          <w:sz w:val="22"/>
          <w:szCs w:val="22"/>
        </w:rPr>
        <w:t xml:space="preserve">. </w:t>
      </w:r>
      <w:r>
        <w:rPr>
          <w:rFonts w:asciiTheme="minorHAnsi" w:hAnsiTheme="minorHAnsi" w:cstheme="minorHAnsi"/>
          <w:sz w:val="22"/>
          <w:szCs w:val="22"/>
        </w:rPr>
        <w:t xml:space="preserve">This support is helping modernise systems using IT to improve the speed of work and protect funds from corruption. Australia is helping the Solomon Islands Government to plan and implement further improvements in financial systems, procurement, financial controls, debt management and revenue collection. </w:t>
      </w:r>
    </w:p>
    <w:p w:rsidR="00A416D1" w:rsidRDefault="00A416D1" w:rsidP="00A416D1">
      <w:pPr>
        <w:tabs>
          <w:tab w:val="left" w:pos="227"/>
        </w:tabs>
        <w:spacing w:after="120"/>
        <w:rPr>
          <w:rFonts w:asciiTheme="minorHAnsi" w:hAnsiTheme="minorHAnsi" w:cstheme="minorHAnsi"/>
          <w:sz w:val="22"/>
          <w:szCs w:val="22"/>
        </w:rPr>
      </w:pPr>
      <w:r>
        <w:rPr>
          <w:rFonts w:asciiTheme="minorHAnsi" w:hAnsiTheme="minorHAnsi" w:cstheme="minorHAnsi"/>
          <w:sz w:val="22"/>
          <w:szCs w:val="22"/>
        </w:rPr>
        <w:t xml:space="preserve">Australian support to </w:t>
      </w:r>
      <w:r>
        <w:rPr>
          <w:rFonts w:asciiTheme="minorHAnsi" w:hAnsiTheme="minorHAnsi" w:cstheme="minorHAnsi"/>
          <w:b/>
          <w:sz w:val="22"/>
          <w:szCs w:val="22"/>
        </w:rPr>
        <w:t>p</w:t>
      </w:r>
      <w:r w:rsidRPr="00800119">
        <w:rPr>
          <w:rFonts w:asciiTheme="minorHAnsi" w:hAnsiTheme="minorHAnsi" w:cstheme="minorHAnsi"/>
          <w:b/>
          <w:sz w:val="22"/>
          <w:szCs w:val="22"/>
        </w:rPr>
        <w:t xml:space="preserve">ublic </w:t>
      </w:r>
      <w:r>
        <w:rPr>
          <w:rFonts w:asciiTheme="minorHAnsi" w:hAnsiTheme="minorHAnsi" w:cstheme="minorHAnsi"/>
          <w:b/>
          <w:sz w:val="22"/>
          <w:szCs w:val="22"/>
        </w:rPr>
        <w:t>s</w:t>
      </w:r>
      <w:r w:rsidRPr="00800119">
        <w:rPr>
          <w:rFonts w:asciiTheme="minorHAnsi" w:hAnsiTheme="minorHAnsi" w:cstheme="minorHAnsi"/>
          <w:b/>
          <w:sz w:val="22"/>
          <w:szCs w:val="22"/>
        </w:rPr>
        <w:t xml:space="preserve">ector </w:t>
      </w:r>
      <w:r>
        <w:rPr>
          <w:rFonts w:asciiTheme="minorHAnsi" w:hAnsiTheme="minorHAnsi" w:cstheme="minorHAnsi"/>
          <w:b/>
          <w:sz w:val="22"/>
          <w:szCs w:val="22"/>
        </w:rPr>
        <w:t>r</w:t>
      </w:r>
      <w:r w:rsidRPr="00800119">
        <w:rPr>
          <w:rFonts w:asciiTheme="minorHAnsi" w:hAnsiTheme="minorHAnsi" w:cstheme="minorHAnsi"/>
          <w:b/>
          <w:sz w:val="22"/>
          <w:szCs w:val="22"/>
        </w:rPr>
        <w:t>eform</w:t>
      </w:r>
      <w:r>
        <w:rPr>
          <w:rFonts w:asciiTheme="minorHAnsi" w:hAnsiTheme="minorHAnsi" w:cstheme="minorHAnsi"/>
          <w:sz w:val="22"/>
          <w:szCs w:val="22"/>
        </w:rPr>
        <w:t xml:space="preserve"> focussed on professionalism, leadership and performance. Australia has supported the introduction of performance contracts and performance assessments for all Permanent Secretaries. </w:t>
      </w:r>
      <w:r w:rsidRPr="00800119">
        <w:rPr>
          <w:rFonts w:asciiTheme="minorHAnsi" w:hAnsiTheme="minorHAnsi" w:cstheme="minorHAnsi"/>
          <w:sz w:val="22"/>
          <w:szCs w:val="22"/>
        </w:rPr>
        <w:t xml:space="preserve">This is the first time a systematic assessment has been completed and it is expected to motivate public sector leaders. </w:t>
      </w:r>
      <w:r>
        <w:rPr>
          <w:rFonts w:asciiTheme="minorHAnsi" w:hAnsiTheme="minorHAnsi" w:cstheme="minorHAnsi"/>
          <w:sz w:val="22"/>
          <w:szCs w:val="22"/>
        </w:rPr>
        <w:t xml:space="preserve">Work is underway to implement a performance management system for all staff. </w:t>
      </w:r>
    </w:p>
    <w:p w:rsidR="00A416D1" w:rsidRDefault="00A416D1" w:rsidP="00A416D1">
      <w:pPr>
        <w:pStyle w:val="ListBullet"/>
        <w:numPr>
          <w:ilvl w:val="0"/>
          <w:numId w:val="0"/>
        </w:numPr>
        <w:tabs>
          <w:tab w:val="clear" w:pos="284"/>
        </w:tabs>
        <w:rPr>
          <w:rFonts w:asciiTheme="minorHAnsi" w:hAnsiTheme="minorHAnsi" w:cstheme="minorHAnsi"/>
          <w:sz w:val="22"/>
          <w:szCs w:val="22"/>
        </w:rPr>
      </w:pPr>
      <w:r>
        <w:rPr>
          <w:rFonts w:asciiTheme="minorHAnsi" w:hAnsiTheme="minorHAnsi" w:cstheme="minorHAnsi"/>
          <w:sz w:val="22"/>
          <w:szCs w:val="22"/>
        </w:rPr>
        <w:t xml:space="preserve">Australia supports </w:t>
      </w:r>
      <w:r w:rsidRPr="00740290">
        <w:rPr>
          <w:rFonts w:asciiTheme="minorHAnsi" w:hAnsiTheme="minorHAnsi" w:cstheme="minorHAnsi"/>
          <w:sz w:val="22"/>
          <w:szCs w:val="22"/>
        </w:rPr>
        <w:t xml:space="preserve">the Solomon Islands Government </w:t>
      </w:r>
      <w:r>
        <w:rPr>
          <w:rFonts w:asciiTheme="minorHAnsi" w:hAnsiTheme="minorHAnsi" w:cstheme="minorHAnsi"/>
          <w:sz w:val="22"/>
          <w:szCs w:val="22"/>
        </w:rPr>
        <w:t xml:space="preserve">to promote </w:t>
      </w:r>
      <w:r w:rsidRPr="00CE352B">
        <w:rPr>
          <w:rFonts w:asciiTheme="minorHAnsi" w:hAnsiTheme="minorHAnsi" w:cstheme="minorHAnsi"/>
          <w:b/>
          <w:sz w:val="22"/>
          <w:szCs w:val="22"/>
        </w:rPr>
        <w:t>transparency and accountability</w:t>
      </w:r>
      <w:r>
        <w:rPr>
          <w:rFonts w:asciiTheme="minorHAnsi" w:hAnsiTheme="minorHAnsi" w:cstheme="minorHAnsi"/>
          <w:sz w:val="22"/>
          <w:szCs w:val="22"/>
        </w:rPr>
        <w:t>. T</w:t>
      </w:r>
      <w:r w:rsidRPr="00740290">
        <w:rPr>
          <w:rFonts w:asciiTheme="minorHAnsi" w:hAnsiTheme="minorHAnsi" w:cstheme="minorHAnsi"/>
          <w:sz w:val="22"/>
          <w:szCs w:val="22"/>
        </w:rPr>
        <w:t xml:space="preserve">he Solomon Islands Government </w:t>
      </w:r>
      <w:r>
        <w:rPr>
          <w:rFonts w:asciiTheme="minorHAnsi" w:hAnsiTheme="minorHAnsi" w:cstheme="minorHAnsi"/>
          <w:sz w:val="22"/>
          <w:szCs w:val="22"/>
        </w:rPr>
        <w:t xml:space="preserve">released its first Final Budget Outcome statement to Parliament, comparing actual spending with budget estimates. The three </w:t>
      </w:r>
      <w:r>
        <w:rPr>
          <w:rFonts w:asciiTheme="minorHAnsi" w:hAnsiTheme="minorHAnsi" w:cstheme="minorHAnsi"/>
          <w:b/>
          <w:sz w:val="22"/>
          <w:szCs w:val="22"/>
        </w:rPr>
        <w:t>a</w:t>
      </w:r>
      <w:r w:rsidRPr="00800119">
        <w:rPr>
          <w:rFonts w:asciiTheme="minorHAnsi" w:hAnsiTheme="minorHAnsi" w:cstheme="minorHAnsi"/>
          <w:b/>
          <w:sz w:val="22"/>
          <w:szCs w:val="22"/>
        </w:rPr>
        <w:t>ccountability</w:t>
      </w:r>
      <w:r>
        <w:rPr>
          <w:rFonts w:asciiTheme="minorHAnsi" w:hAnsiTheme="minorHAnsi" w:cstheme="minorHAnsi"/>
          <w:sz w:val="22"/>
          <w:szCs w:val="22"/>
        </w:rPr>
        <w:t xml:space="preserve"> agencies in Solomon Islands have contributed to stronger internal audit within </w:t>
      </w:r>
      <w:r w:rsidRPr="00740290">
        <w:rPr>
          <w:rFonts w:asciiTheme="minorHAnsi" w:hAnsiTheme="minorHAnsi" w:cstheme="minorHAnsi"/>
          <w:sz w:val="22"/>
          <w:szCs w:val="22"/>
        </w:rPr>
        <w:t>the Solomon Islands Government</w:t>
      </w:r>
      <w:r>
        <w:rPr>
          <w:rFonts w:asciiTheme="minorHAnsi" w:hAnsiTheme="minorHAnsi" w:cstheme="minorHAnsi"/>
          <w:sz w:val="22"/>
          <w:szCs w:val="22"/>
        </w:rPr>
        <w:t xml:space="preserve">, and greater awareness of the roles of the agencies and how to make a complaint about government services. </w:t>
      </w:r>
    </w:p>
    <w:p w:rsidR="00A416D1" w:rsidRPr="00CE352B" w:rsidRDefault="00A416D1" w:rsidP="00A416D1">
      <w:pPr>
        <w:pStyle w:val="ListBullet"/>
        <w:numPr>
          <w:ilvl w:val="0"/>
          <w:numId w:val="0"/>
        </w:numPr>
        <w:tabs>
          <w:tab w:val="clear" w:pos="284"/>
        </w:tabs>
        <w:spacing w:line="240"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Australia</w:t>
      </w:r>
      <w:r w:rsidRPr="00801D5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addresses </w:t>
      </w:r>
      <w:r w:rsidRPr="001B0C35">
        <w:rPr>
          <w:rFonts w:asciiTheme="minorHAnsi" w:eastAsiaTheme="minorHAnsi" w:hAnsiTheme="minorHAnsi" w:cstheme="minorHAnsi"/>
          <w:b/>
          <w:sz w:val="22"/>
          <w:szCs w:val="22"/>
        </w:rPr>
        <w:t>gender</w:t>
      </w:r>
      <w:r>
        <w:rPr>
          <w:rFonts w:asciiTheme="minorHAnsi" w:eastAsiaTheme="minorHAnsi" w:hAnsiTheme="minorHAnsi" w:cstheme="minorHAnsi"/>
          <w:sz w:val="22"/>
          <w:szCs w:val="22"/>
        </w:rPr>
        <w:t xml:space="preserve"> in all of its activities. One notable achievement is the inclusion of gender mainstreaming in all Permanent Secretary performance agreements. Ministries have now appointed </w:t>
      </w:r>
      <w:r w:rsidRPr="001B0C35">
        <w:rPr>
          <w:rFonts w:asciiTheme="minorHAnsi" w:eastAsiaTheme="minorHAnsi" w:hAnsiTheme="minorHAnsi" w:cstheme="minorHAnsi"/>
          <w:b/>
          <w:sz w:val="22"/>
          <w:szCs w:val="22"/>
        </w:rPr>
        <w:t>Gender Focal Points</w:t>
      </w:r>
      <w:r>
        <w:rPr>
          <w:rFonts w:asciiTheme="minorHAnsi" w:eastAsiaTheme="minorHAnsi" w:hAnsiTheme="minorHAnsi" w:cstheme="minorHAnsi"/>
          <w:sz w:val="22"/>
          <w:szCs w:val="22"/>
        </w:rPr>
        <w:t>, who have received gender training. T</w:t>
      </w:r>
      <w:r w:rsidRPr="00801D53">
        <w:rPr>
          <w:rFonts w:asciiTheme="minorHAnsi" w:eastAsiaTheme="minorHAnsi" w:hAnsiTheme="minorHAnsi" w:cstheme="minorHAnsi"/>
          <w:sz w:val="22"/>
          <w:szCs w:val="22"/>
        </w:rPr>
        <w:t>he Ministry of Public Service has commenced collecting gender</w:t>
      </w:r>
      <w:r w:rsidR="00950DD0">
        <w:rPr>
          <w:rFonts w:asciiTheme="minorHAnsi" w:eastAsiaTheme="minorHAnsi" w:hAnsiTheme="minorHAnsi" w:cstheme="minorHAnsi"/>
          <w:sz w:val="22"/>
          <w:szCs w:val="22"/>
        </w:rPr>
        <w:t>-</w:t>
      </w:r>
      <w:r w:rsidRPr="00801D53">
        <w:rPr>
          <w:rFonts w:asciiTheme="minorHAnsi" w:eastAsiaTheme="minorHAnsi" w:hAnsiTheme="minorHAnsi" w:cstheme="minorHAnsi"/>
          <w:sz w:val="22"/>
          <w:szCs w:val="22"/>
        </w:rPr>
        <w:t>disaggregated data as part of recruitment and selection process</w:t>
      </w:r>
      <w:r>
        <w:rPr>
          <w:rFonts w:asciiTheme="minorHAnsi" w:eastAsiaTheme="minorHAnsi" w:hAnsiTheme="minorHAnsi" w:cstheme="minorHAnsi"/>
          <w:sz w:val="22"/>
          <w:szCs w:val="22"/>
        </w:rPr>
        <w:t>es</w:t>
      </w:r>
      <w:r w:rsidRPr="00801D53">
        <w:rPr>
          <w:rFonts w:asciiTheme="minorHAnsi" w:eastAsiaTheme="minorHAnsi" w:hAnsiTheme="minorHAnsi" w:cstheme="minorHAnsi"/>
          <w:sz w:val="22"/>
          <w:szCs w:val="22"/>
        </w:rPr>
        <w:t xml:space="preserve"> to support the development of a public service gender profile. </w:t>
      </w:r>
    </w:p>
    <w:p w:rsidR="00B47DE9" w:rsidRPr="00466DE1" w:rsidRDefault="00A416D1" w:rsidP="00A416D1">
      <w:pPr>
        <w:pStyle w:val="ListBullet"/>
        <w:numPr>
          <w:ilvl w:val="0"/>
          <w:numId w:val="0"/>
        </w:numPr>
        <w:tabs>
          <w:tab w:val="clear" w:pos="284"/>
        </w:tabs>
        <w:spacing w:line="240" w:lineRule="auto"/>
        <w:rPr>
          <w:rFonts w:asciiTheme="minorHAnsi" w:hAnsiTheme="minorHAnsi" w:cstheme="minorHAnsi"/>
          <w:sz w:val="22"/>
          <w:szCs w:val="22"/>
        </w:rPr>
      </w:pPr>
      <w:r w:rsidRPr="0048799C">
        <w:rPr>
          <w:rFonts w:asciiTheme="minorHAnsi" w:hAnsiTheme="minorHAnsi" w:cstheme="minorHAnsi"/>
          <w:b/>
          <w:sz w:val="22"/>
          <w:szCs w:val="22"/>
        </w:rPr>
        <w:t>Promoting local ownership, and aligning with and building the capacity of local systems</w:t>
      </w:r>
      <w:r w:rsidRPr="00801D53">
        <w:rPr>
          <w:rFonts w:asciiTheme="minorHAnsi" w:hAnsiTheme="minorHAnsi" w:cstheme="minorHAnsi"/>
          <w:sz w:val="22"/>
          <w:szCs w:val="22"/>
        </w:rPr>
        <w:t xml:space="preserve"> is at the heart of </w:t>
      </w:r>
      <w:r>
        <w:rPr>
          <w:rFonts w:asciiTheme="minorHAnsi" w:hAnsiTheme="minorHAnsi" w:cstheme="minorHAnsi"/>
          <w:sz w:val="22"/>
          <w:szCs w:val="22"/>
        </w:rPr>
        <w:t>Australia’s support to improving governance–</w:t>
      </w:r>
      <w:r w:rsidRPr="00801D53">
        <w:rPr>
          <w:rFonts w:asciiTheme="minorHAnsi" w:hAnsiTheme="minorHAnsi" w:cstheme="minorHAnsi"/>
          <w:sz w:val="22"/>
          <w:szCs w:val="22"/>
        </w:rPr>
        <w:t xml:space="preserve">a generational challenge. In the </w:t>
      </w:r>
      <w:r>
        <w:rPr>
          <w:rFonts w:asciiTheme="minorHAnsi" w:hAnsiTheme="minorHAnsi" w:cstheme="minorHAnsi"/>
          <w:sz w:val="22"/>
          <w:szCs w:val="22"/>
        </w:rPr>
        <w:t xml:space="preserve">short to medium </w:t>
      </w:r>
      <w:r w:rsidRPr="00801D53">
        <w:rPr>
          <w:rFonts w:asciiTheme="minorHAnsi" w:hAnsiTheme="minorHAnsi" w:cstheme="minorHAnsi"/>
          <w:sz w:val="22"/>
          <w:szCs w:val="22"/>
        </w:rPr>
        <w:t>term</w:t>
      </w:r>
      <w:r>
        <w:rPr>
          <w:rFonts w:asciiTheme="minorHAnsi" w:hAnsiTheme="minorHAnsi" w:cstheme="minorHAnsi"/>
          <w:sz w:val="22"/>
          <w:szCs w:val="22"/>
        </w:rPr>
        <w:t>,</w:t>
      </w:r>
      <w:r w:rsidRPr="00801D53">
        <w:rPr>
          <w:rFonts w:asciiTheme="minorHAnsi" w:hAnsiTheme="minorHAnsi" w:cstheme="minorHAnsi"/>
          <w:sz w:val="22"/>
          <w:szCs w:val="22"/>
        </w:rPr>
        <w:t xml:space="preserve"> </w:t>
      </w:r>
      <w:r w:rsidRPr="00740290">
        <w:rPr>
          <w:rFonts w:asciiTheme="minorHAnsi" w:hAnsiTheme="minorHAnsi" w:cstheme="minorHAnsi"/>
          <w:sz w:val="22"/>
          <w:szCs w:val="22"/>
        </w:rPr>
        <w:t xml:space="preserve">the Solomon Islands Government </w:t>
      </w:r>
      <w:r w:rsidRPr="00801D53">
        <w:rPr>
          <w:rFonts w:asciiTheme="minorHAnsi" w:hAnsiTheme="minorHAnsi" w:cstheme="minorHAnsi"/>
          <w:sz w:val="22"/>
          <w:szCs w:val="22"/>
        </w:rPr>
        <w:t>will continue to depend on capacity supplementation through provision of both inline and specialised technical support positions. Withdrawal of this support too quickly co</w:t>
      </w:r>
      <w:r>
        <w:rPr>
          <w:rFonts w:asciiTheme="minorHAnsi" w:hAnsiTheme="minorHAnsi" w:cstheme="minorHAnsi"/>
          <w:sz w:val="22"/>
          <w:szCs w:val="22"/>
        </w:rPr>
        <w:t>uld have a destabilising effect as both the economy and public sector systems remain fragile.</w:t>
      </w:r>
    </w:p>
    <w:p w:rsidR="00854FCE" w:rsidRPr="00281B85" w:rsidRDefault="002C2BED" w:rsidP="00121815">
      <w:pPr>
        <w:pStyle w:val="Heading4"/>
      </w:pPr>
      <w:r>
        <w:t>Statistics</w:t>
      </w:r>
    </w:p>
    <w:p w:rsidR="00854FCE" w:rsidRPr="00D92B41" w:rsidRDefault="00854FCE" w:rsidP="00B844FE">
      <w:pPr>
        <w:spacing w:after="120"/>
        <w:rPr>
          <w:rFonts w:asciiTheme="minorHAnsi" w:hAnsiTheme="minorHAnsi" w:cstheme="minorHAnsi"/>
          <w:sz w:val="22"/>
          <w:szCs w:val="22"/>
        </w:rPr>
      </w:pPr>
      <w:r w:rsidRPr="00D92B41">
        <w:rPr>
          <w:rFonts w:asciiTheme="minorHAnsi" w:hAnsiTheme="minorHAnsi" w:cstheme="minorHAnsi"/>
          <w:sz w:val="22"/>
          <w:szCs w:val="22"/>
        </w:rPr>
        <w:t>Australia</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is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helping</w:t>
      </w:r>
      <w:r w:rsidR="00D91326" w:rsidRPr="00D92B41">
        <w:rPr>
          <w:rFonts w:asciiTheme="minorHAnsi" w:hAnsiTheme="minorHAnsi" w:cstheme="minorHAnsi"/>
          <w:sz w:val="22"/>
          <w:szCs w:val="22"/>
        </w:rPr>
        <w:t xml:space="preserve"> </w:t>
      </w:r>
      <w:r w:rsidR="00B26C65">
        <w:rPr>
          <w:rFonts w:asciiTheme="minorHAnsi" w:hAnsiTheme="minorHAnsi" w:cstheme="minorHAnsi"/>
          <w:sz w:val="22"/>
          <w:szCs w:val="22"/>
        </w:rPr>
        <w:t>produce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national</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statistics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Solomon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Islands</w:t>
      </w:r>
      <w:r w:rsidR="00D91326" w:rsidRPr="00D92B41">
        <w:rPr>
          <w:rFonts w:asciiTheme="minorHAnsi" w:hAnsiTheme="minorHAnsi" w:cstheme="minorHAnsi"/>
          <w:sz w:val="22"/>
          <w:szCs w:val="22"/>
        </w:rPr>
        <w:t xml:space="preserve"> </w:t>
      </w:r>
      <w:r w:rsidR="004109CD" w:rsidRPr="00D92B41">
        <w:rPr>
          <w:rFonts w:asciiTheme="minorHAnsi" w:hAnsiTheme="minorHAnsi" w:cstheme="minorHAnsi"/>
          <w:sz w:val="22"/>
          <w:szCs w:val="22"/>
        </w:rPr>
        <w:t>to support</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effective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governance,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evidence</w:t>
      </w:r>
      <w:r w:rsidR="00B26C65">
        <w:rPr>
          <w:rFonts w:asciiTheme="minorHAnsi" w:hAnsiTheme="minorHAnsi" w:cstheme="minorHAnsi"/>
          <w:sz w:val="22"/>
          <w:szCs w:val="22"/>
        </w:rPr>
        <w:noBreakHyphen/>
      </w:r>
      <w:r w:rsidRPr="00D92B41">
        <w:rPr>
          <w:rFonts w:asciiTheme="minorHAnsi" w:hAnsiTheme="minorHAnsi" w:cstheme="minorHAnsi"/>
          <w:sz w:val="22"/>
          <w:szCs w:val="22"/>
        </w:rPr>
        <w:t>based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policy</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informed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decision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making.</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00533883">
        <w:rPr>
          <w:rFonts w:asciiTheme="minorHAnsi" w:hAnsiTheme="minorHAnsi" w:cstheme="minorHAnsi"/>
          <w:sz w:val="22"/>
          <w:szCs w:val="22"/>
        </w:rPr>
        <w:t>National Statistics Office (NSO)</w:t>
      </w:r>
      <w:r w:rsidRPr="00D92B41">
        <w:rPr>
          <w:rFonts w:asciiTheme="minorHAnsi" w:hAnsiTheme="minorHAnsi" w:cstheme="minorHAnsi"/>
          <w:sz w:val="22"/>
          <w:szCs w:val="22"/>
        </w:rPr>
        <w:t>is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track</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to</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complete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analysis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dissemination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of</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H</w:t>
      </w:r>
      <w:r w:rsidR="00B26C65">
        <w:rPr>
          <w:rFonts w:asciiTheme="minorHAnsi" w:hAnsiTheme="minorHAnsi" w:cstheme="minorHAnsi"/>
          <w:sz w:val="22"/>
          <w:szCs w:val="22"/>
        </w:rPr>
        <w:t>ousehold Income and Expenditure Survey (HIES)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results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by</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third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quarter</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of</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2014.</w:t>
      </w:r>
      <w:r w:rsidR="00D91326" w:rsidRPr="00D92B41">
        <w:rPr>
          <w:rFonts w:asciiTheme="minorHAnsi" w:hAnsiTheme="minorHAnsi" w:cstheme="minorHAnsi"/>
          <w:sz w:val="22"/>
          <w:szCs w:val="22"/>
        </w:rPr>
        <w:t xml:space="preserve"> </w:t>
      </w:r>
      <w:r w:rsidR="00B844FE">
        <w:rPr>
          <w:rFonts w:asciiTheme="minorHAnsi" w:hAnsiTheme="minorHAnsi" w:cstheme="minorHAnsi"/>
          <w:sz w:val="22"/>
          <w:szCs w:val="22"/>
        </w:rPr>
        <w:t xml:space="preserve">The </w:t>
      </w:r>
      <w:r w:rsidR="00B26C65">
        <w:rPr>
          <w:rFonts w:asciiTheme="minorHAnsi" w:hAnsiTheme="minorHAnsi" w:cstheme="minorHAnsi"/>
          <w:sz w:val="22"/>
          <w:szCs w:val="22"/>
        </w:rPr>
        <w:t xml:space="preserve">NSO </w:t>
      </w:r>
      <w:r w:rsidR="00473B01">
        <w:rPr>
          <w:rFonts w:asciiTheme="minorHAnsi" w:hAnsiTheme="minorHAnsi" w:cstheme="minorHAnsi"/>
          <w:sz w:val="22"/>
          <w:szCs w:val="22"/>
        </w:rPr>
        <w:t xml:space="preserve">has </w:t>
      </w:r>
      <w:r w:rsidRPr="00D92B41">
        <w:rPr>
          <w:rFonts w:asciiTheme="minorHAnsi" w:hAnsiTheme="minorHAnsi" w:cstheme="minorHAnsi"/>
          <w:sz w:val="22"/>
          <w:szCs w:val="22"/>
        </w:rPr>
        <w:t>complet</w:t>
      </w:r>
      <w:r w:rsidR="00473B01">
        <w:rPr>
          <w:rFonts w:asciiTheme="minorHAnsi" w:hAnsiTheme="minorHAnsi" w:cstheme="minorHAnsi"/>
          <w:sz w:val="22"/>
          <w:szCs w:val="22"/>
        </w:rPr>
        <w:t>ed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field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operations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for</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HIES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time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under</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budget,</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with</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more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than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4,600</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households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surveyed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across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all</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nine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provinces</w:t>
      </w:r>
      <w:r w:rsidR="00B26C65">
        <w:rPr>
          <w:rFonts w:asciiTheme="minorHAnsi" w:hAnsiTheme="minorHAnsi" w:cstheme="minorHAnsi"/>
          <w:sz w:val="22"/>
          <w:szCs w:val="22"/>
        </w:rPr>
        <w:t xml:space="preserve"> in 2013</w:t>
      </w:r>
      <w:r w:rsidRPr="00D92B41">
        <w:rPr>
          <w:rFonts w:asciiTheme="minorHAnsi" w:hAnsiTheme="minorHAnsi" w:cstheme="minorHAnsi"/>
          <w:sz w:val="22"/>
          <w:szCs w:val="22"/>
        </w:rPr>
        <w:t>.</w:t>
      </w:r>
      <w:r w:rsidR="00B844FE">
        <w:rPr>
          <w:rFonts w:asciiTheme="minorHAnsi" w:hAnsiTheme="minorHAnsi" w:cstheme="minorHAnsi"/>
          <w:sz w:val="22"/>
          <w:szCs w:val="22"/>
        </w:rPr>
        <w:t xml:space="preserve"> </w:t>
      </w:r>
      <w:r w:rsidR="00B26C65">
        <w:rPr>
          <w:rFonts w:asciiTheme="minorHAnsi" w:hAnsiTheme="minorHAnsi" w:cstheme="minorHAnsi"/>
          <w:sz w:val="22"/>
          <w:szCs w:val="22"/>
        </w:rPr>
        <w:t>Based on its management of the HIES, t</w:t>
      </w:r>
      <w:r w:rsidRPr="00D92B41">
        <w:rPr>
          <w:rFonts w:asciiTheme="minorHAnsi" w:hAnsiTheme="minorHAnsi" w:cstheme="minorHAnsi"/>
          <w:sz w:val="22"/>
          <w:szCs w:val="22"/>
        </w:rPr>
        <w:t>he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NSO</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was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named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division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of</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year</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within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Ministry</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of</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Finance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Treasury</w:t>
      </w:r>
      <w:r w:rsidR="00B26C65">
        <w:rPr>
          <w:rFonts w:asciiTheme="minorHAnsi" w:hAnsiTheme="minorHAnsi" w:cstheme="minorHAnsi"/>
          <w:sz w:val="22"/>
          <w:szCs w:val="22"/>
        </w:rPr>
        <w:t xml:space="preserve"> in 2013</w:t>
      </w:r>
      <w:r w:rsidRPr="00D92B41">
        <w:rPr>
          <w:rFonts w:asciiTheme="minorHAnsi" w:hAnsiTheme="minorHAnsi" w:cstheme="minorHAnsi"/>
          <w:sz w:val="22"/>
          <w:szCs w:val="22"/>
        </w:rPr>
        <w:t>.</w:t>
      </w:r>
      <w:r w:rsidR="00D91326" w:rsidRPr="00D92B41">
        <w:rPr>
          <w:rFonts w:asciiTheme="minorHAnsi" w:hAnsiTheme="minorHAnsi" w:cstheme="minorHAnsi"/>
          <w:sz w:val="22"/>
          <w:szCs w:val="22"/>
        </w:rPr>
        <w:t xml:space="preserve"> </w:t>
      </w:r>
    </w:p>
    <w:p w:rsidR="00BE242A" w:rsidRDefault="004109CD" w:rsidP="00854FCE">
      <w:pPr>
        <w:pStyle w:val="ListBullet"/>
        <w:numPr>
          <w:ilvl w:val="0"/>
          <w:numId w:val="0"/>
        </w:numPr>
        <w:tabs>
          <w:tab w:val="clear" w:pos="284"/>
        </w:tabs>
        <w:spacing w:line="240" w:lineRule="auto"/>
        <w:rPr>
          <w:rFonts w:asciiTheme="minorHAnsi" w:hAnsiTheme="minorHAnsi" w:cstheme="minorHAnsi"/>
          <w:sz w:val="22"/>
          <w:szCs w:val="22"/>
        </w:rPr>
      </w:pPr>
      <w:r w:rsidRPr="00D92B41">
        <w:rPr>
          <w:rFonts w:asciiTheme="minorHAnsi" w:eastAsia="SimSun" w:hAnsiTheme="minorHAnsi" w:cstheme="minorHAnsi"/>
          <w:sz w:val="22"/>
          <w:szCs w:val="22"/>
        </w:rPr>
        <w:t xml:space="preserve">Once the HIES is finalised it will provide </w:t>
      </w:r>
      <w:r w:rsidRPr="00D92B41">
        <w:rPr>
          <w:rFonts w:asciiTheme="minorHAnsi" w:eastAsia="SimSun" w:hAnsiTheme="minorHAnsi" w:cstheme="minorHAnsi"/>
          <w:b/>
          <w:sz w:val="22"/>
          <w:szCs w:val="22"/>
        </w:rPr>
        <w:t>information for program management</w:t>
      </w:r>
      <w:r w:rsidRPr="00D92B41">
        <w:rPr>
          <w:rFonts w:asciiTheme="minorHAnsi" w:eastAsia="SimSun" w:hAnsiTheme="minorHAnsi" w:cstheme="minorHAnsi"/>
          <w:sz w:val="22"/>
          <w:szCs w:val="22"/>
        </w:rPr>
        <w:t xml:space="preserve"> including</w:t>
      </w:r>
      <w:r w:rsidR="00BE242A">
        <w:rPr>
          <w:rFonts w:asciiTheme="minorHAnsi" w:eastAsia="SimSun" w:hAnsiTheme="minorHAnsi" w:cstheme="minorHAnsi"/>
          <w:sz w:val="22"/>
          <w:szCs w:val="22"/>
        </w:rPr>
        <w:t xml:space="preserve"> on </w:t>
      </w:r>
      <w:r w:rsidRPr="00D92B41">
        <w:rPr>
          <w:rFonts w:asciiTheme="minorHAnsi" w:hAnsiTheme="minorHAnsi" w:cstheme="minorHAnsi"/>
          <w:sz w:val="22"/>
          <w:szCs w:val="22"/>
        </w:rPr>
        <w:t>household consumption and expenditure patterns</w:t>
      </w:r>
      <w:r w:rsidR="00BE242A">
        <w:rPr>
          <w:rFonts w:asciiTheme="minorHAnsi" w:eastAsia="SimSun" w:hAnsiTheme="minorHAnsi" w:cstheme="minorHAnsi"/>
          <w:sz w:val="22"/>
          <w:szCs w:val="22"/>
        </w:rPr>
        <w:t>;</w:t>
      </w:r>
      <w:r w:rsidRPr="00D92B41">
        <w:rPr>
          <w:rFonts w:asciiTheme="minorHAnsi" w:hAnsiTheme="minorHAnsi" w:cstheme="minorHAnsi"/>
          <w:sz w:val="22"/>
          <w:szCs w:val="22"/>
        </w:rPr>
        <w:t xml:space="preserve"> Gross Domestic Product (GDP)</w:t>
      </w:r>
      <w:r w:rsidR="00BE242A">
        <w:rPr>
          <w:rFonts w:asciiTheme="minorHAnsi" w:eastAsia="SimSun" w:hAnsiTheme="minorHAnsi" w:cstheme="minorHAnsi"/>
          <w:sz w:val="22"/>
          <w:szCs w:val="22"/>
        </w:rPr>
        <w:t xml:space="preserve">; </w:t>
      </w:r>
      <w:r w:rsidRPr="00D92B41">
        <w:rPr>
          <w:rFonts w:asciiTheme="minorHAnsi" w:hAnsiTheme="minorHAnsi" w:cstheme="minorHAnsi"/>
          <w:sz w:val="22"/>
          <w:szCs w:val="22"/>
        </w:rPr>
        <w:t>women’s spending patterns</w:t>
      </w:r>
      <w:r w:rsidR="00BE242A">
        <w:rPr>
          <w:rFonts w:asciiTheme="minorHAnsi" w:hAnsiTheme="minorHAnsi" w:cstheme="minorHAnsi"/>
          <w:sz w:val="22"/>
          <w:szCs w:val="22"/>
        </w:rPr>
        <w:t xml:space="preserve">; </w:t>
      </w:r>
      <w:r w:rsidRPr="00D92B41">
        <w:rPr>
          <w:rFonts w:asciiTheme="minorHAnsi" w:hAnsiTheme="minorHAnsi" w:cstheme="minorHAnsi"/>
          <w:sz w:val="22"/>
          <w:szCs w:val="22"/>
        </w:rPr>
        <w:t>housing and general demographic characteristics of households</w:t>
      </w:r>
      <w:r w:rsidR="00BE242A">
        <w:rPr>
          <w:rFonts w:asciiTheme="minorHAnsi" w:hAnsiTheme="minorHAnsi" w:cstheme="minorHAnsi"/>
          <w:sz w:val="22"/>
          <w:szCs w:val="22"/>
        </w:rPr>
        <w:t xml:space="preserve">; </w:t>
      </w:r>
      <w:r w:rsidRPr="00D92B41">
        <w:rPr>
          <w:rFonts w:asciiTheme="minorHAnsi" w:hAnsiTheme="minorHAnsi" w:cstheme="minorHAnsi"/>
          <w:sz w:val="22"/>
          <w:szCs w:val="22"/>
        </w:rPr>
        <w:t>poverty measures</w:t>
      </w:r>
      <w:r w:rsidR="009B1D7B">
        <w:rPr>
          <w:rFonts w:asciiTheme="minorHAnsi" w:hAnsiTheme="minorHAnsi" w:cstheme="minorHAnsi"/>
          <w:sz w:val="22"/>
          <w:szCs w:val="22"/>
        </w:rPr>
        <w:t>;</w:t>
      </w:r>
      <w:r w:rsidRPr="00D92B41">
        <w:rPr>
          <w:rFonts w:asciiTheme="minorHAnsi" w:hAnsiTheme="minorHAnsi" w:cstheme="minorHAnsi"/>
          <w:sz w:val="22"/>
          <w:szCs w:val="22"/>
        </w:rPr>
        <w:t xml:space="preserve"> income and income inequality measures</w:t>
      </w:r>
      <w:r w:rsidR="00BE242A">
        <w:rPr>
          <w:rFonts w:asciiTheme="minorHAnsi" w:hAnsiTheme="minorHAnsi" w:cstheme="minorHAnsi"/>
          <w:sz w:val="22"/>
          <w:szCs w:val="22"/>
        </w:rPr>
        <w:t xml:space="preserve">; and </w:t>
      </w:r>
      <w:r w:rsidRPr="00D92B41">
        <w:rPr>
          <w:rFonts w:asciiTheme="minorHAnsi" w:hAnsiTheme="minorHAnsi" w:cstheme="minorHAnsi"/>
          <w:sz w:val="22"/>
          <w:szCs w:val="22"/>
        </w:rPr>
        <w:t>data for the MDG, particularly on health and education.</w:t>
      </w:r>
    </w:p>
    <w:p w:rsidR="00854FCE" w:rsidRPr="00D92B41" w:rsidRDefault="00854FCE" w:rsidP="00B844FE">
      <w:pPr>
        <w:pStyle w:val="ListBullet"/>
        <w:numPr>
          <w:ilvl w:val="0"/>
          <w:numId w:val="0"/>
        </w:numPr>
        <w:tabs>
          <w:tab w:val="clear" w:pos="284"/>
        </w:tabs>
        <w:spacing w:line="240" w:lineRule="auto"/>
        <w:rPr>
          <w:rFonts w:asciiTheme="minorHAnsi" w:hAnsiTheme="minorHAnsi" w:cstheme="minorHAnsi"/>
          <w:sz w:val="22"/>
          <w:szCs w:val="22"/>
        </w:rPr>
      </w:pPr>
      <w:r w:rsidRPr="00D92B41">
        <w:rPr>
          <w:rFonts w:asciiTheme="minorHAnsi" w:hAnsiTheme="minorHAnsi" w:cstheme="minorHAnsi"/>
          <w:sz w:val="22"/>
          <w:szCs w:val="22"/>
        </w:rPr>
        <w:lastRenderedPageBreak/>
        <w:t>Capacity</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of</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NSO</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office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remains</w:t>
      </w:r>
      <w:r w:rsidR="00D91326" w:rsidRPr="00D92B41">
        <w:rPr>
          <w:rFonts w:asciiTheme="minorHAnsi" w:hAnsiTheme="minorHAnsi" w:cstheme="minorHAnsi"/>
          <w:sz w:val="22"/>
          <w:szCs w:val="22"/>
        </w:rPr>
        <w:t xml:space="preserve"> </w:t>
      </w:r>
      <w:r w:rsidR="00CD7107">
        <w:rPr>
          <w:rFonts w:asciiTheme="minorHAnsi" w:hAnsiTheme="minorHAnsi" w:cstheme="minorHAnsi"/>
          <w:sz w:val="22"/>
          <w:szCs w:val="22"/>
        </w:rPr>
        <w:t>limited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it</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is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likely</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that</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ongoing</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support</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will</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be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required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medium</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term</w:t>
      </w:r>
      <w:r w:rsidR="00BE242A">
        <w:rPr>
          <w:rFonts w:asciiTheme="minorHAnsi" w:hAnsiTheme="minorHAnsi" w:cstheme="minorHAnsi"/>
          <w:sz w:val="22"/>
          <w:szCs w:val="22"/>
        </w:rPr>
        <w:t xml:space="preserve"> to ensure ongoing </w:t>
      </w:r>
      <w:r w:rsidR="00533883">
        <w:rPr>
          <w:rFonts w:asciiTheme="minorHAnsi" w:hAnsiTheme="minorHAnsi" w:cstheme="minorHAnsi"/>
          <w:sz w:val="22"/>
          <w:szCs w:val="22"/>
        </w:rPr>
        <w:t>sustainablity</w:t>
      </w:r>
      <w:r w:rsidR="004109CD" w:rsidRPr="00D92B41">
        <w:rPr>
          <w:rFonts w:asciiTheme="minorHAnsi" w:hAnsiTheme="minorHAnsi" w:cstheme="minorHAnsi"/>
          <w:sz w:val="22"/>
          <w:szCs w:val="22"/>
        </w:rPr>
        <w:t>.</w:t>
      </w:r>
      <w:r w:rsidR="00B844FE">
        <w:rPr>
          <w:rFonts w:asciiTheme="minorHAnsi" w:hAnsiTheme="minorHAnsi" w:cstheme="minorHAnsi"/>
          <w:sz w:val="22"/>
          <w:szCs w:val="22"/>
        </w:rPr>
        <w:t xml:space="preserve"> However, t</w:t>
      </w:r>
      <w:r w:rsidRPr="00D92B41">
        <w:rPr>
          <w:rFonts w:asciiTheme="minorHAnsi" w:hAnsiTheme="minorHAnsi" w:cstheme="minorHAnsi"/>
          <w:sz w:val="22"/>
          <w:szCs w:val="22"/>
        </w:rPr>
        <w:t>he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experience</w:t>
      </w:r>
      <w:r w:rsidR="004109CD" w:rsidRPr="00D92B41">
        <w:rPr>
          <w:rFonts w:asciiTheme="minorHAnsi" w:hAnsiTheme="minorHAnsi" w:cstheme="minorHAnsi"/>
          <w:sz w:val="22"/>
          <w:szCs w:val="22"/>
        </w:rPr>
        <w:t xml:space="preserve"> gained by</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more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than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70</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field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workers</w:t>
      </w:r>
      <w:r w:rsidR="00D91326" w:rsidRPr="00D92B41">
        <w:rPr>
          <w:rFonts w:asciiTheme="minorHAnsi" w:hAnsiTheme="minorHAnsi" w:cstheme="minorHAnsi"/>
          <w:sz w:val="22"/>
          <w:szCs w:val="22"/>
        </w:rPr>
        <w:t xml:space="preserve"> </w:t>
      </w:r>
      <w:r w:rsidR="009B1D7B">
        <w:rPr>
          <w:rFonts w:asciiTheme="minorHAnsi" w:hAnsiTheme="minorHAnsi" w:cstheme="minorHAnsi"/>
          <w:sz w:val="22"/>
          <w:szCs w:val="22"/>
        </w:rPr>
        <w:t xml:space="preserve">during the HIES </w:t>
      </w:r>
      <w:r w:rsidR="00533883">
        <w:rPr>
          <w:rFonts w:asciiTheme="minorHAnsi" w:hAnsiTheme="minorHAnsi" w:cstheme="minorHAnsi"/>
          <w:sz w:val="22"/>
          <w:szCs w:val="22"/>
        </w:rPr>
        <w:t>has created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build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strong</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cadre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of</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enumerators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for</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future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surveys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data</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collection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activ</w:t>
      </w:r>
      <w:r w:rsidR="009B1D7B">
        <w:rPr>
          <w:rFonts w:asciiTheme="minorHAnsi" w:hAnsiTheme="minorHAnsi" w:cstheme="minorHAnsi"/>
          <w:sz w:val="22"/>
          <w:szCs w:val="22"/>
        </w:rPr>
        <w:t>ities</w:t>
      </w:r>
      <w:r w:rsidRPr="00D92B41">
        <w:rPr>
          <w:rFonts w:asciiTheme="minorHAnsi" w:hAnsiTheme="minorHAnsi" w:cstheme="minorHAnsi"/>
          <w:sz w:val="22"/>
          <w:szCs w:val="22"/>
        </w:rPr>
        <w:t>.</w:t>
      </w:r>
      <w:r w:rsidR="00B844FE">
        <w:rPr>
          <w:rFonts w:asciiTheme="minorHAnsi" w:hAnsiTheme="minorHAnsi" w:cstheme="minorHAnsi"/>
          <w:sz w:val="22"/>
          <w:szCs w:val="22"/>
        </w:rPr>
        <w:t xml:space="preserve"> </w:t>
      </w:r>
      <w:r w:rsidRPr="00D92B41">
        <w:rPr>
          <w:rFonts w:asciiTheme="minorHAnsi" w:hAnsiTheme="minorHAnsi" w:cstheme="minorHAnsi"/>
          <w:sz w:val="22"/>
          <w:szCs w:val="22"/>
        </w:rPr>
        <w:t>Anecdotally,</w:t>
      </w:r>
      <w:r w:rsidR="00D91326" w:rsidRPr="00D92B41">
        <w:rPr>
          <w:rFonts w:asciiTheme="minorHAnsi" w:hAnsiTheme="minorHAnsi" w:cstheme="minorHAnsi"/>
          <w:sz w:val="22"/>
          <w:szCs w:val="22"/>
        </w:rPr>
        <w:t xml:space="preserve"> </w:t>
      </w:r>
      <w:r w:rsidRPr="00D92B41">
        <w:rPr>
          <w:rFonts w:asciiTheme="minorHAnsi" w:hAnsiTheme="minorHAnsi" w:cstheme="minorHAnsi"/>
          <w:b/>
          <w:sz w:val="22"/>
          <w:szCs w:val="22"/>
        </w:rPr>
        <w:t>female</w:t>
      </w:r>
      <w:r w:rsidR="00D91326" w:rsidRPr="00D92B41">
        <w:rPr>
          <w:rFonts w:asciiTheme="minorHAnsi" w:hAnsiTheme="minorHAnsi" w:cstheme="minorHAnsi"/>
          <w:b/>
          <w:sz w:val="22"/>
          <w:szCs w:val="22"/>
        </w:rPr>
        <w:t xml:space="preserve"> </w:t>
      </w:r>
      <w:r w:rsidRPr="00D92B41">
        <w:rPr>
          <w:rFonts w:asciiTheme="minorHAnsi" w:hAnsiTheme="minorHAnsi" w:cstheme="minorHAnsi"/>
          <w:b/>
          <w:sz w:val="22"/>
          <w:szCs w:val="22"/>
        </w:rPr>
        <w:t>enumerators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are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often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able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to</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gain</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better</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access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to</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households</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produce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more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reliable</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higher</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quality</w:t>
      </w:r>
      <w:r w:rsidR="00D91326" w:rsidRPr="00D92B41">
        <w:rPr>
          <w:rFonts w:asciiTheme="minorHAnsi" w:hAnsiTheme="minorHAnsi" w:cstheme="minorHAnsi"/>
          <w:sz w:val="22"/>
          <w:szCs w:val="22"/>
        </w:rPr>
        <w:t xml:space="preserve"> </w:t>
      </w:r>
      <w:r w:rsidRPr="00D92B41">
        <w:rPr>
          <w:rFonts w:asciiTheme="minorHAnsi" w:hAnsiTheme="minorHAnsi" w:cstheme="minorHAnsi"/>
          <w:sz w:val="22"/>
          <w:szCs w:val="22"/>
        </w:rPr>
        <w:t>data.</w:t>
      </w:r>
      <w:r w:rsidR="00D91326" w:rsidRPr="00D92B41">
        <w:rPr>
          <w:rFonts w:asciiTheme="minorHAnsi" w:hAnsiTheme="minorHAnsi" w:cstheme="minorHAnsi"/>
          <w:sz w:val="22"/>
          <w:szCs w:val="22"/>
        </w:rPr>
        <w:t xml:space="preserve"> </w:t>
      </w:r>
    </w:p>
    <w:p w:rsidR="00854FCE" w:rsidRPr="00D92B41" w:rsidRDefault="00404A9B" w:rsidP="00121815">
      <w:pPr>
        <w:pStyle w:val="Heading4"/>
      </w:pPr>
      <w:r>
        <w:t xml:space="preserve">Democratic Governance </w:t>
      </w:r>
    </w:p>
    <w:p w:rsidR="00B017A9" w:rsidRPr="00B017A9" w:rsidRDefault="00DC1063" w:rsidP="00B017A9">
      <w:pPr>
        <w:spacing w:after="120"/>
        <w:rPr>
          <w:rFonts w:asciiTheme="minorHAnsi" w:hAnsiTheme="minorHAnsi" w:cstheme="minorHAnsi"/>
          <w:sz w:val="22"/>
          <w:szCs w:val="22"/>
        </w:rPr>
      </w:pPr>
      <w:r w:rsidRPr="00B017A9">
        <w:rPr>
          <w:rFonts w:asciiTheme="minorHAnsi" w:hAnsiTheme="minorHAnsi" w:cstheme="minorHAnsi"/>
          <w:sz w:val="22"/>
          <w:szCs w:val="22"/>
        </w:rPr>
        <w:t>W</w:t>
      </w:r>
      <w:r w:rsidR="004043B0" w:rsidRPr="00B017A9">
        <w:rPr>
          <w:rFonts w:asciiTheme="minorHAnsi" w:hAnsiTheme="minorHAnsi" w:cstheme="minorHAnsi"/>
          <w:sz w:val="22"/>
          <w:szCs w:val="22"/>
        </w:rPr>
        <w:t xml:space="preserve">ell-administered, </w:t>
      </w:r>
      <w:r w:rsidR="00854FCE" w:rsidRPr="00B017A9">
        <w:rPr>
          <w:rFonts w:asciiTheme="minorHAnsi" w:hAnsiTheme="minorHAnsi" w:cstheme="minorHAnsi"/>
          <w:sz w:val="22"/>
          <w:szCs w:val="22"/>
        </w:rPr>
        <w:t>free</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and</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fair</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national</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elections</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in</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2014</w:t>
      </w:r>
      <w:r w:rsidR="004043B0"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will</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send</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a</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strong</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signal</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to</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the</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region</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about</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Solomon</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Islands’</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progress</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following</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RAMSI’s</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transition</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in</w:t>
      </w:r>
      <w:r w:rsidR="00D91326" w:rsidRPr="00B017A9">
        <w:rPr>
          <w:rFonts w:asciiTheme="minorHAnsi" w:hAnsiTheme="minorHAnsi" w:cstheme="minorHAnsi"/>
          <w:sz w:val="22"/>
          <w:szCs w:val="22"/>
        </w:rPr>
        <w:t xml:space="preserve"> </w:t>
      </w:r>
      <w:r w:rsidR="00854FCE" w:rsidRPr="00B017A9">
        <w:rPr>
          <w:rFonts w:asciiTheme="minorHAnsi" w:hAnsiTheme="minorHAnsi" w:cstheme="minorHAnsi"/>
          <w:sz w:val="22"/>
          <w:szCs w:val="22"/>
        </w:rPr>
        <w:t>2013</w:t>
      </w:r>
      <w:r w:rsidR="004043B0" w:rsidRPr="00B017A9">
        <w:rPr>
          <w:rFonts w:asciiTheme="minorHAnsi" w:hAnsiTheme="minorHAnsi" w:cstheme="minorHAnsi"/>
          <w:sz w:val="22"/>
          <w:szCs w:val="22"/>
        </w:rPr>
        <w:t xml:space="preserve"> and promote confidence among Solomon Islanders</w:t>
      </w:r>
      <w:r w:rsidR="00B017A9" w:rsidRPr="00B017A9">
        <w:rPr>
          <w:rFonts w:asciiTheme="minorHAnsi" w:hAnsiTheme="minorHAnsi" w:cstheme="minorHAnsi"/>
          <w:sz w:val="22"/>
          <w:szCs w:val="22"/>
        </w:rPr>
        <w:t xml:space="preserve">. A poorly-run election would pose a risk to stability and security. The integrity of the work of SIEC is particularly important and will be a key factor in the success or otherwise of the election. </w:t>
      </w:r>
    </w:p>
    <w:p w:rsidR="00B017A9" w:rsidRPr="00B017A9" w:rsidRDefault="00B017A9" w:rsidP="00B017A9">
      <w:pPr>
        <w:pStyle w:val="List-bullet-1"/>
        <w:numPr>
          <w:ilvl w:val="0"/>
          <w:numId w:val="0"/>
        </w:numPr>
        <w:spacing w:before="0" w:after="120"/>
        <w:rPr>
          <w:rFonts w:asciiTheme="minorHAnsi" w:hAnsiTheme="minorHAnsi" w:cstheme="minorHAnsi"/>
          <w:sz w:val="22"/>
        </w:rPr>
      </w:pPr>
      <w:r w:rsidRPr="00B017A9">
        <w:rPr>
          <w:rFonts w:asciiTheme="minorHAnsi" w:hAnsiTheme="minorHAnsi" w:cstheme="minorHAnsi"/>
          <w:sz w:val="22"/>
        </w:rPr>
        <w:t>Australia is providing a comprehensive package of support to the elections with two distinct categories of intended outcomes. The first relates to the successful development of a new voter roll for Solomon Islands, completely replacing the existing roll and thereby boosting public confidence in the integrity of the upcoming election and enfranchising a significant proportion of citizens not included on the existing roll. Our assistance also aims to support the conduct of the 2014 national election, with the aim of ensuring and demonstrating the integrity of the voting process in order to promote acceptance of the results by the public, reducing</w:t>
      </w:r>
      <w:r w:rsidR="00121815" w:rsidRPr="00121815">
        <w:rPr>
          <w:rFonts w:asciiTheme="minorHAnsi" w:hAnsiTheme="minorHAnsi" w:cstheme="minorHAnsi"/>
          <w:sz w:val="22"/>
        </w:rPr>
        <w:t xml:space="preserve"> </w:t>
      </w:r>
      <w:r w:rsidR="00121815" w:rsidRPr="00B017A9">
        <w:rPr>
          <w:rFonts w:asciiTheme="minorHAnsi" w:hAnsiTheme="minorHAnsi" w:cstheme="minorHAnsi"/>
          <w:sz w:val="22"/>
        </w:rPr>
        <w:t>law and order</w:t>
      </w:r>
      <w:r w:rsidR="00121815">
        <w:rPr>
          <w:rFonts w:asciiTheme="minorHAnsi" w:hAnsiTheme="minorHAnsi" w:cstheme="minorHAnsi"/>
          <w:sz w:val="22"/>
        </w:rPr>
        <w:t xml:space="preserve"> risk factors</w:t>
      </w:r>
      <w:r w:rsidRPr="00B017A9">
        <w:rPr>
          <w:rFonts w:asciiTheme="minorHAnsi" w:hAnsiTheme="minorHAnsi" w:cstheme="minorHAnsi"/>
          <w:sz w:val="22"/>
        </w:rPr>
        <w:t>.</w:t>
      </w:r>
    </w:p>
    <w:p w:rsidR="00B017A9" w:rsidRPr="00B017A9" w:rsidRDefault="00B017A9" w:rsidP="00B017A9">
      <w:pPr>
        <w:spacing w:after="120"/>
        <w:rPr>
          <w:rFonts w:asciiTheme="minorHAnsi" w:hAnsiTheme="minorHAnsi" w:cstheme="minorHAnsi"/>
          <w:sz w:val="22"/>
          <w:szCs w:val="22"/>
        </w:rPr>
      </w:pPr>
      <w:r w:rsidRPr="00B017A9">
        <w:rPr>
          <w:rFonts w:asciiTheme="minorHAnsi" w:hAnsiTheme="minorHAnsi" w:cstheme="minorHAnsi"/>
          <w:sz w:val="22"/>
          <w:szCs w:val="22"/>
        </w:rPr>
        <w:t>The second aim of our assistance is to support institutional strengthening and reform of SIEC in order to boost its capacity to deliver future elections and by-elections. This involves a long-term approach to capacity building and periodic expert support for the legislative reform process. This work is expected to be most active in 2015-17, through implementation of lessons learned during 2014 and, parliamentary approval permitting, the passage of legislation to grant SIEC independence from the Ministry for Home Affairs.</w:t>
      </w:r>
    </w:p>
    <w:p w:rsidR="00854FCE" w:rsidRPr="00340D09" w:rsidRDefault="00F13124" w:rsidP="00340D09">
      <w:pPr>
        <w:spacing w:after="120"/>
        <w:rPr>
          <w:rFonts w:asciiTheme="minorHAnsi" w:eastAsia="Times New Roman" w:hAnsiTheme="minorHAnsi" w:cstheme="minorHAnsi"/>
          <w:sz w:val="22"/>
          <w:szCs w:val="22"/>
        </w:rPr>
      </w:pPr>
      <w:r>
        <w:rPr>
          <w:rFonts w:asciiTheme="minorHAnsi" w:hAnsiTheme="minorHAnsi" w:cstheme="minorHAnsi"/>
          <w:sz w:val="22"/>
          <w:szCs w:val="22"/>
        </w:rPr>
        <w:t>T</w:t>
      </w:r>
      <w:r w:rsidR="00CC220F">
        <w:rPr>
          <w:rFonts w:asciiTheme="minorHAnsi" w:hAnsiTheme="minorHAnsi" w:cstheme="minorHAnsi"/>
          <w:sz w:val="22"/>
          <w:szCs w:val="22"/>
        </w:rPr>
        <w:t>he Solomon Islands Electoral Commission</w:t>
      </w:r>
      <w:r w:rsidR="00227511">
        <w:rPr>
          <w:rFonts w:asciiTheme="minorHAnsi" w:hAnsiTheme="minorHAnsi" w:cstheme="minorHAnsi"/>
          <w:sz w:val="22"/>
          <w:szCs w:val="22"/>
        </w:rPr>
        <w:t xml:space="preserve"> (SIEC)</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complet</w:t>
      </w:r>
      <w:r w:rsidR="00826B83">
        <w:rPr>
          <w:rFonts w:asciiTheme="minorHAnsi" w:hAnsiTheme="minorHAnsi" w:cstheme="minorHAnsi"/>
          <w:sz w:val="22"/>
          <w:szCs w:val="22"/>
        </w:rPr>
        <w:t>ed</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biometric</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voter</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registration</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in</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mid-2014.</w:t>
      </w:r>
      <w:r w:rsidR="00D91326" w:rsidRPr="00D92B41">
        <w:rPr>
          <w:rFonts w:asciiTheme="minorHAnsi" w:hAnsiTheme="minorHAnsi" w:cstheme="minorHAnsi"/>
          <w:sz w:val="22"/>
          <w:szCs w:val="22"/>
        </w:rPr>
        <w:t xml:space="preserve"> </w:t>
      </w:r>
      <w:r w:rsidR="00854FCE" w:rsidRPr="00D92B41">
        <w:rPr>
          <w:rFonts w:asciiTheme="minorHAnsi" w:eastAsia="Times New Roman" w:hAnsiTheme="minorHAnsi" w:cstheme="minorHAnsi"/>
          <w:sz w:val="22"/>
          <w:szCs w:val="22"/>
        </w:rPr>
        <w:t>Australian</w:t>
      </w:r>
      <w:r w:rsidR="00D91326" w:rsidRPr="00D92B41">
        <w:rPr>
          <w:rFonts w:asciiTheme="minorHAnsi" w:eastAsia="Times New Roman" w:hAnsiTheme="minorHAnsi" w:cstheme="minorHAnsi"/>
          <w:sz w:val="22"/>
          <w:szCs w:val="22"/>
        </w:rPr>
        <w:t xml:space="preserve"> </w:t>
      </w:r>
      <w:r w:rsidR="00854FCE" w:rsidRPr="00D92B41">
        <w:rPr>
          <w:rFonts w:asciiTheme="minorHAnsi" w:eastAsia="Times New Roman" w:hAnsiTheme="minorHAnsi" w:cstheme="minorHAnsi"/>
          <w:sz w:val="22"/>
          <w:szCs w:val="22"/>
        </w:rPr>
        <w:t>support</w:t>
      </w:r>
      <w:r w:rsidR="00D91326" w:rsidRPr="00D92B41">
        <w:rPr>
          <w:rFonts w:asciiTheme="minorHAnsi" w:eastAsia="Times New Roman" w:hAnsiTheme="minorHAnsi" w:cstheme="minorHAnsi"/>
          <w:sz w:val="22"/>
          <w:szCs w:val="22"/>
        </w:rPr>
        <w:t xml:space="preserve"> </w:t>
      </w:r>
      <w:r w:rsidR="00854FCE" w:rsidRPr="00D92B41">
        <w:rPr>
          <w:rFonts w:asciiTheme="minorHAnsi" w:eastAsia="Times New Roman" w:hAnsiTheme="minorHAnsi" w:cstheme="minorHAnsi"/>
          <w:sz w:val="22"/>
          <w:szCs w:val="22"/>
        </w:rPr>
        <w:t>has</w:t>
      </w:r>
      <w:r w:rsidR="00D91326" w:rsidRPr="00D92B41">
        <w:rPr>
          <w:rFonts w:asciiTheme="minorHAnsi" w:eastAsia="Times New Roman" w:hAnsiTheme="minorHAnsi" w:cstheme="minorHAnsi"/>
          <w:sz w:val="22"/>
          <w:szCs w:val="22"/>
        </w:rPr>
        <w:t xml:space="preserve"> </w:t>
      </w:r>
      <w:r w:rsidR="00854FCE" w:rsidRPr="00D92B41">
        <w:rPr>
          <w:rFonts w:asciiTheme="minorHAnsi" w:eastAsia="Times New Roman" w:hAnsiTheme="minorHAnsi" w:cstheme="minorHAnsi"/>
          <w:sz w:val="22"/>
          <w:szCs w:val="22"/>
        </w:rPr>
        <w:t>been</w:t>
      </w:r>
      <w:r w:rsidR="00D91326" w:rsidRPr="00D92B41">
        <w:rPr>
          <w:rFonts w:asciiTheme="minorHAnsi" w:eastAsia="Times New Roman" w:hAnsiTheme="minorHAnsi" w:cstheme="minorHAnsi"/>
          <w:sz w:val="22"/>
          <w:szCs w:val="22"/>
        </w:rPr>
        <w:t xml:space="preserve"> </w:t>
      </w:r>
      <w:r w:rsidR="00854FCE" w:rsidRPr="00D92B41">
        <w:rPr>
          <w:rFonts w:asciiTheme="minorHAnsi" w:eastAsia="Times New Roman" w:hAnsiTheme="minorHAnsi" w:cstheme="minorHAnsi"/>
          <w:sz w:val="22"/>
          <w:szCs w:val="22"/>
        </w:rPr>
        <w:t>critical</w:t>
      </w:r>
      <w:r w:rsidR="00D91326" w:rsidRPr="00D92B41">
        <w:rPr>
          <w:rFonts w:asciiTheme="minorHAnsi" w:eastAsia="Times New Roman" w:hAnsiTheme="minorHAnsi" w:cstheme="minorHAnsi"/>
          <w:sz w:val="22"/>
          <w:szCs w:val="22"/>
        </w:rPr>
        <w:t xml:space="preserve"> </w:t>
      </w:r>
      <w:r w:rsidR="00854FCE" w:rsidRPr="00D92B41">
        <w:rPr>
          <w:rFonts w:asciiTheme="minorHAnsi" w:eastAsia="Times New Roman" w:hAnsiTheme="minorHAnsi" w:cstheme="minorHAnsi"/>
          <w:sz w:val="22"/>
          <w:szCs w:val="22"/>
        </w:rPr>
        <w:t>to</w:t>
      </w:r>
      <w:r w:rsidR="00D91326" w:rsidRPr="00D92B41">
        <w:rPr>
          <w:rFonts w:asciiTheme="minorHAnsi" w:eastAsia="Times New Roman" w:hAnsiTheme="minorHAnsi" w:cstheme="minorHAnsi"/>
          <w:sz w:val="22"/>
          <w:szCs w:val="22"/>
        </w:rPr>
        <w:t xml:space="preserve"> </w:t>
      </w:r>
      <w:r w:rsidR="00826B83">
        <w:rPr>
          <w:rFonts w:asciiTheme="minorHAnsi" w:eastAsia="Times New Roman" w:hAnsiTheme="minorHAnsi" w:cstheme="minorHAnsi"/>
          <w:sz w:val="22"/>
          <w:szCs w:val="22"/>
        </w:rPr>
        <w:t>this</w:t>
      </w:r>
      <w:r w:rsidR="00854FCE" w:rsidRPr="00D92B41">
        <w:rPr>
          <w:rFonts w:asciiTheme="minorHAnsi" w:eastAsia="Times New Roman" w:hAnsiTheme="minorHAnsi" w:cstheme="minorHAnsi"/>
          <w:sz w:val="22"/>
          <w:szCs w:val="22"/>
        </w:rPr>
        <w:t>.</w:t>
      </w:r>
      <w:r w:rsidR="00D91326" w:rsidRPr="00D92B41">
        <w:rPr>
          <w:rFonts w:asciiTheme="minorHAnsi" w:eastAsia="Times New Roman" w:hAnsiTheme="minorHAnsi" w:cstheme="minorHAnsi"/>
          <w:sz w:val="22"/>
          <w:szCs w:val="22"/>
        </w:rPr>
        <w:t xml:space="preserve"> </w:t>
      </w:r>
      <w:r w:rsidR="00854FCE" w:rsidRPr="00D92B41">
        <w:rPr>
          <w:rFonts w:asciiTheme="minorHAnsi" w:hAnsiTheme="minorHAnsi" w:cstheme="minorHAnsi"/>
          <w:sz w:val="22"/>
          <w:szCs w:val="22"/>
        </w:rPr>
        <w:t>Other</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achievements</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include</w:t>
      </w:r>
      <w:r w:rsidR="00F87853" w:rsidRPr="00D92B41">
        <w:rPr>
          <w:rFonts w:asciiTheme="minorHAnsi" w:hAnsiTheme="minorHAnsi" w:cstheme="minorHAnsi"/>
          <w:sz w:val="22"/>
          <w:szCs w:val="22"/>
        </w:rPr>
        <w:t>d</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delivery</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of</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by-elections</w:t>
      </w:r>
      <w:r w:rsidR="00950DD0">
        <w:rPr>
          <w:rFonts w:asciiTheme="minorHAnsi" w:hAnsiTheme="minorHAnsi" w:cstheme="minorHAnsi"/>
          <w:sz w:val="22"/>
          <w:szCs w:val="22"/>
        </w:rPr>
        <w:t>,</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improved</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staffing</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capacity</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building</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for</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office</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of</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the</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SIEC</w:t>
      </w:r>
      <w:r w:rsidR="00950DD0">
        <w:rPr>
          <w:rFonts w:asciiTheme="minorHAnsi" w:hAnsiTheme="minorHAnsi" w:cstheme="minorHAnsi"/>
          <w:sz w:val="22"/>
          <w:szCs w:val="22"/>
        </w:rPr>
        <w:t>,</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enhanced</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budget</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submissions</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and</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preparatory</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steps</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for</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electoral</w:t>
      </w:r>
      <w:r w:rsidR="00D91326" w:rsidRPr="00D92B41">
        <w:rPr>
          <w:rFonts w:asciiTheme="minorHAnsi" w:hAnsiTheme="minorHAnsi" w:cstheme="minorHAnsi"/>
          <w:sz w:val="22"/>
          <w:szCs w:val="22"/>
        </w:rPr>
        <w:t xml:space="preserve"> </w:t>
      </w:r>
      <w:r w:rsidR="00854FCE" w:rsidRPr="00D92B41">
        <w:rPr>
          <w:rFonts w:asciiTheme="minorHAnsi" w:hAnsiTheme="minorHAnsi" w:cstheme="minorHAnsi"/>
          <w:sz w:val="22"/>
          <w:szCs w:val="22"/>
        </w:rPr>
        <w:t>reform</w:t>
      </w:r>
      <w:r w:rsidR="00950DD0" w:rsidRPr="00D92B41">
        <w:rPr>
          <w:rFonts w:asciiTheme="minorHAnsi" w:hAnsiTheme="minorHAnsi" w:cstheme="minorHAnsi"/>
          <w:sz w:val="22"/>
          <w:szCs w:val="22"/>
        </w:rPr>
        <w:t>.</w:t>
      </w:r>
      <w:r w:rsidR="00854FCE" w:rsidRPr="004043B0">
        <w:rPr>
          <w:rStyle w:val="FootnoteReference"/>
          <w:rFonts w:asciiTheme="minorHAnsi" w:hAnsiTheme="minorHAnsi" w:cstheme="minorHAnsi"/>
          <w:szCs w:val="16"/>
        </w:rPr>
        <w:footnoteReference w:id="19"/>
      </w:r>
      <w:r w:rsidR="00340D09">
        <w:rPr>
          <w:rFonts w:asciiTheme="minorHAnsi" w:hAnsiTheme="minorHAnsi" w:cstheme="minorHAnsi"/>
          <w:sz w:val="22"/>
          <w:szCs w:val="22"/>
        </w:rPr>
        <w:t xml:space="preserve"> </w:t>
      </w:r>
    </w:p>
    <w:p w:rsidR="00CF1001" w:rsidRPr="00D92B41" w:rsidRDefault="00CF1001" w:rsidP="00CF1001">
      <w:pPr>
        <w:pStyle w:val="ListBullet"/>
        <w:numPr>
          <w:ilvl w:val="0"/>
          <w:numId w:val="0"/>
        </w:numPr>
        <w:tabs>
          <w:tab w:val="clear" w:pos="284"/>
        </w:tabs>
        <w:spacing w:line="240" w:lineRule="auto"/>
        <w:rPr>
          <w:rFonts w:asciiTheme="minorHAnsi" w:hAnsiTheme="minorHAnsi" w:cstheme="minorHAnsi"/>
          <w:sz w:val="22"/>
          <w:szCs w:val="22"/>
        </w:rPr>
      </w:pPr>
      <w:r w:rsidRPr="00D92B41">
        <w:rPr>
          <w:rFonts w:asciiTheme="minorHAnsi" w:hAnsiTheme="minorHAnsi" w:cstheme="minorHAnsi"/>
          <w:sz w:val="22"/>
          <w:szCs w:val="22"/>
        </w:rPr>
        <w:t xml:space="preserve">The </w:t>
      </w:r>
      <w:r w:rsidRPr="00CF1001">
        <w:rPr>
          <w:rFonts w:asciiTheme="minorHAnsi" w:hAnsiTheme="minorHAnsi" w:cstheme="minorHAnsi"/>
          <w:b/>
          <w:sz w:val="22"/>
          <w:szCs w:val="22"/>
        </w:rPr>
        <w:t>Solomon Islands Media Assistance (SOLMAS) program</w:t>
      </w:r>
      <w:r w:rsidRPr="00D92B41">
        <w:rPr>
          <w:rFonts w:asciiTheme="minorHAnsi" w:hAnsiTheme="minorHAnsi" w:cstheme="minorHAnsi"/>
          <w:sz w:val="22"/>
          <w:szCs w:val="22"/>
        </w:rPr>
        <w:t xml:space="preserve"> ran from 2008 to December 2013.</w:t>
      </w:r>
      <w:r>
        <w:rPr>
          <w:rFonts w:asciiTheme="minorHAnsi" w:hAnsiTheme="minorHAnsi" w:cstheme="minorHAnsi"/>
          <w:sz w:val="22"/>
          <w:szCs w:val="22"/>
        </w:rPr>
        <w:t xml:space="preserve"> </w:t>
      </w:r>
      <w:r w:rsidRPr="00CF1001">
        <w:rPr>
          <w:rFonts w:asciiTheme="minorHAnsi" w:hAnsiTheme="minorHAnsi" w:cstheme="minorHAnsi"/>
          <w:sz w:val="22"/>
          <w:szCs w:val="22"/>
        </w:rPr>
        <w:t>The program was strong on outputs but sustained outcomes are harder to see</w:t>
      </w:r>
      <w:r w:rsidRPr="00D92B41">
        <w:rPr>
          <w:rFonts w:asciiTheme="minorHAnsi" w:hAnsiTheme="minorHAnsi" w:cstheme="minorHAnsi"/>
          <w:sz w:val="22"/>
          <w:szCs w:val="22"/>
        </w:rPr>
        <w:t xml:space="preserve">. </w:t>
      </w:r>
      <w:r w:rsidR="00564EE5">
        <w:rPr>
          <w:rFonts w:asciiTheme="minorHAnsi" w:hAnsiTheme="minorHAnsi" w:cstheme="minorHAnsi"/>
          <w:sz w:val="22"/>
          <w:szCs w:val="22"/>
        </w:rPr>
        <w:t xml:space="preserve">The program was ended due to poor performance. </w:t>
      </w:r>
      <w:r w:rsidRPr="00D92B41">
        <w:rPr>
          <w:rFonts w:asciiTheme="minorHAnsi" w:hAnsiTheme="minorHAnsi" w:cstheme="minorHAnsi"/>
          <w:sz w:val="22"/>
          <w:szCs w:val="22"/>
        </w:rPr>
        <w:t xml:space="preserve">Training was well-regarded </w:t>
      </w:r>
      <w:r>
        <w:rPr>
          <w:rFonts w:asciiTheme="minorHAnsi" w:hAnsiTheme="minorHAnsi" w:cstheme="minorHAnsi"/>
          <w:sz w:val="22"/>
          <w:szCs w:val="22"/>
        </w:rPr>
        <w:t>but it</w:t>
      </w:r>
      <w:r w:rsidR="00F13124">
        <w:rPr>
          <w:rFonts w:asciiTheme="minorHAnsi" w:hAnsiTheme="minorHAnsi" w:cstheme="minorHAnsi"/>
          <w:sz w:val="22"/>
          <w:szCs w:val="22"/>
        </w:rPr>
        <w:t>s</w:t>
      </w:r>
      <w:r>
        <w:rPr>
          <w:rFonts w:asciiTheme="minorHAnsi" w:hAnsiTheme="minorHAnsi" w:cstheme="minorHAnsi"/>
          <w:sz w:val="22"/>
          <w:szCs w:val="22"/>
        </w:rPr>
        <w:t xml:space="preserve"> impact is difficult to identify.</w:t>
      </w:r>
      <w:r w:rsidRPr="00D92B41">
        <w:rPr>
          <w:rFonts w:asciiTheme="minorHAnsi" w:hAnsiTheme="minorHAnsi" w:cstheme="minorHAnsi"/>
          <w:sz w:val="22"/>
          <w:szCs w:val="22"/>
        </w:rPr>
        <w:t xml:space="preserve"> Indicators on breadth of story sources, angles, and frames did not show significant improvement between the Baseline and Endline Assessments; two indicators went backwards. </w:t>
      </w:r>
      <w:r>
        <w:rPr>
          <w:rFonts w:asciiTheme="minorHAnsi" w:hAnsiTheme="minorHAnsi" w:cstheme="minorHAnsi"/>
          <w:sz w:val="22"/>
          <w:szCs w:val="22"/>
        </w:rPr>
        <w:t xml:space="preserve">The program lost </w:t>
      </w:r>
      <w:r w:rsidRPr="00D92B41">
        <w:rPr>
          <w:rFonts w:asciiTheme="minorHAnsi" w:hAnsiTheme="minorHAnsi" w:cstheme="minorHAnsi"/>
          <w:sz w:val="22"/>
          <w:szCs w:val="22"/>
        </w:rPr>
        <w:t>strategic direction through too many activities</w:t>
      </w:r>
      <w:r w:rsidR="00950DD0">
        <w:rPr>
          <w:rFonts w:asciiTheme="minorHAnsi" w:hAnsiTheme="minorHAnsi" w:cstheme="minorHAnsi"/>
          <w:sz w:val="22"/>
          <w:szCs w:val="22"/>
        </w:rPr>
        <w:t>.</w:t>
      </w:r>
      <w:r w:rsidRPr="0067254A">
        <w:rPr>
          <w:rStyle w:val="FootnoteReference"/>
          <w:rFonts w:asciiTheme="minorHAnsi" w:hAnsiTheme="minorHAnsi" w:cstheme="minorHAnsi"/>
        </w:rPr>
        <w:footnoteReference w:id="20"/>
      </w:r>
      <w:r w:rsidR="00950DD0">
        <w:rPr>
          <w:rFonts w:asciiTheme="minorHAnsi" w:hAnsiTheme="minorHAnsi" w:cstheme="minorHAnsi"/>
          <w:sz w:val="22"/>
          <w:szCs w:val="22"/>
        </w:rPr>
        <w:t xml:space="preserve"> </w:t>
      </w:r>
      <w:r w:rsidRPr="00D92B41">
        <w:rPr>
          <w:rFonts w:asciiTheme="minorHAnsi" w:hAnsiTheme="minorHAnsi" w:cstheme="minorHAnsi"/>
          <w:sz w:val="22"/>
          <w:szCs w:val="22"/>
        </w:rPr>
        <w:t>The Activity Completion Report</w:t>
      </w:r>
      <w:r w:rsidRPr="0067254A">
        <w:rPr>
          <w:rStyle w:val="FootnoteReference"/>
          <w:rFonts w:asciiTheme="minorHAnsi" w:hAnsiTheme="minorHAnsi" w:cstheme="minorHAnsi"/>
        </w:rPr>
        <w:footnoteReference w:id="21"/>
      </w:r>
      <w:r w:rsidRPr="0067254A">
        <w:rPr>
          <w:rStyle w:val="FootnoteReference"/>
          <w:rFonts w:asciiTheme="minorHAnsi" w:hAnsiTheme="minorHAnsi"/>
        </w:rPr>
        <w:t xml:space="preserve"> </w:t>
      </w:r>
      <w:r w:rsidRPr="00D92B41">
        <w:rPr>
          <w:rFonts w:asciiTheme="minorHAnsi" w:hAnsiTheme="minorHAnsi" w:cstheme="minorHAnsi"/>
          <w:sz w:val="22"/>
          <w:szCs w:val="22"/>
        </w:rPr>
        <w:t xml:space="preserve">noted one unexpected impact of the program was the movement of more capable media staff to government and private sector positions. </w:t>
      </w:r>
      <w:r>
        <w:rPr>
          <w:rFonts w:asciiTheme="minorHAnsi" w:hAnsiTheme="minorHAnsi" w:cstheme="minorHAnsi"/>
          <w:sz w:val="22"/>
          <w:szCs w:val="22"/>
        </w:rPr>
        <w:t xml:space="preserve"> </w:t>
      </w:r>
      <w:r w:rsidRPr="00D92B41">
        <w:rPr>
          <w:rFonts w:asciiTheme="minorHAnsi" w:hAnsiTheme="minorHAnsi" w:cstheme="minorHAnsi"/>
          <w:sz w:val="22"/>
          <w:szCs w:val="22"/>
        </w:rPr>
        <w:t xml:space="preserve">The program ended up creating a degree of dependency by media organisations looking to SOLMAS to fill critical gaps. </w:t>
      </w:r>
    </w:p>
    <w:p w:rsidR="001D1876" w:rsidRPr="00D92B41" w:rsidRDefault="00B57737" w:rsidP="00121815">
      <w:pPr>
        <w:pStyle w:val="Heading3"/>
      </w:pPr>
      <w:r w:rsidRPr="00B57737">
        <w:t xml:space="preserve">Priority Outcome </w:t>
      </w:r>
      <w:r>
        <w:t>4 -</w:t>
      </w:r>
      <w:r w:rsidRPr="00B57737">
        <w:t xml:space="preserve"> </w:t>
      </w:r>
      <w:r w:rsidR="001D1876" w:rsidRPr="00D92B41">
        <w:t>Improved</w:t>
      </w:r>
      <w:r w:rsidR="00D91326" w:rsidRPr="00D92B41">
        <w:t xml:space="preserve"> </w:t>
      </w:r>
      <w:r w:rsidR="001D1876" w:rsidRPr="00D92B41">
        <w:t>Justice</w:t>
      </w:r>
    </w:p>
    <w:p w:rsidR="000520E1" w:rsidRPr="004700A9" w:rsidRDefault="000520E1" w:rsidP="000520E1">
      <w:pPr>
        <w:pStyle w:val="ListBullet"/>
        <w:numPr>
          <w:ilvl w:val="0"/>
          <w:numId w:val="0"/>
        </w:numPr>
        <w:tabs>
          <w:tab w:val="clear" w:pos="284"/>
        </w:tabs>
        <w:spacing w:line="240" w:lineRule="auto"/>
        <w:rPr>
          <w:rFonts w:asciiTheme="minorHAnsi" w:hAnsiTheme="minorHAnsi" w:cstheme="minorHAnsi"/>
          <w:sz w:val="22"/>
          <w:szCs w:val="22"/>
        </w:rPr>
      </w:pPr>
      <w:bookmarkStart w:id="3" w:name="_Toc368483797"/>
      <w:bookmarkStart w:id="4" w:name="_Toc364063623"/>
      <w:r>
        <w:rPr>
          <w:rFonts w:asciiTheme="minorHAnsi" w:hAnsiTheme="minorHAnsi" w:cstheme="minorHAnsi"/>
          <w:sz w:val="22"/>
          <w:szCs w:val="22"/>
        </w:rPr>
        <w:t>For post</w:t>
      </w:r>
      <w:r w:rsidRPr="004700A9">
        <w:rPr>
          <w:rFonts w:asciiTheme="minorHAnsi" w:hAnsiTheme="minorHAnsi" w:cstheme="minorHAnsi"/>
          <w:sz w:val="22"/>
          <w:szCs w:val="22"/>
        </w:rPr>
        <w:t>-conflict countr</w:t>
      </w:r>
      <w:r>
        <w:rPr>
          <w:rFonts w:asciiTheme="minorHAnsi" w:hAnsiTheme="minorHAnsi" w:cstheme="minorHAnsi"/>
          <w:sz w:val="22"/>
          <w:szCs w:val="22"/>
        </w:rPr>
        <w:t>ies</w:t>
      </w:r>
      <w:r w:rsidRPr="004700A9">
        <w:rPr>
          <w:rFonts w:asciiTheme="minorHAnsi" w:hAnsiTheme="minorHAnsi" w:cstheme="minorHAnsi"/>
          <w:sz w:val="22"/>
          <w:szCs w:val="22"/>
        </w:rPr>
        <w:t xml:space="preserve">, justice institutions are critical </w:t>
      </w:r>
      <w:r>
        <w:rPr>
          <w:rFonts w:asciiTheme="minorHAnsi" w:hAnsiTheme="minorHAnsi" w:cstheme="minorHAnsi"/>
          <w:sz w:val="22"/>
          <w:szCs w:val="22"/>
        </w:rPr>
        <w:t>to addressing grievances,</w:t>
      </w:r>
      <w:r w:rsidRPr="004700A9">
        <w:rPr>
          <w:rFonts w:asciiTheme="minorHAnsi" w:hAnsiTheme="minorHAnsi" w:cstheme="minorHAnsi"/>
          <w:sz w:val="22"/>
          <w:szCs w:val="22"/>
        </w:rPr>
        <w:t xml:space="preserve"> potential sources of conflict or re-lapses into conflict</w:t>
      </w:r>
      <w:r w:rsidR="00950DD0" w:rsidRPr="004700A9">
        <w:rPr>
          <w:rFonts w:asciiTheme="minorHAnsi" w:hAnsiTheme="minorHAnsi" w:cstheme="minorHAnsi"/>
          <w:sz w:val="22"/>
          <w:szCs w:val="22"/>
        </w:rPr>
        <w:t>.</w:t>
      </w:r>
      <w:r>
        <w:rPr>
          <w:rStyle w:val="FootnoteReference"/>
          <w:rFonts w:cstheme="minorHAnsi"/>
        </w:rPr>
        <w:footnoteReference w:id="22"/>
      </w:r>
      <w:r w:rsidRPr="004700A9">
        <w:rPr>
          <w:rFonts w:asciiTheme="minorHAnsi" w:hAnsiTheme="minorHAnsi" w:cstheme="minorHAnsi"/>
          <w:sz w:val="22"/>
          <w:szCs w:val="22"/>
        </w:rPr>
        <w:t xml:space="preserve"> </w:t>
      </w:r>
      <w:r>
        <w:rPr>
          <w:rFonts w:asciiTheme="minorHAnsi" w:hAnsiTheme="minorHAnsi" w:cstheme="minorHAnsi"/>
          <w:sz w:val="22"/>
          <w:szCs w:val="22"/>
        </w:rPr>
        <w:t xml:space="preserve">In the Solomon Islands </w:t>
      </w:r>
      <w:r w:rsidRPr="004700A9">
        <w:rPr>
          <w:rFonts w:asciiTheme="minorHAnsi" w:hAnsiTheme="minorHAnsi" w:cstheme="minorHAnsi"/>
          <w:sz w:val="22"/>
          <w:szCs w:val="22"/>
        </w:rPr>
        <w:t xml:space="preserve"> the se</w:t>
      </w:r>
      <w:r>
        <w:rPr>
          <w:rFonts w:asciiTheme="minorHAnsi" w:hAnsiTheme="minorHAnsi" w:cstheme="minorHAnsi"/>
          <w:sz w:val="22"/>
          <w:szCs w:val="22"/>
        </w:rPr>
        <w:t xml:space="preserve">ctor remains highly fragile and, post RAMSI transition, </w:t>
      </w:r>
      <w:r w:rsidRPr="004700A9">
        <w:rPr>
          <w:rFonts w:asciiTheme="minorHAnsi" w:hAnsiTheme="minorHAnsi" w:cstheme="minorHAnsi"/>
          <w:sz w:val="22"/>
          <w:szCs w:val="22"/>
        </w:rPr>
        <w:t>has seen an anticipated regression in some areas, for example the magistrates’ court</w:t>
      </w:r>
      <w:r>
        <w:rPr>
          <w:rFonts w:asciiTheme="minorHAnsi" w:hAnsiTheme="minorHAnsi" w:cstheme="minorHAnsi"/>
          <w:sz w:val="22"/>
          <w:szCs w:val="22"/>
        </w:rPr>
        <w:t>, with the draw down on advisors and removal of advisors from in-line roles</w:t>
      </w:r>
      <w:r w:rsidRPr="004700A9">
        <w:rPr>
          <w:rFonts w:asciiTheme="minorHAnsi" w:hAnsiTheme="minorHAnsi" w:cstheme="minorHAnsi"/>
          <w:sz w:val="22"/>
          <w:szCs w:val="22"/>
        </w:rPr>
        <w:t>.</w:t>
      </w:r>
      <w:r>
        <w:rPr>
          <w:rFonts w:asciiTheme="minorHAnsi" w:hAnsiTheme="minorHAnsi" w:cstheme="minorHAnsi"/>
          <w:sz w:val="22"/>
          <w:szCs w:val="22"/>
        </w:rPr>
        <w:t xml:space="preserve"> </w:t>
      </w:r>
      <w:r w:rsidR="00CF340F">
        <w:rPr>
          <w:rFonts w:asciiTheme="minorHAnsi" w:hAnsiTheme="minorHAnsi" w:cstheme="minorHAnsi"/>
          <w:sz w:val="22"/>
          <w:szCs w:val="22"/>
        </w:rPr>
        <w:t>In this context progress towards objectives is challenging and</w:t>
      </w:r>
      <w:r>
        <w:rPr>
          <w:rFonts w:asciiTheme="minorHAnsi" w:hAnsiTheme="minorHAnsi" w:cstheme="minorHAnsi"/>
          <w:sz w:val="22"/>
          <w:szCs w:val="22"/>
        </w:rPr>
        <w:t>, therefore, rated amber.</w:t>
      </w:r>
      <w:r w:rsidRPr="004700A9">
        <w:rPr>
          <w:rFonts w:asciiTheme="minorHAnsi" w:hAnsiTheme="minorHAnsi" w:cstheme="minorHAnsi"/>
          <w:sz w:val="22"/>
          <w:szCs w:val="22"/>
        </w:rPr>
        <w:t xml:space="preserve"> </w:t>
      </w:r>
    </w:p>
    <w:p w:rsidR="000520E1" w:rsidRPr="004700A9" w:rsidRDefault="000520E1" w:rsidP="000520E1">
      <w:pPr>
        <w:pStyle w:val="ListBullet"/>
        <w:numPr>
          <w:ilvl w:val="0"/>
          <w:numId w:val="0"/>
        </w:numPr>
        <w:tabs>
          <w:tab w:val="clear" w:pos="284"/>
        </w:tabs>
        <w:spacing w:line="240" w:lineRule="auto"/>
        <w:rPr>
          <w:rFonts w:asciiTheme="minorHAnsi" w:hAnsiTheme="minorHAnsi" w:cstheme="minorHAnsi"/>
          <w:sz w:val="22"/>
          <w:szCs w:val="22"/>
        </w:rPr>
      </w:pPr>
      <w:r w:rsidRPr="004700A9">
        <w:rPr>
          <w:rFonts w:asciiTheme="minorHAnsi" w:hAnsiTheme="minorHAnsi" w:cstheme="minorHAnsi"/>
          <w:sz w:val="22"/>
          <w:szCs w:val="22"/>
        </w:rPr>
        <w:t xml:space="preserve">HR management, strategic planning and coordinated service delivery in a multi-agency sector remain a serious challenge in the justice sector. However, there was some positive progress in 2013. For example the justice agencies completed their first ever strategic frameworks and </w:t>
      </w:r>
      <w:r>
        <w:rPr>
          <w:rFonts w:asciiTheme="minorHAnsi" w:hAnsiTheme="minorHAnsi" w:cstheme="minorHAnsi"/>
          <w:sz w:val="22"/>
          <w:szCs w:val="22"/>
        </w:rPr>
        <w:t xml:space="preserve">agency specific </w:t>
      </w:r>
      <w:r w:rsidRPr="004700A9">
        <w:rPr>
          <w:rFonts w:asciiTheme="minorHAnsi" w:hAnsiTheme="minorHAnsi" w:cstheme="minorHAnsi"/>
          <w:sz w:val="22"/>
          <w:szCs w:val="22"/>
        </w:rPr>
        <w:t xml:space="preserve">annual work plans.  Assessments against </w:t>
      </w:r>
      <w:r w:rsidRPr="00A80F93">
        <w:rPr>
          <w:rFonts w:asciiTheme="minorHAnsi" w:hAnsiTheme="minorHAnsi" w:cstheme="minorHAnsi"/>
          <w:b/>
          <w:sz w:val="22"/>
          <w:szCs w:val="22"/>
        </w:rPr>
        <w:t>PAF Targets</w:t>
      </w:r>
      <w:r w:rsidRPr="004700A9">
        <w:rPr>
          <w:rFonts w:asciiTheme="minorHAnsi" w:hAnsiTheme="minorHAnsi" w:cstheme="minorHAnsi"/>
          <w:sz w:val="22"/>
          <w:szCs w:val="22"/>
        </w:rPr>
        <w:t xml:space="preserve"> are at </w:t>
      </w:r>
      <w:r w:rsidRPr="00BE3048">
        <w:rPr>
          <w:rFonts w:asciiTheme="minorHAnsi" w:hAnsiTheme="minorHAnsi" w:cstheme="minorHAnsi"/>
          <w:sz w:val="22"/>
          <w:szCs w:val="22"/>
          <w:u w:val="single"/>
        </w:rPr>
        <w:t xml:space="preserve">Attachment </w:t>
      </w:r>
      <w:r>
        <w:rPr>
          <w:rFonts w:asciiTheme="minorHAnsi" w:hAnsiTheme="minorHAnsi" w:cstheme="minorHAnsi"/>
          <w:sz w:val="22"/>
          <w:szCs w:val="22"/>
          <w:u w:val="single"/>
        </w:rPr>
        <w:t>6</w:t>
      </w:r>
      <w:r w:rsidRPr="004700A9">
        <w:rPr>
          <w:rFonts w:asciiTheme="minorHAnsi" w:hAnsiTheme="minorHAnsi" w:cstheme="minorHAnsi"/>
          <w:sz w:val="22"/>
          <w:szCs w:val="22"/>
        </w:rPr>
        <w:t xml:space="preserve">, however it should be noted capacity to report against these indicators remains limited due to ad hoc data collection and analysis. Further refinement of </w:t>
      </w:r>
      <w:r>
        <w:rPr>
          <w:rFonts w:asciiTheme="minorHAnsi" w:hAnsiTheme="minorHAnsi" w:cstheme="minorHAnsi"/>
          <w:sz w:val="22"/>
          <w:szCs w:val="22"/>
        </w:rPr>
        <w:t xml:space="preserve">the Solomon Islands </w:t>
      </w:r>
      <w:r>
        <w:rPr>
          <w:rFonts w:asciiTheme="minorHAnsi" w:hAnsiTheme="minorHAnsi" w:cstheme="minorHAnsi"/>
          <w:sz w:val="22"/>
          <w:szCs w:val="22"/>
        </w:rPr>
        <w:lastRenderedPageBreak/>
        <w:t>Government’s</w:t>
      </w:r>
      <w:r w:rsidRPr="00740290">
        <w:rPr>
          <w:rFonts w:asciiTheme="minorHAnsi" w:hAnsiTheme="minorHAnsi" w:cstheme="minorHAnsi"/>
          <w:sz w:val="22"/>
          <w:szCs w:val="22"/>
        </w:rPr>
        <w:t xml:space="preserve"> </w:t>
      </w:r>
      <w:r w:rsidRPr="004700A9">
        <w:rPr>
          <w:rFonts w:asciiTheme="minorHAnsi" w:hAnsiTheme="minorHAnsi" w:cstheme="minorHAnsi"/>
          <w:sz w:val="22"/>
          <w:szCs w:val="22"/>
        </w:rPr>
        <w:t xml:space="preserve">performance systems and tools and </w:t>
      </w:r>
      <w:r>
        <w:rPr>
          <w:rFonts w:asciiTheme="minorHAnsi" w:hAnsiTheme="minorHAnsi" w:cstheme="minorHAnsi"/>
          <w:sz w:val="22"/>
          <w:szCs w:val="22"/>
        </w:rPr>
        <w:t>Australia’s</w:t>
      </w:r>
      <w:r w:rsidRPr="004700A9">
        <w:rPr>
          <w:rFonts w:asciiTheme="minorHAnsi" w:hAnsiTheme="minorHAnsi" w:cstheme="minorHAnsi"/>
          <w:sz w:val="22"/>
          <w:szCs w:val="22"/>
        </w:rPr>
        <w:t xml:space="preserve"> related PAF is a major priority in 2014-15.</w:t>
      </w:r>
      <w:r>
        <w:rPr>
          <w:rFonts w:asciiTheme="minorHAnsi" w:hAnsiTheme="minorHAnsi" w:cstheme="minorHAnsi"/>
          <w:sz w:val="22"/>
          <w:szCs w:val="22"/>
        </w:rPr>
        <w:t xml:space="preserve"> Some progress has been made to address terms and conditions.</w:t>
      </w:r>
    </w:p>
    <w:p w:rsidR="000520E1" w:rsidRPr="004700A9" w:rsidRDefault="000520E1" w:rsidP="000520E1">
      <w:pPr>
        <w:pStyle w:val="ListBullet"/>
        <w:numPr>
          <w:ilvl w:val="0"/>
          <w:numId w:val="0"/>
        </w:numPr>
        <w:tabs>
          <w:tab w:val="clear" w:pos="284"/>
        </w:tabs>
        <w:spacing w:line="240" w:lineRule="auto"/>
        <w:rPr>
          <w:rFonts w:asciiTheme="minorHAnsi" w:hAnsiTheme="minorHAnsi" w:cstheme="minorHAnsi"/>
          <w:sz w:val="22"/>
          <w:szCs w:val="22"/>
        </w:rPr>
      </w:pPr>
      <w:r w:rsidRPr="004700A9">
        <w:rPr>
          <w:rFonts w:asciiTheme="minorHAnsi" w:hAnsiTheme="minorHAnsi" w:cstheme="minorHAnsi"/>
          <w:sz w:val="22"/>
          <w:szCs w:val="22"/>
        </w:rPr>
        <w:t xml:space="preserve">The </w:t>
      </w:r>
      <w:r>
        <w:rPr>
          <w:rFonts w:asciiTheme="minorHAnsi" w:hAnsiTheme="minorHAnsi" w:cstheme="minorHAnsi"/>
          <w:sz w:val="22"/>
          <w:szCs w:val="22"/>
        </w:rPr>
        <w:t xml:space="preserve">Solomon Islands Justice Program (SIJP) </w:t>
      </w:r>
      <w:r w:rsidRPr="004700A9">
        <w:rPr>
          <w:rFonts w:asciiTheme="minorHAnsi" w:hAnsiTheme="minorHAnsi" w:cstheme="minorHAnsi"/>
          <w:sz w:val="22"/>
          <w:szCs w:val="22"/>
        </w:rPr>
        <w:t xml:space="preserve">aims to reduce the level of </w:t>
      </w:r>
      <w:r w:rsidRPr="00A80F93">
        <w:rPr>
          <w:rFonts w:asciiTheme="minorHAnsi" w:hAnsiTheme="minorHAnsi" w:cstheme="minorHAnsi"/>
          <w:b/>
          <w:sz w:val="22"/>
          <w:szCs w:val="22"/>
        </w:rPr>
        <w:t>capacity substitution</w:t>
      </w:r>
      <w:r w:rsidRPr="004700A9">
        <w:rPr>
          <w:rFonts w:asciiTheme="minorHAnsi" w:hAnsiTheme="minorHAnsi" w:cstheme="minorHAnsi"/>
          <w:sz w:val="22"/>
          <w:szCs w:val="22"/>
        </w:rPr>
        <w:t xml:space="preserve"> which characterised the program in the past. The number of technical advisers in justice agencies has dropped from 32 in 2012 to 25 in 2013, with no in-line advisors and all agencies headed by a Solomon Islander.  Whilst this is positive and significant progress, it has led to a decline in some service delivery standards, as foreshadowed earlier.</w:t>
      </w:r>
    </w:p>
    <w:p w:rsidR="000520E1" w:rsidRPr="004700A9" w:rsidRDefault="000520E1" w:rsidP="000520E1">
      <w:pPr>
        <w:pStyle w:val="ListBullet"/>
        <w:numPr>
          <w:ilvl w:val="0"/>
          <w:numId w:val="0"/>
        </w:numPr>
        <w:tabs>
          <w:tab w:val="clear" w:pos="284"/>
        </w:tabs>
        <w:spacing w:line="240" w:lineRule="auto"/>
        <w:rPr>
          <w:rFonts w:asciiTheme="minorHAnsi" w:hAnsiTheme="minorHAnsi" w:cstheme="minorHAnsi"/>
          <w:sz w:val="22"/>
          <w:szCs w:val="22"/>
        </w:rPr>
      </w:pPr>
      <w:r>
        <w:rPr>
          <w:rFonts w:asciiTheme="minorHAnsi" w:hAnsiTheme="minorHAnsi" w:cstheme="minorHAnsi"/>
          <w:sz w:val="22"/>
          <w:szCs w:val="22"/>
        </w:rPr>
        <w:t>P</w:t>
      </w:r>
      <w:r w:rsidRPr="004700A9">
        <w:rPr>
          <w:rFonts w:asciiTheme="minorHAnsi" w:hAnsiTheme="minorHAnsi" w:cstheme="minorHAnsi"/>
          <w:sz w:val="22"/>
          <w:szCs w:val="22"/>
        </w:rPr>
        <w:t xml:space="preserve">rogress </w:t>
      </w:r>
      <w:r>
        <w:rPr>
          <w:rFonts w:asciiTheme="minorHAnsi" w:hAnsiTheme="minorHAnsi" w:cstheme="minorHAnsi"/>
          <w:sz w:val="22"/>
          <w:szCs w:val="22"/>
        </w:rPr>
        <w:t>towards</w:t>
      </w:r>
      <w:r w:rsidRPr="004700A9">
        <w:rPr>
          <w:rFonts w:asciiTheme="minorHAnsi" w:hAnsiTheme="minorHAnsi" w:cstheme="minorHAnsi"/>
          <w:sz w:val="22"/>
          <w:szCs w:val="22"/>
        </w:rPr>
        <w:t xml:space="preserve"> gender equality include</w:t>
      </w:r>
      <w:r>
        <w:rPr>
          <w:rFonts w:asciiTheme="minorHAnsi" w:hAnsiTheme="minorHAnsi" w:cstheme="minorHAnsi"/>
          <w:sz w:val="22"/>
          <w:szCs w:val="22"/>
        </w:rPr>
        <w:t>s</w:t>
      </w:r>
      <w:r w:rsidRPr="004700A9">
        <w:rPr>
          <w:rFonts w:asciiTheme="minorHAnsi" w:hAnsiTheme="minorHAnsi" w:cstheme="minorHAnsi"/>
          <w:sz w:val="22"/>
          <w:szCs w:val="22"/>
        </w:rPr>
        <w:t xml:space="preserve"> the progression of </w:t>
      </w:r>
      <w:r>
        <w:rPr>
          <w:rFonts w:asciiTheme="minorHAnsi" w:hAnsiTheme="minorHAnsi" w:cstheme="minorHAnsi"/>
          <w:sz w:val="22"/>
          <w:szCs w:val="22"/>
        </w:rPr>
        <w:t xml:space="preserve">the </w:t>
      </w:r>
      <w:r w:rsidRPr="004700A9">
        <w:rPr>
          <w:rFonts w:asciiTheme="minorHAnsi" w:hAnsiTheme="minorHAnsi" w:cstheme="minorHAnsi"/>
          <w:sz w:val="22"/>
          <w:szCs w:val="22"/>
        </w:rPr>
        <w:t xml:space="preserve">Family Protection Bill through Cabinet and continued funding </w:t>
      </w:r>
      <w:r>
        <w:rPr>
          <w:rFonts w:asciiTheme="minorHAnsi" w:hAnsiTheme="minorHAnsi" w:cstheme="minorHAnsi"/>
          <w:sz w:val="22"/>
          <w:szCs w:val="22"/>
        </w:rPr>
        <w:t>to</w:t>
      </w:r>
      <w:r w:rsidRPr="004700A9">
        <w:rPr>
          <w:rFonts w:asciiTheme="minorHAnsi" w:hAnsiTheme="minorHAnsi" w:cstheme="minorHAnsi"/>
          <w:sz w:val="22"/>
          <w:szCs w:val="22"/>
        </w:rPr>
        <w:t xml:space="preserve"> support services </w:t>
      </w:r>
      <w:r>
        <w:rPr>
          <w:rFonts w:asciiTheme="minorHAnsi" w:hAnsiTheme="minorHAnsi" w:cstheme="minorHAnsi"/>
          <w:sz w:val="22"/>
          <w:szCs w:val="22"/>
        </w:rPr>
        <w:t>for</w:t>
      </w:r>
      <w:r w:rsidRPr="004700A9">
        <w:rPr>
          <w:rFonts w:asciiTheme="minorHAnsi" w:hAnsiTheme="minorHAnsi" w:cstheme="minorHAnsi"/>
          <w:sz w:val="22"/>
          <w:szCs w:val="22"/>
        </w:rPr>
        <w:t xml:space="preserve"> women survivors of violence. </w:t>
      </w:r>
      <w:r>
        <w:rPr>
          <w:rFonts w:asciiTheme="minorHAnsi" w:hAnsiTheme="minorHAnsi" w:cstheme="minorHAnsi"/>
          <w:sz w:val="22"/>
          <w:szCs w:val="22"/>
        </w:rPr>
        <w:t xml:space="preserve">Australia’s </w:t>
      </w:r>
      <w:r w:rsidRPr="004700A9">
        <w:rPr>
          <w:rFonts w:asciiTheme="minorHAnsi" w:hAnsiTheme="minorHAnsi" w:cstheme="minorHAnsi"/>
          <w:sz w:val="22"/>
          <w:szCs w:val="22"/>
        </w:rPr>
        <w:t xml:space="preserve">support has </w:t>
      </w:r>
      <w:r w:rsidR="00670871">
        <w:rPr>
          <w:rFonts w:asciiTheme="minorHAnsi" w:hAnsiTheme="minorHAnsi" w:cstheme="minorHAnsi"/>
          <w:sz w:val="22"/>
          <w:szCs w:val="22"/>
        </w:rPr>
        <w:t>complement</w:t>
      </w:r>
      <w:r w:rsidRPr="004700A9">
        <w:rPr>
          <w:rFonts w:asciiTheme="minorHAnsi" w:hAnsiTheme="minorHAnsi" w:cstheme="minorHAnsi"/>
          <w:sz w:val="22"/>
          <w:szCs w:val="22"/>
        </w:rPr>
        <w:t xml:space="preserve">ed this with continued support for </w:t>
      </w:r>
      <w:r>
        <w:rPr>
          <w:rFonts w:asciiTheme="minorHAnsi" w:hAnsiTheme="minorHAnsi" w:cstheme="minorHAnsi"/>
          <w:sz w:val="22"/>
          <w:szCs w:val="22"/>
        </w:rPr>
        <w:t>an</w:t>
      </w:r>
      <w:r w:rsidRPr="004700A9">
        <w:rPr>
          <w:rFonts w:asciiTheme="minorHAnsi" w:hAnsiTheme="minorHAnsi" w:cstheme="minorHAnsi"/>
          <w:sz w:val="22"/>
          <w:szCs w:val="22"/>
        </w:rPr>
        <w:t xml:space="preserve"> Elimination of Violence Against Women Policy Officer at the Ministry of Women, Youth, Children and Family Affairs.</w:t>
      </w:r>
    </w:p>
    <w:p w:rsidR="000520E1" w:rsidRDefault="000520E1" w:rsidP="000520E1">
      <w:pPr>
        <w:pStyle w:val="ListBullet"/>
        <w:numPr>
          <w:ilvl w:val="0"/>
          <w:numId w:val="0"/>
        </w:numPr>
        <w:tabs>
          <w:tab w:val="clear" w:pos="284"/>
        </w:tabs>
        <w:spacing w:line="240" w:lineRule="auto"/>
        <w:rPr>
          <w:rFonts w:asciiTheme="minorHAnsi" w:hAnsiTheme="minorHAnsi" w:cstheme="minorHAnsi"/>
          <w:sz w:val="22"/>
          <w:szCs w:val="22"/>
        </w:rPr>
      </w:pPr>
      <w:r w:rsidRPr="00A80F93">
        <w:rPr>
          <w:rFonts w:asciiTheme="minorHAnsi" w:hAnsiTheme="minorHAnsi" w:cstheme="minorHAnsi"/>
          <w:b/>
          <w:sz w:val="22"/>
          <w:szCs w:val="22"/>
        </w:rPr>
        <w:t>Policy dialogue</w:t>
      </w:r>
      <w:r w:rsidRPr="004700A9">
        <w:rPr>
          <w:rFonts w:asciiTheme="minorHAnsi" w:hAnsiTheme="minorHAnsi" w:cstheme="minorHAnsi"/>
          <w:sz w:val="22"/>
          <w:szCs w:val="22"/>
        </w:rPr>
        <w:t xml:space="preserve"> combined with </w:t>
      </w:r>
      <w:r>
        <w:rPr>
          <w:rFonts w:asciiTheme="minorHAnsi" w:hAnsiTheme="minorHAnsi" w:cstheme="minorHAnsi"/>
          <w:sz w:val="22"/>
          <w:szCs w:val="22"/>
        </w:rPr>
        <w:t xml:space="preserve">direct </w:t>
      </w:r>
      <w:r w:rsidRPr="004700A9">
        <w:rPr>
          <w:rFonts w:asciiTheme="minorHAnsi" w:hAnsiTheme="minorHAnsi" w:cstheme="minorHAnsi"/>
          <w:sz w:val="22"/>
          <w:szCs w:val="22"/>
        </w:rPr>
        <w:t xml:space="preserve">budget support has </w:t>
      </w:r>
      <w:r>
        <w:rPr>
          <w:rFonts w:asciiTheme="minorHAnsi" w:hAnsiTheme="minorHAnsi" w:cstheme="minorHAnsi"/>
          <w:sz w:val="22"/>
          <w:szCs w:val="22"/>
        </w:rPr>
        <w:t xml:space="preserve">allowed the development of a detailed </w:t>
      </w:r>
      <w:r w:rsidRPr="004700A9">
        <w:rPr>
          <w:rFonts w:asciiTheme="minorHAnsi" w:hAnsiTheme="minorHAnsi" w:cstheme="minorHAnsi"/>
          <w:sz w:val="22"/>
          <w:szCs w:val="22"/>
        </w:rPr>
        <w:t xml:space="preserve">understanding </w:t>
      </w:r>
      <w:r>
        <w:rPr>
          <w:rFonts w:asciiTheme="minorHAnsi" w:hAnsiTheme="minorHAnsi" w:cstheme="minorHAnsi"/>
          <w:sz w:val="22"/>
          <w:szCs w:val="22"/>
        </w:rPr>
        <w:t xml:space="preserve">of, </w:t>
      </w:r>
      <w:r w:rsidRPr="004700A9">
        <w:rPr>
          <w:rFonts w:asciiTheme="minorHAnsi" w:hAnsiTheme="minorHAnsi" w:cstheme="minorHAnsi"/>
          <w:sz w:val="22"/>
          <w:szCs w:val="22"/>
        </w:rPr>
        <w:t xml:space="preserve">and </w:t>
      </w:r>
      <w:r>
        <w:rPr>
          <w:rFonts w:asciiTheme="minorHAnsi" w:hAnsiTheme="minorHAnsi" w:cstheme="minorHAnsi"/>
          <w:sz w:val="22"/>
          <w:szCs w:val="22"/>
        </w:rPr>
        <w:t xml:space="preserve">therefore </w:t>
      </w:r>
      <w:r w:rsidRPr="004700A9">
        <w:rPr>
          <w:rFonts w:asciiTheme="minorHAnsi" w:hAnsiTheme="minorHAnsi" w:cstheme="minorHAnsi"/>
          <w:sz w:val="22"/>
          <w:szCs w:val="22"/>
        </w:rPr>
        <w:t>ability to influence</w:t>
      </w:r>
      <w:r>
        <w:rPr>
          <w:rFonts w:asciiTheme="minorHAnsi" w:hAnsiTheme="minorHAnsi" w:cstheme="minorHAnsi"/>
          <w:sz w:val="22"/>
          <w:szCs w:val="22"/>
        </w:rPr>
        <w:t>,</w:t>
      </w:r>
      <w:r w:rsidRPr="004700A9">
        <w:rPr>
          <w:rFonts w:asciiTheme="minorHAnsi" w:hAnsiTheme="minorHAnsi" w:cstheme="minorHAnsi"/>
          <w:sz w:val="22"/>
          <w:szCs w:val="22"/>
        </w:rPr>
        <w:t xml:space="preserve"> </w:t>
      </w:r>
      <w:r w:rsidRPr="00740290">
        <w:rPr>
          <w:rFonts w:asciiTheme="minorHAnsi" w:hAnsiTheme="minorHAnsi" w:cstheme="minorHAnsi"/>
          <w:sz w:val="22"/>
          <w:szCs w:val="22"/>
        </w:rPr>
        <w:t>the Solomon Islands Government</w:t>
      </w:r>
      <w:r>
        <w:rPr>
          <w:rFonts w:asciiTheme="minorHAnsi" w:hAnsiTheme="minorHAnsi" w:cstheme="minorHAnsi"/>
          <w:sz w:val="22"/>
          <w:szCs w:val="22"/>
        </w:rPr>
        <w:t xml:space="preserve">’s </w:t>
      </w:r>
      <w:r w:rsidRPr="004700A9">
        <w:rPr>
          <w:rFonts w:asciiTheme="minorHAnsi" w:hAnsiTheme="minorHAnsi" w:cstheme="minorHAnsi"/>
          <w:sz w:val="22"/>
          <w:szCs w:val="22"/>
        </w:rPr>
        <w:t>budgeting and procurement processes</w:t>
      </w:r>
      <w:r>
        <w:rPr>
          <w:rFonts w:asciiTheme="minorHAnsi" w:hAnsiTheme="minorHAnsi" w:cstheme="minorHAnsi"/>
          <w:sz w:val="22"/>
          <w:szCs w:val="22"/>
        </w:rPr>
        <w:t xml:space="preserve"> and its practical application in justice and corrections</w:t>
      </w:r>
      <w:r w:rsidRPr="004700A9">
        <w:rPr>
          <w:rFonts w:asciiTheme="minorHAnsi" w:hAnsiTheme="minorHAnsi" w:cstheme="minorHAnsi"/>
          <w:sz w:val="22"/>
          <w:szCs w:val="22"/>
        </w:rPr>
        <w:t>.</w:t>
      </w:r>
      <w:r>
        <w:rPr>
          <w:rFonts w:asciiTheme="minorHAnsi" w:hAnsiTheme="minorHAnsi" w:cstheme="minorHAnsi"/>
          <w:sz w:val="22"/>
          <w:szCs w:val="22"/>
        </w:rPr>
        <w:t xml:space="preserve"> This area is weak and will require continued support going forward. Ensuring continued maintenance of Australian funded investments (through RAMSI) in infrastructure is an important feature</w:t>
      </w:r>
      <w:r w:rsidRPr="004700A9">
        <w:rPr>
          <w:rFonts w:asciiTheme="minorHAnsi" w:hAnsiTheme="minorHAnsi" w:cstheme="minorHAnsi"/>
          <w:sz w:val="22"/>
          <w:szCs w:val="22"/>
        </w:rPr>
        <w:t>.</w:t>
      </w:r>
    </w:p>
    <w:p w:rsidR="000520E1" w:rsidRDefault="000520E1" w:rsidP="000520E1">
      <w:pPr>
        <w:pStyle w:val="ListBullet"/>
        <w:numPr>
          <w:ilvl w:val="0"/>
          <w:numId w:val="0"/>
        </w:numPr>
        <w:tabs>
          <w:tab w:val="clear" w:pos="284"/>
        </w:tabs>
        <w:spacing w:line="240" w:lineRule="auto"/>
        <w:rPr>
          <w:rFonts w:asciiTheme="minorHAnsi" w:hAnsiTheme="minorHAnsi" w:cstheme="minorHAnsi"/>
          <w:sz w:val="22"/>
          <w:szCs w:val="22"/>
        </w:rPr>
      </w:pPr>
      <w:r w:rsidRPr="004700A9">
        <w:rPr>
          <w:rFonts w:asciiTheme="minorHAnsi" w:hAnsiTheme="minorHAnsi" w:cstheme="minorHAnsi"/>
          <w:sz w:val="22"/>
          <w:szCs w:val="22"/>
        </w:rPr>
        <w:t xml:space="preserve">An investigation into </w:t>
      </w:r>
      <w:r>
        <w:rPr>
          <w:rFonts w:asciiTheme="minorHAnsi" w:hAnsiTheme="minorHAnsi" w:cstheme="minorHAnsi"/>
          <w:sz w:val="22"/>
          <w:szCs w:val="22"/>
        </w:rPr>
        <w:t>Correctional Services Solomon Islands’ (CSSI)</w:t>
      </w:r>
      <w:r w:rsidRPr="004700A9">
        <w:rPr>
          <w:rFonts w:asciiTheme="minorHAnsi" w:hAnsiTheme="minorHAnsi" w:cstheme="minorHAnsi"/>
          <w:sz w:val="22"/>
          <w:szCs w:val="22"/>
        </w:rPr>
        <w:t xml:space="preserve"> procurement practices </w:t>
      </w:r>
      <w:r>
        <w:rPr>
          <w:rFonts w:asciiTheme="minorHAnsi" w:hAnsiTheme="minorHAnsi" w:cstheme="minorHAnsi"/>
          <w:sz w:val="22"/>
          <w:szCs w:val="22"/>
        </w:rPr>
        <w:t xml:space="preserve">in 2013 </w:t>
      </w:r>
      <w:r w:rsidRPr="004700A9">
        <w:rPr>
          <w:rFonts w:asciiTheme="minorHAnsi" w:hAnsiTheme="minorHAnsi" w:cstheme="minorHAnsi"/>
          <w:sz w:val="22"/>
          <w:szCs w:val="22"/>
        </w:rPr>
        <w:t xml:space="preserve">identified serious flaws </w:t>
      </w:r>
      <w:r>
        <w:rPr>
          <w:rFonts w:asciiTheme="minorHAnsi" w:hAnsiTheme="minorHAnsi" w:cstheme="minorHAnsi"/>
          <w:sz w:val="22"/>
          <w:szCs w:val="22"/>
        </w:rPr>
        <w:t>in applying the SIG procurement rules. This forced</w:t>
      </w:r>
      <w:r w:rsidRPr="004700A9">
        <w:rPr>
          <w:rFonts w:asciiTheme="minorHAnsi" w:hAnsiTheme="minorHAnsi" w:cstheme="minorHAnsi"/>
          <w:sz w:val="22"/>
          <w:szCs w:val="22"/>
        </w:rPr>
        <w:t xml:space="preserve"> a halt on CSSI’s tendering of Australian-funded </w:t>
      </w:r>
      <w:r>
        <w:rPr>
          <w:rFonts w:asciiTheme="minorHAnsi" w:hAnsiTheme="minorHAnsi" w:cstheme="minorHAnsi"/>
          <w:sz w:val="22"/>
          <w:szCs w:val="22"/>
        </w:rPr>
        <w:t>(budget support) projects, causing delays in spending and outcomes for corrections</w:t>
      </w:r>
      <w:r w:rsidRPr="004700A9">
        <w:rPr>
          <w:rFonts w:asciiTheme="minorHAnsi" w:hAnsiTheme="minorHAnsi" w:cstheme="minorHAnsi"/>
          <w:sz w:val="22"/>
          <w:szCs w:val="22"/>
        </w:rPr>
        <w:t xml:space="preserve">. It is anticipated that tenders for budget support activities will recommence in 2014. This is a positive sign </w:t>
      </w:r>
      <w:r>
        <w:rPr>
          <w:rFonts w:asciiTheme="minorHAnsi" w:hAnsiTheme="minorHAnsi" w:cstheme="minorHAnsi"/>
          <w:sz w:val="22"/>
          <w:szCs w:val="22"/>
        </w:rPr>
        <w:t xml:space="preserve">by investing in direct </w:t>
      </w:r>
      <w:r w:rsidRPr="004700A9">
        <w:rPr>
          <w:rFonts w:asciiTheme="minorHAnsi" w:hAnsiTheme="minorHAnsi" w:cstheme="minorHAnsi"/>
          <w:sz w:val="22"/>
          <w:szCs w:val="22"/>
        </w:rPr>
        <w:t xml:space="preserve">budget support  </w:t>
      </w:r>
      <w:r w:rsidRPr="00740290">
        <w:rPr>
          <w:rFonts w:asciiTheme="minorHAnsi" w:hAnsiTheme="minorHAnsi" w:cstheme="minorHAnsi"/>
          <w:sz w:val="22"/>
          <w:szCs w:val="22"/>
        </w:rPr>
        <w:t xml:space="preserve">Solomon Islands Government </w:t>
      </w:r>
      <w:r w:rsidRPr="004700A9">
        <w:rPr>
          <w:rFonts w:asciiTheme="minorHAnsi" w:hAnsiTheme="minorHAnsi" w:cstheme="minorHAnsi"/>
          <w:sz w:val="22"/>
          <w:szCs w:val="22"/>
        </w:rPr>
        <w:t>systems</w:t>
      </w:r>
      <w:r>
        <w:rPr>
          <w:rFonts w:asciiTheme="minorHAnsi" w:hAnsiTheme="minorHAnsi" w:cstheme="minorHAnsi"/>
          <w:sz w:val="22"/>
          <w:szCs w:val="22"/>
        </w:rPr>
        <w:t xml:space="preserve"> are being strengthened</w:t>
      </w:r>
      <w:r w:rsidRPr="004700A9">
        <w:rPr>
          <w:rFonts w:asciiTheme="minorHAnsi" w:hAnsiTheme="minorHAnsi" w:cstheme="minorHAnsi"/>
          <w:sz w:val="22"/>
          <w:szCs w:val="22"/>
        </w:rPr>
        <w:t xml:space="preserve">. </w:t>
      </w:r>
    </w:p>
    <w:p w:rsidR="000520E1" w:rsidRDefault="000520E1" w:rsidP="000520E1">
      <w:pPr>
        <w:pStyle w:val="ListBullet"/>
        <w:numPr>
          <w:ilvl w:val="0"/>
          <w:numId w:val="0"/>
        </w:numPr>
        <w:tabs>
          <w:tab w:val="clear" w:pos="284"/>
        </w:tabs>
        <w:spacing w:line="240" w:lineRule="auto"/>
        <w:rPr>
          <w:rFonts w:asciiTheme="minorHAnsi" w:hAnsiTheme="minorHAnsi" w:cstheme="minorHAnsi"/>
          <w:sz w:val="22"/>
          <w:szCs w:val="22"/>
        </w:rPr>
      </w:pPr>
      <w:r>
        <w:rPr>
          <w:rFonts w:asciiTheme="minorHAnsi" w:hAnsiTheme="minorHAnsi" w:cstheme="minorHAnsi"/>
          <w:sz w:val="22"/>
          <w:szCs w:val="22"/>
        </w:rPr>
        <w:t>Some progress has been made in relation to policy development in the sector, most notably preparation of a constitutional amendment to allow magistrates to form part of the Executive, and attract higher remuneration accordingly. This is hoped to address challenges in attracting and retaining magistrates. SIG also finalised a policy position for new Parole Board regulations. It is hoped both of these changes are made in 2014.</w:t>
      </w:r>
    </w:p>
    <w:p w:rsidR="004700A9" w:rsidRDefault="000520E1" w:rsidP="004700A9">
      <w:pPr>
        <w:pStyle w:val="ListBullet"/>
        <w:numPr>
          <w:ilvl w:val="0"/>
          <w:numId w:val="0"/>
        </w:numPr>
        <w:tabs>
          <w:tab w:val="clear" w:pos="284"/>
        </w:tabs>
        <w:spacing w:line="240" w:lineRule="auto"/>
        <w:rPr>
          <w:rFonts w:asciiTheme="minorHAnsi" w:hAnsiTheme="minorHAnsi" w:cstheme="minorHAnsi"/>
          <w:sz w:val="22"/>
          <w:szCs w:val="22"/>
        </w:rPr>
      </w:pPr>
      <w:r>
        <w:rPr>
          <w:rFonts w:asciiTheme="minorHAnsi" w:hAnsiTheme="minorHAnsi" w:cstheme="minorHAnsi"/>
          <w:sz w:val="22"/>
          <w:szCs w:val="22"/>
        </w:rPr>
        <w:t>I</w:t>
      </w:r>
      <w:r w:rsidRPr="004700A9">
        <w:rPr>
          <w:rFonts w:asciiTheme="minorHAnsi" w:hAnsiTheme="minorHAnsi" w:cstheme="minorHAnsi"/>
          <w:sz w:val="22"/>
          <w:szCs w:val="22"/>
        </w:rPr>
        <w:t xml:space="preserve">nfrastructure </w:t>
      </w:r>
      <w:r>
        <w:rPr>
          <w:rFonts w:asciiTheme="minorHAnsi" w:hAnsiTheme="minorHAnsi" w:cstheme="minorHAnsi"/>
          <w:sz w:val="22"/>
          <w:szCs w:val="22"/>
        </w:rPr>
        <w:t>in the sector</w:t>
      </w:r>
      <w:r w:rsidRPr="004700A9">
        <w:rPr>
          <w:rFonts w:asciiTheme="minorHAnsi" w:hAnsiTheme="minorHAnsi" w:cstheme="minorHAnsi"/>
          <w:sz w:val="22"/>
          <w:szCs w:val="22"/>
        </w:rPr>
        <w:t xml:space="preserve"> had mixed success in 2013. Major delays to Gizo Correctional Centre resulted from a review of the design and the withdrawal of the managing contractor</w:t>
      </w:r>
      <w:r>
        <w:rPr>
          <w:rFonts w:asciiTheme="minorHAnsi" w:hAnsiTheme="minorHAnsi" w:cstheme="minorHAnsi"/>
          <w:sz w:val="22"/>
          <w:szCs w:val="22"/>
        </w:rPr>
        <w:t>, and novation of the contract</w:t>
      </w:r>
      <w:r w:rsidRPr="004700A9">
        <w:rPr>
          <w:rFonts w:asciiTheme="minorHAnsi" w:hAnsiTheme="minorHAnsi" w:cstheme="minorHAnsi"/>
          <w:sz w:val="22"/>
          <w:szCs w:val="22"/>
        </w:rPr>
        <w:t>. There were also difficulties with work at Rove Correction Centre. However, refurbished</w:t>
      </w:r>
      <w:r>
        <w:rPr>
          <w:sz w:val="28"/>
          <w:szCs w:val="28"/>
        </w:rPr>
        <w:t xml:space="preserve"> </w:t>
      </w:r>
      <w:r w:rsidRPr="004700A9">
        <w:rPr>
          <w:rFonts w:asciiTheme="minorHAnsi" w:hAnsiTheme="minorHAnsi" w:cstheme="minorHAnsi"/>
          <w:sz w:val="22"/>
          <w:szCs w:val="22"/>
        </w:rPr>
        <w:t xml:space="preserve">correction centres in Lata and Kirakira opened in 2013 and a number of smaller works commenced under RAMSI were completed. </w:t>
      </w:r>
    </w:p>
    <w:bookmarkEnd w:id="3"/>
    <w:bookmarkEnd w:id="4"/>
    <w:p w:rsidR="00281B85" w:rsidRPr="00D92B41" w:rsidRDefault="00281B85" w:rsidP="00121815">
      <w:pPr>
        <w:pStyle w:val="Heading4"/>
      </w:pPr>
      <w:r w:rsidRPr="00D92B41">
        <w:t>Gender equality</w:t>
      </w:r>
    </w:p>
    <w:p w:rsidR="00281B85" w:rsidRPr="00D92B41" w:rsidRDefault="00281B85" w:rsidP="00281B85">
      <w:pPr>
        <w:tabs>
          <w:tab w:val="left" w:pos="227"/>
        </w:tabs>
        <w:spacing w:after="120"/>
        <w:rPr>
          <w:rFonts w:asciiTheme="minorHAnsi" w:hAnsiTheme="minorHAnsi" w:cstheme="minorHAnsi"/>
          <w:sz w:val="22"/>
          <w:szCs w:val="22"/>
        </w:rPr>
      </w:pPr>
      <w:r w:rsidRPr="00D92B41">
        <w:rPr>
          <w:rFonts w:asciiTheme="minorHAnsi" w:hAnsiTheme="minorHAnsi" w:cstheme="minorHAnsi"/>
          <w:sz w:val="22"/>
          <w:szCs w:val="22"/>
        </w:rPr>
        <w:t xml:space="preserve">In 2012, Australia launched the </w:t>
      </w:r>
      <w:r w:rsidRPr="00D92B41">
        <w:rPr>
          <w:rFonts w:asciiTheme="minorHAnsi" w:hAnsiTheme="minorHAnsi" w:cstheme="minorHAnsi"/>
          <w:i/>
          <w:sz w:val="22"/>
          <w:szCs w:val="22"/>
        </w:rPr>
        <w:t>Pacific Women Shaping Pacific Development Initiative</w:t>
      </w:r>
      <w:r w:rsidRPr="00D92B41">
        <w:rPr>
          <w:rFonts w:asciiTheme="minorHAnsi" w:hAnsiTheme="minorHAnsi" w:cstheme="minorHAnsi"/>
          <w:sz w:val="22"/>
          <w:szCs w:val="22"/>
        </w:rPr>
        <w:t xml:space="preserve">, which commits $34.8 million over 10 years to activities in Solomon Islands. The initiative focuses on building the capacity of </w:t>
      </w:r>
      <w:r w:rsidR="00F413E6">
        <w:rPr>
          <w:rFonts w:asciiTheme="minorHAnsi" w:hAnsiTheme="minorHAnsi" w:cstheme="minorHAnsi"/>
          <w:sz w:val="22"/>
          <w:szCs w:val="22"/>
        </w:rPr>
        <w:t>Solomon Islands Government</w:t>
      </w:r>
      <w:r w:rsidRPr="00D92B41">
        <w:rPr>
          <w:rFonts w:asciiTheme="minorHAnsi" w:hAnsiTheme="minorHAnsi" w:cstheme="minorHAnsi"/>
          <w:sz w:val="22"/>
          <w:szCs w:val="22"/>
        </w:rPr>
        <w:t xml:space="preserve"> agencies and community organisations to advocate for and implement activities that prevent family violence, improve economic livelihoods for women and promote leadership opportunities.</w:t>
      </w:r>
      <w:r w:rsidR="000E71B2">
        <w:rPr>
          <w:rFonts w:asciiTheme="minorHAnsi" w:hAnsiTheme="minorHAnsi" w:cstheme="minorHAnsi"/>
          <w:sz w:val="22"/>
          <w:szCs w:val="22"/>
        </w:rPr>
        <w:t xml:space="preserve"> The majority of this support will come through gender mainstreaming in </w:t>
      </w:r>
      <w:r w:rsidR="003A76C3">
        <w:rPr>
          <w:rFonts w:asciiTheme="minorHAnsi" w:hAnsiTheme="minorHAnsi" w:cstheme="minorHAnsi"/>
          <w:sz w:val="22"/>
          <w:szCs w:val="22"/>
        </w:rPr>
        <w:t>Australia’s</w:t>
      </w:r>
      <w:r w:rsidR="000E71B2">
        <w:rPr>
          <w:rFonts w:asciiTheme="minorHAnsi" w:hAnsiTheme="minorHAnsi" w:cstheme="minorHAnsi"/>
          <w:sz w:val="22"/>
          <w:szCs w:val="22"/>
        </w:rPr>
        <w:t xml:space="preserve"> significant investments in sectoral areas, particularly human development.</w:t>
      </w:r>
    </w:p>
    <w:p w:rsidR="00281B85" w:rsidRPr="00D92B41" w:rsidRDefault="004A4F05" w:rsidP="00281B85">
      <w:pPr>
        <w:tabs>
          <w:tab w:val="left" w:pos="227"/>
        </w:tabs>
        <w:spacing w:after="120"/>
        <w:rPr>
          <w:rFonts w:asciiTheme="minorHAnsi" w:hAnsiTheme="minorHAnsi" w:cstheme="minorHAnsi"/>
          <w:sz w:val="22"/>
          <w:szCs w:val="22"/>
        </w:rPr>
      </w:pPr>
      <w:r>
        <w:rPr>
          <w:rFonts w:asciiTheme="minorHAnsi" w:hAnsiTheme="minorHAnsi" w:cstheme="minorHAnsi"/>
          <w:sz w:val="22"/>
          <w:szCs w:val="22"/>
        </w:rPr>
        <w:t>Australia</w:t>
      </w:r>
      <w:r w:rsidR="00281B85" w:rsidRPr="00D92B41">
        <w:rPr>
          <w:rFonts w:asciiTheme="minorHAnsi" w:hAnsiTheme="minorHAnsi" w:cstheme="minorHAnsi"/>
          <w:sz w:val="22"/>
          <w:szCs w:val="22"/>
        </w:rPr>
        <w:t xml:space="preserve"> has </w:t>
      </w:r>
      <w:r w:rsidRPr="00D92B41">
        <w:rPr>
          <w:rFonts w:asciiTheme="minorHAnsi" w:hAnsiTheme="minorHAnsi" w:cstheme="minorHAnsi"/>
          <w:sz w:val="22"/>
          <w:szCs w:val="22"/>
        </w:rPr>
        <w:t xml:space="preserve">provided technical assistance to </w:t>
      </w:r>
      <w:r w:rsidR="00281B85" w:rsidRPr="00D92B41">
        <w:rPr>
          <w:rFonts w:asciiTheme="minorHAnsi" w:hAnsiTheme="minorHAnsi" w:cstheme="minorHAnsi"/>
          <w:sz w:val="22"/>
          <w:szCs w:val="22"/>
        </w:rPr>
        <w:t>the Ministry of Women, You</w:t>
      </w:r>
      <w:r w:rsidR="00A210A4">
        <w:rPr>
          <w:rFonts w:asciiTheme="minorHAnsi" w:hAnsiTheme="minorHAnsi" w:cstheme="minorHAnsi"/>
          <w:sz w:val="22"/>
          <w:szCs w:val="22"/>
        </w:rPr>
        <w:t>th, Children and Family Affairs</w:t>
      </w:r>
      <w:r w:rsidR="00281B85" w:rsidRPr="00D92B41">
        <w:rPr>
          <w:rFonts w:asciiTheme="minorHAnsi" w:hAnsiTheme="minorHAnsi" w:cstheme="minorHAnsi"/>
          <w:sz w:val="22"/>
          <w:szCs w:val="22"/>
        </w:rPr>
        <w:t xml:space="preserve"> </w:t>
      </w:r>
      <w:r>
        <w:rPr>
          <w:rFonts w:asciiTheme="minorHAnsi" w:hAnsiTheme="minorHAnsi" w:cstheme="minorHAnsi"/>
          <w:sz w:val="22"/>
          <w:szCs w:val="22"/>
        </w:rPr>
        <w:t>to</w:t>
      </w:r>
      <w:r w:rsidR="00281B85" w:rsidRPr="00D92B41">
        <w:rPr>
          <w:rFonts w:asciiTheme="minorHAnsi" w:hAnsiTheme="minorHAnsi" w:cstheme="minorHAnsi"/>
          <w:sz w:val="22"/>
          <w:szCs w:val="22"/>
        </w:rPr>
        <w:t xml:space="preserve"> finalise a National Strategy for the Economic Empowerment of Women. The program is working with select ministries to assist Permanent Secretaries to meet the gender targets in their newly established performance agreements. Australia supports the Solomon Islands Women in Business Association to promote and foster women’s participation in the private sector and has funded research into the links between the economic empowerment of women and gender</w:t>
      </w:r>
      <w:r w:rsidR="00950DD0">
        <w:rPr>
          <w:rFonts w:asciiTheme="minorHAnsi" w:hAnsiTheme="minorHAnsi" w:cstheme="minorHAnsi"/>
          <w:sz w:val="22"/>
          <w:szCs w:val="22"/>
        </w:rPr>
        <w:t>-</w:t>
      </w:r>
      <w:r w:rsidR="00281B85" w:rsidRPr="00D92B41">
        <w:rPr>
          <w:rFonts w:asciiTheme="minorHAnsi" w:hAnsiTheme="minorHAnsi" w:cstheme="minorHAnsi"/>
          <w:sz w:val="22"/>
          <w:szCs w:val="22"/>
        </w:rPr>
        <w:t>based violence. The design for a new community-based program that aims to reduce family violence has been completed and will commence implementation in late 2014.</w:t>
      </w:r>
    </w:p>
    <w:p w:rsidR="00281B85" w:rsidRPr="00D92B41" w:rsidRDefault="00281B85" w:rsidP="00281B85">
      <w:pPr>
        <w:tabs>
          <w:tab w:val="left" w:pos="227"/>
        </w:tabs>
        <w:spacing w:after="120"/>
        <w:rPr>
          <w:rFonts w:asciiTheme="minorHAnsi" w:hAnsiTheme="minorHAnsi" w:cstheme="minorHAnsi"/>
          <w:sz w:val="22"/>
          <w:szCs w:val="22"/>
        </w:rPr>
      </w:pPr>
      <w:r w:rsidRPr="00D92B41">
        <w:rPr>
          <w:rFonts w:asciiTheme="minorHAnsi" w:hAnsiTheme="minorHAnsi" w:cstheme="minorHAnsi"/>
          <w:sz w:val="22"/>
          <w:szCs w:val="22"/>
        </w:rPr>
        <w:t xml:space="preserve">The Channels of Hope for Gender program is now being implemented by World Vision in 30 communities in the Weather Coast and Temotu Province. The program has begun training community and faith-based leaders who will </w:t>
      </w:r>
      <w:r w:rsidR="00274A7C">
        <w:rPr>
          <w:rFonts w:asciiTheme="minorHAnsi" w:hAnsiTheme="minorHAnsi" w:cstheme="minorHAnsi"/>
          <w:sz w:val="22"/>
          <w:szCs w:val="22"/>
        </w:rPr>
        <w:t>promote gender equality and stopping the use of violence against women using biblical messages</w:t>
      </w:r>
      <w:r w:rsidRPr="00D92B41">
        <w:rPr>
          <w:rFonts w:asciiTheme="minorHAnsi" w:hAnsiTheme="minorHAnsi" w:cstheme="minorHAnsi"/>
          <w:sz w:val="22"/>
          <w:szCs w:val="22"/>
        </w:rPr>
        <w:t xml:space="preserve">. Some of this training was implemented in partnership with the Royal Solomon Islands Police Force in order to reinforce messages </w:t>
      </w:r>
      <w:r w:rsidR="005B026C">
        <w:rPr>
          <w:rFonts w:asciiTheme="minorHAnsi" w:hAnsiTheme="minorHAnsi" w:cstheme="minorHAnsi"/>
          <w:sz w:val="22"/>
          <w:szCs w:val="22"/>
        </w:rPr>
        <w:t>about</w:t>
      </w:r>
      <w:r w:rsidRPr="00D92B41">
        <w:rPr>
          <w:rFonts w:asciiTheme="minorHAnsi" w:hAnsiTheme="minorHAnsi" w:cstheme="minorHAnsi"/>
          <w:sz w:val="22"/>
          <w:szCs w:val="22"/>
        </w:rPr>
        <w:t xml:space="preserve"> the laws and legal consequences of family violence. </w:t>
      </w:r>
    </w:p>
    <w:p w:rsidR="007F6C44" w:rsidRPr="00814426" w:rsidRDefault="00281B85" w:rsidP="00814426">
      <w:pPr>
        <w:tabs>
          <w:tab w:val="left" w:pos="227"/>
        </w:tabs>
        <w:spacing w:after="120"/>
        <w:rPr>
          <w:rFonts w:asciiTheme="minorHAnsi" w:hAnsiTheme="minorHAnsi" w:cstheme="minorHAnsi"/>
          <w:sz w:val="22"/>
          <w:szCs w:val="22"/>
        </w:rPr>
      </w:pPr>
      <w:r w:rsidRPr="00D92B41">
        <w:rPr>
          <w:rFonts w:asciiTheme="minorHAnsi" w:hAnsiTheme="minorHAnsi" w:cstheme="minorHAnsi"/>
          <w:sz w:val="22"/>
          <w:szCs w:val="22"/>
        </w:rPr>
        <w:lastRenderedPageBreak/>
        <w:t xml:space="preserve">The gender program is investing in </w:t>
      </w:r>
      <w:r w:rsidRPr="00D92B41">
        <w:rPr>
          <w:rFonts w:asciiTheme="minorHAnsi" w:hAnsiTheme="minorHAnsi" w:cstheme="minorHAnsi"/>
          <w:b/>
          <w:sz w:val="22"/>
          <w:szCs w:val="22"/>
        </w:rPr>
        <w:t>monitoring, evaluation and research</w:t>
      </w:r>
      <w:r w:rsidRPr="00D92B41">
        <w:rPr>
          <w:rFonts w:asciiTheme="minorHAnsi" w:hAnsiTheme="minorHAnsi" w:cstheme="minorHAnsi"/>
          <w:sz w:val="22"/>
          <w:szCs w:val="22"/>
        </w:rPr>
        <w:t xml:space="preserve">. This focus is crucial to documenting lessons learnt and informing </w:t>
      </w:r>
      <w:r w:rsidR="003A76C3">
        <w:rPr>
          <w:rFonts w:asciiTheme="minorHAnsi" w:hAnsiTheme="minorHAnsi" w:cstheme="minorHAnsi"/>
          <w:sz w:val="22"/>
          <w:szCs w:val="22"/>
        </w:rPr>
        <w:t>Australia’s</w:t>
      </w:r>
      <w:r w:rsidRPr="00D92B41">
        <w:rPr>
          <w:rFonts w:asciiTheme="minorHAnsi" w:hAnsiTheme="minorHAnsi" w:cstheme="minorHAnsi"/>
          <w:sz w:val="22"/>
          <w:szCs w:val="22"/>
        </w:rPr>
        <w:t xml:space="preserve"> future programming. Opportunities for cross-learning with other programs, especially community-based activities, are being harnessed.</w:t>
      </w:r>
    </w:p>
    <w:p w:rsidR="00BC765A" w:rsidRPr="00D82A58" w:rsidRDefault="00BC765A" w:rsidP="00121815">
      <w:pPr>
        <w:pStyle w:val="Heading3"/>
      </w:pPr>
      <w:r>
        <w:t xml:space="preserve">RAMSI - </w:t>
      </w:r>
      <w:r w:rsidRPr="00D82A58">
        <w:t>Participating Police Force</w:t>
      </w:r>
    </w:p>
    <w:p w:rsidR="00BC765A" w:rsidRPr="00B47DE9" w:rsidRDefault="00BC765A" w:rsidP="00831DC0">
      <w:pPr>
        <w:spacing w:after="160" w:line="280" w:lineRule="exact"/>
        <w:rPr>
          <w:rFonts w:ascii="Calibri" w:eastAsia="Times New Roman" w:hAnsi="Calibri" w:cs="Calibri"/>
          <w:sz w:val="22"/>
          <w:szCs w:val="22"/>
        </w:rPr>
      </w:pPr>
      <w:r w:rsidRPr="00B47DE9">
        <w:rPr>
          <w:rFonts w:ascii="Calibri" w:eastAsia="Times New Roman" w:hAnsi="Calibri" w:cs="Calibri"/>
          <w:sz w:val="22"/>
          <w:szCs w:val="22"/>
        </w:rPr>
        <w:t xml:space="preserve">DFAT works in close partnership with the Australian Federal Police (AFP) which provides support through the RAMSI Participating Police Force (PPF). 2013 saw the signing of the </w:t>
      </w:r>
      <w:r w:rsidRPr="00B47DE9">
        <w:rPr>
          <w:rFonts w:ascii="Calibri" w:eastAsia="Times New Roman" w:hAnsi="Calibri" w:cs="Calibri"/>
          <w:i/>
          <w:sz w:val="22"/>
          <w:szCs w:val="22"/>
        </w:rPr>
        <w:t>RAMSI PPF Drawdown Strategy 2013</w:t>
      </w:r>
      <w:r w:rsidRPr="00B47DE9">
        <w:rPr>
          <w:rFonts w:ascii="Calibri" w:eastAsia="Times New Roman" w:hAnsi="Calibri" w:cs="Calibri"/>
          <w:i/>
          <w:sz w:val="22"/>
          <w:szCs w:val="22"/>
        </w:rPr>
        <w:noBreakHyphen/>
        <w:t>17</w:t>
      </w:r>
      <w:r w:rsidRPr="00B47DE9">
        <w:rPr>
          <w:rFonts w:ascii="Calibri" w:eastAsia="Times New Roman" w:hAnsi="Calibri" w:cs="Calibri"/>
          <w:sz w:val="22"/>
          <w:szCs w:val="22"/>
        </w:rPr>
        <w:t xml:space="preserve"> which articulates RAMSI’s activities and performance targets, in line with the Mission’s transition to a primary focus on indigenous policing capacity development. The Strategy also outlines RAMSI’s incremental draw down of activities through to 2016-17.  </w:t>
      </w:r>
    </w:p>
    <w:p w:rsidR="00BC765A" w:rsidRPr="00B47DE9" w:rsidRDefault="00BC765A" w:rsidP="00831DC0">
      <w:pPr>
        <w:spacing w:after="160" w:line="280" w:lineRule="exact"/>
        <w:rPr>
          <w:rFonts w:ascii="Calibri" w:eastAsia="Times New Roman" w:hAnsi="Calibri" w:cs="Calibri"/>
          <w:sz w:val="22"/>
          <w:szCs w:val="22"/>
        </w:rPr>
      </w:pPr>
      <w:r w:rsidRPr="00B47DE9">
        <w:rPr>
          <w:rFonts w:ascii="Calibri" w:eastAsia="Times New Roman" w:hAnsi="Calibri" w:cs="Calibri"/>
          <w:sz w:val="22"/>
          <w:szCs w:val="22"/>
        </w:rPr>
        <w:t xml:space="preserve">The RSIPF is now leading frontline policing activities with limited PPF support, consistent with its increased capabilities and the Drawdown Strategy. As part of this, the PPF has withdrawn from all but two provincial posts. In 2013, the reported crime rate increased three per cent from 2012 levels, although this may not be indicative of an actual increase in crime but a result of better data collection and increased detection rates by RSIPF. </w:t>
      </w:r>
    </w:p>
    <w:p w:rsidR="00BC765A" w:rsidRPr="00B47DE9" w:rsidRDefault="00BC765A" w:rsidP="00831DC0">
      <w:pPr>
        <w:spacing w:after="120"/>
        <w:jc w:val="both"/>
        <w:rPr>
          <w:rFonts w:eastAsia="Times New Roman"/>
          <w:sz w:val="22"/>
        </w:rPr>
      </w:pPr>
      <w:r w:rsidRPr="00B47DE9">
        <w:rPr>
          <w:rFonts w:ascii="Calibri" w:eastAsia="Times New Roman" w:hAnsi="Calibri" w:cs="Calibri"/>
          <w:sz w:val="22"/>
          <w:szCs w:val="22"/>
        </w:rPr>
        <w:t xml:space="preserve">Solomon Islands Government approving preparatory work for the limited reintroduction of firearms into the RSIPF in October 2013 was a major </w:t>
      </w:r>
      <w:r w:rsidRPr="00B47DE9">
        <w:rPr>
          <w:rFonts w:ascii="Calibri" w:eastAsia="Times New Roman" w:hAnsi="Calibri" w:cs="Calibri"/>
          <w:b/>
          <w:sz w:val="22"/>
          <w:szCs w:val="22"/>
        </w:rPr>
        <w:t xml:space="preserve">achievement. </w:t>
      </w:r>
      <w:r w:rsidRPr="00B47DE9">
        <w:rPr>
          <w:rFonts w:ascii="Calibri" w:eastAsia="Times New Roman" w:hAnsi="Calibri" w:cs="Calibri"/>
          <w:sz w:val="22"/>
          <w:szCs w:val="22"/>
        </w:rPr>
        <w:t>Actual</w:t>
      </w:r>
      <w:r w:rsidRPr="00B47DE9">
        <w:rPr>
          <w:rFonts w:ascii="Calibri" w:eastAsia="Times New Roman" w:hAnsi="Calibri" w:cs="Calibri"/>
          <w:sz w:val="22"/>
        </w:rPr>
        <w:t xml:space="preserve"> rearmament is not expected to occur until 2015 at the earliest and will require further consideration and agreement by </w:t>
      </w:r>
      <w:r w:rsidR="00740290">
        <w:rPr>
          <w:rFonts w:ascii="Calibri" w:eastAsia="Times New Roman" w:hAnsi="Calibri" w:cs="Calibri"/>
          <w:sz w:val="22"/>
        </w:rPr>
        <w:t>the Solomon Islands Government</w:t>
      </w:r>
      <w:r w:rsidRPr="00B47DE9">
        <w:rPr>
          <w:rFonts w:ascii="Calibri" w:eastAsia="Times New Roman" w:hAnsi="Calibri" w:cs="Calibri"/>
          <w:sz w:val="22"/>
        </w:rPr>
        <w:t xml:space="preserve"> to proceed.</w:t>
      </w:r>
      <w:r w:rsidRPr="00B47DE9">
        <w:rPr>
          <w:rFonts w:ascii="Calibri" w:eastAsia="Times New Roman" w:hAnsi="Calibri" w:cs="Calibri"/>
          <w:sz w:val="22"/>
          <w:szCs w:val="22"/>
        </w:rPr>
        <w:t xml:space="preserve"> In addition during 2013-14, RSIPF have managed operational planning and coordination of security for major events, assisted with a large-scale search and rescue effort, recaptured high-profile prisoner escapees and successfully responded to</w:t>
      </w:r>
      <w:r w:rsidR="00340D09">
        <w:rPr>
          <w:rFonts w:ascii="Calibri" w:eastAsia="Times New Roman" w:hAnsi="Calibri" w:cs="Calibri"/>
          <w:sz w:val="22"/>
          <w:szCs w:val="22"/>
        </w:rPr>
        <w:t>,</w:t>
      </w:r>
      <w:r w:rsidRPr="00B47DE9">
        <w:rPr>
          <w:rFonts w:ascii="Calibri" w:eastAsia="Times New Roman" w:hAnsi="Calibri" w:cs="Calibri"/>
          <w:sz w:val="22"/>
          <w:szCs w:val="22"/>
        </w:rPr>
        <w:t xml:space="preserve"> and managed</w:t>
      </w:r>
      <w:r w:rsidR="00340D09">
        <w:rPr>
          <w:rFonts w:ascii="Calibri" w:eastAsia="Times New Roman" w:hAnsi="Calibri" w:cs="Calibri"/>
          <w:sz w:val="22"/>
          <w:szCs w:val="22"/>
        </w:rPr>
        <w:t>,</w:t>
      </w:r>
      <w:r w:rsidRPr="00B47DE9">
        <w:rPr>
          <w:rFonts w:ascii="Calibri" w:eastAsia="Times New Roman" w:hAnsi="Calibri" w:cs="Calibri"/>
          <w:sz w:val="22"/>
          <w:szCs w:val="22"/>
        </w:rPr>
        <w:t xml:space="preserve"> public disorder incidents in Honiara.</w:t>
      </w:r>
    </w:p>
    <w:p w:rsidR="00BC765A" w:rsidRPr="00B47DE9" w:rsidRDefault="00BC765A" w:rsidP="00831DC0">
      <w:pPr>
        <w:spacing w:after="160" w:line="280" w:lineRule="exact"/>
        <w:rPr>
          <w:rFonts w:ascii="Calibri" w:eastAsia="Times New Roman" w:hAnsi="Calibri" w:cs="Calibri"/>
          <w:sz w:val="22"/>
          <w:szCs w:val="22"/>
        </w:rPr>
      </w:pPr>
      <w:r w:rsidRPr="00B47DE9">
        <w:rPr>
          <w:rFonts w:ascii="Calibri" w:eastAsia="Times New Roman" w:hAnsi="Calibri" w:cs="Calibri"/>
          <w:sz w:val="22"/>
          <w:szCs w:val="22"/>
        </w:rPr>
        <w:t xml:space="preserve">The main </w:t>
      </w:r>
      <w:r w:rsidRPr="00B47DE9">
        <w:rPr>
          <w:rFonts w:ascii="Calibri" w:eastAsia="Times New Roman" w:hAnsi="Calibri" w:cs="Calibri"/>
          <w:b/>
          <w:sz w:val="22"/>
          <w:szCs w:val="22"/>
        </w:rPr>
        <w:t>factors affecting progress</w:t>
      </w:r>
      <w:r w:rsidRPr="00B47DE9">
        <w:rPr>
          <w:rFonts w:ascii="Calibri" w:eastAsia="Times New Roman" w:hAnsi="Calibri" w:cs="Calibri"/>
          <w:sz w:val="22"/>
          <w:szCs w:val="22"/>
        </w:rPr>
        <w:t xml:space="preserve"> relate to the ability of the RSIPF to meet citizen expectations while struggling with resourcing shortfalls and internal corporate support failings. The reduced footprint of the PPF and an improved monitoring and evaluation framework in 2013 highlighted wider institutional challenges for the RSIPF relating to the cost of policing, logistical support and people management. PPF logistics and human resources advisors continue to provide assistance to the RSIPF to help address these issues. </w:t>
      </w:r>
    </w:p>
    <w:p w:rsidR="00BC765A" w:rsidRPr="00B47DE9" w:rsidRDefault="00BC765A" w:rsidP="00831DC0">
      <w:pPr>
        <w:spacing w:after="160" w:line="280" w:lineRule="exact"/>
        <w:rPr>
          <w:rFonts w:ascii="Calibri" w:eastAsia="Times New Roman" w:hAnsi="Calibri" w:cs="Calibri"/>
          <w:sz w:val="22"/>
          <w:szCs w:val="22"/>
        </w:rPr>
      </w:pPr>
      <w:r w:rsidRPr="00B47DE9">
        <w:rPr>
          <w:rFonts w:ascii="Calibri" w:eastAsia="Times New Roman" w:hAnsi="Calibri" w:cs="Calibri"/>
          <w:sz w:val="22"/>
          <w:szCs w:val="22"/>
        </w:rPr>
        <w:t xml:space="preserve">The PPF has reduced the number of in-line police officers and is focusing on capacity building and promoting local ownership of issues. </w:t>
      </w:r>
      <w:r w:rsidR="00740290" w:rsidRPr="00740290">
        <w:rPr>
          <w:rFonts w:ascii="Calibri" w:eastAsia="Times New Roman" w:hAnsi="Calibri" w:cs="Calibri"/>
          <w:sz w:val="22"/>
          <w:szCs w:val="22"/>
        </w:rPr>
        <w:t xml:space="preserve">Solomon Islands Government </w:t>
      </w:r>
      <w:r w:rsidRPr="00B47DE9">
        <w:rPr>
          <w:rFonts w:ascii="Calibri" w:eastAsia="Times New Roman" w:hAnsi="Calibri" w:cs="Calibri"/>
          <w:sz w:val="22"/>
          <w:szCs w:val="22"/>
        </w:rPr>
        <w:t xml:space="preserve">funding to the RSIPF has increased over the last three years, but still falls short of the level required. The PPF continues to support the RSIPF finance area to engage with </w:t>
      </w:r>
      <w:r w:rsidR="00740290" w:rsidRPr="00740290">
        <w:rPr>
          <w:rFonts w:ascii="Calibri" w:eastAsia="Times New Roman" w:hAnsi="Calibri" w:cs="Calibri"/>
          <w:sz w:val="22"/>
          <w:szCs w:val="22"/>
        </w:rPr>
        <w:t xml:space="preserve">Solomon Islands Government </w:t>
      </w:r>
      <w:r w:rsidRPr="00B47DE9">
        <w:rPr>
          <w:rFonts w:ascii="Calibri" w:eastAsia="Times New Roman" w:hAnsi="Calibri" w:cs="Calibri"/>
          <w:sz w:val="22"/>
          <w:szCs w:val="22"/>
        </w:rPr>
        <w:t xml:space="preserve">budget processes to assist them with securing further funding. Shared funding agreements between RSIPF and the PPF are being used where possible to strengthen systems and ensure transparency over the total cost of RSIPF resources. </w:t>
      </w:r>
    </w:p>
    <w:p w:rsidR="00BC765A" w:rsidRPr="00B47DE9" w:rsidRDefault="00BC765A" w:rsidP="00831DC0">
      <w:pPr>
        <w:spacing w:after="160" w:line="280" w:lineRule="exact"/>
        <w:rPr>
          <w:rFonts w:ascii="Calibri" w:eastAsia="Times New Roman" w:hAnsi="Calibri" w:cs="Calibri"/>
          <w:sz w:val="22"/>
          <w:szCs w:val="22"/>
        </w:rPr>
      </w:pPr>
      <w:r w:rsidRPr="00B47DE9">
        <w:rPr>
          <w:rFonts w:ascii="Calibri" w:eastAsia="Times New Roman" w:hAnsi="Calibri" w:cs="Calibri"/>
          <w:sz w:val="22"/>
          <w:szCs w:val="22"/>
        </w:rPr>
        <w:t xml:space="preserve">The </w:t>
      </w:r>
      <w:r w:rsidRPr="00B47DE9">
        <w:rPr>
          <w:rFonts w:ascii="Calibri" w:eastAsia="Times New Roman" w:hAnsi="Calibri" w:cs="Calibri"/>
          <w:i/>
          <w:sz w:val="22"/>
          <w:szCs w:val="22"/>
        </w:rPr>
        <w:t>Police Act 2013</w:t>
      </w:r>
      <w:r w:rsidRPr="00B47DE9">
        <w:rPr>
          <w:rFonts w:ascii="Calibri" w:eastAsia="Times New Roman" w:hAnsi="Calibri" w:cs="Calibri"/>
          <w:sz w:val="22"/>
          <w:szCs w:val="22"/>
        </w:rPr>
        <w:t xml:space="preserve"> and the Police Regulations were gazetted and formally launched by </w:t>
      </w:r>
      <w:r w:rsidR="00740290" w:rsidRPr="00740290">
        <w:rPr>
          <w:rFonts w:ascii="Calibri" w:eastAsia="Times New Roman" w:hAnsi="Calibri" w:cs="Calibri"/>
          <w:sz w:val="22"/>
          <w:szCs w:val="22"/>
        </w:rPr>
        <w:t xml:space="preserve">the Solomon Islands Government </w:t>
      </w:r>
      <w:r w:rsidRPr="00B47DE9">
        <w:rPr>
          <w:rFonts w:ascii="Calibri" w:eastAsia="Times New Roman" w:hAnsi="Calibri" w:cs="Calibri"/>
          <w:sz w:val="22"/>
          <w:szCs w:val="22"/>
        </w:rPr>
        <w:t xml:space="preserve">in March 2014. They provide a sustainable foundation to support the RSIPF in strengthening its operational capacity to maintain law and order, and ensure community safety. </w:t>
      </w:r>
    </w:p>
    <w:p w:rsidR="00F131F0" w:rsidRPr="00F131F0" w:rsidRDefault="00BC765A" w:rsidP="00F131F0">
      <w:pPr>
        <w:pStyle w:val="ListBullet"/>
        <w:numPr>
          <w:ilvl w:val="0"/>
          <w:numId w:val="0"/>
        </w:numPr>
        <w:tabs>
          <w:tab w:val="clear" w:pos="284"/>
        </w:tabs>
        <w:rPr>
          <w:rFonts w:asciiTheme="minorHAnsi" w:eastAsia="SimSun" w:hAnsiTheme="minorHAnsi" w:cstheme="minorHAnsi"/>
          <w:sz w:val="22"/>
          <w:szCs w:val="22"/>
        </w:rPr>
      </w:pPr>
      <w:r w:rsidRPr="00F131F0">
        <w:rPr>
          <w:rFonts w:asciiTheme="minorHAnsi" w:eastAsia="SimSun" w:hAnsiTheme="minorHAnsi" w:cstheme="minorHAnsi"/>
          <w:sz w:val="22"/>
          <w:szCs w:val="22"/>
        </w:rPr>
        <w:t>The PPF promote</w:t>
      </w:r>
      <w:r w:rsidR="00340D09" w:rsidRPr="00F131F0">
        <w:rPr>
          <w:rFonts w:asciiTheme="minorHAnsi" w:eastAsia="SimSun" w:hAnsiTheme="minorHAnsi" w:cstheme="minorHAnsi"/>
          <w:sz w:val="22"/>
          <w:szCs w:val="22"/>
        </w:rPr>
        <w:t>s</w:t>
      </w:r>
      <w:r w:rsidRPr="00F131F0">
        <w:rPr>
          <w:rFonts w:asciiTheme="minorHAnsi" w:eastAsia="SimSun" w:hAnsiTheme="minorHAnsi" w:cstheme="minorHAnsi"/>
          <w:sz w:val="22"/>
          <w:szCs w:val="22"/>
        </w:rPr>
        <w:t xml:space="preserve"> gender equality on a number of fronts including advocacy, social mobilisation, and behavioural change. Specific examples include the undertaking of widespread community awareness programs (including remote locations) on relevant legislation and policies by the Family Violence and Community Policing units and assisting with the drafting of the Family Protection Bill</w:t>
      </w:r>
      <w:r w:rsidR="00A210A4" w:rsidRPr="00F131F0">
        <w:rPr>
          <w:rFonts w:asciiTheme="minorHAnsi" w:eastAsia="SimSun" w:hAnsiTheme="minorHAnsi" w:cstheme="minorHAnsi"/>
          <w:sz w:val="22"/>
          <w:szCs w:val="22"/>
        </w:rPr>
        <w:t>–</w:t>
      </w:r>
      <w:r w:rsidRPr="00F131F0">
        <w:rPr>
          <w:rFonts w:asciiTheme="minorHAnsi" w:eastAsia="SimSun" w:hAnsiTheme="minorHAnsi" w:cstheme="minorHAnsi"/>
          <w:sz w:val="22"/>
          <w:szCs w:val="22"/>
        </w:rPr>
        <w:t>currently before the Solomon Islands Parliament.</w:t>
      </w:r>
    </w:p>
    <w:p w:rsidR="00F12CD7" w:rsidRPr="00D92B41" w:rsidRDefault="00F12CD7" w:rsidP="00121815">
      <w:pPr>
        <w:pStyle w:val="Heading3"/>
        <w:rPr>
          <w:rStyle w:val="BodyTextChar"/>
          <w:rFonts w:asciiTheme="minorHAnsi" w:hAnsiTheme="minorHAnsi" w:cstheme="minorHAnsi"/>
          <w:b w:val="0"/>
          <w:color w:val="auto"/>
          <w:sz w:val="22"/>
          <w:szCs w:val="22"/>
        </w:rPr>
      </w:pPr>
      <w:r w:rsidRPr="00D92B41">
        <w:t>Mutual Obligations</w:t>
      </w:r>
      <w:r w:rsidRPr="00D92B41">
        <w:tab/>
      </w:r>
      <w:r w:rsidRPr="00D92B41">
        <w:tab/>
      </w:r>
      <w:r w:rsidRPr="00D92B41">
        <w:tab/>
      </w:r>
      <w:r w:rsidRPr="00D92B41">
        <w:tab/>
      </w:r>
    </w:p>
    <w:p w:rsidR="0094332B" w:rsidRPr="0094332B" w:rsidRDefault="0094332B" w:rsidP="0094332B">
      <w:pPr>
        <w:pStyle w:val="ListBullet"/>
        <w:numPr>
          <w:ilvl w:val="0"/>
          <w:numId w:val="0"/>
        </w:numPr>
        <w:tabs>
          <w:tab w:val="clear" w:pos="284"/>
        </w:tabs>
        <w:rPr>
          <w:rFonts w:asciiTheme="minorHAnsi" w:eastAsia="SimSun" w:hAnsiTheme="minorHAnsi" w:cstheme="minorHAnsi"/>
          <w:sz w:val="22"/>
          <w:szCs w:val="22"/>
        </w:rPr>
      </w:pPr>
      <w:r w:rsidRPr="0094332B">
        <w:rPr>
          <w:rFonts w:asciiTheme="minorHAnsi" w:eastAsia="SimSun" w:hAnsiTheme="minorHAnsi" w:cstheme="minorHAnsi"/>
          <w:sz w:val="22"/>
          <w:szCs w:val="22"/>
        </w:rPr>
        <w:t xml:space="preserve">Solomon Islands Government has made </w:t>
      </w:r>
      <w:r w:rsidR="00274A7C">
        <w:rPr>
          <w:rFonts w:asciiTheme="minorHAnsi" w:eastAsia="SimSun" w:hAnsiTheme="minorHAnsi" w:cstheme="minorHAnsi"/>
          <w:sz w:val="22"/>
          <w:szCs w:val="22"/>
        </w:rPr>
        <w:t>credible</w:t>
      </w:r>
      <w:r w:rsidRPr="0094332B">
        <w:rPr>
          <w:rFonts w:asciiTheme="minorHAnsi" w:eastAsia="SimSun" w:hAnsiTheme="minorHAnsi" w:cstheme="minorHAnsi"/>
          <w:sz w:val="22"/>
          <w:szCs w:val="22"/>
        </w:rPr>
        <w:t xml:space="preserve"> progress in strengthening the environment for effective aid delivery and expenditure management</w:t>
      </w:r>
      <w:r w:rsidR="00B26AB2">
        <w:rPr>
          <w:rFonts w:asciiTheme="minorHAnsi" w:eastAsia="SimSun" w:hAnsiTheme="minorHAnsi" w:cstheme="minorHAnsi"/>
          <w:sz w:val="22"/>
          <w:szCs w:val="22"/>
        </w:rPr>
        <w:t xml:space="preserve"> in a difficult context</w:t>
      </w:r>
      <w:r w:rsidRPr="0094332B">
        <w:rPr>
          <w:rFonts w:asciiTheme="minorHAnsi" w:eastAsia="SimSun" w:hAnsiTheme="minorHAnsi" w:cstheme="minorHAnsi"/>
          <w:sz w:val="22"/>
          <w:szCs w:val="22"/>
        </w:rPr>
        <w:t>.</w:t>
      </w:r>
    </w:p>
    <w:p w:rsidR="00340D09" w:rsidRDefault="00340D09" w:rsidP="00340D09">
      <w:pPr>
        <w:pStyle w:val="ListBullet"/>
        <w:numPr>
          <w:ilvl w:val="0"/>
          <w:numId w:val="0"/>
        </w:numPr>
        <w:tabs>
          <w:tab w:val="clear" w:pos="284"/>
        </w:tabs>
        <w:rPr>
          <w:rFonts w:asciiTheme="minorHAnsi" w:eastAsia="SimSun" w:hAnsiTheme="minorHAnsi" w:cstheme="minorHAnsi"/>
          <w:sz w:val="22"/>
          <w:szCs w:val="22"/>
        </w:rPr>
      </w:pPr>
      <w:r>
        <w:rPr>
          <w:rFonts w:asciiTheme="minorHAnsi" w:eastAsia="SimSun" w:hAnsiTheme="minorHAnsi" w:cstheme="minorHAnsi"/>
          <w:sz w:val="22"/>
          <w:szCs w:val="22"/>
        </w:rPr>
        <w:t>S</w:t>
      </w:r>
      <w:r w:rsidR="0094332B" w:rsidRPr="0094332B">
        <w:rPr>
          <w:rFonts w:asciiTheme="minorHAnsi" w:eastAsia="SimSun" w:hAnsiTheme="minorHAnsi" w:cstheme="minorHAnsi"/>
          <w:sz w:val="22"/>
          <w:szCs w:val="22"/>
        </w:rPr>
        <w:t xml:space="preserve">trong </w:t>
      </w:r>
      <w:r w:rsidR="00740290" w:rsidRPr="00740290">
        <w:rPr>
          <w:rFonts w:asciiTheme="minorHAnsi" w:eastAsia="SimSun" w:hAnsiTheme="minorHAnsi" w:cstheme="minorHAnsi"/>
          <w:sz w:val="22"/>
          <w:szCs w:val="22"/>
        </w:rPr>
        <w:t xml:space="preserve">Solomon Islands Government </w:t>
      </w:r>
      <w:r w:rsidR="0094332B" w:rsidRPr="0094332B">
        <w:rPr>
          <w:rFonts w:asciiTheme="minorHAnsi" w:eastAsia="SimSun" w:hAnsiTheme="minorHAnsi" w:cstheme="minorHAnsi"/>
          <w:sz w:val="22"/>
          <w:szCs w:val="22"/>
        </w:rPr>
        <w:t>-donor engagement take</w:t>
      </w:r>
      <w:r w:rsidR="00F01763">
        <w:rPr>
          <w:rFonts w:asciiTheme="minorHAnsi" w:eastAsia="SimSun" w:hAnsiTheme="minorHAnsi" w:cstheme="minorHAnsi"/>
          <w:sz w:val="22"/>
          <w:szCs w:val="22"/>
        </w:rPr>
        <w:t>s</w:t>
      </w:r>
      <w:r w:rsidR="0094332B" w:rsidRPr="0094332B">
        <w:rPr>
          <w:rFonts w:asciiTheme="minorHAnsi" w:eastAsia="SimSun" w:hAnsiTheme="minorHAnsi" w:cstheme="minorHAnsi"/>
          <w:sz w:val="22"/>
          <w:szCs w:val="22"/>
        </w:rPr>
        <w:t xml:space="preserve"> place through the Core Economic Working Group</w:t>
      </w:r>
      <w:r w:rsidR="003373E9">
        <w:rPr>
          <w:rFonts w:asciiTheme="minorHAnsi" w:eastAsia="SimSun" w:hAnsiTheme="minorHAnsi" w:cstheme="minorHAnsi"/>
          <w:sz w:val="22"/>
          <w:szCs w:val="22"/>
        </w:rPr>
        <w:t xml:space="preserve"> (CEWG)</w:t>
      </w:r>
      <w:r w:rsidR="00950DD0">
        <w:rPr>
          <w:rFonts w:asciiTheme="minorHAnsi" w:eastAsia="SimSun" w:hAnsiTheme="minorHAnsi" w:cstheme="minorHAnsi"/>
          <w:sz w:val="22"/>
          <w:szCs w:val="22"/>
        </w:rPr>
        <w:t>. T</w:t>
      </w:r>
      <w:r w:rsidR="003373E9" w:rsidRPr="003373E9">
        <w:rPr>
          <w:rFonts w:asciiTheme="minorHAnsi" w:eastAsia="SimSun" w:hAnsiTheme="minorHAnsi" w:cstheme="minorHAnsi"/>
          <w:sz w:val="22"/>
          <w:szCs w:val="22"/>
        </w:rPr>
        <w:t xml:space="preserve">he Solomon Islands Government </w:t>
      </w:r>
      <w:r w:rsidR="00815F95">
        <w:rPr>
          <w:rFonts w:asciiTheme="minorHAnsi" w:eastAsia="SimSun" w:hAnsiTheme="minorHAnsi" w:cstheme="minorHAnsi"/>
          <w:sz w:val="22"/>
          <w:szCs w:val="22"/>
        </w:rPr>
        <w:t xml:space="preserve">has </w:t>
      </w:r>
      <w:r w:rsidR="0094332B" w:rsidRPr="0094332B">
        <w:rPr>
          <w:rFonts w:asciiTheme="minorHAnsi" w:eastAsia="SimSun" w:hAnsiTheme="minorHAnsi" w:cstheme="minorHAnsi"/>
          <w:sz w:val="22"/>
          <w:szCs w:val="22"/>
        </w:rPr>
        <w:t>approv</w:t>
      </w:r>
      <w:r w:rsidR="00815F95">
        <w:rPr>
          <w:rFonts w:asciiTheme="minorHAnsi" w:eastAsia="SimSun" w:hAnsiTheme="minorHAnsi" w:cstheme="minorHAnsi"/>
          <w:sz w:val="22"/>
          <w:szCs w:val="22"/>
        </w:rPr>
        <w:t>ed</w:t>
      </w:r>
      <w:r w:rsidR="0094332B" w:rsidRPr="0094332B">
        <w:rPr>
          <w:rFonts w:asciiTheme="minorHAnsi" w:eastAsia="SimSun" w:hAnsiTheme="minorHAnsi" w:cstheme="minorHAnsi"/>
          <w:sz w:val="22"/>
          <w:szCs w:val="22"/>
        </w:rPr>
        <w:t xml:space="preserve"> the Public Finance Management Reform Roadmap, publi</w:t>
      </w:r>
      <w:r w:rsidR="00815F95">
        <w:rPr>
          <w:rFonts w:asciiTheme="minorHAnsi" w:eastAsia="SimSun" w:hAnsiTheme="minorHAnsi" w:cstheme="minorHAnsi"/>
          <w:sz w:val="22"/>
          <w:szCs w:val="22"/>
        </w:rPr>
        <w:t>shed</w:t>
      </w:r>
      <w:r w:rsidR="0094332B" w:rsidRPr="0094332B">
        <w:rPr>
          <w:rFonts w:asciiTheme="minorHAnsi" w:eastAsia="SimSun" w:hAnsiTheme="minorHAnsi" w:cstheme="minorHAnsi"/>
          <w:sz w:val="22"/>
          <w:szCs w:val="22"/>
        </w:rPr>
        <w:t xml:space="preserve"> a Budget Outcome Statement and enact</w:t>
      </w:r>
      <w:r w:rsidR="00815F95">
        <w:rPr>
          <w:rFonts w:asciiTheme="minorHAnsi" w:eastAsia="SimSun" w:hAnsiTheme="minorHAnsi" w:cstheme="minorHAnsi"/>
          <w:sz w:val="22"/>
          <w:szCs w:val="22"/>
        </w:rPr>
        <w:t>ed</w:t>
      </w:r>
      <w:r w:rsidR="0094332B" w:rsidRPr="0094332B">
        <w:rPr>
          <w:rFonts w:asciiTheme="minorHAnsi" w:eastAsia="SimSun" w:hAnsiTheme="minorHAnsi" w:cstheme="minorHAnsi"/>
          <w:sz w:val="22"/>
          <w:szCs w:val="22"/>
        </w:rPr>
        <w:t xml:space="preserve"> the Constituency Development Fund Act, with regulations under development. More broadly, </w:t>
      </w:r>
      <w:r w:rsidR="003373E9" w:rsidRPr="003373E9">
        <w:rPr>
          <w:rFonts w:asciiTheme="minorHAnsi" w:eastAsia="SimSun" w:hAnsiTheme="minorHAnsi" w:cstheme="minorHAnsi"/>
          <w:sz w:val="22"/>
          <w:szCs w:val="22"/>
        </w:rPr>
        <w:t xml:space="preserve">Solomon Islands </w:t>
      </w:r>
      <w:r w:rsidR="00F01763">
        <w:rPr>
          <w:rFonts w:asciiTheme="minorHAnsi" w:eastAsia="SimSun" w:hAnsiTheme="minorHAnsi" w:cstheme="minorHAnsi"/>
          <w:sz w:val="22"/>
          <w:szCs w:val="22"/>
        </w:rPr>
        <w:t xml:space="preserve">has </w:t>
      </w:r>
      <w:r w:rsidR="0064380F">
        <w:rPr>
          <w:rFonts w:asciiTheme="minorHAnsi" w:eastAsia="SimSun" w:hAnsiTheme="minorHAnsi" w:cstheme="minorHAnsi"/>
          <w:sz w:val="22"/>
          <w:szCs w:val="22"/>
        </w:rPr>
        <w:t>developed</w:t>
      </w:r>
      <w:r w:rsidR="00815F95">
        <w:rPr>
          <w:rFonts w:asciiTheme="minorHAnsi" w:eastAsia="SimSun" w:hAnsiTheme="minorHAnsi" w:cstheme="minorHAnsi"/>
          <w:sz w:val="22"/>
          <w:szCs w:val="22"/>
        </w:rPr>
        <w:t xml:space="preserve"> </w:t>
      </w:r>
      <w:r w:rsidR="0064380F">
        <w:rPr>
          <w:rFonts w:asciiTheme="minorHAnsi" w:eastAsia="SimSun" w:hAnsiTheme="minorHAnsi" w:cstheme="minorHAnsi"/>
          <w:sz w:val="22"/>
          <w:szCs w:val="22"/>
        </w:rPr>
        <w:t xml:space="preserve">a </w:t>
      </w:r>
      <w:r w:rsidR="0094332B" w:rsidRPr="0094332B">
        <w:rPr>
          <w:rFonts w:asciiTheme="minorHAnsi" w:eastAsia="SimSun" w:hAnsiTheme="minorHAnsi" w:cstheme="minorHAnsi"/>
          <w:sz w:val="22"/>
          <w:szCs w:val="22"/>
        </w:rPr>
        <w:t>Medium Term Development Plan to complement the National Development Strategy</w:t>
      </w:r>
      <w:r w:rsidR="0064380F">
        <w:rPr>
          <w:rFonts w:asciiTheme="minorHAnsi" w:eastAsia="SimSun" w:hAnsiTheme="minorHAnsi" w:cstheme="minorHAnsi"/>
          <w:sz w:val="22"/>
          <w:szCs w:val="22"/>
        </w:rPr>
        <w:t>,</w:t>
      </w:r>
      <w:r w:rsidR="0094332B" w:rsidRPr="0094332B">
        <w:rPr>
          <w:rFonts w:asciiTheme="minorHAnsi" w:eastAsia="SimSun" w:hAnsiTheme="minorHAnsi" w:cstheme="minorHAnsi"/>
          <w:sz w:val="22"/>
          <w:szCs w:val="22"/>
        </w:rPr>
        <w:t xml:space="preserve"> and </w:t>
      </w:r>
      <w:r w:rsidR="00F01763">
        <w:rPr>
          <w:rFonts w:asciiTheme="minorHAnsi" w:eastAsia="SimSun" w:hAnsiTheme="minorHAnsi" w:cstheme="minorHAnsi"/>
          <w:sz w:val="22"/>
          <w:szCs w:val="22"/>
        </w:rPr>
        <w:t>is working</w:t>
      </w:r>
      <w:r w:rsidR="0094332B" w:rsidRPr="0094332B">
        <w:rPr>
          <w:rFonts w:asciiTheme="minorHAnsi" w:eastAsia="SimSun" w:hAnsiTheme="minorHAnsi" w:cstheme="minorHAnsi"/>
          <w:sz w:val="22"/>
          <w:szCs w:val="22"/>
        </w:rPr>
        <w:t xml:space="preserve"> on a National Development Cooperation policy. </w:t>
      </w:r>
    </w:p>
    <w:p w:rsidR="009A3BD3" w:rsidRPr="00340D09" w:rsidRDefault="009A3BD3" w:rsidP="00340D09">
      <w:pPr>
        <w:pStyle w:val="ListBullet"/>
        <w:numPr>
          <w:ilvl w:val="0"/>
          <w:numId w:val="0"/>
        </w:numPr>
        <w:tabs>
          <w:tab w:val="clear" w:pos="284"/>
        </w:tabs>
        <w:rPr>
          <w:rFonts w:asciiTheme="minorHAnsi" w:eastAsia="SimSun" w:hAnsiTheme="minorHAnsi" w:cstheme="minorHAnsi"/>
          <w:sz w:val="22"/>
          <w:szCs w:val="22"/>
        </w:rPr>
      </w:pPr>
      <w:r>
        <w:rPr>
          <w:rFonts w:asciiTheme="minorHAnsi" w:hAnsiTheme="minorHAnsi" w:cstheme="minorHAnsi"/>
          <w:sz w:val="22"/>
          <w:szCs w:val="22"/>
        </w:rPr>
        <w:lastRenderedPageBreak/>
        <w:t xml:space="preserve">Australia and </w:t>
      </w:r>
      <w:r w:rsidR="003373E9" w:rsidRPr="003373E9">
        <w:rPr>
          <w:rFonts w:asciiTheme="minorHAnsi" w:hAnsiTheme="minorHAnsi" w:cstheme="minorHAnsi"/>
          <w:sz w:val="22"/>
          <w:szCs w:val="22"/>
        </w:rPr>
        <w:t xml:space="preserve">Solomon Islands </w:t>
      </w:r>
      <w:r>
        <w:rPr>
          <w:rFonts w:asciiTheme="minorHAnsi" w:hAnsiTheme="minorHAnsi" w:cstheme="minorHAnsi"/>
          <w:sz w:val="22"/>
          <w:szCs w:val="22"/>
        </w:rPr>
        <w:t xml:space="preserve">have formally agreed mutual outcomes in the health, education, transport and governance sectors. </w:t>
      </w:r>
      <w:r w:rsidR="00367214" w:rsidRPr="003A3094">
        <w:rPr>
          <w:rFonts w:asciiTheme="minorHAnsi" w:hAnsiTheme="minorHAnsi" w:cstheme="minorHAnsi"/>
          <w:sz w:val="22"/>
          <w:szCs w:val="22"/>
        </w:rPr>
        <w:t xml:space="preserve">Australia requested </w:t>
      </w:r>
      <w:r w:rsidR="003373E9">
        <w:rPr>
          <w:rFonts w:asciiTheme="minorHAnsi" w:hAnsiTheme="minorHAnsi" w:cstheme="minorHAnsi"/>
          <w:sz w:val="22"/>
          <w:szCs w:val="22"/>
        </w:rPr>
        <w:t>Solomon Islands</w:t>
      </w:r>
      <w:r w:rsidR="00367214" w:rsidRPr="003A3094">
        <w:rPr>
          <w:rFonts w:asciiTheme="minorHAnsi" w:hAnsiTheme="minorHAnsi" w:cstheme="minorHAnsi"/>
          <w:sz w:val="22"/>
          <w:szCs w:val="22"/>
        </w:rPr>
        <w:t xml:space="preserve"> allocate 10</w:t>
      </w:r>
      <w:r w:rsidR="00670871">
        <w:rPr>
          <w:rFonts w:asciiTheme="minorHAnsi" w:hAnsiTheme="minorHAnsi" w:cstheme="minorHAnsi"/>
          <w:sz w:val="22"/>
          <w:szCs w:val="22"/>
        </w:rPr>
        <w:t xml:space="preserve"> per cent</w:t>
      </w:r>
      <w:r w:rsidR="00367214" w:rsidRPr="003A3094">
        <w:rPr>
          <w:rFonts w:asciiTheme="minorHAnsi" w:hAnsiTheme="minorHAnsi" w:cstheme="minorHAnsi"/>
          <w:sz w:val="22"/>
          <w:szCs w:val="22"/>
        </w:rPr>
        <w:t xml:space="preserve"> of their (domestically sourced) revenue to the recurrent health budget and provide at least 37</w:t>
      </w:r>
      <w:r w:rsidR="00670871">
        <w:rPr>
          <w:rFonts w:asciiTheme="minorHAnsi" w:hAnsiTheme="minorHAnsi" w:cstheme="minorHAnsi"/>
          <w:sz w:val="22"/>
          <w:szCs w:val="22"/>
        </w:rPr>
        <w:t xml:space="preserve"> per cent</w:t>
      </w:r>
      <w:r w:rsidR="00367214" w:rsidRPr="003A3094">
        <w:rPr>
          <w:rFonts w:asciiTheme="minorHAnsi" w:hAnsiTheme="minorHAnsi" w:cstheme="minorHAnsi"/>
          <w:sz w:val="22"/>
          <w:szCs w:val="22"/>
        </w:rPr>
        <w:t xml:space="preserve"> of that allocation to front line provincial health services. They delivered on both these commitments in 2014.</w:t>
      </w:r>
      <w:r w:rsidR="00367214">
        <w:rPr>
          <w:i/>
          <w:iCs/>
          <w:color w:val="1F497D"/>
        </w:rPr>
        <w:t xml:space="preserve"> </w:t>
      </w:r>
      <w:r w:rsidRPr="009A3BD3">
        <w:rPr>
          <w:rFonts w:asciiTheme="minorHAnsi" w:hAnsiTheme="minorHAnsi" w:cstheme="minorHAnsi"/>
          <w:sz w:val="22"/>
          <w:szCs w:val="22"/>
        </w:rPr>
        <w:t>In transport</w:t>
      </w:r>
      <w:r>
        <w:rPr>
          <w:i/>
          <w:iCs/>
          <w:color w:val="1F497D"/>
        </w:rPr>
        <w:t xml:space="preserve">, </w:t>
      </w:r>
      <w:r w:rsidR="003373E9">
        <w:rPr>
          <w:rFonts w:asciiTheme="minorHAnsi" w:hAnsiTheme="minorHAnsi" w:cstheme="minorHAnsi"/>
          <w:sz w:val="22"/>
          <w:szCs w:val="22"/>
        </w:rPr>
        <w:t>Solomon Islands</w:t>
      </w:r>
      <w:r w:rsidR="00367214" w:rsidRPr="002B20E3">
        <w:rPr>
          <w:rFonts w:asciiTheme="minorHAnsi" w:hAnsiTheme="minorHAnsi" w:cstheme="minorHAnsi"/>
          <w:sz w:val="22"/>
          <w:szCs w:val="22"/>
        </w:rPr>
        <w:t xml:space="preserve"> was required to contribute the equivalent of at least AUD10 million to the N</w:t>
      </w:r>
      <w:r>
        <w:rPr>
          <w:rFonts w:asciiTheme="minorHAnsi" w:hAnsiTheme="minorHAnsi" w:cstheme="minorHAnsi"/>
          <w:sz w:val="22"/>
          <w:szCs w:val="22"/>
        </w:rPr>
        <w:t>ational Transport Fund</w:t>
      </w:r>
      <w:r w:rsidR="00367214" w:rsidRPr="002B20E3">
        <w:rPr>
          <w:rFonts w:asciiTheme="minorHAnsi" w:hAnsiTheme="minorHAnsi" w:cstheme="minorHAnsi"/>
          <w:sz w:val="22"/>
          <w:szCs w:val="22"/>
        </w:rPr>
        <w:t xml:space="preserve"> over four years. By mid-2014 </w:t>
      </w:r>
      <w:r w:rsidR="003373E9">
        <w:rPr>
          <w:rFonts w:asciiTheme="minorHAnsi" w:hAnsiTheme="minorHAnsi" w:cstheme="minorHAnsi"/>
          <w:sz w:val="22"/>
          <w:szCs w:val="22"/>
        </w:rPr>
        <w:t>they</w:t>
      </w:r>
      <w:r w:rsidR="00367214" w:rsidRPr="002B20E3">
        <w:rPr>
          <w:rFonts w:asciiTheme="minorHAnsi" w:hAnsiTheme="minorHAnsi" w:cstheme="minorHAnsi"/>
          <w:sz w:val="22"/>
          <w:szCs w:val="22"/>
        </w:rPr>
        <w:t xml:space="preserve"> had met this commitment.</w:t>
      </w:r>
      <w:r w:rsidR="00367214">
        <w:rPr>
          <w:rFonts w:asciiTheme="minorHAnsi" w:hAnsiTheme="minorHAnsi" w:cstheme="minorHAnsi"/>
          <w:sz w:val="22"/>
          <w:szCs w:val="22"/>
        </w:rPr>
        <w:t xml:space="preserve"> </w:t>
      </w:r>
      <w:r>
        <w:rPr>
          <w:rFonts w:asciiTheme="minorHAnsi" w:hAnsiTheme="minorHAnsi" w:cstheme="minorHAnsi"/>
          <w:sz w:val="22"/>
          <w:szCs w:val="22"/>
        </w:rPr>
        <w:t xml:space="preserve">In education, </w:t>
      </w:r>
      <w:r w:rsidR="003373E9">
        <w:rPr>
          <w:rFonts w:asciiTheme="minorHAnsi" w:eastAsia="SimSun" w:hAnsiTheme="minorHAnsi" w:cstheme="minorHAnsi"/>
          <w:sz w:val="22"/>
          <w:szCs w:val="22"/>
        </w:rPr>
        <w:t>Solomon Islands</w:t>
      </w:r>
      <w:r w:rsidR="00367214" w:rsidRPr="00080864">
        <w:rPr>
          <w:rFonts w:asciiTheme="minorHAnsi" w:eastAsia="SimSun" w:hAnsiTheme="minorHAnsi" w:cstheme="minorHAnsi"/>
          <w:sz w:val="22"/>
          <w:szCs w:val="22"/>
        </w:rPr>
        <w:t xml:space="preserve"> agree</w:t>
      </w:r>
      <w:r w:rsidR="0064380F">
        <w:rPr>
          <w:rFonts w:asciiTheme="minorHAnsi" w:eastAsia="SimSun" w:hAnsiTheme="minorHAnsi" w:cstheme="minorHAnsi"/>
          <w:sz w:val="22"/>
          <w:szCs w:val="22"/>
        </w:rPr>
        <w:t>d</w:t>
      </w:r>
      <w:r w:rsidR="00367214" w:rsidRPr="00080864">
        <w:rPr>
          <w:rFonts w:asciiTheme="minorHAnsi" w:eastAsia="SimSun" w:hAnsiTheme="minorHAnsi" w:cstheme="minorHAnsi"/>
          <w:sz w:val="22"/>
          <w:szCs w:val="22"/>
        </w:rPr>
        <w:t xml:space="preserve"> to ensure at least 22 per cent of the national budget is spent on education in the previous year. Additional performance targets </w:t>
      </w:r>
      <w:r w:rsidR="00950DD0">
        <w:rPr>
          <w:rFonts w:asciiTheme="minorHAnsi" w:eastAsia="SimSun" w:hAnsiTheme="minorHAnsi" w:cstheme="minorHAnsi"/>
          <w:sz w:val="22"/>
          <w:szCs w:val="22"/>
        </w:rPr>
        <w:t>we</w:t>
      </w:r>
      <w:r w:rsidR="00367214" w:rsidRPr="00080864">
        <w:rPr>
          <w:rFonts w:asciiTheme="minorHAnsi" w:eastAsia="SimSun" w:hAnsiTheme="minorHAnsi" w:cstheme="minorHAnsi"/>
          <w:sz w:val="22"/>
          <w:szCs w:val="22"/>
        </w:rPr>
        <w:t>re agreed by Solomon Islands, Australia and New Zealand. Independent assessment of 2013 performance confirms the 22 per cent budget target was achieved, but other targets were not, making a P</w:t>
      </w:r>
      <w:r w:rsidR="00051B6E">
        <w:rPr>
          <w:rFonts w:asciiTheme="minorHAnsi" w:eastAsia="SimSun" w:hAnsiTheme="minorHAnsi" w:cstheme="minorHAnsi"/>
          <w:sz w:val="22"/>
          <w:szCs w:val="22"/>
        </w:rPr>
        <w:t xml:space="preserve">erformance </w:t>
      </w:r>
      <w:r w:rsidR="0064380F">
        <w:rPr>
          <w:rFonts w:asciiTheme="minorHAnsi" w:eastAsia="SimSun" w:hAnsiTheme="minorHAnsi" w:cstheme="minorHAnsi"/>
          <w:sz w:val="22"/>
          <w:szCs w:val="22"/>
        </w:rPr>
        <w:t>L</w:t>
      </w:r>
      <w:r w:rsidR="00051B6E">
        <w:rPr>
          <w:rFonts w:asciiTheme="minorHAnsi" w:eastAsia="SimSun" w:hAnsiTheme="minorHAnsi" w:cstheme="minorHAnsi"/>
          <w:sz w:val="22"/>
          <w:szCs w:val="22"/>
        </w:rPr>
        <w:t>inked Aid</w:t>
      </w:r>
      <w:r w:rsidR="00367214" w:rsidRPr="00080864">
        <w:rPr>
          <w:rFonts w:asciiTheme="minorHAnsi" w:eastAsia="SimSun" w:hAnsiTheme="minorHAnsi" w:cstheme="minorHAnsi"/>
          <w:sz w:val="22"/>
          <w:szCs w:val="22"/>
        </w:rPr>
        <w:t xml:space="preserve"> payment in 2013 unlikely.</w:t>
      </w:r>
      <w:r w:rsidR="002B2A58" w:rsidRPr="002B2A58">
        <w:rPr>
          <w:rFonts w:ascii="Calibri" w:hAnsi="Calibri"/>
          <w:color w:val="FF0000"/>
          <w:sz w:val="22"/>
          <w:szCs w:val="22"/>
        </w:rPr>
        <w:t xml:space="preserve"> </w:t>
      </w:r>
    </w:p>
    <w:p w:rsidR="00F12CD7" w:rsidRPr="00CD293A" w:rsidRDefault="009A3BD3" w:rsidP="004903EF">
      <w:pPr>
        <w:pStyle w:val="ListBullet"/>
        <w:numPr>
          <w:ilvl w:val="0"/>
          <w:numId w:val="0"/>
        </w:numPr>
        <w:rPr>
          <w:rFonts w:ascii="Calibri" w:hAnsi="Calibri"/>
          <w:sz w:val="22"/>
          <w:szCs w:val="22"/>
        </w:rPr>
      </w:pPr>
      <w:r w:rsidRPr="002B2A58">
        <w:rPr>
          <w:rFonts w:ascii="Calibri" w:hAnsi="Calibri"/>
          <w:sz w:val="22"/>
          <w:szCs w:val="22"/>
        </w:rPr>
        <w:t xml:space="preserve">Australia has up to </w:t>
      </w:r>
      <w:r w:rsidR="00950DD0">
        <w:rPr>
          <w:rFonts w:ascii="Calibri" w:hAnsi="Calibri"/>
          <w:sz w:val="22"/>
          <w:szCs w:val="22"/>
        </w:rPr>
        <w:t>$</w:t>
      </w:r>
      <w:r w:rsidRPr="002B2A58">
        <w:rPr>
          <w:rFonts w:ascii="Calibri" w:hAnsi="Calibri"/>
          <w:sz w:val="22"/>
          <w:szCs w:val="22"/>
        </w:rPr>
        <w:t>3</w:t>
      </w:r>
      <w:r w:rsidR="00950DD0">
        <w:rPr>
          <w:rFonts w:ascii="Calibri" w:hAnsi="Calibri"/>
          <w:sz w:val="22"/>
          <w:szCs w:val="22"/>
        </w:rPr>
        <w:t xml:space="preserve"> </w:t>
      </w:r>
      <w:r w:rsidRPr="002B2A58">
        <w:rPr>
          <w:rFonts w:ascii="Calibri" w:hAnsi="Calibri"/>
          <w:sz w:val="22"/>
          <w:szCs w:val="22"/>
        </w:rPr>
        <w:t>million available as an incentive payment</w:t>
      </w:r>
      <w:r>
        <w:rPr>
          <w:rFonts w:ascii="Calibri" w:hAnsi="Calibri"/>
          <w:sz w:val="22"/>
          <w:szCs w:val="22"/>
        </w:rPr>
        <w:t xml:space="preserve"> for performance under the</w:t>
      </w:r>
      <w:r w:rsidR="00227511">
        <w:rPr>
          <w:rFonts w:ascii="Calibri" w:hAnsi="Calibri"/>
          <w:sz w:val="22"/>
          <w:szCs w:val="22"/>
        </w:rPr>
        <w:t xml:space="preserve"> </w:t>
      </w:r>
      <w:r w:rsidR="00340D09">
        <w:rPr>
          <w:rFonts w:ascii="Calibri" w:hAnsi="Calibri"/>
          <w:sz w:val="22"/>
          <w:szCs w:val="22"/>
        </w:rPr>
        <w:t xml:space="preserve">CEWG </w:t>
      </w:r>
      <w:r w:rsidR="002B2A58" w:rsidRPr="002B2A58">
        <w:rPr>
          <w:rFonts w:ascii="Calibri" w:hAnsi="Calibri"/>
          <w:sz w:val="22"/>
          <w:szCs w:val="22"/>
        </w:rPr>
        <w:t xml:space="preserve">Economic and Financial Reform Matrix. </w:t>
      </w:r>
      <w:r w:rsidR="003373E9">
        <w:rPr>
          <w:rFonts w:ascii="Calibri" w:hAnsi="Calibri"/>
          <w:sz w:val="22"/>
          <w:szCs w:val="22"/>
        </w:rPr>
        <w:t>Solomon Islands</w:t>
      </w:r>
      <w:r w:rsidR="002B2A58" w:rsidRPr="002B2A58">
        <w:rPr>
          <w:rFonts w:ascii="Calibri" w:hAnsi="Calibri"/>
          <w:sz w:val="22"/>
          <w:szCs w:val="22"/>
        </w:rPr>
        <w:t xml:space="preserve"> met only 15 out of 29 milestones in the 2012-13 matrix, and faced large and increasing expenditures on Constituency Development Funds and tertiary scholarships.</w:t>
      </w:r>
      <w:r w:rsidR="002B2A58">
        <w:rPr>
          <w:rFonts w:ascii="Calibri" w:hAnsi="Calibri"/>
          <w:sz w:val="22"/>
          <w:szCs w:val="22"/>
        </w:rPr>
        <w:t xml:space="preserve"> </w:t>
      </w:r>
      <w:r>
        <w:rPr>
          <w:rFonts w:ascii="Calibri" w:hAnsi="Calibri"/>
          <w:sz w:val="22"/>
          <w:szCs w:val="22"/>
        </w:rPr>
        <w:t xml:space="preserve">Accordingly, in </w:t>
      </w:r>
      <w:r w:rsidR="002B2A58">
        <w:rPr>
          <w:rFonts w:ascii="Calibri" w:hAnsi="Calibri"/>
          <w:sz w:val="22"/>
          <w:szCs w:val="22"/>
        </w:rPr>
        <w:t xml:space="preserve">2013-14, </w:t>
      </w:r>
      <w:r w:rsidR="002B2A58" w:rsidRPr="002B2A58">
        <w:rPr>
          <w:rFonts w:ascii="Calibri" w:hAnsi="Calibri"/>
          <w:sz w:val="22"/>
          <w:szCs w:val="22"/>
        </w:rPr>
        <w:t>Australia paid only $1.5</w:t>
      </w:r>
      <w:r w:rsidR="00950DD0">
        <w:rPr>
          <w:rFonts w:ascii="Calibri" w:hAnsi="Calibri"/>
          <w:sz w:val="22"/>
          <w:szCs w:val="22"/>
        </w:rPr>
        <w:t xml:space="preserve"> </w:t>
      </w:r>
      <w:r w:rsidR="002B2A58" w:rsidRPr="002B2A58">
        <w:rPr>
          <w:rFonts w:ascii="Calibri" w:hAnsi="Calibri"/>
          <w:sz w:val="22"/>
          <w:szCs w:val="22"/>
        </w:rPr>
        <w:t xml:space="preserve">million in Performance Linked Aid to the Solomon Islands Government </w:t>
      </w:r>
      <w:r>
        <w:rPr>
          <w:rFonts w:ascii="Calibri" w:hAnsi="Calibri"/>
          <w:sz w:val="22"/>
          <w:szCs w:val="22"/>
        </w:rPr>
        <w:t>in incentive payments under the matrix</w:t>
      </w:r>
      <w:r w:rsidR="002B2A58" w:rsidRPr="002B2A58">
        <w:rPr>
          <w:rFonts w:ascii="Calibri" w:hAnsi="Calibri"/>
          <w:sz w:val="22"/>
          <w:szCs w:val="22"/>
        </w:rPr>
        <w:t xml:space="preserve">. </w:t>
      </w:r>
      <w:r w:rsidR="002737D9" w:rsidRPr="002737D9">
        <w:rPr>
          <w:rFonts w:ascii="Calibri" w:hAnsi="Calibri"/>
          <w:sz w:val="22"/>
          <w:szCs w:val="22"/>
        </w:rPr>
        <w:t xml:space="preserve">Partial payment provides a clear signal of Australia’s commitment to progress on economic reforms against agreed priorities. </w:t>
      </w:r>
      <w:r w:rsidR="00F12CD7" w:rsidRPr="002737D9">
        <w:rPr>
          <w:rFonts w:ascii="Calibri" w:hAnsi="Calibri"/>
          <w:sz w:val="22"/>
          <w:szCs w:val="22"/>
        </w:rPr>
        <w:t>Th</w:t>
      </w:r>
      <w:r w:rsidR="00F12CD7" w:rsidRPr="004903EF">
        <w:rPr>
          <w:rFonts w:asciiTheme="minorHAnsi" w:hAnsiTheme="minorHAnsi" w:cstheme="minorHAnsi"/>
          <w:sz w:val="22"/>
          <w:szCs w:val="22"/>
        </w:rPr>
        <w:t>e traffic</w:t>
      </w:r>
      <w:r w:rsidR="00950DD0">
        <w:rPr>
          <w:rFonts w:asciiTheme="minorHAnsi" w:hAnsiTheme="minorHAnsi" w:cstheme="minorHAnsi"/>
          <w:sz w:val="22"/>
          <w:szCs w:val="22"/>
        </w:rPr>
        <w:t>-</w:t>
      </w:r>
      <w:r w:rsidR="00F12CD7" w:rsidRPr="004903EF">
        <w:rPr>
          <w:rFonts w:asciiTheme="minorHAnsi" w:hAnsiTheme="minorHAnsi" w:cstheme="minorHAnsi"/>
          <w:sz w:val="22"/>
          <w:szCs w:val="22"/>
        </w:rPr>
        <w:t>light report on the CEWG Matrix</w:t>
      </w:r>
      <w:r w:rsidR="00F12CD7" w:rsidRPr="004903EF">
        <w:rPr>
          <w:rStyle w:val="FootnoteReference"/>
          <w:rFonts w:asciiTheme="minorHAnsi" w:hAnsiTheme="minorHAnsi" w:cstheme="minorHAnsi"/>
          <w:sz w:val="22"/>
          <w:szCs w:val="22"/>
          <w:vertAlign w:val="superscript"/>
        </w:rPr>
        <w:footnoteReference w:id="23"/>
      </w:r>
      <w:r w:rsidR="00F12CD7" w:rsidRPr="004903EF">
        <w:rPr>
          <w:rFonts w:asciiTheme="minorHAnsi" w:hAnsiTheme="minorHAnsi" w:cstheme="minorHAnsi"/>
          <w:sz w:val="22"/>
          <w:szCs w:val="22"/>
        </w:rPr>
        <w:t xml:space="preserve"> provides an assessment of </w:t>
      </w:r>
      <w:r w:rsidR="00F413E6">
        <w:rPr>
          <w:rFonts w:asciiTheme="minorHAnsi" w:hAnsiTheme="minorHAnsi" w:cstheme="minorHAnsi"/>
          <w:sz w:val="22"/>
          <w:szCs w:val="22"/>
        </w:rPr>
        <w:t>the Solomon Islands Government</w:t>
      </w:r>
      <w:r w:rsidR="00F413E6" w:rsidRPr="004903EF">
        <w:rPr>
          <w:rFonts w:asciiTheme="minorHAnsi" w:hAnsiTheme="minorHAnsi" w:cstheme="minorHAnsi"/>
          <w:sz w:val="22"/>
          <w:szCs w:val="22"/>
        </w:rPr>
        <w:t xml:space="preserve">’s </w:t>
      </w:r>
      <w:r w:rsidR="00F12CD7" w:rsidRPr="004903EF">
        <w:rPr>
          <w:rFonts w:asciiTheme="minorHAnsi" w:hAnsiTheme="minorHAnsi" w:cstheme="minorHAnsi"/>
          <w:sz w:val="22"/>
          <w:szCs w:val="22"/>
        </w:rPr>
        <w:t xml:space="preserve">progress. </w:t>
      </w:r>
      <w:r w:rsidR="00950DD0">
        <w:rPr>
          <w:rFonts w:asciiTheme="minorHAnsi" w:hAnsiTheme="minorHAnsi" w:cstheme="minorHAnsi"/>
          <w:sz w:val="22"/>
          <w:szCs w:val="22"/>
        </w:rPr>
        <w:t>A</w:t>
      </w:r>
      <w:r w:rsidR="004903EF">
        <w:rPr>
          <w:rFonts w:asciiTheme="minorHAnsi" w:hAnsiTheme="minorHAnsi" w:cstheme="minorHAnsi"/>
          <w:sz w:val="22"/>
          <w:szCs w:val="22"/>
        </w:rPr>
        <w:t>chievements include i</w:t>
      </w:r>
      <w:r w:rsidR="00F12CD7" w:rsidRPr="004903EF">
        <w:rPr>
          <w:rFonts w:asciiTheme="minorHAnsi" w:hAnsiTheme="minorHAnsi" w:cstheme="minorHAnsi"/>
          <w:sz w:val="22"/>
          <w:szCs w:val="22"/>
        </w:rPr>
        <w:t>mproved linkages between policy priorities, budgets and service delivery outcomes</w:t>
      </w:r>
      <w:r w:rsidR="004903EF">
        <w:rPr>
          <w:rFonts w:asciiTheme="minorHAnsi" w:hAnsiTheme="minorHAnsi" w:cstheme="minorHAnsi"/>
          <w:sz w:val="22"/>
          <w:szCs w:val="22"/>
        </w:rPr>
        <w:t xml:space="preserve"> and m</w:t>
      </w:r>
      <w:r w:rsidR="00F12CD7" w:rsidRPr="004903EF">
        <w:rPr>
          <w:rFonts w:asciiTheme="minorHAnsi" w:hAnsiTheme="minorHAnsi" w:cstheme="minorHAnsi"/>
          <w:sz w:val="22"/>
          <w:szCs w:val="22"/>
        </w:rPr>
        <w:t>aintenance of sustainable and affordable levels of public debt and high quality of debt projects</w:t>
      </w:r>
      <w:r w:rsidR="004903EF">
        <w:rPr>
          <w:rFonts w:asciiTheme="minorHAnsi" w:hAnsiTheme="minorHAnsi" w:cstheme="minorHAnsi"/>
          <w:sz w:val="22"/>
          <w:szCs w:val="22"/>
        </w:rPr>
        <w:t>.</w:t>
      </w:r>
      <w:r w:rsidR="00F12CD7" w:rsidRPr="004903EF">
        <w:rPr>
          <w:rFonts w:asciiTheme="minorHAnsi" w:hAnsiTheme="minorHAnsi" w:cstheme="minorHAnsi"/>
          <w:sz w:val="22"/>
          <w:szCs w:val="22"/>
        </w:rPr>
        <w:t xml:space="preserve"> </w:t>
      </w:r>
    </w:p>
    <w:p w:rsidR="00F12CD7" w:rsidRPr="00D92B41" w:rsidRDefault="00F12CD7" w:rsidP="00121815">
      <w:pPr>
        <w:pStyle w:val="Heading3"/>
      </w:pPr>
      <w:r w:rsidRPr="00D92B41">
        <w:t xml:space="preserve">Program Quality and Management </w:t>
      </w:r>
    </w:p>
    <w:p w:rsidR="00F12CD7" w:rsidRPr="00D92B41" w:rsidRDefault="00B26AB2" w:rsidP="00F12CD7">
      <w:pPr>
        <w:pStyle w:val="ListBullet"/>
        <w:numPr>
          <w:ilvl w:val="0"/>
          <w:numId w:val="0"/>
        </w:numPr>
        <w:rPr>
          <w:rFonts w:asciiTheme="minorHAnsi" w:hAnsiTheme="minorHAnsi" w:cstheme="minorHAnsi"/>
          <w:sz w:val="22"/>
          <w:szCs w:val="22"/>
        </w:rPr>
      </w:pPr>
      <w:r>
        <w:rPr>
          <w:rFonts w:asciiTheme="minorHAnsi" w:hAnsiTheme="minorHAnsi" w:cstheme="minorHAnsi"/>
          <w:b/>
          <w:sz w:val="22"/>
          <w:szCs w:val="22"/>
        </w:rPr>
        <w:t xml:space="preserve">All sector programs have PAFs. </w:t>
      </w:r>
      <w:r w:rsidRPr="00B26AB2">
        <w:rPr>
          <w:rFonts w:asciiTheme="minorHAnsi" w:hAnsiTheme="minorHAnsi" w:cstheme="minorHAnsi"/>
          <w:sz w:val="22"/>
          <w:szCs w:val="22"/>
        </w:rPr>
        <w:t xml:space="preserve">However, across the sectors there is </w:t>
      </w:r>
      <w:r>
        <w:rPr>
          <w:rFonts w:asciiTheme="minorHAnsi" w:hAnsiTheme="minorHAnsi" w:cstheme="minorHAnsi"/>
          <w:b/>
          <w:sz w:val="22"/>
          <w:szCs w:val="22"/>
        </w:rPr>
        <w:t>variable</w:t>
      </w:r>
      <w:r w:rsidR="00F12CD7" w:rsidRPr="00D92B41">
        <w:rPr>
          <w:rFonts w:asciiTheme="minorHAnsi" w:hAnsiTheme="minorHAnsi" w:cstheme="minorHAnsi"/>
          <w:b/>
          <w:sz w:val="22"/>
          <w:szCs w:val="22"/>
        </w:rPr>
        <w:t xml:space="preserve"> capacity to generate and use effective performance information</w:t>
      </w:r>
      <w:r w:rsidR="00F12CD7" w:rsidRPr="00D92B41">
        <w:rPr>
          <w:rFonts w:asciiTheme="minorHAnsi" w:hAnsiTheme="minorHAnsi" w:cstheme="minorHAnsi"/>
          <w:sz w:val="22"/>
          <w:szCs w:val="22"/>
        </w:rPr>
        <w:t xml:space="preserve">. </w:t>
      </w:r>
      <w:r w:rsidR="008C541C">
        <w:rPr>
          <w:rFonts w:asciiTheme="minorHAnsi" w:hAnsiTheme="minorHAnsi" w:cstheme="minorHAnsi"/>
          <w:sz w:val="22"/>
          <w:szCs w:val="22"/>
        </w:rPr>
        <w:t xml:space="preserve">The Independent Partnership Assessment Panel </w:t>
      </w:r>
      <w:r w:rsidR="00274A7C">
        <w:rPr>
          <w:rFonts w:asciiTheme="minorHAnsi" w:hAnsiTheme="minorHAnsi" w:cstheme="minorHAnsi"/>
          <w:sz w:val="22"/>
          <w:szCs w:val="22"/>
        </w:rPr>
        <w:t>report (</w:t>
      </w:r>
      <w:r w:rsidR="00F12CD7" w:rsidRPr="00D92B41">
        <w:rPr>
          <w:rFonts w:asciiTheme="minorHAnsi" w:hAnsiTheme="minorHAnsi" w:cstheme="minorHAnsi"/>
          <w:sz w:val="22"/>
          <w:szCs w:val="22"/>
        </w:rPr>
        <w:t>IPAP</w:t>
      </w:r>
      <w:r w:rsidR="00274A7C">
        <w:rPr>
          <w:rFonts w:asciiTheme="minorHAnsi" w:hAnsiTheme="minorHAnsi" w:cstheme="minorHAnsi"/>
          <w:sz w:val="22"/>
          <w:szCs w:val="22"/>
        </w:rPr>
        <w:t>)</w:t>
      </w:r>
      <w:r w:rsidR="00F12CD7" w:rsidRPr="00D92B41">
        <w:rPr>
          <w:rFonts w:asciiTheme="minorHAnsi" w:hAnsiTheme="minorHAnsi" w:cstheme="minorHAnsi"/>
          <w:sz w:val="22"/>
          <w:szCs w:val="22"/>
        </w:rPr>
        <w:t xml:space="preserve"> </w:t>
      </w:r>
      <w:r>
        <w:rPr>
          <w:rFonts w:asciiTheme="minorHAnsi" w:hAnsiTheme="minorHAnsi" w:cstheme="minorHAnsi"/>
          <w:sz w:val="22"/>
          <w:szCs w:val="22"/>
        </w:rPr>
        <w:t xml:space="preserve">reports some PAFs are </w:t>
      </w:r>
      <w:r w:rsidR="00F12CD7" w:rsidRPr="00D92B41">
        <w:rPr>
          <w:rFonts w:asciiTheme="minorHAnsi" w:hAnsiTheme="minorHAnsi" w:cstheme="minorHAnsi"/>
          <w:sz w:val="22"/>
          <w:szCs w:val="22"/>
        </w:rPr>
        <w:t xml:space="preserve">severely constrained by </w:t>
      </w:r>
      <w:r>
        <w:rPr>
          <w:rFonts w:asciiTheme="minorHAnsi" w:hAnsiTheme="minorHAnsi" w:cstheme="minorHAnsi"/>
          <w:sz w:val="22"/>
          <w:szCs w:val="22"/>
        </w:rPr>
        <w:t>poor</w:t>
      </w:r>
      <w:r w:rsidR="00F12CD7" w:rsidRPr="00D92B41">
        <w:rPr>
          <w:rFonts w:asciiTheme="minorHAnsi" w:hAnsiTheme="minorHAnsi" w:cstheme="minorHAnsi"/>
          <w:sz w:val="22"/>
          <w:szCs w:val="22"/>
        </w:rPr>
        <w:t xml:space="preserve"> data collection by </w:t>
      </w:r>
      <w:r w:rsidR="003373E9">
        <w:rPr>
          <w:rFonts w:asciiTheme="minorHAnsi" w:hAnsiTheme="minorHAnsi" w:cstheme="minorHAnsi"/>
          <w:sz w:val="22"/>
          <w:szCs w:val="22"/>
        </w:rPr>
        <w:t>Solomon Islands</w:t>
      </w:r>
      <w:r>
        <w:rPr>
          <w:rFonts w:asciiTheme="minorHAnsi" w:hAnsiTheme="minorHAnsi" w:cstheme="minorHAnsi"/>
          <w:sz w:val="22"/>
          <w:szCs w:val="22"/>
        </w:rPr>
        <w:t xml:space="preserve">, for example </w:t>
      </w:r>
      <w:r w:rsidR="00F12CD7" w:rsidRPr="00D92B41">
        <w:rPr>
          <w:rFonts w:asciiTheme="minorHAnsi" w:hAnsiTheme="minorHAnsi" w:cstheme="minorHAnsi"/>
          <w:sz w:val="22"/>
          <w:szCs w:val="22"/>
        </w:rPr>
        <w:t xml:space="preserve">justice. </w:t>
      </w:r>
      <w:r w:rsidR="00F12CD7" w:rsidRPr="00D92B41">
        <w:rPr>
          <w:rFonts w:asciiTheme="minorHAnsi" w:hAnsiTheme="minorHAnsi" w:cstheme="minorHAnsi"/>
          <w:b/>
          <w:sz w:val="22"/>
          <w:szCs w:val="22"/>
        </w:rPr>
        <w:t xml:space="preserve"> </w:t>
      </w:r>
      <w:r>
        <w:rPr>
          <w:rFonts w:asciiTheme="minorHAnsi" w:hAnsiTheme="minorHAnsi" w:cstheme="minorHAnsi"/>
          <w:sz w:val="22"/>
          <w:szCs w:val="22"/>
        </w:rPr>
        <w:t>I</w:t>
      </w:r>
      <w:r w:rsidR="00274A7C" w:rsidRPr="00274A7C">
        <w:rPr>
          <w:rFonts w:asciiTheme="minorHAnsi" w:hAnsiTheme="minorHAnsi" w:cstheme="minorHAnsi"/>
          <w:sz w:val="22"/>
          <w:szCs w:val="22"/>
        </w:rPr>
        <w:t>t takes several years for PAFs to mature into an effective performance tool</w:t>
      </w:r>
      <w:r>
        <w:rPr>
          <w:rFonts w:asciiTheme="minorHAnsi" w:hAnsiTheme="minorHAnsi" w:cstheme="minorHAnsi"/>
          <w:sz w:val="22"/>
          <w:szCs w:val="22"/>
        </w:rPr>
        <w:t xml:space="preserve"> and this evident in</w:t>
      </w:r>
      <w:r w:rsidR="00274A7C" w:rsidRPr="00274A7C">
        <w:rPr>
          <w:rFonts w:asciiTheme="minorHAnsi" w:hAnsiTheme="minorHAnsi" w:cstheme="minorHAnsi"/>
          <w:sz w:val="22"/>
          <w:szCs w:val="22"/>
        </w:rPr>
        <w:t xml:space="preserve"> programs which have transitioned from RAMSI and complete</w:t>
      </w:r>
      <w:r w:rsidR="00340D09">
        <w:rPr>
          <w:rFonts w:asciiTheme="minorHAnsi" w:hAnsiTheme="minorHAnsi" w:cstheme="minorHAnsi"/>
          <w:sz w:val="22"/>
          <w:szCs w:val="22"/>
        </w:rPr>
        <w:t>d</w:t>
      </w:r>
      <w:r w:rsidR="00274A7C" w:rsidRPr="00274A7C">
        <w:rPr>
          <w:rFonts w:asciiTheme="minorHAnsi" w:hAnsiTheme="minorHAnsi" w:cstheme="minorHAnsi"/>
          <w:sz w:val="22"/>
          <w:szCs w:val="22"/>
        </w:rPr>
        <w:t xml:space="preserve"> PAFs for the first time.</w:t>
      </w:r>
      <w:r w:rsidR="00A210A4">
        <w:rPr>
          <w:rFonts w:asciiTheme="minorHAnsi" w:hAnsiTheme="minorHAnsi" w:cstheme="minorHAnsi"/>
          <w:sz w:val="22"/>
          <w:szCs w:val="22"/>
        </w:rPr>
        <w:t xml:space="preserve"> </w:t>
      </w:r>
      <w:r w:rsidR="00F12CD7" w:rsidRPr="00B26AB2">
        <w:rPr>
          <w:rFonts w:asciiTheme="minorHAnsi" w:hAnsiTheme="minorHAnsi" w:cstheme="minorHAnsi"/>
          <w:b/>
          <w:sz w:val="22"/>
          <w:szCs w:val="22"/>
        </w:rPr>
        <w:t xml:space="preserve">A </w:t>
      </w:r>
      <w:r w:rsidRPr="00B26AB2">
        <w:rPr>
          <w:rFonts w:asciiTheme="minorHAnsi" w:hAnsiTheme="minorHAnsi" w:cstheme="minorHAnsi"/>
          <w:b/>
          <w:sz w:val="22"/>
          <w:szCs w:val="22"/>
        </w:rPr>
        <w:t>contracted</w:t>
      </w:r>
      <w:r w:rsidRPr="00D92B41">
        <w:rPr>
          <w:rFonts w:asciiTheme="minorHAnsi" w:hAnsiTheme="minorHAnsi" w:cstheme="minorHAnsi"/>
          <w:sz w:val="22"/>
          <w:szCs w:val="22"/>
        </w:rPr>
        <w:t xml:space="preserve"> </w:t>
      </w:r>
      <w:r w:rsidR="00F12CD7" w:rsidRPr="00D92B41">
        <w:rPr>
          <w:rFonts w:asciiTheme="minorHAnsi" w:hAnsiTheme="minorHAnsi" w:cstheme="minorHAnsi"/>
          <w:b/>
          <w:sz w:val="22"/>
          <w:szCs w:val="22"/>
        </w:rPr>
        <w:t>monitoring and evaluation advisor</w:t>
      </w:r>
      <w:r w:rsidR="00F12CD7" w:rsidRPr="00D92B41">
        <w:rPr>
          <w:rFonts w:asciiTheme="minorHAnsi" w:hAnsiTheme="minorHAnsi" w:cstheme="minorHAnsi"/>
          <w:sz w:val="22"/>
          <w:szCs w:val="22"/>
        </w:rPr>
        <w:t xml:space="preserve"> is </w:t>
      </w:r>
      <w:r>
        <w:rPr>
          <w:rFonts w:asciiTheme="minorHAnsi" w:hAnsiTheme="minorHAnsi" w:cstheme="minorHAnsi"/>
          <w:sz w:val="22"/>
          <w:szCs w:val="22"/>
        </w:rPr>
        <w:t>building</w:t>
      </w:r>
      <w:r w:rsidR="00F12CD7" w:rsidRPr="00D92B41">
        <w:rPr>
          <w:rFonts w:asciiTheme="minorHAnsi" w:hAnsiTheme="minorHAnsi" w:cstheme="minorHAnsi"/>
          <w:sz w:val="22"/>
          <w:szCs w:val="22"/>
        </w:rPr>
        <w:t xml:space="preserve"> both government and aid program staff capacity</w:t>
      </w:r>
      <w:r>
        <w:rPr>
          <w:rFonts w:asciiTheme="minorHAnsi" w:hAnsiTheme="minorHAnsi" w:cstheme="minorHAnsi"/>
          <w:sz w:val="22"/>
          <w:szCs w:val="22"/>
        </w:rPr>
        <w:t xml:space="preserve"> in monitoring and evaluation</w:t>
      </w:r>
      <w:r w:rsidR="00F12CD7" w:rsidRPr="00D92B41">
        <w:rPr>
          <w:rFonts w:asciiTheme="minorHAnsi" w:hAnsiTheme="minorHAnsi" w:cstheme="minorHAnsi"/>
          <w:sz w:val="22"/>
          <w:szCs w:val="22"/>
        </w:rPr>
        <w:t xml:space="preserve">. </w:t>
      </w:r>
    </w:p>
    <w:p w:rsidR="00F12CD7" w:rsidRPr="00D92B41" w:rsidRDefault="00B26AB2" w:rsidP="00F12CD7">
      <w:pPr>
        <w:pStyle w:val="ListBullet"/>
        <w:numPr>
          <w:ilvl w:val="0"/>
          <w:numId w:val="0"/>
        </w:numPr>
        <w:tabs>
          <w:tab w:val="clear" w:pos="284"/>
        </w:tabs>
        <w:rPr>
          <w:rFonts w:asciiTheme="minorHAnsi" w:hAnsiTheme="minorHAnsi" w:cstheme="minorHAnsi"/>
          <w:sz w:val="22"/>
          <w:szCs w:val="22"/>
        </w:rPr>
      </w:pPr>
      <w:r>
        <w:rPr>
          <w:rFonts w:asciiTheme="minorHAnsi" w:hAnsiTheme="minorHAnsi" w:cstheme="minorHAnsi"/>
          <w:sz w:val="22"/>
          <w:szCs w:val="22"/>
        </w:rPr>
        <w:t>Prior to RAMSI transition the program conducted extensive review and evaluation work, hence the low</w:t>
      </w:r>
      <w:r w:rsidR="009F330A">
        <w:rPr>
          <w:rFonts w:asciiTheme="minorHAnsi" w:hAnsiTheme="minorHAnsi" w:cstheme="minorHAnsi"/>
          <w:sz w:val="22"/>
          <w:szCs w:val="22"/>
        </w:rPr>
        <w:t xml:space="preserve"> number of evaluations </w:t>
      </w:r>
      <w:r>
        <w:rPr>
          <w:rFonts w:asciiTheme="minorHAnsi" w:hAnsiTheme="minorHAnsi" w:cstheme="minorHAnsi"/>
          <w:sz w:val="22"/>
          <w:szCs w:val="22"/>
        </w:rPr>
        <w:t xml:space="preserve">needed </w:t>
      </w:r>
      <w:r w:rsidR="009F330A">
        <w:rPr>
          <w:rFonts w:asciiTheme="minorHAnsi" w:hAnsiTheme="minorHAnsi" w:cstheme="minorHAnsi"/>
          <w:sz w:val="22"/>
          <w:szCs w:val="22"/>
        </w:rPr>
        <w:t xml:space="preserve">in 2013-14. </w:t>
      </w:r>
      <w:r w:rsidR="00F12CD7" w:rsidRPr="00D92B41">
        <w:rPr>
          <w:rFonts w:asciiTheme="minorHAnsi" w:hAnsiTheme="minorHAnsi" w:cstheme="minorHAnsi"/>
          <w:sz w:val="22"/>
          <w:szCs w:val="22"/>
        </w:rPr>
        <w:t>The forward evaluation pipeline is at</w:t>
      </w:r>
      <w:r w:rsidR="00F12CD7" w:rsidRPr="00D92B41">
        <w:rPr>
          <w:rFonts w:asciiTheme="minorHAnsi" w:hAnsiTheme="minorHAnsi" w:cstheme="minorHAnsi"/>
          <w:sz w:val="22"/>
          <w:szCs w:val="22"/>
          <w:u w:val="single"/>
        </w:rPr>
        <w:t xml:space="preserve"> Attachment</w:t>
      </w:r>
      <w:r w:rsidR="00051B6E">
        <w:rPr>
          <w:rFonts w:asciiTheme="minorHAnsi" w:hAnsiTheme="minorHAnsi" w:cstheme="minorHAnsi"/>
          <w:sz w:val="22"/>
          <w:szCs w:val="22"/>
          <w:u w:val="single"/>
        </w:rPr>
        <w:t xml:space="preserve"> C</w:t>
      </w:r>
      <w:r>
        <w:rPr>
          <w:rFonts w:asciiTheme="minorHAnsi" w:hAnsiTheme="minorHAnsi" w:cstheme="minorHAnsi"/>
          <w:sz w:val="22"/>
          <w:szCs w:val="22"/>
        </w:rPr>
        <w:t xml:space="preserve"> but is subject to </w:t>
      </w:r>
      <w:r w:rsidR="00F12CD7" w:rsidRPr="00D92B41">
        <w:rPr>
          <w:rFonts w:asciiTheme="minorHAnsi" w:hAnsiTheme="minorHAnsi" w:cstheme="minorHAnsi"/>
          <w:sz w:val="22"/>
          <w:szCs w:val="22"/>
        </w:rPr>
        <w:t xml:space="preserve">the development of the Aid Investment </w:t>
      </w:r>
      <w:r w:rsidR="001A2B46">
        <w:rPr>
          <w:rFonts w:asciiTheme="minorHAnsi" w:hAnsiTheme="minorHAnsi" w:cstheme="minorHAnsi"/>
          <w:sz w:val="22"/>
          <w:szCs w:val="22"/>
        </w:rPr>
        <w:t>P</w:t>
      </w:r>
      <w:r w:rsidR="001A2B46" w:rsidRPr="00D92B41">
        <w:rPr>
          <w:rFonts w:asciiTheme="minorHAnsi" w:hAnsiTheme="minorHAnsi" w:cstheme="minorHAnsi"/>
          <w:sz w:val="22"/>
          <w:szCs w:val="22"/>
        </w:rPr>
        <w:t>lan</w:t>
      </w:r>
      <w:r w:rsidR="00F12CD7" w:rsidRPr="00D92B41">
        <w:rPr>
          <w:rFonts w:asciiTheme="minorHAnsi" w:hAnsiTheme="minorHAnsi" w:cstheme="minorHAnsi"/>
          <w:sz w:val="22"/>
          <w:szCs w:val="22"/>
        </w:rPr>
        <w:t xml:space="preserve">. </w:t>
      </w:r>
    </w:p>
    <w:p w:rsidR="00F12CD7" w:rsidRPr="00D92B41" w:rsidRDefault="00F12CD7" w:rsidP="00121815">
      <w:pPr>
        <w:pStyle w:val="Heading3"/>
      </w:pPr>
      <w:r w:rsidRPr="00D92B41">
        <w:t xml:space="preserve">Analysis of Quality at Implementation </w:t>
      </w:r>
      <w:r w:rsidR="00670871">
        <w:t xml:space="preserve">(QAI) </w:t>
      </w:r>
      <w:r w:rsidRPr="00D92B41">
        <w:t xml:space="preserve">Reports </w:t>
      </w:r>
    </w:p>
    <w:p w:rsidR="00F12CD7" w:rsidRPr="00D92B41" w:rsidRDefault="00B9445E" w:rsidP="00F12CD7">
      <w:pPr>
        <w:pStyle w:val="ListBullet"/>
        <w:numPr>
          <w:ilvl w:val="0"/>
          <w:numId w:val="0"/>
        </w:numPr>
        <w:rPr>
          <w:rFonts w:asciiTheme="minorHAnsi" w:hAnsiTheme="minorHAnsi" w:cstheme="minorHAnsi"/>
          <w:sz w:val="22"/>
          <w:szCs w:val="22"/>
        </w:rPr>
      </w:pPr>
      <w:r w:rsidRPr="00BF5617">
        <w:rPr>
          <w:rFonts w:asciiTheme="minorHAnsi" w:hAnsiTheme="minorHAnsi" w:cstheme="minorHAnsi"/>
          <w:b/>
          <w:sz w:val="22"/>
          <w:szCs w:val="22"/>
        </w:rPr>
        <w:t>The 2013-14 QAI process was described as best practice</w:t>
      </w:r>
      <w:r w:rsidRPr="00EE3657">
        <w:rPr>
          <w:rFonts w:asciiTheme="minorHAnsi" w:hAnsiTheme="minorHAnsi" w:cstheme="minorHAnsi"/>
          <w:sz w:val="22"/>
          <w:szCs w:val="22"/>
        </w:rPr>
        <w:t>, with independent moderation</w:t>
      </w:r>
      <w:r w:rsidR="00B34CAD" w:rsidRPr="00EE3657">
        <w:rPr>
          <w:rFonts w:asciiTheme="minorHAnsi" w:hAnsiTheme="minorHAnsi" w:cstheme="minorHAnsi"/>
          <w:sz w:val="22"/>
          <w:szCs w:val="22"/>
        </w:rPr>
        <w:t>, robust reporting and s</w:t>
      </w:r>
      <w:r w:rsidRPr="00EE3657">
        <w:rPr>
          <w:rFonts w:asciiTheme="minorHAnsi" w:hAnsiTheme="minorHAnsi" w:cstheme="minorHAnsi"/>
          <w:sz w:val="22"/>
          <w:szCs w:val="22"/>
        </w:rPr>
        <w:t>enior levels of engagement in the process.</w:t>
      </w:r>
      <w:r>
        <w:rPr>
          <w:rFonts w:asciiTheme="minorHAnsi" w:hAnsiTheme="minorHAnsi" w:cstheme="minorHAnsi"/>
          <w:sz w:val="22"/>
          <w:szCs w:val="22"/>
        </w:rPr>
        <w:t xml:space="preserve"> </w:t>
      </w:r>
      <w:r w:rsidR="00F12CD7" w:rsidRPr="00D92B41">
        <w:rPr>
          <w:rFonts w:asciiTheme="minorHAnsi" w:hAnsiTheme="minorHAnsi" w:cstheme="minorHAnsi"/>
          <w:sz w:val="22"/>
          <w:szCs w:val="22"/>
        </w:rPr>
        <w:t xml:space="preserve">In 2013-14 QAI assessments, most programs scored a five or six for relevance. Exceptions were the two poorest performing programs, SOLMAS and RAMSI Solomon Islands Infrastructure Partnership (RSIIP). This is a similar trend to last year and takes into account the work done to prepare for the transition of RAMSI programs to the bilateral program </w:t>
      </w:r>
      <w:r w:rsidR="003C1127">
        <w:rPr>
          <w:rFonts w:asciiTheme="minorHAnsi" w:hAnsiTheme="minorHAnsi" w:cstheme="minorHAnsi"/>
          <w:sz w:val="22"/>
          <w:szCs w:val="22"/>
        </w:rPr>
        <w:t>where programs went through a rigorous design process</w:t>
      </w:r>
      <w:r w:rsidR="00F12CD7" w:rsidRPr="00D92B41">
        <w:rPr>
          <w:rFonts w:asciiTheme="minorHAnsi" w:hAnsiTheme="minorHAnsi" w:cstheme="minorHAnsi"/>
          <w:sz w:val="22"/>
          <w:szCs w:val="22"/>
        </w:rPr>
        <w:t>. In most other criteria programs generally scored ratings of four which again reflects similar scores in previous years. Relative weakness in M&amp;E systems resulted in SIGOV, Elections and Education programs all scoring a three. Elections also scored a rating of three for efficiency. This reflects a need to reconsider whether contributions through the UNDP program are the most efficient use of Australian funds.</w:t>
      </w:r>
    </w:p>
    <w:p w:rsidR="00F12CD7" w:rsidRPr="00D92B41" w:rsidRDefault="00F12CD7" w:rsidP="00F12CD7">
      <w:pPr>
        <w:pStyle w:val="CommentText"/>
        <w:rPr>
          <w:rFonts w:asciiTheme="minorHAnsi" w:hAnsiTheme="minorHAnsi" w:cstheme="minorHAnsi"/>
          <w:sz w:val="22"/>
          <w:szCs w:val="22"/>
        </w:rPr>
      </w:pPr>
      <w:r w:rsidRPr="00D92B41">
        <w:rPr>
          <w:rFonts w:asciiTheme="minorHAnsi" w:hAnsiTheme="minorHAnsi" w:cstheme="minorHAnsi"/>
          <w:b/>
          <w:sz w:val="22"/>
          <w:szCs w:val="22"/>
        </w:rPr>
        <w:t xml:space="preserve">Gender equality </w:t>
      </w:r>
      <w:r w:rsidRPr="00D92B41">
        <w:rPr>
          <w:rFonts w:asciiTheme="minorHAnsi" w:hAnsiTheme="minorHAnsi" w:cstheme="minorHAnsi"/>
          <w:sz w:val="22"/>
          <w:szCs w:val="22"/>
        </w:rPr>
        <w:t xml:space="preserve">is a major challenge facing Solomon Islands. </w:t>
      </w:r>
      <w:r w:rsidR="00D63208">
        <w:rPr>
          <w:rFonts w:asciiTheme="minorHAnsi" w:hAnsiTheme="minorHAnsi" w:cstheme="minorHAnsi"/>
          <w:sz w:val="22"/>
          <w:szCs w:val="22"/>
        </w:rPr>
        <w:t>In 2013-14,</w:t>
      </w:r>
      <w:r w:rsidRPr="00D92B41">
        <w:rPr>
          <w:rFonts w:asciiTheme="minorHAnsi" w:hAnsiTheme="minorHAnsi" w:cstheme="minorHAnsi"/>
          <w:sz w:val="22"/>
          <w:szCs w:val="22"/>
        </w:rPr>
        <w:t xml:space="preserve"> </w:t>
      </w:r>
      <w:r w:rsidR="00F413E6">
        <w:rPr>
          <w:rFonts w:asciiTheme="minorHAnsi" w:hAnsiTheme="minorHAnsi" w:cstheme="minorHAnsi"/>
          <w:sz w:val="22"/>
          <w:szCs w:val="22"/>
        </w:rPr>
        <w:t>the Solomon Islands Government</w:t>
      </w:r>
      <w:r w:rsidR="00F413E6" w:rsidRPr="00D92B41">
        <w:rPr>
          <w:rFonts w:asciiTheme="minorHAnsi" w:hAnsiTheme="minorHAnsi" w:cstheme="minorHAnsi"/>
          <w:sz w:val="22"/>
          <w:szCs w:val="22"/>
        </w:rPr>
        <w:t xml:space="preserve">’s </w:t>
      </w:r>
      <w:r w:rsidRPr="00D92B41">
        <w:rPr>
          <w:rFonts w:asciiTheme="minorHAnsi" w:hAnsiTheme="minorHAnsi" w:cstheme="minorHAnsi"/>
          <w:sz w:val="22"/>
          <w:szCs w:val="22"/>
        </w:rPr>
        <w:t xml:space="preserve">focus on gender issues </w:t>
      </w:r>
      <w:r w:rsidR="00D63208">
        <w:rPr>
          <w:rFonts w:asciiTheme="minorHAnsi" w:hAnsiTheme="minorHAnsi" w:cstheme="minorHAnsi"/>
          <w:sz w:val="22"/>
          <w:szCs w:val="22"/>
        </w:rPr>
        <w:t xml:space="preserve">was strengthened </w:t>
      </w:r>
      <w:r w:rsidRPr="00D92B41">
        <w:rPr>
          <w:rFonts w:asciiTheme="minorHAnsi" w:hAnsiTheme="minorHAnsi" w:cstheme="minorHAnsi"/>
          <w:sz w:val="22"/>
          <w:szCs w:val="22"/>
        </w:rPr>
        <w:t xml:space="preserve">through the Permanent Secretary performance contracts. </w:t>
      </w:r>
    </w:p>
    <w:p w:rsidR="00F12CD7" w:rsidRPr="00D92B41" w:rsidRDefault="00F12CD7" w:rsidP="00F12CD7">
      <w:pPr>
        <w:pStyle w:val="ListBullet"/>
        <w:numPr>
          <w:ilvl w:val="0"/>
          <w:numId w:val="0"/>
        </w:numPr>
        <w:rPr>
          <w:rFonts w:asciiTheme="minorHAnsi" w:hAnsiTheme="minorHAnsi" w:cstheme="minorHAnsi"/>
          <w:sz w:val="22"/>
          <w:szCs w:val="22"/>
        </w:rPr>
      </w:pPr>
      <w:r w:rsidRPr="00D92B41">
        <w:rPr>
          <w:rFonts w:asciiTheme="minorHAnsi" w:hAnsiTheme="minorHAnsi" w:cstheme="minorHAnsi"/>
          <w:b/>
          <w:sz w:val="22"/>
          <w:szCs w:val="22"/>
        </w:rPr>
        <w:t>The two lowest rated programs</w:t>
      </w:r>
      <w:r w:rsidRPr="00D92B41">
        <w:rPr>
          <w:rFonts w:asciiTheme="minorHAnsi" w:hAnsiTheme="minorHAnsi" w:cstheme="minorHAnsi"/>
          <w:sz w:val="22"/>
          <w:szCs w:val="22"/>
        </w:rPr>
        <w:t xml:space="preserve"> were SOLMAS and RSIIP. This was a final QAI for SOLMAS and the activity has finished because it was assessed as not performing. RSIIP has been novated to a new contractor. Post will continue to monitor project management closely and </w:t>
      </w:r>
      <w:r w:rsidR="00A210A4">
        <w:rPr>
          <w:rFonts w:asciiTheme="minorHAnsi" w:hAnsiTheme="minorHAnsi" w:cstheme="minorHAnsi"/>
          <w:sz w:val="22"/>
          <w:szCs w:val="22"/>
        </w:rPr>
        <w:t>aims</w:t>
      </w:r>
      <w:r w:rsidRPr="00D92B41">
        <w:rPr>
          <w:rFonts w:asciiTheme="minorHAnsi" w:hAnsiTheme="minorHAnsi" w:cstheme="minorHAnsi"/>
          <w:sz w:val="22"/>
          <w:szCs w:val="22"/>
        </w:rPr>
        <w:t xml:space="preserve"> to complete the contract after major works finish in 2014-2015.</w:t>
      </w:r>
    </w:p>
    <w:p w:rsidR="00950DD0" w:rsidRDefault="00950DD0" w:rsidP="00670871">
      <w:pPr>
        <w:pStyle w:val="Heading3"/>
      </w:pPr>
    </w:p>
    <w:p w:rsidR="00950DD0" w:rsidRDefault="00950DD0" w:rsidP="00670871">
      <w:pPr>
        <w:pStyle w:val="Heading3"/>
      </w:pPr>
    </w:p>
    <w:p w:rsidR="00F12CD7" w:rsidRPr="00670871" w:rsidRDefault="00F12CD7" w:rsidP="00670871">
      <w:pPr>
        <w:pStyle w:val="Heading3"/>
      </w:pPr>
      <w:r w:rsidRPr="00D92B41">
        <w:lastRenderedPageBreak/>
        <w:t xml:space="preserve">Partner Performance </w:t>
      </w:r>
    </w:p>
    <w:p w:rsidR="00F059FF" w:rsidRPr="00340D09" w:rsidRDefault="00974FDF" w:rsidP="00121815">
      <w:pPr>
        <w:pStyle w:val="ListBullet"/>
        <w:numPr>
          <w:ilvl w:val="0"/>
          <w:numId w:val="0"/>
        </w:numPr>
        <w:tabs>
          <w:tab w:val="clear" w:pos="284"/>
        </w:tabs>
        <w:spacing w:line="240" w:lineRule="auto"/>
        <w:rPr>
          <w:rFonts w:asciiTheme="minorHAnsi" w:hAnsiTheme="minorHAnsi" w:cstheme="minorHAnsi"/>
          <w:sz w:val="22"/>
          <w:szCs w:val="22"/>
        </w:rPr>
      </w:pPr>
      <w:r>
        <w:rPr>
          <w:rFonts w:asciiTheme="minorHAnsi" w:hAnsiTheme="minorHAnsi" w:cstheme="minorHAnsi"/>
          <w:sz w:val="22"/>
          <w:szCs w:val="22"/>
        </w:rPr>
        <w:t>Australia</w:t>
      </w:r>
      <w:r w:rsidR="00F12CD7" w:rsidRPr="00D92B41">
        <w:rPr>
          <w:rFonts w:asciiTheme="minorHAnsi" w:hAnsiTheme="minorHAnsi" w:cstheme="minorHAnsi"/>
          <w:sz w:val="22"/>
          <w:szCs w:val="22"/>
        </w:rPr>
        <w:t xml:space="preserve"> </w:t>
      </w:r>
      <w:r w:rsidR="00D63208">
        <w:rPr>
          <w:rFonts w:asciiTheme="minorHAnsi" w:hAnsiTheme="minorHAnsi" w:cstheme="minorHAnsi"/>
          <w:sz w:val="22"/>
          <w:szCs w:val="22"/>
        </w:rPr>
        <w:t xml:space="preserve">is committed to </w:t>
      </w:r>
      <w:r w:rsidR="00F12CD7" w:rsidRPr="00D92B41">
        <w:rPr>
          <w:rFonts w:asciiTheme="minorHAnsi" w:hAnsiTheme="minorHAnsi" w:cstheme="minorHAnsi"/>
          <w:sz w:val="22"/>
          <w:szCs w:val="22"/>
        </w:rPr>
        <w:t>work</w:t>
      </w:r>
      <w:r w:rsidR="00D63208">
        <w:rPr>
          <w:rFonts w:asciiTheme="minorHAnsi" w:hAnsiTheme="minorHAnsi" w:cstheme="minorHAnsi"/>
          <w:sz w:val="22"/>
          <w:szCs w:val="22"/>
        </w:rPr>
        <w:t>ing</w:t>
      </w:r>
      <w:r w:rsidR="00F12CD7" w:rsidRPr="00D92B41">
        <w:rPr>
          <w:rFonts w:asciiTheme="minorHAnsi" w:hAnsiTheme="minorHAnsi" w:cstheme="minorHAnsi"/>
          <w:sz w:val="22"/>
          <w:szCs w:val="22"/>
        </w:rPr>
        <w:t xml:space="preserve"> through </w:t>
      </w:r>
      <w:r w:rsidR="00F12CD7" w:rsidRPr="00D92B41">
        <w:rPr>
          <w:rFonts w:asciiTheme="minorHAnsi" w:hAnsiTheme="minorHAnsi" w:cstheme="minorHAnsi"/>
          <w:b/>
          <w:sz w:val="22"/>
          <w:szCs w:val="22"/>
        </w:rPr>
        <w:t>partner government systems</w:t>
      </w:r>
      <w:r w:rsidRPr="00974FDF">
        <w:rPr>
          <w:rFonts w:asciiTheme="minorHAnsi" w:hAnsiTheme="minorHAnsi" w:cstheme="minorHAnsi"/>
          <w:sz w:val="22"/>
          <w:szCs w:val="22"/>
        </w:rPr>
        <w:t xml:space="preserve"> where possible</w:t>
      </w:r>
      <w:r w:rsidR="00AF7C70">
        <w:rPr>
          <w:rFonts w:asciiTheme="minorHAnsi" w:hAnsiTheme="minorHAnsi" w:cstheme="minorHAnsi"/>
          <w:sz w:val="22"/>
          <w:szCs w:val="22"/>
        </w:rPr>
        <w:t>. However, due to</w:t>
      </w:r>
      <w:r w:rsidR="00F12CD7" w:rsidRPr="00D92B41">
        <w:rPr>
          <w:rFonts w:asciiTheme="minorHAnsi" w:hAnsiTheme="minorHAnsi" w:cstheme="minorHAnsi"/>
          <w:sz w:val="22"/>
          <w:szCs w:val="22"/>
        </w:rPr>
        <w:t xml:space="preserve"> </w:t>
      </w:r>
      <w:r w:rsidR="00AF7C70">
        <w:rPr>
          <w:rFonts w:asciiTheme="minorHAnsi" w:hAnsiTheme="minorHAnsi" w:cstheme="minorHAnsi"/>
          <w:sz w:val="22"/>
          <w:szCs w:val="22"/>
        </w:rPr>
        <w:t>weaknesses in the public sector, this is</w:t>
      </w:r>
      <w:r w:rsidR="00912585">
        <w:rPr>
          <w:rFonts w:asciiTheme="minorHAnsi" w:hAnsiTheme="minorHAnsi" w:cstheme="minorHAnsi"/>
          <w:sz w:val="22"/>
          <w:szCs w:val="22"/>
        </w:rPr>
        <w:t xml:space="preserve"> </w:t>
      </w:r>
      <w:r w:rsidR="00340D09">
        <w:rPr>
          <w:rFonts w:asciiTheme="minorHAnsi" w:hAnsiTheme="minorHAnsi" w:cstheme="minorHAnsi"/>
          <w:sz w:val="22"/>
          <w:szCs w:val="22"/>
        </w:rPr>
        <w:t>supported by</w:t>
      </w:r>
      <w:r w:rsidR="00912585">
        <w:rPr>
          <w:rFonts w:asciiTheme="minorHAnsi" w:hAnsiTheme="minorHAnsi" w:cstheme="minorHAnsi"/>
          <w:sz w:val="22"/>
          <w:szCs w:val="22"/>
        </w:rPr>
        <w:t xml:space="preserve"> technical assistance.</w:t>
      </w:r>
      <w:r w:rsidR="00340D09">
        <w:rPr>
          <w:rFonts w:asciiTheme="minorHAnsi" w:hAnsiTheme="minorHAnsi" w:cstheme="minorHAnsi"/>
          <w:sz w:val="22"/>
          <w:szCs w:val="22"/>
        </w:rPr>
        <w:t xml:space="preserve"> </w:t>
      </w:r>
      <w:r w:rsidR="00E447FF" w:rsidRPr="00EE3657">
        <w:rPr>
          <w:rFonts w:asciiTheme="minorHAnsi" w:hAnsiTheme="minorHAnsi" w:cstheme="minorHAnsi"/>
          <w:sz w:val="22"/>
          <w:szCs w:val="22"/>
        </w:rPr>
        <w:t xml:space="preserve">The program uses a ‘Managing Contractor’ model for </w:t>
      </w:r>
      <w:r w:rsidR="00AF7C70">
        <w:rPr>
          <w:rFonts w:asciiTheme="minorHAnsi" w:hAnsiTheme="minorHAnsi" w:cstheme="minorHAnsi"/>
          <w:sz w:val="22"/>
          <w:szCs w:val="22"/>
        </w:rPr>
        <w:t>l</w:t>
      </w:r>
      <w:r w:rsidR="00F12CD7" w:rsidRPr="00EE3657">
        <w:rPr>
          <w:rFonts w:asciiTheme="minorHAnsi" w:hAnsiTheme="minorHAnsi" w:cstheme="minorHAnsi"/>
          <w:sz w:val="22"/>
          <w:szCs w:val="22"/>
        </w:rPr>
        <w:t>ogistic</w:t>
      </w:r>
      <w:r w:rsidR="00E447FF" w:rsidRPr="00EE3657">
        <w:rPr>
          <w:rFonts w:asciiTheme="minorHAnsi" w:hAnsiTheme="minorHAnsi" w:cstheme="minorHAnsi"/>
          <w:sz w:val="22"/>
          <w:szCs w:val="22"/>
        </w:rPr>
        <w:t>s</w:t>
      </w:r>
      <w:r w:rsidR="00F12CD7" w:rsidRPr="00EE3657">
        <w:rPr>
          <w:rFonts w:asciiTheme="minorHAnsi" w:hAnsiTheme="minorHAnsi" w:cstheme="minorHAnsi"/>
          <w:sz w:val="22"/>
          <w:szCs w:val="22"/>
        </w:rPr>
        <w:t xml:space="preserve"> support to advisors and program staff deployed in country</w:t>
      </w:r>
      <w:r w:rsidR="00AF7C70" w:rsidRPr="00EE3657">
        <w:rPr>
          <w:rFonts w:asciiTheme="minorHAnsi" w:hAnsiTheme="minorHAnsi" w:cstheme="minorHAnsi"/>
          <w:sz w:val="22"/>
          <w:szCs w:val="22"/>
        </w:rPr>
        <w:t>, particularly in the governance and law and justice sectors.</w:t>
      </w:r>
      <w:r w:rsidR="00F12CD7" w:rsidRPr="00D92B41">
        <w:rPr>
          <w:rFonts w:asciiTheme="minorHAnsi" w:hAnsiTheme="minorHAnsi" w:cstheme="minorHAnsi"/>
          <w:sz w:val="22"/>
          <w:szCs w:val="22"/>
        </w:rPr>
        <w:t xml:space="preserve"> The program’s </w:t>
      </w:r>
      <w:r w:rsidR="00E5761A">
        <w:rPr>
          <w:rFonts w:asciiTheme="minorHAnsi" w:hAnsiTheme="minorHAnsi" w:cstheme="minorHAnsi"/>
          <w:sz w:val="22"/>
          <w:szCs w:val="22"/>
        </w:rPr>
        <w:t xml:space="preserve">bilateral </w:t>
      </w:r>
      <w:r w:rsidR="00F12CD7" w:rsidRPr="00D92B41">
        <w:rPr>
          <w:rFonts w:asciiTheme="minorHAnsi" w:hAnsiTheme="minorHAnsi" w:cstheme="minorHAnsi"/>
          <w:sz w:val="22"/>
          <w:szCs w:val="22"/>
        </w:rPr>
        <w:t xml:space="preserve">relationship with </w:t>
      </w:r>
      <w:r w:rsidR="00F12CD7" w:rsidRPr="00D92B41">
        <w:rPr>
          <w:rFonts w:asciiTheme="minorHAnsi" w:hAnsiTheme="minorHAnsi" w:cstheme="minorHAnsi"/>
          <w:b/>
          <w:sz w:val="22"/>
          <w:szCs w:val="22"/>
        </w:rPr>
        <w:t>NGOs</w:t>
      </w:r>
      <w:r w:rsidR="00F12CD7" w:rsidRPr="00D92B41">
        <w:rPr>
          <w:rFonts w:asciiTheme="minorHAnsi" w:hAnsiTheme="minorHAnsi" w:cstheme="minorHAnsi"/>
          <w:sz w:val="22"/>
          <w:szCs w:val="22"/>
        </w:rPr>
        <w:t xml:space="preserve"> is largely through SINPA</w:t>
      </w:r>
      <w:r w:rsidR="00340D09">
        <w:rPr>
          <w:rFonts w:asciiTheme="minorHAnsi" w:hAnsiTheme="minorHAnsi" w:cstheme="minorHAnsi"/>
          <w:sz w:val="22"/>
          <w:szCs w:val="22"/>
        </w:rPr>
        <w:t xml:space="preserve"> which</w:t>
      </w:r>
      <w:r w:rsidR="00F12CD7" w:rsidRPr="00D92B41">
        <w:rPr>
          <w:rFonts w:asciiTheme="minorHAnsi" w:hAnsiTheme="minorHAnsi" w:cstheme="minorHAnsi"/>
          <w:sz w:val="22"/>
          <w:szCs w:val="22"/>
        </w:rPr>
        <w:t xml:space="preserve"> is reporting some capacity gains in NGOs. </w:t>
      </w:r>
    </w:p>
    <w:p w:rsidR="00F12CD7" w:rsidRPr="00D92B41" w:rsidRDefault="00F12CD7" w:rsidP="00121815">
      <w:pPr>
        <w:spacing w:after="120"/>
        <w:rPr>
          <w:rFonts w:asciiTheme="minorHAnsi" w:hAnsiTheme="minorHAnsi" w:cstheme="minorHAnsi"/>
          <w:sz w:val="22"/>
          <w:szCs w:val="22"/>
        </w:rPr>
      </w:pPr>
      <w:r w:rsidRPr="00D92B41">
        <w:rPr>
          <w:rFonts w:asciiTheme="minorHAnsi" w:hAnsiTheme="minorHAnsi" w:cstheme="minorHAnsi"/>
          <w:sz w:val="22"/>
          <w:szCs w:val="22"/>
        </w:rPr>
        <w:t xml:space="preserve">The program works with </w:t>
      </w:r>
      <w:r w:rsidRPr="00D92B41">
        <w:rPr>
          <w:rFonts w:asciiTheme="minorHAnsi" w:hAnsiTheme="minorHAnsi" w:cstheme="minorHAnsi"/>
          <w:b/>
          <w:sz w:val="22"/>
          <w:szCs w:val="22"/>
        </w:rPr>
        <w:t>multilateral partners</w:t>
      </w:r>
      <w:r w:rsidRPr="00D92B41">
        <w:rPr>
          <w:rFonts w:asciiTheme="minorHAnsi" w:hAnsiTheme="minorHAnsi" w:cstheme="minorHAnsi"/>
          <w:sz w:val="22"/>
          <w:szCs w:val="22"/>
        </w:rPr>
        <w:t xml:space="preserve"> in the electoral support program (UNDP), in health (WB), infrastructure programs (ADB, WB) and on economic and public financial management (ADB, WB). </w:t>
      </w:r>
    </w:p>
    <w:p w:rsidR="00503EEC" w:rsidRDefault="003373E9" w:rsidP="00121815">
      <w:pPr>
        <w:spacing w:after="120"/>
        <w:rPr>
          <w:rFonts w:asciiTheme="minorHAnsi" w:hAnsiTheme="minorHAnsi" w:cstheme="minorHAnsi"/>
          <w:sz w:val="22"/>
          <w:szCs w:val="22"/>
        </w:rPr>
      </w:pPr>
      <w:r>
        <w:rPr>
          <w:rFonts w:asciiTheme="minorHAnsi" w:hAnsiTheme="minorHAnsi" w:cstheme="minorHAnsi"/>
          <w:sz w:val="22"/>
          <w:szCs w:val="22"/>
        </w:rPr>
        <w:t>Solomon Islands</w:t>
      </w:r>
      <w:r w:rsidR="00F12CD7" w:rsidRPr="00D92B41">
        <w:rPr>
          <w:rFonts w:asciiTheme="minorHAnsi" w:hAnsiTheme="minorHAnsi" w:cstheme="minorHAnsi"/>
          <w:sz w:val="22"/>
          <w:szCs w:val="22"/>
        </w:rPr>
        <w:t xml:space="preserve"> requested the UNDP enter the electoral sector in 2012</w:t>
      </w:r>
      <w:r w:rsidR="00AF7C70">
        <w:rPr>
          <w:rFonts w:asciiTheme="minorHAnsi" w:hAnsiTheme="minorHAnsi" w:cstheme="minorHAnsi"/>
          <w:sz w:val="22"/>
          <w:szCs w:val="22"/>
        </w:rPr>
        <w:t xml:space="preserve"> and</w:t>
      </w:r>
      <w:r w:rsidR="00F12CD7" w:rsidRPr="00D92B41">
        <w:rPr>
          <w:rFonts w:asciiTheme="minorHAnsi" w:hAnsiTheme="minorHAnsi" w:cstheme="minorHAnsi"/>
          <w:sz w:val="22"/>
          <w:szCs w:val="22"/>
        </w:rPr>
        <w:t xml:space="preserve"> decision of Australia to partner with UNDP (and EU</w:t>
      </w:r>
      <w:r w:rsidR="00AF7C70" w:rsidRPr="00D92B41">
        <w:rPr>
          <w:rFonts w:asciiTheme="minorHAnsi" w:hAnsiTheme="minorHAnsi" w:cstheme="minorHAnsi"/>
          <w:sz w:val="22"/>
          <w:szCs w:val="22"/>
        </w:rPr>
        <w:t>)</w:t>
      </w:r>
      <w:r w:rsidR="00AF7C70">
        <w:rPr>
          <w:rFonts w:asciiTheme="minorHAnsi" w:hAnsiTheme="minorHAnsi" w:cstheme="minorHAnsi"/>
          <w:sz w:val="22"/>
          <w:szCs w:val="22"/>
        </w:rPr>
        <w:t xml:space="preserve"> brought</w:t>
      </w:r>
      <w:r w:rsidR="00F12CD7" w:rsidRPr="00D92B41">
        <w:rPr>
          <w:rFonts w:asciiTheme="minorHAnsi" w:hAnsiTheme="minorHAnsi" w:cstheme="minorHAnsi"/>
          <w:sz w:val="22"/>
          <w:szCs w:val="22"/>
        </w:rPr>
        <w:t xml:space="preserve"> additional resources and diffus</w:t>
      </w:r>
      <w:r w:rsidR="00AF7C70">
        <w:rPr>
          <w:rFonts w:asciiTheme="minorHAnsi" w:hAnsiTheme="minorHAnsi" w:cstheme="minorHAnsi"/>
          <w:sz w:val="22"/>
          <w:szCs w:val="22"/>
        </w:rPr>
        <w:t>ed</w:t>
      </w:r>
      <w:r w:rsidR="00F12CD7" w:rsidRPr="00D92B41">
        <w:rPr>
          <w:rFonts w:asciiTheme="minorHAnsi" w:hAnsiTheme="minorHAnsi" w:cstheme="minorHAnsi"/>
          <w:sz w:val="22"/>
          <w:szCs w:val="22"/>
        </w:rPr>
        <w:t xml:space="preserve"> Australia’s political risks </w:t>
      </w:r>
      <w:r w:rsidR="00913DDE">
        <w:rPr>
          <w:rFonts w:asciiTheme="minorHAnsi" w:hAnsiTheme="minorHAnsi" w:cstheme="minorHAnsi"/>
          <w:sz w:val="22"/>
          <w:szCs w:val="22"/>
        </w:rPr>
        <w:t>as</w:t>
      </w:r>
      <w:r w:rsidR="00F12CD7" w:rsidRPr="00D92B41">
        <w:rPr>
          <w:rFonts w:asciiTheme="minorHAnsi" w:hAnsiTheme="minorHAnsi" w:cstheme="minorHAnsi"/>
          <w:sz w:val="22"/>
          <w:szCs w:val="22"/>
        </w:rPr>
        <w:t xml:space="preserve"> the sole donor in the sector. </w:t>
      </w:r>
      <w:r w:rsidR="00AF7C70">
        <w:rPr>
          <w:rFonts w:asciiTheme="minorHAnsi" w:hAnsiTheme="minorHAnsi" w:cstheme="minorHAnsi"/>
          <w:sz w:val="22"/>
          <w:szCs w:val="22"/>
        </w:rPr>
        <w:t>However, t</w:t>
      </w:r>
      <w:r w:rsidR="00913DDE">
        <w:rPr>
          <w:rFonts w:asciiTheme="minorHAnsi" w:hAnsiTheme="minorHAnsi" w:cstheme="minorHAnsi"/>
          <w:sz w:val="22"/>
          <w:szCs w:val="22"/>
        </w:rPr>
        <w:t xml:space="preserve">hese benefits are </w:t>
      </w:r>
      <w:r w:rsidR="00F12CD7" w:rsidRPr="00D92B41">
        <w:rPr>
          <w:rFonts w:asciiTheme="minorHAnsi" w:hAnsiTheme="minorHAnsi" w:cstheme="minorHAnsi"/>
          <w:sz w:val="22"/>
          <w:szCs w:val="22"/>
        </w:rPr>
        <w:t>offset by</w:t>
      </w:r>
      <w:r w:rsidR="00913DDE">
        <w:rPr>
          <w:rFonts w:asciiTheme="minorHAnsi" w:hAnsiTheme="minorHAnsi" w:cstheme="minorHAnsi"/>
          <w:sz w:val="22"/>
          <w:szCs w:val="22"/>
        </w:rPr>
        <w:t xml:space="preserve"> the</w:t>
      </w:r>
      <w:r w:rsidR="00F12CD7" w:rsidRPr="00D92B41">
        <w:rPr>
          <w:rFonts w:asciiTheme="minorHAnsi" w:hAnsiTheme="minorHAnsi" w:cstheme="minorHAnsi"/>
          <w:sz w:val="22"/>
          <w:szCs w:val="22"/>
        </w:rPr>
        <w:t xml:space="preserve"> increased complexity </w:t>
      </w:r>
      <w:r w:rsidR="00974FDF">
        <w:rPr>
          <w:rFonts w:asciiTheme="minorHAnsi" w:hAnsiTheme="minorHAnsi" w:cstheme="minorHAnsi"/>
          <w:sz w:val="22"/>
          <w:szCs w:val="22"/>
        </w:rPr>
        <w:t>from</w:t>
      </w:r>
      <w:r w:rsidR="00F12CD7" w:rsidRPr="00D92B41">
        <w:rPr>
          <w:rFonts w:asciiTheme="minorHAnsi" w:hAnsiTheme="minorHAnsi" w:cstheme="minorHAnsi"/>
          <w:sz w:val="22"/>
          <w:szCs w:val="22"/>
        </w:rPr>
        <w:t xml:space="preserve"> UNDP joining the program. </w:t>
      </w:r>
    </w:p>
    <w:p w:rsidR="00F12CD7" w:rsidRPr="00D92B41" w:rsidRDefault="00503EEC" w:rsidP="00121815">
      <w:pPr>
        <w:spacing w:after="120"/>
        <w:rPr>
          <w:rFonts w:asciiTheme="minorHAnsi" w:hAnsiTheme="minorHAnsi" w:cstheme="minorHAnsi"/>
          <w:sz w:val="22"/>
          <w:szCs w:val="22"/>
        </w:rPr>
      </w:pPr>
      <w:r w:rsidRPr="00503EEC">
        <w:rPr>
          <w:rFonts w:asciiTheme="minorHAnsi" w:hAnsiTheme="minorHAnsi" w:cstheme="minorHAnsi"/>
          <w:sz w:val="22"/>
          <w:szCs w:val="22"/>
        </w:rPr>
        <w:t>Performance of SWAp partners in health remained mixed in 2013</w:t>
      </w:r>
      <w:r w:rsidR="00AB5D2B">
        <w:rPr>
          <w:rFonts w:asciiTheme="minorHAnsi" w:hAnsiTheme="minorHAnsi" w:cstheme="minorHAnsi"/>
          <w:sz w:val="22"/>
          <w:szCs w:val="22"/>
        </w:rPr>
        <w:t>.</w:t>
      </w:r>
      <w:r w:rsidRPr="00503EEC">
        <w:rPr>
          <w:rFonts w:asciiTheme="minorHAnsi" w:hAnsiTheme="minorHAnsi" w:cstheme="minorHAnsi"/>
          <w:sz w:val="22"/>
          <w:szCs w:val="22"/>
        </w:rPr>
        <w:t xml:space="preserve"> </w:t>
      </w:r>
      <w:r w:rsidR="00AB5D2B">
        <w:rPr>
          <w:rFonts w:asciiTheme="minorHAnsi" w:hAnsiTheme="minorHAnsi" w:cstheme="minorHAnsi"/>
          <w:sz w:val="22"/>
          <w:szCs w:val="22"/>
        </w:rPr>
        <w:t>H</w:t>
      </w:r>
      <w:r w:rsidRPr="00503EEC">
        <w:rPr>
          <w:rFonts w:asciiTheme="minorHAnsi" w:hAnsiTheme="minorHAnsi" w:cstheme="minorHAnsi"/>
          <w:sz w:val="22"/>
          <w:szCs w:val="22"/>
        </w:rPr>
        <w:t xml:space="preserve">owever signs are positive with improved regional collaboration with Suva helping to keep UN partners to account for improved service delivery results. </w:t>
      </w:r>
      <w:r>
        <w:rPr>
          <w:rFonts w:asciiTheme="minorHAnsi" w:hAnsiTheme="minorHAnsi" w:cstheme="minorHAnsi"/>
          <w:sz w:val="22"/>
          <w:szCs w:val="22"/>
        </w:rPr>
        <w:t>The h</w:t>
      </w:r>
      <w:r w:rsidRPr="00503EEC">
        <w:rPr>
          <w:rFonts w:asciiTheme="minorHAnsi" w:hAnsiTheme="minorHAnsi" w:cstheme="minorHAnsi"/>
          <w:sz w:val="22"/>
          <w:szCs w:val="22"/>
        </w:rPr>
        <w:t>ealth team requires high level support from headquarters in advocating for a more appropriate Global Fund funding model for Solomon Islands.</w:t>
      </w:r>
    </w:p>
    <w:p w:rsidR="00F12CD7" w:rsidRPr="00D92B41" w:rsidRDefault="00F12CD7" w:rsidP="00121815">
      <w:pPr>
        <w:spacing w:after="120"/>
        <w:rPr>
          <w:rFonts w:asciiTheme="minorHAnsi" w:hAnsiTheme="minorHAnsi" w:cstheme="minorHAnsi"/>
          <w:sz w:val="22"/>
          <w:szCs w:val="22"/>
        </w:rPr>
      </w:pPr>
      <w:r w:rsidRPr="00D92B41">
        <w:rPr>
          <w:rFonts w:asciiTheme="minorHAnsi" w:hAnsiTheme="minorHAnsi" w:cstheme="minorHAnsi"/>
          <w:sz w:val="22"/>
          <w:szCs w:val="22"/>
        </w:rPr>
        <w:t xml:space="preserve">Donor coordination on economic and public financial management </w:t>
      </w:r>
      <w:r w:rsidR="00340D09">
        <w:rPr>
          <w:rFonts w:asciiTheme="minorHAnsi" w:hAnsiTheme="minorHAnsi" w:cstheme="minorHAnsi"/>
          <w:sz w:val="22"/>
          <w:szCs w:val="22"/>
        </w:rPr>
        <w:t>is</w:t>
      </w:r>
      <w:r w:rsidRPr="00D92B41">
        <w:rPr>
          <w:rFonts w:asciiTheme="minorHAnsi" w:hAnsiTheme="minorHAnsi" w:cstheme="minorHAnsi"/>
          <w:sz w:val="22"/>
          <w:szCs w:val="22"/>
        </w:rPr>
        <w:t xml:space="preserve"> through the </w:t>
      </w:r>
      <w:r w:rsidR="003373E9">
        <w:rPr>
          <w:rFonts w:asciiTheme="minorHAnsi" w:hAnsiTheme="minorHAnsi" w:cstheme="minorHAnsi"/>
          <w:sz w:val="22"/>
          <w:szCs w:val="22"/>
        </w:rPr>
        <w:t>CEWG</w:t>
      </w:r>
      <w:r w:rsidRPr="00D92B41">
        <w:rPr>
          <w:rFonts w:asciiTheme="minorHAnsi" w:hAnsiTheme="minorHAnsi" w:cstheme="minorHAnsi"/>
          <w:sz w:val="22"/>
          <w:szCs w:val="22"/>
        </w:rPr>
        <w:t xml:space="preserve">. The CEWG </w:t>
      </w:r>
      <w:r w:rsidR="00E447CE">
        <w:rPr>
          <w:rFonts w:asciiTheme="minorHAnsi" w:hAnsiTheme="minorHAnsi" w:cstheme="minorHAnsi"/>
          <w:sz w:val="22"/>
          <w:szCs w:val="22"/>
        </w:rPr>
        <w:t>met</w:t>
      </w:r>
      <w:r w:rsidRPr="00D92B41">
        <w:rPr>
          <w:rFonts w:asciiTheme="minorHAnsi" w:hAnsiTheme="minorHAnsi" w:cstheme="minorHAnsi"/>
          <w:sz w:val="22"/>
          <w:szCs w:val="22"/>
        </w:rPr>
        <w:t xml:space="preserve"> with the IMF during their biannual Article IV consultations. World Bank and ADB are valued partners in developing a policy agenda in Solomon Islands </w:t>
      </w:r>
      <w:r w:rsidR="00340D09">
        <w:rPr>
          <w:rFonts w:asciiTheme="minorHAnsi" w:hAnsiTheme="minorHAnsi" w:cstheme="minorHAnsi"/>
          <w:sz w:val="22"/>
          <w:szCs w:val="22"/>
        </w:rPr>
        <w:t>to</w:t>
      </w:r>
      <w:r w:rsidRPr="00D92B41">
        <w:rPr>
          <w:rFonts w:asciiTheme="minorHAnsi" w:hAnsiTheme="minorHAnsi" w:cstheme="minorHAnsi"/>
          <w:sz w:val="22"/>
          <w:szCs w:val="22"/>
        </w:rPr>
        <w:t xml:space="preserve"> support growth and economic stability.</w:t>
      </w:r>
      <w:r w:rsidR="00D63208">
        <w:rPr>
          <w:rFonts w:asciiTheme="minorHAnsi" w:hAnsiTheme="minorHAnsi" w:cstheme="minorHAnsi"/>
          <w:sz w:val="22"/>
          <w:szCs w:val="22"/>
        </w:rPr>
        <w:t xml:space="preserve"> In addition, Australia chairs a </w:t>
      </w:r>
      <w:r w:rsidR="00E447CE">
        <w:rPr>
          <w:rFonts w:asciiTheme="minorHAnsi" w:hAnsiTheme="minorHAnsi" w:cstheme="minorHAnsi"/>
          <w:sz w:val="22"/>
          <w:szCs w:val="22"/>
        </w:rPr>
        <w:br/>
      </w:r>
      <w:r w:rsidR="00D63208">
        <w:rPr>
          <w:rFonts w:asciiTheme="minorHAnsi" w:hAnsiTheme="minorHAnsi" w:cstheme="minorHAnsi"/>
          <w:sz w:val="22"/>
          <w:szCs w:val="22"/>
        </w:rPr>
        <w:t>donor</w:t>
      </w:r>
      <w:r w:rsidR="00E447CE">
        <w:rPr>
          <w:rFonts w:asciiTheme="minorHAnsi" w:hAnsiTheme="minorHAnsi" w:cstheme="minorHAnsi"/>
          <w:sz w:val="22"/>
          <w:szCs w:val="22"/>
        </w:rPr>
        <w:t>-</w:t>
      </w:r>
      <w:r w:rsidR="00D63208">
        <w:rPr>
          <w:rFonts w:asciiTheme="minorHAnsi" w:hAnsiTheme="minorHAnsi" w:cstheme="minorHAnsi"/>
          <w:sz w:val="22"/>
          <w:szCs w:val="22"/>
        </w:rPr>
        <w:t>coordination working group on gender in Solomon Islands.</w:t>
      </w:r>
    </w:p>
    <w:p w:rsidR="00F12CD7" w:rsidRPr="00D92B41" w:rsidRDefault="00F12CD7" w:rsidP="00121815">
      <w:pPr>
        <w:spacing w:after="120"/>
        <w:rPr>
          <w:rFonts w:asciiTheme="minorHAnsi" w:hAnsiTheme="minorHAnsi" w:cstheme="minorHAnsi"/>
          <w:sz w:val="22"/>
          <w:szCs w:val="22"/>
        </w:rPr>
      </w:pPr>
      <w:r w:rsidRPr="00D92B41">
        <w:rPr>
          <w:rFonts w:asciiTheme="minorHAnsi" w:hAnsiTheme="minorHAnsi" w:cstheme="minorHAnsi"/>
          <w:sz w:val="22"/>
          <w:szCs w:val="22"/>
        </w:rPr>
        <w:t>The comparative advantage of the development banks in infrastructure means they are important partners in this sector.</w:t>
      </w:r>
      <w:r w:rsidR="00321DA1">
        <w:rPr>
          <w:rFonts w:asciiTheme="minorHAnsi" w:hAnsiTheme="minorHAnsi" w:cstheme="minorHAnsi"/>
          <w:sz w:val="22"/>
          <w:szCs w:val="22"/>
        </w:rPr>
        <w:t xml:space="preserve"> </w:t>
      </w:r>
      <w:r w:rsidRPr="00D92B41">
        <w:rPr>
          <w:rFonts w:asciiTheme="minorHAnsi" w:hAnsiTheme="minorHAnsi" w:cstheme="minorHAnsi"/>
          <w:sz w:val="22"/>
          <w:szCs w:val="22"/>
        </w:rPr>
        <w:t>Australia’s support to energy and telecommunications is managed through the World Bank. The World Bank brings significant global expertise essential to implementing complex projects in these sectors such as the Tina R</w:t>
      </w:r>
      <w:r w:rsidR="00E447CE">
        <w:rPr>
          <w:rFonts w:asciiTheme="minorHAnsi" w:hAnsiTheme="minorHAnsi" w:cstheme="minorHAnsi"/>
          <w:sz w:val="22"/>
          <w:szCs w:val="22"/>
        </w:rPr>
        <w:t>i</w:t>
      </w:r>
      <w:r w:rsidRPr="00D92B41">
        <w:rPr>
          <w:rFonts w:asciiTheme="minorHAnsi" w:hAnsiTheme="minorHAnsi" w:cstheme="minorHAnsi"/>
          <w:sz w:val="22"/>
          <w:szCs w:val="22"/>
        </w:rPr>
        <w:t>ver Hydropower Project.</w:t>
      </w:r>
    </w:p>
    <w:p w:rsidR="00F12CD7" w:rsidRPr="00D92B41" w:rsidRDefault="00F12CD7" w:rsidP="00121815">
      <w:pPr>
        <w:spacing w:after="120"/>
        <w:rPr>
          <w:rFonts w:asciiTheme="minorHAnsi" w:hAnsiTheme="minorHAnsi" w:cstheme="minorHAnsi"/>
          <w:sz w:val="22"/>
          <w:szCs w:val="22"/>
        </w:rPr>
      </w:pPr>
      <w:r w:rsidRPr="00D92B41">
        <w:rPr>
          <w:rFonts w:asciiTheme="minorHAnsi" w:hAnsiTheme="minorHAnsi" w:cstheme="minorHAnsi"/>
          <w:sz w:val="22"/>
          <w:szCs w:val="22"/>
        </w:rPr>
        <w:t>There is room for improve</w:t>
      </w:r>
      <w:r w:rsidR="00E447CE">
        <w:rPr>
          <w:rFonts w:asciiTheme="minorHAnsi" w:hAnsiTheme="minorHAnsi" w:cstheme="minorHAnsi"/>
          <w:sz w:val="22"/>
          <w:szCs w:val="22"/>
        </w:rPr>
        <w:t>d</w:t>
      </w:r>
      <w:r w:rsidRPr="00D92B41">
        <w:rPr>
          <w:rFonts w:asciiTheme="minorHAnsi" w:hAnsiTheme="minorHAnsi" w:cstheme="minorHAnsi"/>
          <w:sz w:val="22"/>
          <w:szCs w:val="22"/>
        </w:rPr>
        <w:t xml:space="preserve"> </w:t>
      </w:r>
      <w:r w:rsidR="00913DDE">
        <w:rPr>
          <w:rFonts w:asciiTheme="minorHAnsi" w:hAnsiTheme="minorHAnsi" w:cstheme="minorHAnsi"/>
          <w:sz w:val="22"/>
          <w:szCs w:val="22"/>
        </w:rPr>
        <w:t>coordination between</w:t>
      </w:r>
      <w:r w:rsidRPr="00D92B41">
        <w:rPr>
          <w:rFonts w:asciiTheme="minorHAnsi" w:hAnsiTheme="minorHAnsi" w:cstheme="minorHAnsi"/>
          <w:sz w:val="22"/>
          <w:szCs w:val="22"/>
        </w:rPr>
        <w:t xml:space="preserve"> DFAT </w:t>
      </w:r>
      <w:r w:rsidR="00913DDE">
        <w:rPr>
          <w:rFonts w:asciiTheme="minorHAnsi" w:hAnsiTheme="minorHAnsi" w:cstheme="minorHAnsi"/>
          <w:sz w:val="22"/>
          <w:szCs w:val="22"/>
        </w:rPr>
        <w:t xml:space="preserve">and the two development banks </w:t>
      </w:r>
      <w:r w:rsidRPr="00D92B41">
        <w:rPr>
          <w:rFonts w:asciiTheme="minorHAnsi" w:hAnsiTheme="minorHAnsi" w:cstheme="minorHAnsi"/>
          <w:sz w:val="22"/>
          <w:szCs w:val="22"/>
        </w:rPr>
        <w:t>on pipeline planning to ensure infrastructure investments are prioritised appropriately and the right mix of financing sources is applied.</w:t>
      </w:r>
    </w:p>
    <w:p w:rsidR="000D733F" w:rsidRDefault="000D733F" w:rsidP="00121815">
      <w:pPr>
        <w:pStyle w:val="Heading3"/>
      </w:pPr>
      <w:r>
        <w:t>Risks</w:t>
      </w:r>
    </w:p>
    <w:p w:rsidR="00CE56D3" w:rsidRPr="00CE56D3" w:rsidRDefault="00CE56D3" w:rsidP="005729BE">
      <w:pPr>
        <w:pStyle w:val="BodyText"/>
        <w:rPr>
          <w:rFonts w:asciiTheme="minorHAnsi" w:hAnsiTheme="minorHAnsi" w:cstheme="minorHAnsi"/>
          <w:sz w:val="22"/>
          <w:szCs w:val="22"/>
        </w:rPr>
      </w:pPr>
      <w:r>
        <w:rPr>
          <w:rFonts w:asciiTheme="minorHAnsi" w:hAnsiTheme="minorHAnsi" w:cstheme="minorHAnsi"/>
          <w:sz w:val="22"/>
          <w:szCs w:val="22"/>
        </w:rPr>
        <w:t xml:space="preserve">The key risks facing the Solomon Islands program related to the upcoming elections and the </w:t>
      </w:r>
      <w:r w:rsidR="00E447CE">
        <w:rPr>
          <w:rFonts w:asciiTheme="minorHAnsi" w:hAnsiTheme="minorHAnsi" w:cstheme="minorHAnsi"/>
          <w:sz w:val="22"/>
          <w:szCs w:val="22"/>
        </w:rPr>
        <w:t>possibility</w:t>
      </w:r>
      <w:r>
        <w:rPr>
          <w:rFonts w:asciiTheme="minorHAnsi" w:hAnsiTheme="minorHAnsi" w:cstheme="minorHAnsi"/>
          <w:sz w:val="22"/>
          <w:szCs w:val="22"/>
        </w:rPr>
        <w:t xml:space="preserve"> of fraud. The three major risk and mitigation actions are as follows:</w:t>
      </w:r>
    </w:p>
    <w:p w:rsidR="008820C5" w:rsidRPr="00CE56D3" w:rsidRDefault="008820C5" w:rsidP="005729BE">
      <w:pPr>
        <w:pStyle w:val="BodyText"/>
        <w:rPr>
          <w:rFonts w:asciiTheme="minorHAnsi" w:hAnsiTheme="minorHAnsi" w:cstheme="minorHAnsi"/>
          <w:b/>
          <w:sz w:val="22"/>
          <w:szCs w:val="22"/>
        </w:rPr>
      </w:pPr>
      <w:r w:rsidRPr="00CE56D3">
        <w:rPr>
          <w:rFonts w:asciiTheme="minorHAnsi" w:hAnsiTheme="minorHAnsi" w:cstheme="minorHAnsi"/>
          <w:b/>
          <w:sz w:val="22"/>
          <w:szCs w:val="22"/>
        </w:rPr>
        <w:t xml:space="preserve">1. </w:t>
      </w:r>
      <w:r w:rsidR="00F413E6">
        <w:rPr>
          <w:rFonts w:asciiTheme="minorHAnsi" w:hAnsiTheme="minorHAnsi" w:cstheme="minorHAnsi"/>
          <w:b/>
          <w:sz w:val="22"/>
          <w:szCs w:val="22"/>
        </w:rPr>
        <w:t>The Solomon Islands Government</w:t>
      </w:r>
      <w:r w:rsidR="00F413E6" w:rsidRPr="00CE56D3">
        <w:rPr>
          <w:rFonts w:asciiTheme="minorHAnsi" w:hAnsiTheme="minorHAnsi" w:cstheme="minorHAnsi"/>
          <w:b/>
          <w:sz w:val="22"/>
          <w:szCs w:val="22"/>
        </w:rPr>
        <w:t xml:space="preserve"> </w:t>
      </w:r>
      <w:r w:rsidRPr="00CE56D3">
        <w:rPr>
          <w:rFonts w:asciiTheme="minorHAnsi" w:hAnsiTheme="minorHAnsi" w:cstheme="minorHAnsi"/>
          <w:b/>
          <w:sz w:val="22"/>
          <w:szCs w:val="22"/>
        </w:rPr>
        <w:t xml:space="preserve">is unable to </w:t>
      </w:r>
      <w:r w:rsidR="00E447CE">
        <w:rPr>
          <w:rFonts w:asciiTheme="minorHAnsi" w:hAnsiTheme="minorHAnsi" w:cstheme="minorHAnsi"/>
          <w:b/>
          <w:sz w:val="22"/>
          <w:szCs w:val="22"/>
        </w:rPr>
        <w:t>conduct</w:t>
      </w:r>
      <w:r w:rsidRPr="00CE56D3">
        <w:rPr>
          <w:rFonts w:asciiTheme="minorHAnsi" w:hAnsiTheme="minorHAnsi" w:cstheme="minorHAnsi"/>
          <w:b/>
          <w:sz w:val="22"/>
          <w:szCs w:val="22"/>
        </w:rPr>
        <w:t xml:space="preserve"> free, fair and timely elections (in line with constitutional requirements) are held in 2014, leading to </w:t>
      </w:r>
      <w:r w:rsidR="005729BE" w:rsidRPr="00CE56D3">
        <w:rPr>
          <w:rFonts w:asciiTheme="minorHAnsi" w:hAnsiTheme="minorHAnsi" w:cstheme="minorHAnsi"/>
          <w:b/>
          <w:sz w:val="22"/>
          <w:szCs w:val="22"/>
        </w:rPr>
        <w:t>political upheaval or paralysis.</w:t>
      </w:r>
    </w:p>
    <w:p w:rsidR="008820C5" w:rsidRPr="008820C5" w:rsidRDefault="005729BE" w:rsidP="005729BE">
      <w:pPr>
        <w:pStyle w:val="TableTextEntries"/>
        <w:spacing w:before="0" w:after="60" w:line="240" w:lineRule="auto"/>
        <w:rPr>
          <w:rFonts w:asciiTheme="minorHAnsi" w:hAnsiTheme="minorHAnsi" w:cstheme="minorHAnsi"/>
          <w:sz w:val="22"/>
          <w:szCs w:val="22"/>
        </w:rPr>
      </w:pPr>
      <w:r w:rsidRPr="005729BE">
        <w:rPr>
          <w:rFonts w:asciiTheme="minorHAnsi" w:hAnsiTheme="minorHAnsi" w:cstheme="minorHAnsi"/>
          <w:i/>
          <w:sz w:val="22"/>
          <w:szCs w:val="22"/>
        </w:rPr>
        <w:t xml:space="preserve">In the past year: </w:t>
      </w:r>
      <w:r w:rsidR="008820C5" w:rsidRPr="008820C5">
        <w:rPr>
          <w:rFonts w:asciiTheme="minorHAnsi" w:hAnsiTheme="minorHAnsi" w:cstheme="minorHAnsi"/>
          <w:sz w:val="22"/>
          <w:szCs w:val="22"/>
        </w:rPr>
        <w:t xml:space="preserve">DFAT and UNDP programs </w:t>
      </w:r>
      <w:r w:rsidR="00CE56D3">
        <w:rPr>
          <w:rFonts w:asciiTheme="minorHAnsi" w:hAnsiTheme="minorHAnsi" w:cstheme="minorHAnsi"/>
          <w:sz w:val="22"/>
          <w:szCs w:val="22"/>
        </w:rPr>
        <w:t>continued</w:t>
      </w:r>
      <w:r w:rsidR="008820C5" w:rsidRPr="008820C5">
        <w:rPr>
          <w:rFonts w:asciiTheme="minorHAnsi" w:hAnsiTheme="minorHAnsi" w:cstheme="minorHAnsi"/>
          <w:sz w:val="22"/>
          <w:szCs w:val="22"/>
        </w:rPr>
        <w:t xml:space="preserve"> including the placement of high quality </w:t>
      </w:r>
      <w:r>
        <w:rPr>
          <w:rFonts w:asciiTheme="minorHAnsi" w:hAnsiTheme="minorHAnsi" w:cstheme="minorHAnsi"/>
          <w:sz w:val="22"/>
          <w:szCs w:val="22"/>
        </w:rPr>
        <w:t>technical assistance</w:t>
      </w:r>
      <w:r w:rsidR="008820C5" w:rsidRPr="008820C5">
        <w:rPr>
          <w:rFonts w:asciiTheme="minorHAnsi" w:hAnsiTheme="minorHAnsi" w:cstheme="minorHAnsi"/>
          <w:sz w:val="22"/>
          <w:szCs w:val="22"/>
        </w:rPr>
        <w:t xml:space="preserve"> in </w:t>
      </w:r>
      <w:r>
        <w:rPr>
          <w:rFonts w:asciiTheme="minorHAnsi" w:hAnsiTheme="minorHAnsi" w:cstheme="minorHAnsi"/>
          <w:sz w:val="22"/>
          <w:szCs w:val="22"/>
        </w:rPr>
        <w:t>the Solomon Islands Electoral Commission</w:t>
      </w:r>
      <w:r w:rsidR="008820C5" w:rsidRPr="008820C5">
        <w:rPr>
          <w:rFonts w:asciiTheme="minorHAnsi" w:hAnsiTheme="minorHAnsi" w:cstheme="minorHAnsi"/>
          <w:sz w:val="22"/>
          <w:szCs w:val="22"/>
        </w:rPr>
        <w:t xml:space="preserve"> to be able to assist and monitor election preparations.</w:t>
      </w:r>
      <w:r>
        <w:rPr>
          <w:rFonts w:asciiTheme="minorHAnsi" w:hAnsiTheme="minorHAnsi" w:cstheme="minorHAnsi"/>
          <w:sz w:val="22"/>
          <w:szCs w:val="22"/>
        </w:rPr>
        <w:t xml:space="preserve"> In addition, a </w:t>
      </w:r>
      <w:r w:rsidR="008820C5" w:rsidRPr="008820C5">
        <w:rPr>
          <w:rFonts w:asciiTheme="minorHAnsi" w:hAnsiTheme="minorHAnsi" w:cstheme="minorHAnsi"/>
          <w:sz w:val="22"/>
          <w:szCs w:val="22"/>
        </w:rPr>
        <w:t>Honiara and Canberra based elections working group</w:t>
      </w:r>
      <w:r w:rsidR="00CE56D3">
        <w:rPr>
          <w:rFonts w:asciiTheme="minorHAnsi" w:hAnsiTheme="minorHAnsi" w:cstheme="minorHAnsi"/>
          <w:sz w:val="22"/>
          <w:szCs w:val="22"/>
        </w:rPr>
        <w:t xml:space="preserve"> met</w:t>
      </w:r>
      <w:r w:rsidR="008820C5" w:rsidRPr="008820C5">
        <w:rPr>
          <w:rFonts w:asciiTheme="minorHAnsi" w:hAnsiTheme="minorHAnsi" w:cstheme="minorHAnsi"/>
          <w:sz w:val="22"/>
          <w:szCs w:val="22"/>
        </w:rPr>
        <w:t xml:space="preserve"> regularly.</w:t>
      </w:r>
    </w:p>
    <w:p w:rsidR="008820C5" w:rsidRPr="005729BE" w:rsidRDefault="005729BE" w:rsidP="005729BE">
      <w:pPr>
        <w:pStyle w:val="BodyText"/>
        <w:spacing w:after="60" w:line="240" w:lineRule="auto"/>
        <w:rPr>
          <w:rFonts w:asciiTheme="minorHAnsi" w:hAnsiTheme="minorHAnsi" w:cstheme="minorHAnsi"/>
          <w:i/>
          <w:sz w:val="22"/>
          <w:szCs w:val="22"/>
        </w:rPr>
      </w:pPr>
      <w:r>
        <w:rPr>
          <w:rFonts w:asciiTheme="minorHAnsi" w:hAnsiTheme="minorHAnsi" w:cstheme="minorHAnsi"/>
          <w:i/>
          <w:sz w:val="22"/>
          <w:szCs w:val="22"/>
        </w:rPr>
        <w:t>I</w:t>
      </w:r>
      <w:r w:rsidR="008820C5" w:rsidRPr="008820C5">
        <w:rPr>
          <w:rFonts w:asciiTheme="minorHAnsi" w:hAnsiTheme="minorHAnsi" w:cstheme="minorHAnsi"/>
          <w:i/>
          <w:sz w:val="22"/>
          <w:szCs w:val="22"/>
        </w:rPr>
        <w:t>n the coming year:</w:t>
      </w:r>
      <w:r w:rsidRPr="005729BE">
        <w:rPr>
          <w:rFonts w:asciiTheme="minorHAnsi" w:hAnsiTheme="minorHAnsi" w:cstheme="minorHAnsi"/>
          <w:sz w:val="22"/>
          <w:szCs w:val="22"/>
        </w:rPr>
        <w:t xml:space="preserve"> DFAT is </w:t>
      </w:r>
      <w:r>
        <w:rPr>
          <w:rFonts w:asciiTheme="minorHAnsi" w:hAnsiTheme="minorHAnsi" w:cstheme="minorHAnsi"/>
          <w:sz w:val="22"/>
          <w:szCs w:val="22"/>
        </w:rPr>
        <w:t>ensuring</w:t>
      </w:r>
      <w:r w:rsidR="008820C5" w:rsidRPr="008820C5">
        <w:rPr>
          <w:rFonts w:asciiTheme="minorHAnsi" w:hAnsiTheme="minorHAnsi" w:cstheme="minorHAnsi"/>
          <w:sz w:val="22"/>
          <w:szCs w:val="22"/>
        </w:rPr>
        <w:t xml:space="preserve"> surge capacity from either AEC, Civilian Corps, UNDP</w:t>
      </w:r>
      <w:r>
        <w:rPr>
          <w:rFonts w:asciiTheme="minorHAnsi" w:hAnsiTheme="minorHAnsi" w:cstheme="minorHAnsi"/>
          <w:sz w:val="22"/>
          <w:szCs w:val="22"/>
        </w:rPr>
        <w:t xml:space="preserve"> or </w:t>
      </w:r>
      <w:r w:rsidR="008820C5" w:rsidRPr="008820C5">
        <w:rPr>
          <w:rFonts w:asciiTheme="minorHAnsi" w:hAnsiTheme="minorHAnsi" w:cstheme="minorHAnsi"/>
          <w:sz w:val="22"/>
          <w:szCs w:val="22"/>
        </w:rPr>
        <w:t>NZ is available if required</w:t>
      </w:r>
      <w:r>
        <w:rPr>
          <w:rFonts w:asciiTheme="minorHAnsi" w:hAnsiTheme="minorHAnsi" w:cstheme="minorHAnsi"/>
          <w:sz w:val="22"/>
          <w:szCs w:val="22"/>
        </w:rPr>
        <w:t xml:space="preserve"> and is working to change current advisory support </w:t>
      </w:r>
      <w:r w:rsidR="00CE56D3">
        <w:rPr>
          <w:rFonts w:asciiTheme="minorHAnsi" w:hAnsiTheme="minorHAnsi" w:cstheme="minorHAnsi"/>
          <w:sz w:val="22"/>
          <w:szCs w:val="22"/>
        </w:rPr>
        <w:t xml:space="preserve">to the Electoral commission </w:t>
      </w:r>
      <w:r>
        <w:rPr>
          <w:rFonts w:asciiTheme="minorHAnsi" w:hAnsiTheme="minorHAnsi" w:cstheme="minorHAnsi"/>
          <w:sz w:val="22"/>
          <w:szCs w:val="22"/>
        </w:rPr>
        <w:t>to in-line support</w:t>
      </w:r>
      <w:r w:rsidR="008820C5" w:rsidRPr="008820C5">
        <w:rPr>
          <w:rFonts w:asciiTheme="minorHAnsi" w:hAnsiTheme="minorHAnsi" w:cstheme="minorHAnsi"/>
          <w:sz w:val="22"/>
          <w:szCs w:val="22"/>
        </w:rPr>
        <w:t>.</w:t>
      </w:r>
      <w:r>
        <w:rPr>
          <w:rFonts w:asciiTheme="minorHAnsi" w:hAnsiTheme="minorHAnsi" w:cstheme="minorHAnsi"/>
          <w:sz w:val="22"/>
          <w:szCs w:val="22"/>
        </w:rPr>
        <w:t xml:space="preserve"> The </w:t>
      </w:r>
      <w:r w:rsidR="008820C5" w:rsidRPr="008820C5">
        <w:rPr>
          <w:rFonts w:asciiTheme="minorHAnsi" w:hAnsiTheme="minorHAnsi" w:cstheme="minorHAnsi"/>
          <w:sz w:val="22"/>
          <w:szCs w:val="22"/>
        </w:rPr>
        <w:t xml:space="preserve">HOM and Counsellor-Political </w:t>
      </w:r>
      <w:r>
        <w:rPr>
          <w:rFonts w:asciiTheme="minorHAnsi" w:hAnsiTheme="minorHAnsi" w:cstheme="minorHAnsi"/>
          <w:sz w:val="22"/>
          <w:szCs w:val="22"/>
        </w:rPr>
        <w:t>will continue</w:t>
      </w:r>
      <w:r w:rsidR="008820C5" w:rsidRPr="008820C5">
        <w:rPr>
          <w:rFonts w:asciiTheme="minorHAnsi" w:hAnsiTheme="minorHAnsi" w:cstheme="minorHAnsi"/>
          <w:sz w:val="22"/>
          <w:szCs w:val="22"/>
        </w:rPr>
        <w:t xml:space="preserve"> dialogue with </w:t>
      </w:r>
      <w:r>
        <w:rPr>
          <w:rFonts w:asciiTheme="minorHAnsi" w:hAnsiTheme="minorHAnsi" w:cstheme="minorHAnsi"/>
          <w:sz w:val="22"/>
          <w:szCs w:val="22"/>
        </w:rPr>
        <w:t xml:space="preserve">the </w:t>
      </w:r>
      <w:r w:rsidR="00F413E6">
        <w:rPr>
          <w:rFonts w:asciiTheme="minorHAnsi" w:hAnsiTheme="minorHAnsi" w:cstheme="minorHAnsi"/>
          <w:sz w:val="22"/>
          <w:szCs w:val="22"/>
        </w:rPr>
        <w:t>Solomon Islands Government</w:t>
      </w:r>
      <w:r>
        <w:rPr>
          <w:rFonts w:asciiTheme="minorHAnsi" w:hAnsiTheme="minorHAnsi" w:cstheme="minorHAnsi"/>
          <w:sz w:val="22"/>
          <w:szCs w:val="22"/>
        </w:rPr>
        <w:t xml:space="preserve"> and the </w:t>
      </w:r>
      <w:r w:rsidR="008820C5" w:rsidRPr="008820C5">
        <w:rPr>
          <w:rFonts w:asciiTheme="minorHAnsi" w:hAnsiTheme="minorHAnsi" w:cstheme="minorHAnsi"/>
          <w:sz w:val="22"/>
          <w:szCs w:val="22"/>
        </w:rPr>
        <w:t>Canberra</w:t>
      </w:r>
      <w:r>
        <w:rPr>
          <w:rFonts w:asciiTheme="minorHAnsi" w:hAnsiTheme="minorHAnsi" w:cstheme="minorHAnsi"/>
          <w:sz w:val="22"/>
          <w:szCs w:val="22"/>
        </w:rPr>
        <w:t xml:space="preserve"> and Honiara</w:t>
      </w:r>
      <w:r w:rsidR="008820C5" w:rsidRPr="008820C5">
        <w:rPr>
          <w:rFonts w:asciiTheme="minorHAnsi" w:hAnsiTheme="minorHAnsi" w:cstheme="minorHAnsi"/>
          <w:sz w:val="22"/>
          <w:szCs w:val="22"/>
        </w:rPr>
        <w:t xml:space="preserve"> based elections working group</w:t>
      </w:r>
      <w:r>
        <w:rPr>
          <w:rFonts w:asciiTheme="minorHAnsi" w:hAnsiTheme="minorHAnsi" w:cstheme="minorHAnsi"/>
          <w:sz w:val="22"/>
          <w:szCs w:val="22"/>
        </w:rPr>
        <w:t xml:space="preserve"> and</w:t>
      </w:r>
      <w:r w:rsidR="008820C5" w:rsidRPr="008820C5">
        <w:rPr>
          <w:rFonts w:asciiTheme="minorHAnsi" w:hAnsiTheme="minorHAnsi" w:cstheme="minorHAnsi"/>
          <w:sz w:val="22"/>
          <w:szCs w:val="22"/>
        </w:rPr>
        <w:t xml:space="preserve"> taskforce</w:t>
      </w:r>
      <w:r>
        <w:rPr>
          <w:rFonts w:asciiTheme="minorHAnsi" w:hAnsiTheme="minorHAnsi" w:cstheme="minorHAnsi"/>
          <w:sz w:val="22"/>
          <w:szCs w:val="22"/>
        </w:rPr>
        <w:t xml:space="preserve"> are closely coordinating</w:t>
      </w:r>
      <w:r w:rsidR="008820C5" w:rsidRPr="008820C5">
        <w:rPr>
          <w:rFonts w:asciiTheme="minorHAnsi" w:hAnsiTheme="minorHAnsi" w:cstheme="minorHAnsi"/>
          <w:sz w:val="22"/>
          <w:szCs w:val="22"/>
        </w:rPr>
        <w:t>.</w:t>
      </w:r>
    </w:p>
    <w:p w:rsidR="008820C5" w:rsidRPr="00CE56D3" w:rsidRDefault="008820C5" w:rsidP="005729BE">
      <w:pPr>
        <w:pStyle w:val="BodyText"/>
        <w:rPr>
          <w:rFonts w:asciiTheme="minorHAnsi" w:hAnsiTheme="minorHAnsi" w:cstheme="minorHAnsi"/>
          <w:b/>
          <w:sz w:val="22"/>
          <w:szCs w:val="22"/>
        </w:rPr>
      </w:pPr>
      <w:r w:rsidRPr="00CE56D3">
        <w:rPr>
          <w:rFonts w:asciiTheme="minorHAnsi" w:hAnsiTheme="minorHAnsi" w:cstheme="minorHAnsi"/>
          <w:b/>
          <w:sz w:val="22"/>
          <w:szCs w:val="22"/>
        </w:rPr>
        <w:t xml:space="preserve">2. </w:t>
      </w:r>
      <w:r w:rsidR="005729BE" w:rsidRPr="00CE56D3">
        <w:rPr>
          <w:rFonts w:asciiTheme="minorHAnsi" w:hAnsiTheme="minorHAnsi" w:cstheme="minorHAnsi"/>
          <w:b/>
          <w:sz w:val="22"/>
          <w:szCs w:val="22"/>
        </w:rPr>
        <w:t>Political uncertainty</w:t>
      </w:r>
      <w:r w:rsidRPr="00CE56D3">
        <w:rPr>
          <w:rFonts w:asciiTheme="minorHAnsi" w:hAnsiTheme="minorHAnsi" w:cstheme="minorHAnsi"/>
          <w:b/>
          <w:sz w:val="22"/>
          <w:szCs w:val="22"/>
        </w:rPr>
        <w:t xml:space="preserve"> due to upcoming election</w:t>
      </w:r>
    </w:p>
    <w:p w:rsidR="008820C5" w:rsidRPr="008820C5" w:rsidRDefault="00142EAC" w:rsidP="00A2066A">
      <w:pPr>
        <w:pStyle w:val="TableTextEntries"/>
        <w:spacing w:before="0" w:after="60" w:line="240" w:lineRule="auto"/>
        <w:rPr>
          <w:rFonts w:asciiTheme="minorHAnsi" w:hAnsiTheme="minorHAnsi" w:cstheme="minorHAnsi"/>
          <w:sz w:val="22"/>
          <w:szCs w:val="22"/>
        </w:rPr>
      </w:pPr>
      <w:r w:rsidRPr="005729BE">
        <w:rPr>
          <w:rFonts w:asciiTheme="minorHAnsi" w:hAnsiTheme="minorHAnsi" w:cstheme="minorHAnsi"/>
          <w:i/>
          <w:sz w:val="22"/>
          <w:szCs w:val="22"/>
        </w:rPr>
        <w:t xml:space="preserve">In the past year: </w:t>
      </w:r>
      <w:r>
        <w:rPr>
          <w:rFonts w:asciiTheme="minorHAnsi" w:hAnsiTheme="minorHAnsi" w:cstheme="minorHAnsi"/>
          <w:i/>
          <w:sz w:val="22"/>
          <w:szCs w:val="22"/>
        </w:rPr>
        <w:t xml:space="preserve"> </w:t>
      </w:r>
      <w:r w:rsidRPr="00142EAC">
        <w:rPr>
          <w:rFonts w:asciiTheme="minorHAnsi" w:hAnsiTheme="minorHAnsi" w:cstheme="minorHAnsi"/>
          <w:sz w:val="22"/>
          <w:szCs w:val="22"/>
        </w:rPr>
        <w:t xml:space="preserve">Post held </w:t>
      </w:r>
      <w:r>
        <w:rPr>
          <w:rFonts w:asciiTheme="minorHAnsi" w:hAnsiTheme="minorHAnsi" w:cstheme="minorHAnsi"/>
          <w:sz w:val="22"/>
          <w:szCs w:val="22"/>
        </w:rPr>
        <w:t>h</w:t>
      </w:r>
      <w:r w:rsidR="008820C5" w:rsidRPr="008820C5">
        <w:rPr>
          <w:rFonts w:asciiTheme="minorHAnsi" w:hAnsiTheme="minorHAnsi" w:cstheme="minorHAnsi"/>
          <w:sz w:val="22"/>
          <w:szCs w:val="22"/>
        </w:rPr>
        <w:t>igh</w:t>
      </w:r>
      <w:r w:rsidR="00E447CE">
        <w:rPr>
          <w:rFonts w:asciiTheme="minorHAnsi" w:hAnsiTheme="minorHAnsi" w:cstheme="minorHAnsi"/>
          <w:sz w:val="22"/>
          <w:szCs w:val="22"/>
        </w:rPr>
        <w:t>-</w:t>
      </w:r>
      <w:r w:rsidR="008820C5" w:rsidRPr="008820C5">
        <w:rPr>
          <w:rFonts w:asciiTheme="minorHAnsi" w:hAnsiTheme="minorHAnsi" w:cstheme="minorHAnsi"/>
          <w:sz w:val="22"/>
          <w:szCs w:val="22"/>
        </w:rPr>
        <w:t>level dialogue</w:t>
      </w:r>
      <w:r>
        <w:rPr>
          <w:rFonts w:asciiTheme="minorHAnsi" w:hAnsiTheme="minorHAnsi" w:cstheme="minorHAnsi"/>
          <w:sz w:val="22"/>
          <w:szCs w:val="22"/>
        </w:rPr>
        <w:t xml:space="preserve"> with the Solomon Islands Government</w:t>
      </w:r>
      <w:r w:rsidR="008820C5" w:rsidRPr="008820C5">
        <w:rPr>
          <w:rFonts w:asciiTheme="minorHAnsi" w:hAnsiTheme="minorHAnsi" w:cstheme="minorHAnsi"/>
          <w:sz w:val="22"/>
          <w:szCs w:val="22"/>
        </w:rPr>
        <w:t xml:space="preserve"> utilising High Commissioner</w:t>
      </w:r>
      <w:r w:rsidR="00903037">
        <w:rPr>
          <w:rFonts w:asciiTheme="minorHAnsi" w:hAnsiTheme="minorHAnsi" w:cstheme="minorHAnsi"/>
          <w:sz w:val="22"/>
          <w:szCs w:val="22"/>
        </w:rPr>
        <w:t xml:space="preserve"> and </w:t>
      </w:r>
      <w:r w:rsidR="008820C5" w:rsidRPr="008820C5">
        <w:rPr>
          <w:rFonts w:asciiTheme="minorHAnsi" w:hAnsiTheme="minorHAnsi" w:cstheme="minorHAnsi"/>
          <w:sz w:val="22"/>
          <w:szCs w:val="22"/>
        </w:rPr>
        <w:t>Minster Counsellor.</w:t>
      </w:r>
      <w:r w:rsidR="00A2066A" w:rsidRPr="00A2066A">
        <w:rPr>
          <w:rFonts w:asciiTheme="minorHAnsi" w:hAnsiTheme="minorHAnsi" w:cstheme="minorHAnsi"/>
          <w:sz w:val="22"/>
          <w:szCs w:val="22"/>
        </w:rPr>
        <w:t xml:space="preserve"> </w:t>
      </w:r>
      <w:r w:rsidR="00903037">
        <w:rPr>
          <w:rFonts w:asciiTheme="minorHAnsi" w:hAnsiTheme="minorHAnsi" w:cstheme="minorHAnsi"/>
          <w:sz w:val="22"/>
          <w:szCs w:val="22"/>
        </w:rPr>
        <w:t>Australia</w:t>
      </w:r>
      <w:r w:rsidR="00A2066A">
        <w:rPr>
          <w:rFonts w:asciiTheme="minorHAnsi" w:hAnsiTheme="minorHAnsi" w:cstheme="minorHAnsi"/>
          <w:sz w:val="22"/>
          <w:szCs w:val="22"/>
        </w:rPr>
        <w:t xml:space="preserve"> </w:t>
      </w:r>
      <w:r w:rsidR="00903037">
        <w:rPr>
          <w:rFonts w:asciiTheme="minorHAnsi" w:hAnsiTheme="minorHAnsi" w:cstheme="minorHAnsi"/>
          <w:sz w:val="22"/>
          <w:szCs w:val="22"/>
        </w:rPr>
        <w:t>participated in</w:t>
      </w:r>
      <w:r w:rsidR="00A2066A">
        <w:rPr>
          <w:rFonts w:asciiTheme="minorHAnsi" w:hAnsiTheme="minorHAnsi" w:cstheme="minorHAnsi"/>
          <w:sz w:val="22"/>
          <w:szCs w:val="22"/>
        </w:rPr>
        <w:t xml:space="preserve"> r</w:t>
      </w:r>
      <w:r w:rsidR="00A2066A" w:rsidRPr="008820C5">
        <w:rPr>
          <w:rFonts w:asciiTheme="minorHAnsi" w:hAnsiTheme="minorHAnsi" w:cstheme="minorHAnsi"/>
          <w:sz w:val="22"/>
          <w:szCs w:val="22"/>
        </w:rPr>
        <w:t xml:space="preserve">egular meetings with </w:t>
      </w:r>
      <w:r w:rsidR="00A2066A">
        <w:rPr>
          <w:rFonts w:asciiTheme="minorHAnsi" w:hAnsiTheme="minorHAnsi" w:cstheme="minorHAnsi"/>
          <w:sz w:val="22"/>
          <w:szCs w:val="22"/>
        </w:rPr>
        <w:t>the Core Economic Working Group and</w:t>
      </w:r>
      <w:r w:rsidR="00A2066A" w:rsidRPr="008820C5">
        <w:rPr>
          <w:rFonts w:asciiTheme="minorHAnsi" w:hAnsiTheme="minorHAnsi" w:cstheme="minorHAnsi"/>
          <w:sz w:val="22"/>
          <w:szCs w:val="22"/>
        </w:rPr>
        <w:t xml:space="preserve"> work</w:t>
      </w:r>
      <w:r w:rsidR="00903037">
        <w:rPr>
          <w:rFonts w:asciiTheme="minorHAnsi" w:hAnsiTheme="minorHAnsi" w:cstheme="minorHAnsi"/>
          <w:sz w:val="22"/>
          <w:szCs w:val="22"/>
        </w:rPr>
        <w:t>ed</w:t>
      </w:r>
      <w:r w:rsidR="00A2066A" w:rsidRPr="008820C5">
        <w:rPr>
          <w:rFonts w:asciiTheme="minorHAnsi" w:hAnsiTheme="minorHAnsi" w:cstheme="minorHAnsi"/>
          <w:sz w:val="22"/>
          <w:szCs w:val="22"/>
        </w:rPr>
        <w:t xml:space="preserve"> in donor coalitions. </w:t>
      </w:r>
      <w:r w:rsidR="00A2066A">
        <w:rPr>
          <w:rFonts w:asciiTheme="minorHAnsi" w:hAnsiTheme="minorHAnsi" w:cstheme="minorHAnsi"/>
          <w:sz w:val="22"/>
          <w:szCs w:val="22"/>
        </w:rPr>
        <w:t xml:space="preserve">At the sector level, </w:t>
      </w:r>
      <w:r w:rsidR="00A2066A" w:rsidRPr="008820C5">
        <w:rPr>
          <w:rFonts w:asciiTheme="minorHAnsi" w:hAnsiTheme="minorHAnsi" w:cstheme="minorHAnsi"/>
          <w:sz w:val="22"/>
          <w:szCs w:val="22"/>
        </w:rPr>
        <w:t xml:space="preserve">Performance Assessment Frameworks </w:t>
      </w:r>
      <w:r w:rsidR="00A2066A">
        <w:rPr>
          <w:rFonts w:asciiTheme="minorHAnsi" w:hAnsiTheme="minorHAnsi" w:cstheme="minorHAnsi"/>
          <w:sz w:val="22"/>
          <w:szCs w:val="22"/>
        </w:rPr>
        <w:t>were</w:t>
      </w:r>
      <w:r w:rsidR="00D034B2">
        <w:rPr>
          <w:rFonts w:asciiTheme="minorHAnsi" w:hAnsiTheme="minorHAnsi" w:cstheme="minorHAnsi"/>
          <w:sz w:val="22"/>
          <w:szCs w:val="22"/>
        </w:rPr>
        <w:t xml:space="preserve"> </w:t>
      </w:r>
      <w:r w:rsidR="00A2066A" w:rsidRPr="008820C5">
        <w:rPr>
          <w:rFonts w:asciiTheme="minorHAnsi" w:hAnsiTheme="minorHAnsi" w:cstheme="minorHAnsi"/>
          <w:sz w:val="22"/>
          <w:szCs w:val="22"/>
        </w:rPr>
        <w:t>reviewed in April 2014</w:t>
      </w:r>
      <w:r w:rsidR="00A2066A">
        <w:rPr>
          <w:rFonts w:asciiTheme="minorHAnsi" w:hAnsiTheme="minorHAnsi" w:cstheme="minorHAnsi"/>
          <w:sz w:val="22"/>
          <w:szCs w:val="22"/>
        </w:rPr>
        <w:t xml:space="preserve"> and </w:t>
      </w:r>
      <w:r w:rsidR="00903037">
        <w:rPr>
          <w:rFonts w:asciiTheme="minorHAnsi" w:hAnsiTheme="minorHAnsi" w:cstheme="minorHAnsi"/>
          <w:sz w:val="22"/>
          <w:szCs w:val="22"/>
        </w:rPr>
        <w:t>Post</w:t>
      </w:r>
      <w:r w:rsidR="00A2066A">
        <w:rPr>
          <w:rFonts w:asciiTheme="minorHAnsi" w:hAnsiTheme="minorHAnsi" w:cstheme="minorHAnsi"/>
          <w:sz w:val="22"/>
          <w:szCs w:val="22"/>
        </w:rPr>
        <w:t xml:space="preserve"> </w:t>
      </w:r>
      <w:r w:rsidR="00903037">
        <w:rPr>
          <w:rFonts w:asciiTheme="minorHAnsi" w:hAnsiTheme="minorHAnsi" w:cstheme="minorHAnsi"/>
          <w:sz w:val="22"/>
          <w:szCs w:val="22"/>
        </w:rPr>
        <w:t>attended</w:t>
      </w:r>
      <w:r w:rsidR="008820C5" w:rsidRPr="008820C5">
        <w:rPr>
          <w:rFonts w:asciiTheme="minorHAnsi" w:hAnsiTheme="minorHAnsi" w:cstheme="minorHAnsi"/>
          <w:sz w:val="22"/>
          <w:szCs w:val="22"/>
        </w:rPr>
        <w:t xml:space="preserve"> sector level Steering Committees.</w:t>
      </w:r>
    </w:p>
    <w:p w:rsidR="002B1DD5" w:rsidRPr="00814426" w:rsidRDefault="00A2066A" w:rsidP="00814426">
      <w:pPr>
        <w:pStyle w:val="TableTextEntries"/>
        <w:spacing w:before="0" w:after="60" w:line="240" w:lineRule="auto"/>
        <w:rPr>
          <w:rFonts w:asciiTheme="minorHAnsi" w:hAnsiTheme="minorHAnsi" w:cstheme="minorHAnsi"/>
          <w:sz w:val="22"/>
          <w:szCs w:val="22"/>
        </w:rPr>
      </w:pPr>
      <w:r>
        <w:rPr>
          <w:rFonts w:asciiTheme="minorHAnsi" w:hAnsiTheme="minorHAnsi" w:cstheme="minorHAnsi"/>
          <w:i/>
          <w:sz w:val="22"/>
          <w:szCs w:val="22"/>
        </w:rPr>
        <w:t>I</w:t>
      </w:r>
      <w:r w:rsidRPr="008820C5">
        <w:rPr>
          <w:rFonts w:asciiTheme="minorHAnsi" w:hAnsiTheme="minorHAnsi" w:cstheme="minorHAnsi"/>
          <w:i/>
          <w:sz w:val="22"/>
          <w:szCs w:val="22"/>
        </w:rPr>
        <w:t>n the coming year:</w:t>
      </w:r>
      <w:r w:rsidR="00D034B2" w:rsidRPr="00D034B2">
        <w:rPr>
          <w:rFonts w:asciiTheme="minorHAnsi" w:hAnsiTheme="minorHAnsi" w:cstheme="minorHAnsi"/>
          <w:sz w:val="22"/>
          <w:szCs w:val="22"/>
        </w:rPr>
        <w:t xml:space="preserve"> </w:t>
      </w:r>
      <w:r w:rsidR="00D034B2">
        <w:rPr>
          <w:rFonts w:asciiTheme="minorHAnsi" w:hAnsiTheme="minorHAnsi" w:cstheme="minorHAnsi"/>
          <w:sz w:val="22"/>
          <w:szCs w:val="22"/>
        </w:rPr>
        <w:t xml:space="preserve"> The </w:t>
      </w:r>
      <w:r w:rsidR="00D034B2" w:rsidRPr="008820C5">
        <w:rPr>
          <w:rFonts w:asciiTheme="minorHAnsi" w:hAnsiTheme="minorHAnsi" w:cstheme="minorHAnsi"/>
          <w:sz w:val="22"/>
          <w:szCs w:val="22"/>
        </w:rPr>
        <w:t xml:space="preserve">HLCs </w:t>
      </w:r>
      <w:r w:rsidR="00D034B2">
        <w:rPr>
          <w:rFonts w:asciiTheme="minorHAnsi" w:hAnsiTheme="minorHAnsi" w:cstheme="minorHAnsi"/>
          <w:sz w:val="22"/>
          <w:szCs w:val="22"/>
        </w:rPr>
        <w:t xml:space="preserve">were </w:t>
      </w:r>
      <w:r w:rsidR="00D034B2" w:rsidRPr="008820C5">
        <w:rPr>
          <w:rFonts w:asciiTheme="minorHAnsi" w:hAnsiTheme="minorHAnsi" w:cstheme="minorHAnsi"/>
          <w:sz w:val="22"/>
          <w:szCs w:val="22"/>
        </w:rPr>
        <w:t xml:space="preserve">held </w:t>
      </w:r>
      <w:r w:rsidR="00D034B2">
        <w:rPr>
          <w:rFonts w:asciiTheme="minorHAnsi" w:hAnsiTheme="minorHAnsi" w:cstheme="minorHAnsi"/>
          <w:sz w:val="22"/>
          <w:szCs w:val="22"/>
        </w:rPr>
        <w:t xml:space="preserve">on </w:t>
      </w:r>
      <w:r w:rsidR="00D034B2" w:rsidRPr="008820C5">
        <w:rPr>
          <w:rFonts w:asciiTheme="minorHAnsi" w:hAnsiTheme="minorHAnsi" w:cstheme="minorHAnsi"/>
          <w:sz w:val="22"/>
          <w:szCs w:val="22"/>
        </w:rPr>
        <w:t>24 July to lock in political commitments for key issues.</w:t>
      </w:r>
      <w:r w:rsidR="00D034B2" w:rsidRPr="00D034B2">
        <w:rPr>
          <w:rFonts w:asciiTheme="minorHAnsi" w:hAnsiTheme="minorHAnsi" w:cstheme="minorHAnsi"/>
          <w:sz w:val="22"/>
          <w:szCs w:val="22"/>
        </w:rPr>
        <w:t xml:space="preserve"> </w:t>
      </w:r>
      <w:r w:rsidR="00D034B2">
        <w:rPr>
          <w:rFonts w:asciiTheme="minorHAnsi" w:hAnsiTheme="minorHAnsi" w:cstheme="minorHAnsi"/>
          <w:sz w:val="22"/>
          <w:szCs w:val="22"/>
        </w:rPr>
        <w:t xml:space="preserve">Australia </w:t>
      </w:r>
      <w:r w:rsidR="00903037">
        <w:rPr>
          <w:rFonts w:asciiTheme="minorHAnsi" w:hAnsiTheme="minorHAnsi" w:cstheme="minorHAnsi"/>
          <w:sz w:val="22"/>
          <w:szCs w:val="22"/>
        </w:rPr>
        <w:t>is continuing strategic use of high level dialogue</w:t>
      </w:r>
      <w:r w:rsidR="00D034B2">
        <w:rPr>
          <w:rFonts w:asciiTheme="minorHAnsi" w:hAnsiTheme="minorHAnsi" w:cstheme="minorHAnsi"/>
          <w:sz w:val="22"/>
          <w:szCs w:val="22"/>
        </w:rPr>
        <w:t xml:space="preserve"> with the </w:t>
      </w:r>
      <w:r w:rsidR="00F413E6">
        <w:rPr>
          <w:rFonts w:asciiTheme="minorHAnsi" w:hAnsiTheme="minorHAnsi" w:cstheme="minorHAnsi"/>
          <w:sz w:val="22"/>
          <w:szCs w:val="22"/>
        </w:rPr>
        <w:t>Solomon Islands Government</w:t>
      </w:r>
      <w:r w:rsidR="00D034B2" w:rsidRPr="008820C5">
        <w:rPr>
          <w:rFonts w:asciiTheme="minorHAnsi" w:hAnsiTheme="minorHAnsi" w:cstheme="minorHAnsi"/>
          <w:sz w:val="22"/>
          <w:szCs w:val="22"/>
        </w:rPr>
        <w:t xml:space="preserve"> to pressure </w:t>
      </w:r>
      <w:r w:rsidR="00D034B2">
        <w:rPr>
          <w:rFonts w:asciiTheme="minorHAnsi" w:hAnsiTheme="minorHAnsi" w:cstheme="minorHAnsi"/>
          <w:sz w:val="22"/>
          <w:szCs w:val="22"/>
        </w:rPr>
        <w:t>them</w:t>
      </w:r>
      <w:r w:rsidR="00D034B2" w:rsidRPr="008820C5">
        <w:rPr>
          <w:rFonts w:asciiTheme="minorHAnsi" w:hAnsiTheme="minorHAnsi" w:cstheme="minorHAnsi"/>
          <w:sz w:val="22"/>
          <w:szCs w:val="22"/>
        </w:rPr>
        <w:t xml:space="preserve"> to honour budget commitments for service delivery and limit politically oriented fungibility.</w:t>
      </w:r>
      <w:r w:rsidR="00D034B2">
        <w:rPr>
          <w:rFonts w:asciiTheme="minorHAnsi" w:hAnsiTheme="minorHAnsi" w:cstheme="minorHAnsi"/>
          <w:sz w:val="22"/>
          <w:szCs w:val="22"/>
        </w:rPr>
        <w:t xml:space="preserve"> The RISPF/PPF are </w:t>
      </w:r>
      <w:r w:rsidR="00903037">
        <w:rPr>
          <w:rFonts w:asciiTheme="minorHAnsi" w:hAnsiTheme="minorHAnsi" w:cstheme="minorHAnsi"/>
          <w:sz w:val="22"/>
          <w:szCs w:val="22"/>
        </w:rPr>
        <w:t>continuing risk management planning</w:t>
      </w:r>
      <w:r w:rsidR="008820C5" w:rsidRPr="008820C5">
        <w:rPr>
          <w:rFonts w:asciiTheme="minorHAnsi" w:hAnsiTheme="minorHAnsi" w:cstheme="minorHAnsi"/>
          <w:sz w:val="22"/>
          <w:szCs w:val="22"/>
        </w:rPr>
        <w:t>, including deployment of surge support of AFP</w:t>
      </w:r>
      <w:r w:rsidR="00F13124">
        <w:rPr>
          <w:rFonts w:asciiTheme="minorHAnsi" w:hAnsiTheme="minorHAnsi" w:cstheme="minorHAnsi"/>
          <w:sz w:val="22"/>
          <w:szCs w:val="22"/>
        </w:rPr>
        <w:t xml:space="preserve"> and New Zealand</w:t>
      </w:r>
      <w:r w:rsidR="008820C5" w:rsidRPr="008820C5">
        <w:rPr>
          <w:rFonts w:asciiTheme="minorHAnsi" w:hAnsiTheme="minorHAnsi" w:cstheme="minorHAnsi"/>
          <w:sz w:val="22"/>
          <w:szCs w:val="22"/>
        </w:rPr>
        <w:t xml:space="preserve"> into PPF.</w:t>
      </w:r>
    </w:p>
    <w:p w:rsidR="008820C5" w:rsidRPr="00CE56D3" w:rsidRDefault="008820C5" w:rsidP="005729BE">
      <w:pPr>
        <w:pStyle w:val="BodyText"/>
        <w:rPr>
          <w:rFonts w:asciiTheme="minorHAnsi" w:hAnsiTheme="minorHAnsi" w:cstheme="minorHAnsi"/>
          <w:b/>
          <w:sz w:val="22"/>
          <w:szCs w:val="22"/>
        </w:rPr>
      </w:pPr>
      <w:r w:rsidRPr="00CE56D3">
        <w:rPr>
          <w:rFonts w:asciiTheme="minorHAnsi" w:hAnsiTheme="minorHAnsi" w:cstheme="minorHAnsi"/>
          <w:b/>
          <w:sz w:val="22"/>
          <w:szCs w:val="22"/>
        </w:rPr>
        <w:lastRenderedPageBreak/>
        <w:t>3. A major fraud against the Australian aid program occurs</w:t>
      </w:r>
    </w:p>
    <w:p w:rsidR="008820C5" w:rsidRPr="008820C5" w:rsidRDefault="00D034B2" w:rsidP="00D034B2">
      <w:pPr>
        <w:pStyle w:val="TableTextEntries"/>
        <w:spacing w:before="0" w:after="60" w:line="240" w:lineRule="auto"/>
        <w:rPr>
          <w:rFonts w:asciiTheme="minorHAnsi" w:hAnsiTheme="minorHAnsi" w:cstheme="minorHAnsi"/>
          <w:sz w:val="22"/>
          <w:szCs w:val="22"/>
        </w:rPr>
      </w:pPr>
      <w:r w:rsidRPr="005729BE">
        <w:rPr>
          <w:rFonts w:asciiTheme="minorHAnsi" w:hAnsiTheme="minorHAnsi" w:cstheme="minorHAnsi"/>
          <w:i/>
          <w:sz w:val="22"/>
          <w:szCs w:val="22"/>
        </w:rPr>
        <w:t xml:space="preserve">In the past year: </w:t>
      </w:r>
      <w:r>
        <w:rPr>
          <w:rFonts w:asciiTheme="minorHAnsi" w:hAnsiTheme="minorHAnsi" w:cstheme="minorHAnsi"/>
          <w:i/>
          <w:sz w:val="22"/>
          <w:szCs w:val="22"/>
        </w:rPr>
        <w:t xml:space="preserve"> </w:t>
      </w:r>
      <w:r w:rsidR="008820C5" w:rsidRPr="008820C5">
        <w:rPr>
          <w:rFonts w:asciiTheme="minorHAnsi" w:hAnsiTheme="minorHAnsi" w:cstheme="minorHAnsi"/>
          <w:sz w:val="22"/>
          <w:szCs w:val="22"/>
        </w:rPr>
        <w:t xml:space="preserve">Fraud and </w:t>
      </w:r>
      <w:r w:rsidR="00AB5D2B">
        <w:rPr>
          <w:rFonts w:asciiTheme="minorHAnsi" w:hAnsiTheme="minorHAnsi" w:cstheme="minorHAnsi"/>
          <w:sz w:val="22"/>
          <w:szCs w:val="22"/>
        </w:rPr>
        <w:t>public financial management</w:t>
      </w:r>
      <w:r w:rsidR="008820C5" w:rsidRPr="008820C5">
        <w:rPr>
          <w:rFonts w:asciiTheme="minorHAnsi" w:hAnsiTheme="minorHAnsi" w:cstheme="minorHAnsi"/>
          <w:sz w:val="22"/>
          <w:szCs w:val="22"/>
        </w:rPr>
        <w:t xml:space="preserve"> specialists dedicated to fraud operations in Canberra </w:t>
      </w:r>
      <w:r>
        <w:rPr>
          <w:rFonts w:asciiTheme="minorHAnsi" w:hAnsiTheme="minorHAnsi" w:cstheme="minorHAnsi"/>
          <w:sz w:val="22"/>
          <w:szCs w:val="22"/>
        </w:rPr>
        <w:t xml:space="preserve">provided significant </w:t>
      </w:r>
      <w:r w:rsidR="008820C5" w:rsidRPr="008820C5">
        <w:rPr>
          <w:rFonts w:asciiTheme="minorHAnsi" w:hAnsiTheme="minorHAnsi" w:cstheme="minorHAnsi"/>
          <w:sz w:val="22"/>
          <w:szCs w:val="22"/>
        </w:rPr>
        <w:t xml:space="preserve">support </w:t>
      </w:r>
      <w:r>
        <w:rPr>
          <w:rFonts w:asciiTheme="minorHAnsi" w:hAnsiTheme="minorHAnsi" w:cstheme="minorHAnsi"/>
          <w:sz w:val="22"/>
          <w:szCs w:val="22"/>
        </w:rPr>
        <w:t xml:space="preserve">to </w:t>
      </w:r>
      <w:r w:rsidR="008820C5" w:rsidRPr="008820C5">
        <w:rPr>
          <w:rFonts w:asciiTheme="minorHAnsi" w:hAnsiTheme="minorHAnsi" w:cstheme="minorHAnsi"/>
          <w:sz w:val="22"/>
          <w:szCs w:val="22"/>
        </w:rPr>
        <w:t>post</w:t>
      </w:r>
      <w:r w:rsidRPr="00D034B2">
        <w:rPr>
          <w:rFonts w:asciiTheme="minorHAnsi" w:hAnsiTheme="minorHAnsi" w:cstheme="minorHAnsi"/>
          <w:sz w:val="22"/>
          <w:szCs w:val="22"/>
        </w:rPr>
        <w:t xml:space="preserve"> </w:t>
      </w:r>
      <w:r>
        <w:rPr>
          <w:rFonts w:asciiTheme="minorHAnsi" w:hAnsiTheme="minorHAnsi" w:cstheme="minorHAnsi"/>
          <w:sz w:val="22"/>
          <w:szCs w:val="22"/>
        </w:rPr>
        <w:t xml:space="preserve">including </w:t>
      </w:r>
      <w:r w:rsidRPr="008820C5">
        <w:rPr>
          <w:rFonts w:asciiTheme="minorHAnsi" w:hAnsiTheme="minorHAnsi" w:cstheme="minorHAnsi"/>
          <w:sz w:val="22"/>
          <w:szCs w:val="22"/>
        </w:rPr>
        <w:t>develop</w:t>
      </w:r>
      <w:r>
        <w:rPr>
          <w:rFonts w:asciiTheme="minorHAnsi" w:hAnsiTheme="minorHAnsi" w:cstheme="minorHAnsi"/>
          <w:sz w:val="22"/>
          <w:szCs w:val="22"/>
        </w:rPr>
        <w:t>ing a</w:t>
      </w:r>
      <w:r w:rsidRPr="008820C5">
        <w:rPr>
          <w:rFonts w:asciiTheme="minorHAnsi" w:hAnsiTheme="minorHAnsi" w:cstheme="minorHAnsi"/>
          <w:sz w:val="22"/>
          <w:szCs w:val="22"/>
        </w:rPr>
        <w:t xml:space="preserve"> plan to strengthen procedures for overseeing Australian funds (Nov 13</w:t>
      </w:r>
      <w:r w:rsidR="00903037">
        <w:rPr>
          <w:rFonts w:asciiTheme="minorHAnsi" w:hAnsiTheme="minorHAnsi" w:cstheme="minorHAnsi"/>
          <w:sz w:val="22"/>
          <w:szCs w:val="22"/>
        </w:rPr>
        <w:t xml:space="preserve">. </w:t>
      </w:r>
      <w:r w:rsidRPr="008820C5">
        <w:rPr>
          <w:rFonts w:asciiTheme="minorHAnsi" w:hAnsiTheme="minorHAnsi" w:cstheme="minorHAnsi"/>
          <w:sz w:val="22"/>
          <w:szCs w:val="22"/>
        </w:rPr>
        <w:t>)</w:t>
      </w:r>
      <w:r>
        <w:rPr>
          <w:rFonts w:asciiTheme="minorHAnsi" w:hAnsiTheme="minorHAnsi" w:cstheme="minorHAnsi"/>
          <w:sz w:val="22"/>
          <w:szCs w:val="22"/>
        </w:rPr>
        <w:t>The d</w:t>
      </w:r>
      <w:r w:rsidRPr="008820C5">
        <w:rPr>
          <w:rFonts w:asciiTheme="minorHAnsi" w:hAnsiTheme="minorHAnsi" w:cstheme="minorHAnsi"/>
          <w:sz w:val="22"/>
          <w:szCs w:val="22"/>
        </w:rPr>
        <w:t xml:space="preserve">edicated Fraud officer at Post </w:t>
      </w:r>
      <w:r w:rsidR="00903037" w:rsidRPr="008820C5">
        <w:rPr>
          <w:rFonts w:asciiTheme="minorHAnsi" w:hAnsiTheme="minorHAnsi" w:cstheme="minorHAnsi"/>
          <w:sz w:val="22"/>
          <w:szCs w:val="22"/>
        </w:rPr>
        <w:t xml:space="preserve">delivered </w:t>
      </w:r>
      <w:r w:rsidRPr="008820C5">
        <w:rPr>
          <w:rFonts w:asciiTheme="minorHAnsi" w:hAnsiTheme="minorHAnsi" w:cstheme="minorHAnsi"/>
          <w:sz w:val="22"/>
          <w:szCs w:val="22"/>
        </w:rPr>
        <w:t>fraud training to partners and staff</w:t>
      </w:r>
      <w:r w:rsidR="008820C5" w:rsidRPr="008820C5">
        <w:rPr>
          <w:rFonts w:asciiTheme="minorHAnsi" w:hAnsiTheme="minorHAnsi" w:cstheme="minorHAnsi"/>
          <w:sz w:val="22"/>
          <w:szCs w:val="22"/>
        </w:rPr>
        <w:t xml:space="preserve">. </w:t>
      </w:r>
    </w:p>
    <w:p w:rsidR="008820C5" w:rsidRPr="008820C5" w:rsidRDefault="008820C5" w:rsidP="00D034B2">
      <w:pPr>
        <w:pStyle w:val="TableTextEntries"/>
        <w:spacing w:before="0" w:after="60" w:line="240" w:lineRule="auto"/>
        <w:rPr>
          <w:rFonts w:asciiTheme="minorHAnsi" w:hAnsiTheme="minorHAnsi" w:cstheme="minorHAnsi"/>
          <w:sz w:val="22"/>
          <w:szCs w:val="22"/>
        </w:rPr>
      </w:pPr>
      <w:r w:rsidRPr="008820C5">
        <w:rPr>
          <w:rFonts w:asciiTheme="minorHAnsi" w:hAnsiTheme="minorHAnsi" w:cstheme="minorHAnsi"/>
          <w:sz w:val="22"/>
          <w:szCs w:val="22"/>
        </w:rPr>
        <w:t xml:space="preserve">Improved financial controls and compliance measures for Australian funds </w:t>
      </w:r>
      <w:r w:rsidR="00D034B2">
        <w:rPr>
          <w:rFonts w:asciiTheme="minorHAnsi" w:hAnsiTheme="minorHAnsi" w:cstheme="minorHAnsi"/>
          <w:sz w:val="22"/>
          <w:szCs w:val="22"/>
        </w:rPr>
        <w:t xml:space="preserve">were introduced where the program is </w:t>
      </w:r>
      <w:r w:rsidRPr="008820C5">
        <w:rPr>
          <w:rFonts w:asciiTheme="minorHAnsi" w:hAnsiTheme="minorHAnsi" w:cstheme="minorHAnsi"/>
          <w:sz w:val="22"/>
          <w:szCs w:val="22"/>
        </w:rPr>
        <w:t>usin</w:t>
      </w:r>
      <w:r w:rsidR="00D034B2">
        <w:rPr>
          <w:rFonts w:asciiTheme="minorHAnsi" w:hAnsiTheme="minorHAnsi" w:cstheme="minorHAnsi"/>
          <w:sz w:val="22"/>
          <w:szCs w:val="22"/>
        </w:rPr>
        <w:t>g</w:t>
      </w:r>
      <w:r w:rsidRPr="008820C5">
        <w:rPr>
          <w:rFonts w:asciiTheme="minorHAnsi" w:hAnsiTheme="minorHAnsi" w:cstheme="minorHAnsi"/>
          <w:sz w:val="22"/>
          <w:szCs w:val="22"/>
        </w:rPr>
        <w:t xml:space="preserve"> partner government systems. </w:t>
      </w:r>
      <w:r w:rsidR="00D034B2">
        <w:rPr>
          <w:rFonts w:asciiTheme="minorHAnsi" w:hAnsiTheme="minorHAnsi" w:cstheme="minorHAnsi"/>
          <w:sz w:val="22"/>
          <w:szCs w:val="22"/>
        </w:rPr>
        <w:t xml:space="preserve">Australia appointed </w:t>
      </w:r>
      <w:r w:rsidRPr="008820C5">
        <w:rPr>
          <w:rFonts w:asciiTheme="minorHAnsi" w:hAnsiTheme="minorHAnsi" w:cstheme="minorHAnsi"/>
          <w:sz w:val="22"/>
          <w:szCs w:val="22"/>
        </w:rPr>
        <w:t>internal audit, procurement and PFM specialists within MoFT, MEHRD and MHMS</w:t>
      </w:r>
      <w:r w:rsidR="00D034B2">
        <w:rPr>
          <w:rFonts w:asciiTheme="minorHAnsi" w:hAnsiTheme="minorHAnsi" w:cstheme="minorHAnsi"/>
          <w:sz w:val="22"/>
          <w:szCs w:val="22"/>
        </w:rPr>
        <w:t xml:space="preserve"> and engaged a </w:t>
      </w:r>
      <w:r w:rsidRPr="008820C5">
        <w:rPr>
          <w:rFonts w:asciiTheme="minorHAnsi" w:hAnsiTheme="minorHAnsi" w:cstheme="minorHAnsi"/>
          <w:sz w:val="22"/>
          <w:szCs w:val="22"/>
        </w:rPr>
        <w:t xml:space="preserve">Procurement advisor (January 2014) to assist post in implementing recommendations from </w:t>
      </w:r>
      <w:r w:rsidR="00903037">
        <w:rPr>
          <w:rFonts w:asciiTheme="minorHAnsi" w:hAnsiTheme="minorHAnsi" w:cstheme="minorHAnsi"/>
          <w:sz w:val="22"/>
          <w:szCs w:val="22"/>
        </w:rPr>
        <w:t>an a</w:t>
      </w:r>
      <w:r w:rsidRPr="008820C5">
        <w:rPr>
          <w:rFonts w:asciiTheme="minorHAnsi" w:hAnsiTheme="minorHAnsi" w:cstheme="minorHAnsi"/>
          <w:sz w:val="22"/>
          <w:szCs w:val="22"/>
        </w:rPr>
        <w:t>ssessment of procurement risks.</w:t>
      </w:r>
      <w:r w:rsidR="00D034B2">
        <w:rPr>
          <w:rFonts w:asciiTheme="minorHAnsi" w:hAnsiTheme="minorHAnsi" w:cstheme="minorHAnsi"/>
          <w:sz w:val="22"/>
          <w:szCs w:val="22"/>
        </w:rPr>
        <w:t xml:space="preserve"> Australia also provided a</w:t>
      </w:r>
      <w:r w:rsidRPr="008820C5">
        <w:rPr>
          <w:rFonts w:asciiTheme="minorHAnsi" w:hAnsiTheme="minorHAnsi" w:cstheme="minorHAnsi"/>
          <w:sz w:val="22"/>
          <w:szCs w:val="22"/>
        </w:rPr>
        <w:t xml:space="preserve">dditional </w:t>
      </w:r>
      <w:r w:rsidR="00D034B2">
        <w:rPr>
          <w:rFonts w:asciiTheme="minorHAnsi" w:hAnsiTheme="minorHAnsi" w:cstheme="minorHAnsi"/>
          <w:sz w:val="22"/>
          <w:szCs w:val="22"/>
        </w:rPr>
        <w:t>technical assistance</w:t>
      </w:r>
      <w:r w:rsidRPr="008820C5">
        <w:rPr>
          <w:rFonts w:asciiTheme="minorHAnsi" w:hAnsiTheme="minorHAnsi" w:cstheme="minorHAnsi"/>
          <w:sz w:val="22"/>
          <w:szCs w:val="22"/>
        </w:rPr>
        <w:t xml:space="preserve"> for MoFT internal audit to assist large fraud investigations.</w:t>
      </w:r>
    </w:p>
    <w:p w:rsidR="008820C5" w:rsidRDefault="00CE56D3" w:rsidP="00CE56D3">
      <w:pPr>
        <w:pStyle w:val="TableTextEntries"/>
        <w:spacing w:before="0" w:after="60" w:line="240" w:lineRule="auto"/>
        <w:rPr>
          <w:rFonts w:asciiTheme="minorHAnsi" w:hAnsiTheme="minorHAnsi" w:cstheme="minorHAnsi"/>
          <w:sz w:val="22"/>
          <w:szCs w:val="22"/>
        </w:rPr>
      </w:pPr>
      <w:r>
        <w:rPr>
          <w:rFonts w:asciiTheme="minorHAnsi" w:hAnsiTheme="minorHAnsi" w:cstheme="minorHAnsi"/>
          <w:i/>
          <w:sz w:val="22"/>
          <w:szCs w:val="22"/>
        </w:rPr>
        <w:t>I</w:t>
      </w:r>
      <w:r w:rsidRPr="008820C5">
        <w:rPr>
          <w:rFonts w:asciiTheme="minorHAnsi" w:hAnsiTheme="minorHAnsi" w:cstheme="minorHAnsi"/>
          <w:i/>
          <w:sz w:val="22"/>
          <w:szCs w:val="22"/>
        </w:rPr>
        <w:t>n the coming year:</w:t>
      </w:r>
      <w:r w:rsidRPr="00D034B2">
        <w:rPr>
          <w:rFonts w:asciiTheme="minorHAnsi" w:hAnsiTheme="minorHAnsi" w:cstheme="minorHAnsi"/>
          <w:sz w:val="22"/>
          <w:szCs w:val="22"/>
        </w:rPr>
        <w:t xml:space="preserve"> </w:t>
      </w:r>
      <w:r>
        <w:rPr>
          <w:rFonts w:asciiTheme="minorHAnsi" w:hAnsiTheme="minorHAnsi" w:cstheme="minorHAnsi"/>
          <w:sz w:val="22"/>
          <w:szCs w:val="22"/>
        </w:rPr>
        <w:t xml:space="preserve"> Post will continue last year’s actions including the a</w:t>
      </w:r>
      <w:r w:rsidR="008820C5" w:rsidRPr="008820C5">
        <w:rPr>
          <w:rFonts w:asciiTheme="minorHAnsi" w:hAnsiTheme="minorHAnsi" w:cstheme="minorHAnsi"/>
          <w:sz w:val="22"/>
          <w:szCs w:val="22"/>
        </w:rPr>
        <w:t>nnual visit by Fraud Control Unit on case management and fraud training (October 14).</w:t>
      </w:r>
      <w:r>
        <w:rPr>
          <w:rFonts w:asciiTheme="minorHAnsi" w:hAnsiTheme="minorHAnsi" w:cstheme="minorHAnsi"/>
          <w:sz w:val="22"/>
          <w:szCs w:val="22"/>
        </w:rPr>
        <w:t xml:space="preserve"> The health and education programs will t</w:t>
      </w:r>
      <w:r w:rsidR="008820C5" w:rsidRPr="008820C5">
        <w:rPr>
          <w:rFonts w:asciiTheme="minorHAnsi" w:hAnsiTheme="minorHAnsi" w:cstheme="minorHAnsi"/>
          <w:sz w:val="22"/>
          <w:szCs w:val="22"/>
        </w:rPr>
        <w:t>ransition to making payments on a reimbursable basis</w:t>
      </w:r>
      <w:r>
        <w:rPr>
          <w:rFonts w:asciiTheme="minorHAnsi" w:hAnsiTheme="minorHAnsi" w:cstheme="minorHAnsi"/>
          <w:sz w:val="22"/>
          <w:szCs w:val="22"/>
        </w:rPr>
        <w:t xml:space="preserve"> </w:t>
      </w:r>
      <w:r w:rsidR="008820C5" w:rsidRPr="008820C5">
        <w:rPr>
          <w:rFonts w:asciiTheme="minorHAnsi" w:hAnsiTheme="minorHAnsi" w:cstheme="minorHAnsi"/>
          <w:sz w:val="22"/>
          <w:szCs w:val="22"/>
        </w:rPr>
        <w:t>to reduce financial risks.</w:t>
      </w:r>
    </w:p>
    <w:p w:rsidR="00D271B6" w:rsidRPr="00D271B6" w:rsidRDefault="00D271B6" w:rsidP="00CE56D3">
      <w:pPr>
        <w:pStyle w:val="TableTextEntries"/>
        <w:spacing w:before="0" w:after="60" w:line="240" w:lineRule="auto"/>
        <w:rPr>
          <w:rFonts w:asciiTheme="minorHAnsi" w:hAnsiTheme="minorHAnsi" w:cstheme="minorHAnsi"/>
          <w:b/>
          <w:sz w:val="22"/>
          <w:szCs w:val="22"/>
        </w:rPr>
      </w:pPr>
      <w:r w:rsidRPr="00D271B6">
        <w:rPr>
          <w:rFonts w:asciiTheme="minorHAnsi" w:hAnsiTheme="minorHAnsi" w:cstheme="minorHAnsi"/>
          <w:b/>
          <w:sz w:val="22"/>
          <w:szCs w:val="22"/>
        </w:rPr>
        <w:t>4. Humanitarian crisis or natural disaster affecting human and financial resources available to the program</w:t>
      </w:r>
    </w:p>
    <w:p w:rsidR="00D271B6" w:rsidRPr="00D271B6" w:rsidRDefault="00D271B6" w:rsidP="00CE56D3">
      <w:pPr>
        <w:pStyle w:val="TableTextEntries"/>
        <w:spacing w:before="0" w:after="60" w:line="240" w:lineRule="auto"/>
        <w:rPr>
          <w:rFonts w:asciiTheme="minorHAnsi" w:hAnsiTheme="minorHAnsi" w:cstheme="minorHAnsi"/>
          <w:sz w:val="22"/>
          <w:szCs w:val="22"/>
        </w:rPr>
      </w:pPr>
      <w:r w:rsidRPr="005729BE">
        <w:rPr>
          <w:rFonts w:asciiTheme="minorHAnsi" w:hAnsiTheme="minorHAnsi" w:cstheme="minorHAnsi"/>
          <w:i/>
          <w:sz w:val="22"/>
          <w:szCs w:val="22"/>
        </w:rPr>
        <w:t xml:space="preserve">In the past year: </w:t>
      </w:r>
      <w:r>
        <w:rPr>
          <w:rFonts w:asciiTheme="minorHAnsi" w:hAnsiTheme="minorHAnsi" w:cstheme="minorHAnsi"/>
          <w:i/>
          <w:sz w:val="22"/>
          <w:szCs w:val="22"/>
        </w:rPr>
        <w:t xml:space="preserve"> </w:t>
      </w:r>
      <w:r>
        <w:rPr>
          <w:rFonts w:asciiTheme="minorHAnsi" w:hAnsiTheme="minorHAnsi" w:cstheme="minorHAnsi"/>
          <w:sz w:val="22"/>
          <w:szCs w:val="22"/>
        </w:rPr>
        <w:t>Post has built capacity of all staff to engage in humanitarian response and utilise expertise in Canberra including desk, HRB and the ACC. Budget reprioritisation enabled the program to develop an effective response package to the risk.</w:t>
      </w:r>
    </w:p>
    <w:p w:rsidR="00D271B6" w:rsidRPr="00D271B6" w:rsidRDefault="00D271B6" w:rsidP="00CE56D3">
      <w:pPr>
        <w:pStyle w:val="TableTextEntries"/>
        <w:spacing w:before="0" w:after="60" w:line="240" w:lineRule="auto"/>
        <w:rPr>
          <w:rFonts w:asciiTheme="minorHAnsi" w:hAnsiTheme="minorHAnsi" w:cstheme="minorHAnsi"/>
          <w:sz w:val="22"/>
          <w:szCs w:val="22"/>
        </w:rPr>
      </w:pPr>
      <w:r w:rsidRPr="00D271B6">
        <w:rPr>
          <w:rFonts w:asciiTheme="minorHAnsi" w:hAnsiTheme="minorHAnsi" w:cstheme="minorHAnsi"/>
          <w:i/>
          <w:sz w:val="22"/>
          <w:szCs w:val="22"/>
        </w:rPr>
        <w:t>In the coming year:</w:t>
      </w:r>
      <w:r>
        <w:rPr>
          <w:rFonts w:asciiTheme="minorHAnsi" w:hAnsiTheme="minorHAnsi" w:cstheme="minorHAnsi"/>
          <w:sz w:val="22"/>
          <w:szCs w:val="22"/>
        </w:rPr>
        <w:t xml:space="preserve"> Post will utilise the ACC to provide capacity building support to the NDMO and build on in-country experience. Post will continue to maintain budget flexibility when necessary and the ability to reprioritise but the budget.</w:t>
      </w:r>
    </w:p>
    <w:p w:rsidR="00FB0505" w:rsidRDefault="000D733F" w:rsidP="00121815">
      <w:pPr>
        <w:pStyle w:val="Heading3"/>
      </w:pPr>
      <w:r w:rsidRPr="009E38C1">
        <w:t>Management</w:t>
      </w:r>
      <w:r w:rsidR="00D91326">
        <w:t xml:space="preserve"> </w:t>
      </w:r>
      <w:r w:rsidR="00805ADD" w:rsidRPr="009E38C1">
        <w:t>Responses</w:t>
      </w:r>
      <w:r w:rsidRPr="009E38C1">
        <w:tab/>
      </w:r>
    </w:p>
    <w:p w:rsidR="00FB0505" w:rsidRPr="00FB0505" w:rsidRDefault="00FB0505" w:rsidP="00FB0505">
      <w:pPr>
        <w:pStyle w:val="TableTextEntries"/>
        <w:spacing w:before="0" w:after="60" w:line="240" w:lineRule="auto"/>
        <w:rPr>
          <w:rFonts w:asciiTheme="minorHAnsi" w:hAnsiTheme="minorHAnsi" w:cstheme="minorHAnsi"/>
          <w:sz w:val="22"/>
          <w:szCs w:val="22"/>
        </w:rPr>
      </w:pPr>
      <w:r w:rsidRPr="00FB0505">
        <w:rPr>
          <w:rFonts w:asciiTheme="minorHAnsi" w:hAnsiTheme="minorHAnsi" w:cstheme="minorHAnsi"/>
          <w:sz w:val="22"/>
          <w:szCs w:val="22"/>
        </w:rPr>
        <w:t>Despite the continuing challenges of a complex, post-conflict context, the program is well-placed to implement the government’s new agenda. A focus on strengthened governance, service delivery and continued stability is reflected in the following management priorities:</w:t>
      </w:r>
    </w:p>
    <w:p w:rsidR="00827512" w:rsidRPr="00827512" w:rsidRDefault="00827512" w:rsidP="00827512">
      <w:pPr>
        <w:pStyle w:val="ListBullet"/>
        <w:rPr>
          <w:rFonts w:asciiTheme="minorHAnsi" w:hAnsiTheme="minorHAnsi" w:cstheme="minorHAnsi"/>
          <w:sz w:val="22"/>
          <w:szCs w:val="22"/>
        </w:rPr>
      </w:pPr>
      <w:r w:rsidRPr="00827512">
        <w:rPr>
          <w:rFonts w:asciiTheme="minorHAnsi" w:hAnsiTheme="minorHAnsi" w:cstheme="minorHAnsi"/>
          <w:sz w:val="22"/>
          <w:szCs w:val="22"/>
        </w:rPr>
        <w:t xml:space="preserve">Solomon Islands will hold </w:t>
      </w:r>
      <w:r w:rsidRPr="00827512">
        <w:rPr>
          <w:rFonts w:asciiTheme="minorHAnsi" w:hAnsiTheme="minorHAnsi" w:cstheme="minorHAnsi"/>
          <w:b/>
          <w:bCs/>
          <w:sz w:val="22"/>
          <w:szCs w:val="22"/>
        </w:rPr>
        <w:t>elections</w:t>
      </w:r>
      <w:r w:rsidRPr="00827512">
        <w:rPr>
          <w:rFonts w:asciiTheme="minorHAnsi" w:hAnsiTheme="minorHAnsi" w:cstheme="minorHAnsi"/>
          <w:sz w:val="22"/>
          <w:szCs w:val="22"/>
        </w:rPr>
        <w:t xml:space="preserve"> in </w:t>
      </w:r>
      <w:r w:rsidR="00D502DA">
        <w:rPr>
          <w:rFonts w:asciiTheme="minorHAnsi" w:hAnsiTheme="minorHAnsi" w:cstheme="minorHAnsi"/>
          <w:sz w:val="22"/>
          <w:szCs w:val="22"/>
        </w:rPr>
        <w:t xml:space="preserve">late </w:t>
      </w:r>
      <w:r w:rsidRPr="00827512">
        <w:rPr>
          <w:rFonts w:asciiTheme="minorHAnsi" w:hAnsiTheme="minorHAnsi" w:cstheme="minorHAnsi"/>
          <w:sz w:val="22"/>
          <w:szCs w:val="22"/>
        </w:rPr>
        <w:t xml:space="preserve">2014 or early 2015. We will </w:t>
      </w:r>
      <w:r w:rsidRPr="00827512">
        <w:rPr>
          <w:rFonts w:asciiTheme="minorHAnsi" w:hAnsiTheme="minorHAnsi" w:cstheme="minorHAnsi"/>
          <w:b/>
          <w:bCs/>
          <w:sz w:val="22"/>
          <w:szCs w:val="22"/>
        </w:rPr>
        <w:t xml:space="preserve">maintain and if necessary increase our support to </w:t>
      </w:r>
      <w:r w:rsidR="00F413E6">
        <w:rPr>
          <w:rFonts w:asciiTheme="minorHAnsi" w:hAnsiTheme="minorHAnsi" w:cstheme="minorHAnsi"/>
          <w:b/>
          <w:bCs/>
          <w:sz w:val="22"/>
          <w:szCs w:val="22"/>
        </w:rPr>
        <w:t>the Solomon Islands Government</w:t>
      </w:r>
      <w:r w:rsidR="00F413E6" w:rsidRPr="00827512">
        <w:rPr>
          <w:rFonts w:asciiTheme="minorHAnsi" w:hAnsiTheme="minorHAnsi" w:cstheme="minorHAnsi"/>
          <w:sz w:val="22"/>
          <w:szCs w:val="22"/>
        </w:rPr>
        <w:t xml:space="preserve"> </w:t>
      </w:r>
      <w:r w:rsidRPr="00827512">
        <w:rPr>
          <w:rFonts w:asciiTheme="minorHAnsi" w:hAnsiTheme="minorHAnsi" w:cstheme="minorHAnsi"/>
          <w:sz w:val="22"/>
          <w:szCs w:val="22"/>
        </w:rPr>
        <w:t xml:space="preserve">to help ensure that the election is free, fair and credible. </w:t>
      </w:r>
    </w:p>
    <w:p w:rsidR="00827512" w:rsidRPr="00827512" w:rsidRDefault="00827512" w:rsidP="00827512">
      <w:pPr>
        <w:pStyle w:val="ListBullet"/>
        <w:rPr>
          <w:rFonts w:asciiTheme="minorHAnsi" w:hAnsiTheme="minorHAnsi" w:cstheme="minorHAnsi"/>
          <w:sz w:val="22"/>
          <w:szCs w:val="22"/>
        </w:rPr>
      </w:pPr>
      <w:r w:rsidRPr="00827512">
        <w:rPr>
          <w:rFonts w:asciiTheme="minorHAnsi" w:hAnsiTheme="minorHAnsi" w:cstheme="minorHAnsi"/>
          <w:sz w:val="22"/>
          <w:szCs w:val="22"/>
        </w:rPr>
        <w:t>A new Aid Investment Plan in December 201</w:t>
      </w:r>
      <w:r w:rsidR="00D502DA">
        <w:rPr>
          <w:rFonts w:asciiTheme="minorHAnsi" w:hAnsiTheme="minorHAnsi" w:cstheme="minorHAnsi"/>
          <w:sz w:val="22"/>
          <w:szCs w:val="22"/>
        </w:rPr>
        <w:t>4</w:t>
      </w:r>
      <w:r w:rsidRPr="00827512">
        <w:rPr>
          <w:rFonts w:asciiTheme="minorHAnsi" w:hAnsiTheme="minorHAnsi" w:cstheme="minorHAnsi"/>
          <w:sz w:val="22"/>
          <w:szCs w:val="22"/>
        </w:rPr>
        <w:t xml:space="preserve"> will strengthen the strategic direction of the program; align the program with the Government’s development policy and performance framework, and strengthen the program’s investment and evaluation pipelines.</w:t>
      </w:r>
    </w:p>
    <w:p w:rsidR="00827512" w:rsidRPr="00827512" w:rsidRDefault="00827512" w:rsidP="00827512">
      <w:pPr>
        <w:pStyle w:val="ListBullet"/>
        <w:rPr>
          <w:rFonts w:asciiTheme="minorHAnsi" w:hAnsiTheme="minorHAnsi" w:cstheme="minorHAnsi"/>
          <w:sz w:val="22"/>
          <w:szCs w:val="22"/>
        </w:rPr>
      </w:pPr>
      <w:r w:rsidRPr="00827512">
        <w:rPr>
          <w:rFonts w:asciiTheme="minorHAnsi" w:hAnsiTheme="minorHAnsi" w:cstheme="minorHAnsi"/>
          <w:b/>
          <w:sz w:val="22"/>
          <w:szCs w:val="22"/>
        </w:rPr>
        <w:t>Private sector engagement and innovation</w:t>
      </w:r>
      <w:r w:rsidRPr="00827512">
        <w:rPr>
          <w:rFonts w:asciiTheme="minorHAnsi" w:hAnsiTheme="minorHAnsi" w:cstheme="minorHAnsi"/>
          <w:sz w:val="22"/>
          <w:szCs w:val="22"/>
        </w:rPr>
        <w:t xml:space="preserve"> will be strengthened, including through private sector partnerships in financial inclusion, agribusiness and health, using the Core Economic working Group to improve links between government and business and development of a women’s economic empowerment strategy. </w:t>
      </w:r>
    </w:p>
    <w:p w:rsidR="00827512" w:rsidRPr="00827512" w:rsidRDefault="00827512" w:rsidP="00827512">
      <w:pPr>
        <w:pStyle w:val="ListBullet"/>
        <w:rPr>
          <w:rFonts w:asciiTheme="minorHAnsi" w:hAnsiTheme="minorHAnsi" w:cstheme="minorHAnsi"/>
          <w:sz w:val="22"/>
          <w:szCs w:val="22"/>
        </w:rPr>
      </w:pPr>
      <w:r w:rsidRPr="00827512">
        <w:rPr>
          <w:rFonts w:asciiTheme="minorHAnsi" w:hAnsiTheme="minorHAnsi" w:cstheme="minorHAnsi"/>
          <w:sz w:val="22"/>
          <w:szCs w:val="22"/>
        </w:rPr>
        <w:t xml:space="preserve">Continue to embed </w:t>
      </w:r>
      <w:r w:rsidRPr="00827512">
        <w:rPr>
          <w:rFonts w:asciiTheme="minorHAnsi" w:hAnsiTheme="minorHAnsi" w:cstheme="minorHAnsi"/>
          <w:b/>
          <w:sz w:val="22"/>
          <w:szCs w:val="22"/>
        </w:rPr>
        <w:t xml:space="preserve">gender </w:t>
      </w:r>
      <w:r w:rsidRPr="00827512">
        <w:rPr>
          <w:rFonts w:asciiTheme="minorHAnsi" w:hAnsiTheme="minorHAnsi" w:cstheme="minorHAnsi"/>
          <w:sz w:val="22"/>
          <w:szCs w:val="22"/>
        </w:rPr>
        <w:t>as a priority across all programs to ensure that 80 per cent of investments will effectively address gender issues in their implementation.</w:t>
      </w:r>
    </w:p>
    <w:p w:rsidR="00827512" w:rsidRPr="00827512" w:rsidRDefault="00827512" w:rsidP="00827512">
      <w:pPr>
        <w:pStyle w:val="ListBullet"/>
        <w:rPr>
          <w:rFonts w:asciiTheme="minorHAnsi" w:hAnsiTheme="minorHAnsi" w:cstheme="minorHAnsi"/>
          <w:sz w:val="22"/>
          <w:szCs w:val="22"/>
        </w:rPr>
      </w:pPr>
      <w:r w:rsidRPr="00827512">
        <w:rPr>
          <w:rFonts w:asciiTheme="minorHAnsi" w:hAnsiTheme="minorHAnsi" w:cstheme="minorHAnsi"/>
          <w:sz w:val="22"/>
          <w:szCs w:val="22"/>
        </w:rPr>
        <w:t>Build on progress made through the Core Economic Working Group to improve economic management, promote growth and improve public service delivery.</w:t>
      </w:r>
    </w:p>
    <w:p w:rsidR="00827512" w:rsidRPr="00827512" w:rsidRDefault="00827512" w:rsidP="00827512">
      <w:pPr>
        <w:pStyle w:val="ListBullet"/>
        <w:rPr>
          <w:rFonts w:asciiTheme="minorHAnsi" w:hAnsiTheme="minorHAnsi" w:cstheme="minorHAnsi"/>
          <w:sz w:val="22"/>
          <w:szCs w:val="22"/>
        </w:rPr>
      </w:pPr>
      <w:r w:rsidRPr="00827512">
        <w:rPr>
          <w:rFonts w:asciiTheme="minorHAnsi" w:hAnsiTheme="minorHAnsi" w:cstheme="minorHAnsi"/>
          <w:sz w:val="22"/>
          <w:szCs w:val="22"/>
        </w:rPr>
        <w:t xml:space="preserve">Support </w:t>
      </w:r>
      <w:r w:rsidRPr="00827512">
        <w:rPr>
          <w:rFonts w:asciiTheme="minorHAnsi" w:hAnsiTheme="minorHAnsi" w:cstheme="minorHAnsi"/>
          <w:b/>
          <w:sz w:val="22"/>
          <w:szCs w:val="22"/>
        </w:rPr>
        <w:t>strengthened fiduciary risk management and improved quality of expenditure</w:t>
      </w:r>
      <w:r w:rsidRPr="00827512">
        <w:rPr>
          <w:rFonts w:asciiTheme="minorHAnsi" w:hAnsiTheme="minorHAnsi" w:cstheme="minorHAnsi"/>
          <w:sz w:val="22"/>
          <w:szCs w:val="22"/>
        </w:rPr>
        <w:t>, through better budgeting, pr</w:t>
      </w:r>
      <w:r w:rsidR="00D271B6">
        <w:rPr>
          <w:rFonts w:asciiTheme="minorHAnsi" w:hAnsiTheme="minorHAnsi" w:cstheme="minorHAnsi"/>
          <w:sz w:val="22"/>
          <w:szCs w:val="22"/>
        </w:rPr>
        <w:t xml:space="preserve">ocurement, financial management, </w:t>
      </w:r>
      <w:r w:rsidRPr="00827512">
        <w:rPr>
          <w:rFonts w:asciiTheme="minorHAnsi" w:hAnsiTheme="minorHAnsi" w:cstheme="minorHAnsi"/>
          <w:sz w:val="22"/>
          <w:szCs w:val="22"/>
        </w:rPr>
        <w:t>audit</w:t>
      </w:r>
      <w:r w:rsidR="00D271B6">
        <w:rPr>
          <w:rFonts w:asciiTheme="minorHAnsi" w:hAnsiTheme="minorHAnsi" w:cstheme="minorHAnsi"/>
          <w:sz w:val="22"/>
          <w:szCs w:val="22"/>
        </w:rPr>
        <w:t xml:space="preserve"> and policy dialogue</w:t>
      </w:r>
      <w:r w:rsidRPr="00827512">
        <w:rPr>
          <w:rFonts w:asciiTheme="minorHAnsi" w:hAnsiTheme="minorHAnsi" w:cstheme="minorHAnsi"/>
          <w:sz w:val="22"/>
          <w:szCs w:val="22"/>
        </w:rPr>
        <w:t xml:space="preserve">. </w:t>
      </w:r>
    </w:p>
    <w:p w:rsidR="00827512" w:rsidRPr="00827512" w:rsidRDefault="00827512" w:rsidP="00827512">
      <w:pPr>
        <w:pStyle w:val="ListBullet"/>
        <w:rPr>
          <w:rFonts w:asciiTheme="minorHAnsi" w:hAnsiTheme="minorHAnsi" w:cstheme="minorHAnsi"/>
          <w:sz w:val="22"/>
          <w:szCs w:val="22"/>
        </w:rPr>
      </w:pPr>
      <w:r w:rsidRPr="00827512">
        <w:rPr>
          <w:rFonts w:asciiTheme="minorHAnsi" w:hAnsiTheme="minorHAnsi" w:cstheme="minorHAnsi"/>
          <w:b/>
          <w:sz w:val="22"/>
          <w:szCs w:val="22"/>
        </w:rPr>
        <w:t>Consolidate our health program</w:t>
      </w:r>
      <w:r w:rsidRPr="00827512">
        <w:rPr>
          <w:rFonts w:asciiTheme="minorHAnsi" w:hAnsiTheme="minorHAnsi" w:cstheme="minorHAnsi"/>
          <w:sz w:val="22"/>
          <w:szCs w:val="22"/>
        </w:rPr>
        <w:t xml:space="preserve"> following reductions in budget support, with an emphasis on protecting and building on gains to date to maintain strong performance.</w:t>
      </w:r>
    </w:p>
    <w:p w:rsidR="00827512" w:rsidRPr="00827512" w:rsidRDefault="00827512" w:rsidP="00827512">
      <w:pPr>
        <w:pStyle w:val="ListBullet"/>
        <w:rPr>
          <w:rFonts w:asciiTheme="minorHAnsi" w:hAnsiTheme="minorHAnsi" w:cstheme="minorHAnsi"/>
          <w:sz w:val="22"/>
          <w:szCs w:val="22"/>
        </w:rPr>
      </w:pPr>
      <w:r w:rsidRPr="00827512">
        <w:rPr>
          <w:rFonts w:asciiTheme="minorHAnsi" w:hAnsiTheme="minorHAnsi" w:cstheme="minorHAnsi"/>
          <w:sz w:val="22"/>
          <w:szCs w:val="22"/>
        </w:rPr>
        <w:t xml:space="preserve">Rebalance our support for education to </w:t>
      </w:r>
      <w:r w:rsidRPr="00827512">
        <w:rPr>
          <w:rFonts w:asciiTheme="minorHAnsi" w:hAnsiTheme="minorHAnsi" w:cstheme="minorHAnsi"/>
          <w:b/>
          <w:sz w:val="22"/>
          <w:szCs w:val="22"/>
        </w:rPr>
        <w:t xml:space="preserve">place greater weight on technical and vocational education </w:t>
      </w:r>
      <w:r w:rsidRPr="00827512">
        <w:rPr>
          <w:rFonts w:asciiTheme="minorHAnsi" w:hAnsiTheme="minorHAnsi" w:cstheme="minorHAnsi"/>
          <w:sz w:val="22"/>
          <w:szCs w:val="22"/>
        </w:rPr>
        <w:t>while maintaining a strong focus on core literacy and numeracy skills.</w:t>
      </w:r>
    </w:p>
    <w:p w:rsidR="00831DC0" w:rsidRPr="00814426" w:rsidRDefault="00827512" w:rsidP="00814426">
      <w:pPr>
        <w:pStyle w:val="ListBullet"/>
        <w:rPr>
          <w:rFonts w:asciiTheme="minorHAnsi" w:hAnsiTheme="minorHAnsi" w:cstheme="minorHAnsi"/>
          <w:sz w:val="22"/>
          <w:szCs w:val="22"/>
        </w:rPr>
      </w:pPr>
      <w:r w:rsidRPr="00827512">
        <w:rPr>
          <w:rFonts w:asciiTheme="minorHAnsi" w:hAnsiTheme="minorHAnsi" w:cstheme="minorHAnsi"/>
          <w:b/>
          <w:sz w:val="22"/>
          <w:szCs w:val="22"/>
        </w:rPr>
        <w:t>Develop a principles-based approach to managing technical assistance</w:t>
      </w:r>
      <w:r w:rsidRPr="00827512">
        <w:rPr>
          <w:rFonts w:asciiTheme="minorHAnsi" w:hAnsiTheme="minorHAnsi" w:cstheme="minorHAnsi"/>
          <w:sz w:val="22"/>
          <w:szCs w:val="22"/>
        </w:rPr>
        <w:t xml:space="preserve"> in a manner that promotes individual and organisational capacity building, and supports </w:t>
      </w:r>
      <w:r w:rsidR="00F413E6">
        <w:rPr>
          <w:rFonts w:asciiTheme="minorHAnsi" w:hAnsiTheme="minorHAnsi" w:cstheme="minorHAnsi"/>
          <w:sz w:val="22"/>
          <w:szCs w:val="22"/>
        </w:rPr>
        <w:t>the Solomon Islands Government</w:t>
      </w:r>
      <w:r w:rsidR="00F413E6" w:rsidRPr="00827512">
        <w:rPr>
          <w:rFonts w:asciiTheme="minorHAnsi" w:hAnsiTheme="minorHAnsi" w:cstheme="minorHAnsi"/>
          <w:sz w:val="22"/>
          <w:szCs w:val="22"/>
        </w:rPr>
        <w:t xml:space="preserve"> </w:t>
      </w:r>
      <w:r w:rsidRPr="00827512">
        <w:rPr>
          <w:rFonts w:asciiTheme="minorHAnsi" w:hAnsiTheme="minorHAnsi" w:cstheme="minorHAnsi"/>
          <w:sz w:val="22"/>
          <w:szCs w:val="22"/>
        </w:rPr>
        <w:t>to gradually increase responsibility for key public service tasks, as agreed at the 2014 bilateral High Level Consultations.</w:t>
      </w:r>
      <w:r w:rsidR="00831DC0" w:rsidRPr="00814426">
        <w:rPr>
          <w:sz w:val="28"/>
        </w:rPr>
        <w:br w:type="page"/>
      </w:r>
    </w:p>
    <w:p w:rsidR="000D733F" w:rsidRPr="009E38C1" w:rsidRDefault="000D733F" w:rsidP="000D733F">
      <w:pPr>
        <w:pStyle w:val="Heading2"/>
        <w:rPr>
          <w:sz w:val="28"/>
        </w:rPr>
      </w:pPr>
      <w:r w:rsidRPr="009E38C1">
        <w:rPr>
          <w:sz w:val="28"/>
        </w:rPr>
        <w:lastRenderedPageBreak/>
        <w:t>Annex</w:t>
      </w:r>
      <w:r w:rsidR="00D91326">
        <w:rPr>
          <w:sz w:val="28"/>
        </w:rPr>
        <w:t xml:space="preserve"> </w:t>
      </w:r>
      <w:r w:rsidRPr="009E38C1">
        <w:rPr>
          <w:sz w:val="28"/>
        </w:rPr>
        <w:t>A</w:t>
      </w:r>
      <w:r w:rsidR="00D91326">
        <w:rPr>
          <w:sz w:val="28"/>
        </w:rPr>
        <w:t xml:space="preserve"> </w:t>
      </w:r>
    </w:p>
    <w:p w:rsidR="000D733F" w:rsidRPr="009E38C1" w:rsidRDefault="000D733F" w:rsidP="000D733F">
      <w:pPr>
        <w:pStyle w:val="Heading2"/>
        <w:rPr>
          <w:sz w:val="28"/>
        </w:rPr>
      </w:pPr>
      <w:r w:rsidRPr="009E38C1">
        <w:rPr>
          <w:sz w:val="28"/>
        </w:rPr>
        <w:t>Progress</w:t>
      </w:r>
      <w:r w:rsidR="00D91326">
        <w:rPr>
          <w:sz w:val="28"/>
        </w:rPr>
        <w:t xml:space="preserve"> </w:t>
      </w:r>
      <w:r w:rsidRPr="009E38C1">
        <w:rPr>
          <w:sz w:val="28"/>
        </w:rPr>
        <w:t>in</w:t>
      </w:r>
      <w:r w:rsidR="00D91326">
        <w:rPr>
          <w:sz w:val="28"/>
        </w:rPr>
        <w:t xml:space="preserve"> </w:t>
      </w:r>
      <w:r w:rsidRPr="009E38C1">
        <w:rPr>
          <w:sz w:val="28"/>
        </w:rPr>
        <w:t>addressing</w:t>
      </w:r>
      <w:r w:rsidR="00D91326">
        <w:rPr>
          <w:sz w:val="28"/>
        </w:rPr>
        <w:t xml:space="preserve"> </w:t>
      </w:r>
      <w:r w:rsidRPr="009E38C1">
        <w:rPr>
          <w:sz w:val="28"/>
        </w:rPr>
        <w:t>2012-13</w:t>
      </w:r>
      <w:r w:rsidR="00D91326">
        <w:rPr>
          <w:sz w:val="28"/>
        </w:rPr>
        <w:t xml:space="preserve"> </w:t>
      </w:r>
      <w:r w:rsidRPr="009E38C1">
        <w:rPr>
          <w:sz w:val="28"/>
        </w:rPr>
        <w:t>management</w:t>
      </w:r>
      <w:r w:rsidR="00D91326">
        <w:rPr>
          <w:sz w:val="28"/>
        </w:rPr>
        <w:t xml:space="preserve"> </w:t>
      </w:r>
      <w:r w:rsidR="00805ADD" w:rsidRPr="009E38C1">
        <w:rPr>
          <w:sz w:val="28"/>
        </w:rPr>
        <w:t>responses</w:t>
      </w:r>
      <w:r w:rsidR="00F95284">
        <w:rPr>
          <w:sz w:val="28"/>
        </w:rPr>
        <w:t xml:space="preserve"> </w:t>
      </w:r>
    </w:p>
    <w:tbl>
      <w:tblPr>
        <w:tblStyle w:val="APPR"/>
        <w:tblpPr w:leftFromText="180" w:rightFromText="180" w:vertAnchor="text" w:tblpY="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766"/>
        <w:gridCol w:w="904"/>
        <w:gridCol w:w="4958"/>
      </w:tblGrid>
      <w:tr w:rsidR="000D733F"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0D733F" w:rsidRPr="00180B19" w:rsidRDefault="000D733F" w:rsidP="000C7476">
            <w:pPr>
              <w:pStyle w:val="TableTextColumnHeading"/>
              <w:framePr w:hSpace="0" w:wrap="auto" w:vAnchor="margin" w:yAlign="inline"/>
            </w:pPr>
            <w:r w:rsidRPr="00FE4491">
              <w:t>Management</w:t>
            </w:r>
            <w:r w:rsidR="00D91326">
              <w:t xml:space="preserve"> </w:t>
            </w:r>
            <w:r w:rsidRPr="00FE4491">
              <w:t>consequences</w:t>
            </w:r>
            <w:r w:rsidR="00D91326">
              <w:t xml:space="preserve"> </w:t>
            </w:r>
            <w:r w:rsidRPr="00FE4491">
              <w:t>identified</w:t>
            </w:r>
            <w:r w:rsidR="00D91326">
              <w:t xml:space="preserve"> </w:t>
            </w:r>
            <w:r w:rsidRPr="00FE4491">
              <w:t>in</w:t>
            </w:r>
            <w:r w:rsidR="00D91326">
              <w:t xml:space="preserve"> </w:t>
            </w:r>
            <w:r w:rsidRPr="00FE4491">
              <w:t>201</w:t>
            </w:r>
            <w:r>
              <w:t>2-13</w:t>
            </w:r>
            <w:r w:rsidR="00D91326">
              <w:t xml:space="preserve"> </w:t>
            </w:r>
            <w:r>
              <w:t>APPR</w:t>
            </w:r>
            <w:r>
              <w:tab/>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0D733F" w:rsidRPr="000C7476" w:rsidRDefault="000D733F" w:rsidP="000C7476">
            <w:pPr>
              <w:pStyle w:val="TableTextColumnHeading"/>
              <w:framePr w:hSpace="0" w:wrap="auto" w:vAnchor="margin" w:yAlign="inline"/>
            </w:pPr>
            <w:r w:rsidRPr="000C7476">
              <w:t>Rating</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0D733F" w:rsidRPr="00180B19" w:rsidRDefault="000D733F" w:rsidP="000C7476">
            <w:pPr>
              <w:pStyle w:val="TableTextColumnHeading"/>
              <w:framePr w:hSpace="0" w:wrap="auto" w:vAnchor="margin" w:yAlign="inline"/>
            </w:pPr>
            <w:r w:rsidRPr="00FE4491">
              <w:t>Progress</w:t>
            </w:r>
            <w:r w:rsidR="00D91326">
              <w:t xml:space="preserve"> </w:t>
            </w:r>
            <w:r w:rsidRPr="00FE4491">
              <w:t>made</w:t>
            </w:r>
            <w:r w:rsidR="00D91326">
              <w:t xml:space="preserve"> </w:t>
            </w:r>
            <w:r w:rsidRPr="00FE4491">
              <w:t>in</w:t>
            </w:r>
            <w:r w:rsidR="00D91326">
              <w:t xml:space="preserve"> </w:t>
            </w:r>
            <w:r>
              <w:t>2013-14</w:t>
            </w:r>
          </w:p>
        </w:tc>
      </w:tr>
      <w:tr w:rsidR="00D922E1"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shd w:val="clear" w:color="auto" w:fill="D9D9D9" w:themeFill="background1" w:themeFillShade="D9"/>
          </w:tcPr>
          <w:p w:rsidR="00400F5D" w:rsidRPr="007B21F1" w:rsidRDefault="001B7722" w:rsidP="003C5CE0">
            <w:pPr>
              <w:pStyle w:val="TableTextEntries"/>
              <w:rPr>
                <w:i/>
                <w:color w:val="000000" w:themeColor="text1"/>
              </w:rPr>
            </w:pPr>
            <w:r w:rsidRPr="007B21F1">
              <w:rPr>
                <w:i/>
                <w:color w:val="000000" w:themeColor="text1"/>
              </w:rPr>
              <w:t xml:space="preserve">RAMSI transition </w:t>
            </w:r>
          </w:p>
        </w:tc>
        <w:tc>
          <w:tcPr>
            <w:tcW w:w="876" w:type="dxa"/>
            <w:shd w:val="clear" w:color="auto" w:fill="D9D9D9" w:themeFill="background1" w:themeFillShade="D9"/>
          </w:tcPr>
          <w:p w:rsidR="00400F5D" w:rsidRPr="000C7476" w:rsidRDefault="00400F5D" w:rsidP="000D733F">
            <w:pPr>
              <w:pStyle w:val="TableTextEntries"/>
              <w:jc w:val="center"/>
              <w:rPr>
                <w:color w:val="000000" w:themeColor="text1"/>
              </w:rPr>
            </w:pPr>
          </w:p>
        </w:tc>
        <w:tc>
          <w:tcPr>
            <w:tcW w:w="4916" w:type="dxa"/>
            <w:shd w:val="clear" w:color="auto" w:fill="D9D9D9" w:themeFill="background1" w:themeFillShade="D9"/>
          </w:tcPr>
          <w:p w:rsidR="00400F5D" w:rsidRPr="00B30E77" w:rsidRDefault="00400F5D" w:rsidP="000D733F">
            <w:pPr>
              <w:pStyle w:val="TableTextEntries"/>
              <w:rPr>
                <w:color w:val="92D050"/>
              </w:rPr>
            </w:pP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3C5CE0" w:rsidRDefault="001B7722" w:rsidP="003C5CE0">
            <w:pPr>
              <w:pStyle w:val="TableTextEntries"/>
              <w:rPr>
                <w:color w:val="000000" w:themeColor="text1"/>
              </w:rPr>
            </w:pPr>
            <w:r w:rsidRPr="003C5CE0">
              <w:rPr>
                <w:color w:val="000000" w:themeColor="text1"/>
              </w:rPr>
              <w:t>Agree to a new restructured Partnership for Development which includes priority outcome statements, program descriptions and performance indicators for justice, governance and electoral assistance.</w:t>
            </w:r>
            <w:r w:rsidR="00400F5D" w:rsidRPr="003C5CE0">
              <w:rPr>
                <w:color w:val="000000" w:themeColor="text1"/>
              </w:rPr>
              <w:t xml:space="preserve"> </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400F5D" w:rsidRPr="000C7476" w:rsidRDefault="000C7476" w:rsidP="000D733F">
            <w:pPr>
              <w:pStyle w:val="TableTextEntries"/>
              <w:jc w:val="center"/>
              <w:rPr>
                <w:color w:val="000000" w:themeColor="text1"/>
              </w:rPr>
            </w:pPr>
            <w:r w:rsidRPr="000C7476">
              <w:rPr>
                <w:color w:val="000000" w:themeColor="text1"/>
              </w:rPr>
              <w:t>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D922E1" w:rsidP="00D922E1">
            <w:pPr>
              <w:pStyle w:val="TableTextEntries"/>
              <w:rPr>
                <w:color w:val="92D050"/>
              </w:rPr>
            </w:pPr>
            <w:r w:rsidRPr="00D922E1">
              <w:t>Restructured Partnership for Development agreed in July 2013</w:t>
            </w:r>
            <w:r w:rsidR="00AB5D2B">
              <w:t>.</w:t>
            </w: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3C5CE0" w:rsidRDefault="001B7722" w:rsidP="003C5CE0">
            <w:pPr>
              <w:pStyle w:val="TableTextEntries"/>
              <w:rPr>
                <w:color w:val="000000" w:themeColor="text1"/>
              </w:rPr>
            </w:pPr>
            <w:r w:rsidRPr="003C5CE0">
              <w:rPr>
                <w:color w:val="000000" w:themeColor="text1"/>
              </w:rPr>
              <w:t>Design and implement new programs under Priority Outcome Areas 2 and 4 to support law and justice, public sector management, and electoral assistance.</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400F5D" w:rsidRPr="000C7476" w:rsidRDefault="002D4F07" w:rsidP="000D733F">
            <w:pPr>
              <w:pStyle w:val="TableTextEntries"/>
              <w:jc w:val="center"/>
              <w:rPr>
                <w:color w:val="000000" w:themeColor="text1"/>
              </w:rPr>
            </w:pPr>
            <w:r w:rsidRPr="000C7476">
              <w:rPr>
                <w:color w:val="000000" w:themeColor="text1"/>
              </w:rPr>
              <w:t>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D922E1" w:rsidP="000D733F">
            <w:pPr>
              <w:pStyle w:val="TableTextEntries"/>
              <w:rPr>
                <w:color w:val="92D050"/>
              </w:rPr>
            </w:pPr>
            <w:r w:rsidRPr="00D922E1">
              <w:t>New programs designed and in implementation</w:t>
            </w:r>
            <w:r w:rsidR="00AB5D2B">
              <w:t>.</w:t>
            </w: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3C5CE0" w:rsidRDefault="001B7722" w:rsidP="003C5CE0">
            <w:pPr>
              <w:pStyle w:val="TableTextEntries"/>
              <w:rPr>
                <w:color w:val="000000" w:themeColor="text1"/>
              </w:rPr>
            </w:pPr>
            <w:r w:rsidRPr="003C5CE0">
              <w:rPr>
                <w:color w:val="000000" w:themeColor="text1"/>
              </w:rPr>
              <w:t>Develop and implement change management plans that will bring together, under one common set of objectives and management structure, High Commission staff working on RAMSI and bilateral programs.</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400F5D" w:rsidRPr="000C7476" w:rsidRDefault="002D4F07" w:rsidP="007561A0">
            <w:pPr>
              <w:pStyle w:val="TableTextEntries"/>
              <w:jc w:val="center"/>
              <w:rPr>
                <w:color w:val="000000" w:themeColor="text1"/>
              </w:rPr>
            </w:pPr>
            <w:r w:rsidRPr="000C7476">
              <w:rPr>
                <w:color w:val="000000" w:themeColor="text1"/>
              </w:rPr>
              <w:t>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D922E1" w:rsidRDefault="00D922E1" w:rsidP="000D733F">
            <w:pPr>
              <w:pStyle w:val="TableTextEntries"/>
              <w:rPr>
                <w:color w:val="000000" w:themeColor="text1"/>
              </w:rPr>
            </w:pPr>
            <w:r w:rsidRPr="00D922E1">
              <w:rPr>
                <w:color w:val="000000" w:themeColor="text1"/>
              </w:rPr>
              <w:t>Common objectives and management structure achieved for all ex-RAMSI programs</w:t>
            </w:r>
            <w:r w:rsidR="00AB5D2B">
              <w:rPr>
                <w:color w:val="000000" w:themeColor="text1"/>
              </w:rPr>
              <w:t>.</w:t>
            </w:r>
          </w:p>
        </w:tc>
      </w:tr>
      <w:tr w:rsidR="007B21F1"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shd w:val="clear" w:color="auto" w:fill="D9D9D9" w:themeFill="background1" w:themeFillShade="D9"/>
          </w:tcPr>
          <w:p w:rsidR="007B21F1" w:rsidRPr="000C7476" w:rsidRDefault="007B21F1" w:rsidP="007B21F1">
            <w:pPr>
              <w:pStyle w:val="TableTextEntries"/>
              <w:rPr>
                <w:i/>
                <w:color w:val="000000" w:themeColor="text1"/>
              </w:rPr>
            </w:pPr>
            <w:r w:rsidRPr="007B21F1">
              <w:rPr>
                <w:i/>
                <w:color w:val="000000" w:themeColor="text1"/>
              </w:rPr>
              <w:t>Policy analysis and policy dialogue</w:t>
            </w:r>
          </w:p>
        </w:tc>
        <w:tc>
          <w:tcPr>
            <w:tcW w:w="876" w:type="dxa"/>
            <w:shd w:val="clear" w:color="auto" w:fill="D9D9D9" w:themeFill="background1" w:themeFillShade="D9"/>
          </w:tcPr>
          <w:p w:rsidR="007B21F1" w:rsidRPr="000C7476" w:rsidRDefault="007B21F1" w:rsidP="000D733F">
            <w:pPr>
              <w:pStyle w:val="TableTextEntries"/>
              <w:jc w:val="center"/>
              <w:rPr>
                <w:color w:val="000000" w:themeColor="text1"/>
              </w:rPr>
            </w:pPr>
          </w:p>
        </w:tc>
        <w:tc>
          <w:tcPr>
            <w:tcW w:w="4916" w:type="dxa"/>
            <w:shd w:val="clear" w:color="auto" w:fill="D9D9D9" w:themeFill="background1" w:themeFillShade="D9"/>
          </w:tcPr>
          <w:p w:rsidR="007B21F1" w:rsidRPr="000C7476" w:rsidRDefault="007B21F1" w:rsidP="000D733F">
            <w:pPr>
              <w:pStyle w:val="TableTextEntries"/>
              <w:rPr>
                <w:color w:val="000000" w:themeColor="text1"/>
              </w:rPr>
            </w:pPr>
          </w:p>
        </w:tc>
      </w:tr>
      <w:tr w:rsidR="00400F5D" w:rsidRPr="00180B19" w:rsidTr="00376313">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F413E6">
            <w:pPr>
              <w:pStyle w:val="TableTextEntries"/>
              <w:rPr>
                <w:color w:val="000000" w:themeColor="text1"/>
              </w:rPr>
            </w:pPr>
            <w:r w:rsidRPr="001B7722">
              <w:rPr>
                <w:color w:val="000000" w:themeColor="text1"/>
              </w:rPr>
              <w:t xml:space="preserve">Engage with </w:t>
            </w:r>
            <w:r w:rsidR="00F413E6">
              <w:rPr>
                <w:color w:val="000000" w:themeColor="text1"/>
              </w:rPr>
              <w:t>the Solomon Islands Government</w:t>
            </w:r>
            <w:r w:rsidR="00F413E6" w:rsidRPr="001B7722">
              <w:rPr>
                <w:color w:val="000000" w:themeColor="text1"/>
              </w:rPr>
              <w:t xml:space="preserve"> </w:t>
            </w:r>
            <w:r w:rsidRPr="001B7722">
              <w:rPr>
                <w:color w:val="000000" w:themeColor="text1"/>
              </w:rPr>
              <w:t xml:space="preserve">and in coalition with other donors on quality of expenditure issues including Constituency Development Funds and overseas tertiary scholarships. </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400F5D" w:rsidRPr="000C7476" w:rsidRDefault="00376313" w:rsidP="00376313">
            <w:pPr>
              <w:pStyle w:val="TableTextEntries"/>
              <w:jc w:val="center"/>
              <w:rPr>
                <w:color w:val="000000" w:themeColor="text1"/>
              </w:rPr>
            </w:pPr>
            <w:r>
              <w:rPr>
                <w:color w:val="000000" w:themeColor="text1"/>
              </w:rPr>
              <w:t>A</w:t>
            </w:r>
            <w:r w:rsidR="000965C9">
              <w:rPr>
                <w:color w:val="000000" w:themeColor="text1"/>
              </w:rPr>
              <w:t>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7561A0" w:rsidP="00AD5CA9">
            <w:pPr>
              <w:pStyle w:val="TableTextEntries"/>
              <w:rPr>
                <w:color w:val="92D050"/>
              </w:rPr>
            </w:pPr>
            <w:r w:rsidRPr="007561A0">
              <w:rPr>
                <w:color w:val="000000" w:themeColor="text1"/>
              </w:rPr>
              <w:t xml:space="preserve">Quality of expenditure raised in High Level Consultations and through CEWG with </w:t>
            </w:r>
            <w:r w:rsidR="00AD5CA9">
              <w:rPr>
                <w:color w:val="000000" w:themeColor="text1"/>
              </w:rPr>
              <w:t>the Solomon Islands Government</w:t>
            </w:r>
            <w:r w:rsidRPr="007561A0">
              <w:rPr>
                <w:color w:val="000000" w:themeColor="text1"/>
              </w:rPr>
              <w:t>. Reponses beyond bureaucratic level required.</w:t>
            </w:r>
          </w:p>
        </w:tc>
      </w:tr>
      <w:tr w:rsidR="00400F5D" w:rsidRPr="00180B19" w:rsidTr="00376313">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AD5CA9">
            <w:pPr>
              <w:pStyle w:val="TableTextEntries"/>
              <w:rPr>
                <w:color w:val="000000" w:themeColor="text1"/>
              </w:rPr>
            </w:pPr>
            <w:r w:rsidRPr="001B7722">
              <w:rPr>
                <w:color w:val="000000" w:themeColor="text1"/>
              </w:rPr>
              <w:t>Engage with</w:t>
            </w:r>
            <w:r w:rsidR="00F413E6">
              <w:rPr>
                <w:color w:val="000000" w:themeColor="text1"/>
              </w:rPr>
              <w:t xml:space="preserve"> the Solomon Islands Government</w:t>
            </w:r>
            <w:r w:rsidR="00F413E6" w:rsidRPr="001B7722" w:rsidDel="00F413E6">
              <w:rPr>
                <w:color w:val="000000" w:themeColor="text1"/>
              </w:rPr>
              <w:t xml:space="preserve"> </w:t>
            </w:r>
            <w:r w:rsidRPr="001B7722">
              <w:rPr>
                <w:color w:val="000000" w:themeColor="text1"/>
              </w:rPr>
              <w:t>and in coalition with other donors on budget commitments for essential services (that is, recurrent expenditure targets, education expenditure).</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400F5D" w:rsidRPr="000C7476" w:rsidRDefault="00376313" w:rsidP="00376313">
            <w:pPr>
              <w:pStyle w:val="TableTextEntries"/>
              <w:jc w:val="center"/>
              <w:rPr>
                <w:color w:val="000000" w:themeColor="text1"/>
              </w:rPr>
            </w:pPr>
            <w:r>
              <w:rPr>
                <w:color w:val="000000" w:themeColor="text1"/>
              </w:rPr>
              <w:t>A</w:t>
            </w:r>
            <w:r w:rsidR="002D4F07">
              <w:rPr>
                <w:color w:val="000000" w:themeColor="text1"/>
              </w:rPr>
              <w:t>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B3750A" w:rsidP="000D733F">
            <w:pPr>
              <w:pStyle w:val="TableTextEntries"/>
              <w:rPr>
                <w:color w:val="92D050"/>
              </w:rPr>
            </w:pPr>
            <w:r w:rsidRPr="00B3750A">
              <w:t xml:space="preserve">Engagement with </w:t>
            </w:r>
            <w:r w:rsidR="00F413E6">
              <w:rPr>
                <w:color w:val="000000" w:themeColor="text1"/>
              </w:rPr>
              <w:t xml:space="preserve"> the Solomon Islands Government</w:t>
            </w:r>
            <w:r w:rsidR="00F413E6" w:rsidRPr="00B3750A" w:rsidDel="00F413E6">
              <w:t xml:space="preserve"> </w:t>
            </w:r>
            <w:r w:rsidRPr="00B3750A">
              <w:t>on these issues at sectoral level as well as through CEWG matrix</w:t>
            </w:r>
            <w:r w:rsidR="00AB5D2B">
              <w:t>.</w:t>
            </w:r>
          </w:p>
        </w:tc>
      </w:tr>
      <w:tr w:rsidR="00400F5D" w:rsidRPr="00180B19" w:rsidTr="00B3750A">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1B7722">
            <w:pPr>
              <w:pStyle w:val="TableTextEntries"/>
              <w:rPr>
                <w:color w:val="000000" w:themeColor="text1"/>
              </w:rPr>
            </w:pPr>
            <w:r w:rsidRPr="001B7722">
              <w:rPr>
                <w:color w:val="000000" w:themeColor="text1"/>
              </w:rPr>
              <w:t>Target incentives to promote the achievement of mutually agreed objectives in the Partnership for Development under selected priority outcome areas.</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400F5D" w:rsidRPr="000C7476" w:rsidRDefault="00376313" w:rsidP="00376313">
            <w:pPr>
              <w:pStyle w:val="TableTextEntries"/>
              <w:jc w:val="center"/>
              <w:rPr>
                <w:color w:val="000000" w:themeColor="text1"/>
              </w:rPr>
            </w:pPr>
            <w:r>
              <w:rPr>
                <w:color w:val="000000" w:themeColor="text1"/>
              </w:rPr>
              <w:t>A</w:t>
            </w:r>
            <w:r w:rsidR="002D4F07">
              <w:rPr>
                <w:color w:val="000000" w:themeColor="text1"/>
              </w:rPr>
              <w:t>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B3750A" w:rsidP="00F225D0">
            <w:pPr>
              <w:pStyle w:val="TableTextEntries"/>
              <w:rPr>
                <w:color w:val="92D050"/>
              </w:rPr>
            </w:pPr>
            <w:r w:rsidRPr="00B3750A">
              <w:t xml:space="preserve">Performance </w:t>
            </w:r>
            <w:r w:rsidR="00DF2010">
              <w:t>Assessment Frameworks</w:t>
            </w:r>
            <w:r w:rsidRPr="00B3750A">
              <w:t xml:space="preserve"> rolled out in Health, Education, Infrastructure</w:t>
            </w:r>
            <w:r w:rsidR="00F225D0">
              <w:t xml:space="preserve">, Law and Justice </w:t>
            </w:r>
            <w:r w:rsidRPr="00B3750A">
              <w:t>and Governance Sectors</w:t>
            </w:r>
            <w:r w:rsidR="00DF2010">
              <w:t>. Some programs have performance linked aid linked to the achievement of key targets – in health, education and governance</w:t>
            </w:r>
            <w:r w:rsidR="00AB5D2B">
              <w:t>.</w:t>
            </w:r>
          </w:p>
        </w:tc>
      </w:tr>
      <w:tr w:rsidR="00400F5D" w:rsidRPr="00180B19" w:rsidTr="00376313">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AD5CA9">
            <w:pPr>
              <w:pStyle w:val="TableTextEntries"/>
              <w:rPr>
                <w:color w:val="000000" w:themeColor="text1"/>
              </w:rPr>
            </w:pPr>
            <w:r w:rsidRPr="001B7722">
              <w:rPr>
                <w:color w:val="000000" w:themeColor="text1"/>
              </w:rPr>
              <w:t xml:space="preserve">Target incentives to maintain the pace of reform within </w:t>
            </w:r>
            <w:r w:rsidR="00F413E6">
              <w:rPr>
                <w:color w:val="000000" w:themeColor="text1"/>
              </w:rPr>
              <w:t>the Solomon Islands Government</w:t>
            </w:r>
            <w:r w:rsidRPr="001B7722">
              <w:rPr>
                <w:color w:val="000000" w:themeColor="text1"/>
              </w:rPr>
              <w:t>, particularly in economic and financial management through SIG’s CEWG.</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400F5D" w:rsidRPr="000C7476" w:rsidRDefault="00376313" w:rsidP="00376313">
            <w:pPr>
              <w:pStyle w:val="TableTextEntries"/>
              <w:jc w:val="center"/>
              <w:rPr>
                <w:color w:val="000000" w:themeColor="text1"/>
              </w:rPr>
            </w:pPr>
            <w:r>
              <w:rPr>
                <w:color w:val="000000" w:themeColor="text1"/>
              </w:rPr>
              <w:t>A</w:t>
            </w:r>
            <w:r w:rsidR="002D4F07">
              <w:rPr>
                <w:color w:val="000000" w:themeColor="text1"/>
              </w:rPr>
              <w:t>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B3750A" w:rsidP="000D733F">
            <w:pPr>
              <w:pStyle w:val="TableTextEntries"/>
              <w:rPr>
                <w:color w:val="92D050"/>
              </w:rPr>
            </w:pPr>
            <w:r w:rsidRPr="00B3750A">
              <w:t>CEWG matrix contains performance linked components</w:t>
            </w:r>
            <w:r w:rsidR="00AB5D2B">
              <w:t>.</w:t>
            </w: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2D4F07">
            <w:pPr>
              <w:pStyle w:val="TableTextEntries"/>
              <w:rPr>
                <w:color w:val="000000" w:themeColor="text1"/>
              </w:rPr>
            </w:pPr>
            <w:r w:rsidRPr="001B7722">
              <w:rPr>
                <w:color w:val="000000" w:themeColor="text1"/>
              </w:rPr>
              <w:t>Work closely with</w:t>
            </w:r>
            <w:r w:rsidR="00F413E6">
              <w:rPr>
                <w:color w:val="000000" w:themeColor="text1"/>
              </w:rPr>
              <w:t xml:space="preserve"> the Solomon Islands Government</w:t>
            </w:r>
            <w:r w:rsidR="00F413E6" w:rsidRPr="001B7722" w:rsidDel="00F413E6">
              <w:rPr>
                <w:color w:val="000000" w:themeColor="text1"/>
              </w:rPr>
              <w:t xml:space="preserve"> </w:t>
            </w:r>
            <w:r w:rsidRPr="001B7722">
              <w:rPr>
                <w:color w:val="000000" w:themeColor="text1"/>
              </w:rPr>
              <w:t>to jointly communicate policy and program achievements and promote the Partnership for Development.</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400F5D" w:rsidRPr="000C7476" w:rsidRDefault="002D4F07" w:rsidP="000D733F">
            <w:pPr>
              <w:pStyle w:val="TableTextEntries"/>
              <w:jc w:val="center"/>
              <w:rPr>
                <w:color w:val="000000" w:themeColor="text1"/>
              </w:rPr>
            </w:pPr>
            <w:r w:rsidRPr="000C7476">
              <w:rPr>
                <w:color w:val="000000" w:themeColor="text1"/>
              </w:rPr>
              <w:t>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B3750A" w:rsidP="000D733F">
            <w:pPr>
              <w:pStyle w:val="TableTextEntries"/>
              <w:rPr>
                <w:color w:val="92D050"/>
              </w:rPr>
            </w:pPr>
            <w:r w:rsidRPr="00B3750A">
              <w:t>Ongoing work to promote partnership, including through joint participation in and response to Independent Partnership Assessment Panel report</w:t>
            </w:r>
            <w:r w:rsidR="00AB5D2B">
              <w:t>.</w:t>
            </w: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F413E6">
            <w:pPr>
              <w:pStyle w:val="TableTextEntries"/>
              <w:rPr>
                <w:color w:val="000000" w:themeColor="text1"/>
              </w:rPr>
            </w:pPr>
            <w:r w:rsidRPr="001B7722">
              <w:rPr>
                <w:color w:val="000000" w:themeColor="text1"/>
              </w:rPr>
              <w:t>Work closely with</w:t>
            </w:r>
            <w:r w:rsidR="00F413E6">
              <w:rPr>
                <w:color w:val="000000" w:themeColor="text1"/>
              </w:rPr>
              <w:t xml:space="preserve"> the Solomon Islands Government</w:t>
            </w:r>
            <w:r w:rsidR="00F413E6" w:rsidRPr="001B7722" w:rsidDel="00F413E6">
              <w:rPr>
                <w:color w:val="000000" w:themeColor="text1"/>
              </w:rPr>
              <w:t xml:space="preserve"> </w:t>
            </w:r>
            <w:r w:rsidRPr="001B7722">
              <w:rPr>
                <w:color w:val="000000" w:themeColor="text1"/>
              </w:rPr>
              <w:t xml:space="preserve">to integrate and mainstream gender across all programs through dialogue regarding opportunities. </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C000"/>
          </w:tcPr>
          <w:p w:rsidR="00400F5D" w:rsidRPr="000C7476" w:rsidRDefault="002D4F07" w:rsidP="000D733F">
            <w:pPr>
              <w:pStyle w:val="TableTextEntries"/>
              <w:jc w:val="center"/>
              <w:rPr>
                <w:color w:val="000000" w:themeColor="text1"/>
              </w:rPr>
            </w:pPr>
            <w:r>
              <w:rPr>
                <w:color w:val="000000" w:themeColor="text1"/>
              </w:rPr>
              <w:t>Partly 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B3750A" w:rsidP="00B3750A">
            <w:pPr>
              <w:pStyle w:val="TableTextEntries"/>
              <w:rPr>
                <w:color w:val="92D050"/>
              </w:rPr>
            </w:pPr>
            <w:r w:rsidRPr="00B3750A">
              <w:t>While progress has been made, ongoing opportunities exist to mainstream gender across the program</w:t>
            </w:r>
            <w:r w:rsidR="00AB5D2B">
              <w:t>.</w:t>
            </w: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1B7722">
            <w:pPr>
              <w:pStyle w:val="TableTextEntries"/>
              <w:rPr>
                <w:color w:val="000000" w:themeColor="text1"/>
              </w:rPr>
            </w:pPr>
            <w:r w:rsidRPr="001B7722">
              <w:rPr>
                <w:color w:val="000000" w:themeColor="text1"/>
              </w:rPr>
              <w:t xml:space="preserve">Conduct expenditure analyses and cost of services work in health and education. </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C000"/>
          </w:tcPr>
          <w:p w:rsidR="00400F5D" w:rsidRPr="000C7476" w:rsidRDefault="002D4F07" w:rsidP="000D733F">
            <w:pPr>
              <w:pStyle w:val="TableTextEntries"/>
              <w:jc w:val="center"/>
              <w:rPr>
                <w:color w:val="000000" w:themeColor="text1"/>
              </w:rPr>
            </w:pPr>
            <w:r>
              <w:rPr>
                <w:color w:val="000000" w:themeColor="text1"/>
              </w:rPr>
              <w:t>Partly 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B3750A" w:rsidP="000D733F">
            <w:pPr>
              <w:pStyle w:val="TableTextEntries"/>
              <w:rPr>
                <w:color w:val="92D050"/>
              </w:rPr>
            </w:pPr>
            <w:r w:rsidRPr="00B3750A">
              <w:t>Work in this area has commenced with multilateral partners including World Bank</w:t>
            </w:r>
            <w:r w:rsidR="00AB5D2B">
              <w:t>.</w:t>
            </w: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400F5D" w:rsidRPr="001B7722" w:rsidRDefault="00400F5D" w:rsidP="001B7722">
            <w:pPr>
              <w:pStyle w:val="TableTextEntries"/>
              <w:rPr>
                <w:i/>
                <w:color w:val="000000" w:themeColor="text1"/>
              </w:rPr>
            </w:pPr>
            <w:r w:rsidRPr="001B7722">
              <w:rPr>
                <w:i/>
                <w:color w:val="000000" w:themeColor="text1"/>
              </w:rPr>
              <w:t>Program management</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400F5D" w:rsidRPr="000C7476" w:rsidRDefault="00400F5D" w:rsidP="000D733F">
            <w:pPr>
              <w:pStyle w:val="TableTextEntries"/>
              <w:jc w:val="center"/>
              <w:rPr>
                <w:color w:val="000000" w:themeColor="text1"/>
              </w:rPr>
            </w:pP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400F5D" w:rsidRPr="00B30E77" w:rsidRDefault="00400F5D" w:rsidP="000D733F">
            <w:pPr>
              <w:pStyle w:val="TableTextEntries"/>
              <w:rPr>
                <w:color w:val="92D050"/>
              </w:rPr>
            </w:pPr>
          </w:p>
        </w:tc>
      </w:tr>
      <w:tr w:rsidR="00400F5D" w:rsidRPr="00180B19" w:rsidTr="009A7A0E">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1B7722">
            <w:pPr>
              <w:pStyle w:val="TableTextEntries"/>
              <w:rPr>
                <w:color w:val="000000" w:themeColor="text1"/>
              </w:rPr>
            </w:pPr>
            <w:r w:rsidRPr="001B7722">
              <w:rPr>
                <w:color w:val="000000" w:themeColor="text1"/>
              </w:rPr>
              <w:t>Develop a new dedicated three-year Solomon Islands Gender Program (2013–2016) to support women’s leadership, economic empowerment and the elimination of violence against women. This program should also improve the gender impact of Australia’s bilateral programs, including supporting staff to undertake gender mainstreaming where appropriate.</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C000"/>
          </w:tcPr>
          <w:p w:rsidR="00400F5D" w:rsidRPr="000C7476" w:rsidRDefault="009A7A0E" w:rsidP="009A7A0E">
            <w:pPr>
              <w:pStyle w:val="TableTextEntries"/>
              <w:jc w:val="center"/>
              <w:rPr>
                <w:color w:val="000000" w:themeColor="text1"/>
              </w:rPr>
            </w:pPr>
            <w:r>
              <w:rPr>
                <w:color w:val="000000" w:themeColor="text1"/>
              </w:rPr>
              <w:t>Partly a</w:t>
            </w:r>
            <w:r w:rsidR="002D4F07" w:rsidRPr="000C7476">
              <w:rPr>
                <w:color w:val="000000" w:themeColor="text1"/>
              </w:rPr>
              <w:t>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09030A" w:rsidRDefault="0009030A" w:rsidP="000D733F">
            <w:pPr>
              <w:pStyle w:val="TableTextEntries"/>
            </w:pPr>
            <w:r>
              <w:t>Ending violence against women program designed and being tendered</w:t>
            </w:r>
            <w:r w:rsidR="00AB5D2B">
              <w:t>.</w:t>
            </w:r>
          </w:p>
          <w:p w:rsidR="0009030A" w:rsidRPr="00B30E77" w:rsidRDefault="0009030A" w:rsidP="000D733F">
            <w:pPr>
              <w:pStyle w:val="TableTextEntries"/>
              <w:rPr>
                <w:color w:val="92D050"/>
              </w:rPr>
            </w:pPr>
            <w:r>
              <w:t>Women’s economic empowerment strategy needed</w:t>
            </w:r>
            <w:r w:rsidR="00AB5D2B">
              <w:t>.</w:t>
            </w: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1B7722">
            <w:pPr>
              <w:pStyle w:val="TableTextEntries"/>
              <w:rPr>
                <w:color w:val="000000" w:themeColor="text1"/>
              </w:rPr>
            </w:pPr>
            <w:r w:rsidRPr="001B7722">
              <w:rPr>
                <w:color w:val="000000" w:themeColor="text1"/>
              </w:rPr>
              <w:t>Develop new activities supporting basic education, and technical and vocational education under Priority Outcome 1, and in financial inclusion and quarantine services under Priority Outcome 3.</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C000"/>
          </w:tcPr>
          <w:p w:rsidR="00400F5D" w:rsidRPr="000C7476" w:rsidRDefault="002D4F07" w:rsidP="000D733F">
            <w:pPr>
              <w:pStyle w:val="TableTextEntries"/>
              <w:jc w:val="center"/>
              <w:rPr>
                <w:color w:val="000000" w:themeColor="text1"/>
              </w:rPr>
            </w:pPr>
            <w:r>
              <w:rPr>
                <w:color w:val="000000" w:themeColor="text1"/>
              </w:rPr>
              <w:t>Partly 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77278F" w:rsidRDefault="0077278F" w:rsidP="000D733F">
            <w:pPr>
              <w:pStyle w:val="TableTextEntries"/>
            </w:pPr>
            <w:r w:rsidRPr="0077278F">
              <w:t xml:space="preserve">Education design work underway, scheduled for commencement in </w:t>
            </w:r>
            <w:r w:rsidR="00812A4D">
              <w:t>early 2015</w:t>
            </w:r>
            <w:r w:rsidR="00AB5D2B">
              <w:t>.</w:t>
            </w:r>
          </w:p>
          <w:p w:rsidR="0077278F" w:rsidRPr="00E8467D" w:rsidRDefault="0077278F" w:rsidP="000D733F">
            <w:pPr>
              <w:pStyle w:val="TableTextEntries"/>
            </w:pPr>
            <w:r w:rsidRPr="0077278F">
              <w:t>Financial inclusion work in implementation and exceeding targets.</w:t>
            </w:r>
          </w:p>
        </w:tc>
      </w:tr>
      <w:tr w:rsidR="00400F5D" w:rsidRPr="00180B19" w:rsidTr="00376313">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1B7722">
            <w:pPr>
              <w:pStyle w:val="TableTextEntries"/>
              <w:rPr>
                <w:color w:val="000000" w:themeColor="text1"/>
              </w:rPr>
            </w:pPr>
            <w:r w:rsidRPr="001B7722">
              <w:rPr>
                <w:color w:val="000000" w:themeColor="text1"/>
              </w:rPr>
              <w:t>Develop a new program strategy which supports demand for better governance, accountability and transparency through the use of civil society and the media.</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0000"/>
          </w:tcPr>
          <w:p w:rsidR="00400F5D" w:rsidRPr="000C7476" w:rsidRDefault="00376313" w:rsidP="000D733F">
            <w:pPr>
              <w:pStyle w:val="TableTextEntries"/>
              <w:jc w:val="center"/>
              <w:rPr>
                <w:color w:val="000000" w:themeColor="text1"/>
              </w:rPr>
            </w:pPr>
            <w:r>
              <w:rPr>
                <w:color w:val="000000" w:themeColor="text1"/>
              </w:rPr>
              <w:t>Not 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376313" w:rsidP="00376313">
            <w:pPr>
              <w:pStyle w:val="TableTextEntries"/>
              <w:rPr>
                <w:color w:val="92D050"/>
              </w:rPr>
            </w:pPr>
            <w:r>
              <w:t>Will be considered through the Aid Investment Plan process</w:t>
            </w:r>
            <w:r w:rsidR="00AB5D2B">
              <w:t>.</w:t>
            </w: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1B7722">
            <w:pPr>
              <w:pStyle w:val="TableTextEntries"/>
              <w:rPr>
                <w:color w:val="000000" w:themeColor="text1"/>
              </w:rPr>
            </w:pPr>
            <w:r w:rsidRPr="001B7722">
              <w:rPr>
                <w:color w:val="000000" w:themeColor="text1"/>
              </w:rPr>
              <w:lastRenderedPageBreak/>
              <w:t xml:space="preserve">Use of statistics and data—in particular on gender—to form evidence based policies and to guide program decision making. </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C000"/>
          </w:tcPr>
          <w:p w:rsidR="00400F5D" w:rsidRPr="000C7476" w:rsidRDefault="002D4F07" w:rsidP="000D733F">
            <w:pPr>
              <w:pStyle w:val="TableTextEntries"/>
              <w:jc w:val="center"/>
              <w:rPr>
                <w:color w:val="000000" w:themeColor="text1"/>
              </w:rPr>
            </w:pPr>
            <w:r>
              <w:rPr>
                <w:color w:val="000000" w:themeColor="text1"/>
              </w:rPr>
              <w:t>Partly 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A10C1D" w:rsidRDefault="00A10C1D" w:rsidP="000D733F">
            <w:pPr>
              <w:pStyle w:val="TableTextEntries"/>
            </w:pPr>
            <w:r w:rsidRPr="00A10C1D">
              <w:t>HIES analysis on track to inform program decision making.</w:t>
            </w:r>
          </w:p>
          <w:p w:rsidR="00A10C1D" w:rsidRPr="00B30E77" w:rsidRDefault="00A10C1D" w:rsidP="000D733F">
            <w:pPr>
              <w:pStyle w:val="TableTextEntries"/>
              <w:rPr>
                <w:color w:val="92D050"/>
              </w:rPr>
            </w:pPr>
            <w:r w:rsidRPr="00A10C1D">
              <w:t>Staff trained in poverty and social analysis in effective use of data as evidence.</w:t>
            </w:r>
          </w:p>
        </w:tc>
      </w:tr>
      <w:tr w:rsidR="00400F5D" w:rsidRPr="00180B19" w:rsidTr="00B675A5">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1B7722">
            <w:pPr>
              <w:pStyle w:val="TableTextEntries"/>
              <w:rPr>
                <w:color w:val="000000" w:themeColor="text1"/>
              </w:rPr>
            </w:pPr>
            <w:r w:rsidRPr="001B7722">
              <w:rPr>
                <w:color w:val="000000" w:themeColor="text1"/>
              </w:rPr>
              <w:t>Work closely with partner organisations to prevent fraud and improve risk management.</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400F5D" w:rsidRPr="000C7476" w:rsidRDefault="002D4F07" w:rsidP="000D733F">
            <w:pPr>
              <w:pStyle w:val="TableTextEntries"/>
              <w:jc w:val="center"/>
              <w:rPr>
                <w:color w:val="000000" w:themeColor="text1"/>
              </w:rPr>
            </w:pPr>
            <w:r w:rsidRPr="000C7476">
              <w:rPr>
                <w:color w:val="000000" w:themeColor="text1"/>
              </w:rPr>
              <w:t>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0951EF" w:rsidP="000951EF">
            <w:pPr>
              <w:pStyle w:val="TableTextEntries"/>
              <w:rPr>
                <w:color w:val="92D050"/>
              </w:rPr>
            </w:pPr>
            <w:r w:rsidRPr="000951EF">
              <w:t>Fraud measures in place and functioning.</w:t>
            </w: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AD5CA9">
            <w:pPr>
              <w:pStyle w:val="TableTextEntries"/>
              <w:rPr>
                <w:color w:val="000000" w:themeColor="text1"/>
              </w:rPr>
            </w:pPr>
            <w:r w:rsidRPr="001B7722">
              <w:rPr>
                <w:color w:val="000000" w:themeColor="text1"/>
              </w:rPr>
              <w:t xml:space="preserve">Work closely with regional programs to ensure </w:t>
            </w:r>
            <w:r w:rsidR="00F413E6">
              <w:rPr>
                <w:color w:val="000000" w:themeColor="text1"/>
              </w:rPr>
              <w:t>the Solomon Islands Government</w:t>
            </w:r>
            <w:r w:rsidR="00F413E6" w:rsidRPr="001B7722" w:rsidDel="00F413E6">
              <w:rPr>
                <w:color w:val="000000" w:themeColor="text1"/>
              </w:rPr>
              <w:t xml:space="preserve"> </w:t>
            </w:r>
            <w:r w:rsidRPr="001B7722">
              <w:rPr>
                <w:color w:val="000000" w:themeColor="text1"/>
              </w:rPr>
              <w:t>has visibility of Australian regional expenditure going to the Solomon Islands, and to ensure close coordination with bilateral programs.</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C000"/>
          </w:tcPr>
          <w:p w:rsidR="00400F5D" w:rsidRPr="000C7476" w:rsidRDefault="002D4F07" w:rsidP="000D733F">
            <w:pPr>
              <w:pStyle w:val="TableTextEntries"/>
              <w:jc w:val="center"/>
              <w:rPr>
                <w:color w:val="000000" w:themeColor="text1"/>
              </w:rPr>
            </w:pPr>
            <w:r>
              <w:rPr>
                <w:color w:val="000000" w:themeColor="text1"/>
              </w:rPr>
              <w:t>Partly 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0951EF" w:rsidP="000951EF">
            <w:pPr>
              <w:pStyle w:val="TableTextEntries"/>
              <w:rPr>
                <w:color w:val="92D050"/>
              </w:rPr>
            </w:pPr>
            <w:r w:rsidRPr="000951EF">
              <w:t>Greater engagement has been achieved with the regional program however opportuni</w:t>
            </w:r>
            <w:r w:rsidR="00376313">
              <w:t>ti</w:t>
            </w:r>
            <w:r w:rsidRPr="000951EF">
              <w:t>es continue to exist for better coordination.</w:t>
            </w:r>
          </w:p>
        </w:tc>
      </w:tr>
      <w:tr w:rsidR="00400F5D" w:rsidRPr="00180B19" w:rsidTr="00812A4D">
        <w:trPr>
          <w:cnfStyle w:val="000000010000" w:firstRow="0" w:lastRow="0" w:firstColumn="0" w:lastColumn="0" w:oddVBand="0" w:evenVBand="0" w:oddHBand="0" w:evenHBand="1" w:firstRowFirstColumn="0" w:firstRowLastColumn="0" w:lastRowFirstColumn="0" w:lastRowLastColumn="0"/>
          <w:trHeight w:val="969"/>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1B7722">
            <w:pPr>
              <w:pStyle w:val="TableTextEntries"/>
              <w:rPr>
                <w:color w:val="000000" w:themeColor="text1"/>
              </w:rPr>
            </w:pPr>
            <w:r w:rsidRPr="001B7722">
              <w:rPr>
                <w:color w:val="000000" w:themeColor="text1"/>
              </w:rPr>
              <w:t>Continue to build on successes in the health sector where data has been used to target health delivery where it is needed most.</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400F5D" w:rsidRPr="000C7476" w:rsidRDefault="002D4F07" w:rsidP="000D733F">
            <w:pPr>
              <w:pStyle w:val="TableTextEntries"/>
              <w:jc w:val="center"/>
              <w:rPr>
                <w:color w:val="000000" w:themeColor="text1"/>
              </w:rPr>
            </w:pPr>
            <w:r w:rsidRPr="000C7476">
              <w:rPr>
                <w:color w:val="000000" w:themeColor="text1"/>
              </w:rPr>
              <w:t>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B675A5" w:rsidP="00B675A5">
            <w:pPr>
              <w:pStyle w:val="TableTextEntries"/>
              <w:rPr>
                <w:color w:val="92D050"/>
              </w:rPr>
            </w:pPr>
            <w:r>
              <w:t>Data used to achieve im</w:t>
            </w:r>
            <w:r w:rsidR="00812A4D" w:rsidRPr="00812A4D">
              <w:t>proved availability of essential medicines, targeting disease outbreaks in provinces, the planned literacy pilot intervention in two provinces, extension of early childhood support through NGOs in target provinces.</w:t>
            </w:r>
            <w:r w:rsidR="00812A4D">
              <w:t xml:space="preserve"> </w:t>
            </w: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1B7722">
            <w:pPr>
              <w:pStyle w:val="TableTextEntries"/>
              <w:rPr>
                <w:color w:val="000000" w:themeColor="text1"/>
              </w:rPr>
            </w:pPr>
            <w:r w:rsidRPr="001B7722">
              <w:rPr>
                <w:color w:val="000000" w:themeColor="text1"/>
              </w:rPr>
              <w:t>Continue to use performance assessment frameworks as a key M&amp;E tool for tracking program performance, and ensure this methodology is embedded in SIG’s own M&amp;E systems.</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C000"/>
          </w:tcPr>
          <w:p w:rsidR="00400F5D" w:rsidRPr="000C7476" w:rsidRDefault="002D4F07" w:rsidP="000D733F">
            <w:pPr>
              <w:pStyle w:val="TableTextEntries"/>
              <w:jc w:val="center"/>
              <w:rPr>
                <w:color w:val="000000" w:themeColor="text1"/>
              </w:rPr>
            </w:pPr>
            <w:r>
              <w:rPr>
                <w:color w:val="000000" w:themeColor="text1"/>
              </w:rPr>
              <w:t>Partly 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9941EB" w:rsidP="00B675A5">
            <w:pPr>
              <w:pStyle w:val="TableTextEntries"/>
              <w:rPr>
                <w:color w:val="92D050"/>
              </w:rPr>
            </w:pPr>
            <w:r w:rsidRPr="009941EB">
              <w:t>Performance assessment frameworks are working well in health</w:t>
            </w:r>
            <w:r w:rsidR="00B675A5">
              <w:t xml:space="preserve">, </w:t>
            </w:r>
            <w:r w:rsidRPr="009941EB">
              <w:t>education</w:t>
            </w:r>
            <w:r w:rsidR="00B675A5">
              <w:t>, infrastructure and livelihoods</w:t>
            </w:r>
            <w:r w:rsidRPr="009941EB">
              <w:t xml:space="preserve"> sectors, and a work in progress in justice and governance sectors.</w:t>
            </w: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400F5D" w:rsidRPr="001B7722" w:rsidRDefault="00400F5D" w:rsidP="001B7722">
            <w:pPr>
              <w:pStyle w:val="TableTextEntries"/>
              <w:rPr>
                <w:i/>
                <w:color w:val="000000" w:themeColor="text1"/>
              </w:rPr>
            </w:pPr>
            <w:r w:rsidRPr="001B7722">
              <w:rPr>
                <w:i/>
                <w:color w:val="000000" w:themeColor="text1"/>
              </w:rPr>
              <w:t>Mutual Accountability</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400F5D" w:rsidRPr="000C7476" w:rsidRDefault="00400F5D" w:rsidP="000D733F">
            <w:pPr>
              <w:pStyle w:val="TableTextEntries"/>
              <w:jc w:val="center"/>
              <w:rPr>
                <w:color w:val="000000" w:themeColor="text1"/>
              </w:rPr>
            </w:pP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rsidR="00400F5D" w:rsidRPr="00B30E77" w:rsidRDefault="00400F5D" w:rsidP="000D733F">
            <w:pPr>
              <w:pStyle w:val="TableTextEntries"/>
              <w:rPr>
                <w:color w:val="92D050"/>
              </w:rPr>
            </w:pPr>
          </w:p>
        </w:tc>
      </w:tr>
      <w:tr w:rsidR="00400F5D" w:rsidRPr="00180B19" w:rsidTr="00D922E1">
        <w:trPr>
          <w:cnfStyle w:val="000000010000" w:firstRow="0" w:lastRow="0" w:firstColumn="0" w:lastColumn="0" w:oddVBand="0" w:evenVBand="0" w:oddHBand="0" w:evenHBand="1" w:firstRowFirstColumn="0" w:firstRowLastColumn="0" w:lastRowFirstColumn="0" w:lastRowLastColumn="0"/>
        </w:trPr>
        <w:tc>
          <w:tcPr>
            <w:tcW w:w="4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1B7722" w:rsidRDefault="00400F5D" w:rsidP="001B7722">
            <w:pPr>
              <w:pStyle w:val="TableTextEntries"/>
              <w:rPr>
                <w:color w:val="000000" w:themeColor="text1"/>
              </w:rPr>
            </w:pPr>
            <w:r w:rsidRPr="001B7722">
              <w:rPr>
                <w:color w:val="000000" w:themeColor="text1"/>
              </w:rPr>
              <w:t>Support central and key line agencies to improve their fiduciary risk management and whole-of-government approaches, in particular targeting efforts in budgeting, procurement, financial management and internal audit.</w:t>
            </w:r>
          </w:p>
        </w:tc>
        <w:tc>
          <w:tcPr>
            <w:tcW w:w="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C000"/>
          </w:tcPr>
          <w:p w:rsidR="00400F5D" w:rsidRPr="000C7476" w:rsidRDefault="002D4F07" w:rsidP="000D733F">
            <w:pPr>
              <w:pStyle w:val="TableTextEntries"/>
              <w:jc w:val="center"/>
              <w:rPr>
                <w:color w:val="000000" w:themeColor="text1"/>
              </w:rPr>
            </w:pPr>
            <w:r>
              <w:rPr>
                <w:color w:val="000000" w:themeColor="text1"/>
              </w:rPr>
              <w:t>Partly achieved</w:t>
            </w:r>
          </w:p>
        </w:tc>
        <w:tc>
          <w:tcPr>
            <w:tcW w:w="49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400F5D" w:rsidRPr="00B30E77" w:rsidRDefault="00F557C9" w:rsidP="000D733F">
            <w:pPr>
              <w:pStyle w:val="TableTextEntries"/>
              <w:rPr>
                <w:color w:val="92D050"/>
              </w:rPr>
            </w:pPr>
            <w:r w:rsidRPr="00F557C9">
              <w:t xml:space="preserve">Whilst progress has been made on budgeting and procurement, progress is early and there is limited capacity and understanding for a whole of government approach. </w:t>
            </w:r>
          </w:p>
        </w:tc>
      </w:tr>
    </w:tbl>
    <w:p w:rsidR="000D733F" w:rsidRPr="00FE4491" w:rsidRDefault="000D733F" w:rsidP="000D733F">
      <w:pPr>
        <w:pStyle w:val="Note"/>
      </w:pPr>
      <w:r w:rsidRPr="00FE4491">
        <w:t>Note:</w:t>
      </w:r>
      <w:r w:rsidR="00D91326">
        <w:t xml:space="preserve"> </w:t>
      </w:r>
    </w:p>
    <w:p w:rsidR="000D733F" w:rsidRPr="00671434" w:rsidRDefault="000D733F" w:rsidP="000D733F">
      <w:pPr>
        <w:pStyle w:val="Note"/>
      </w:pPr>
      <w:r w:rsidRPr="0075352D">
        <w:rPr>
          <w:color w:val="72AF2F"/>
        </w:rPr>
        <w:sym w:font="Webdings" w:char="F067"/>
      </w:r>
      <w:r w:rsidRPr="00FE4491">
        <w:t> </w:t>
      </w:r>
      <w:r w:rsidR="00D91326">
        <w:t xml:space="preserve"> </w:t>
      </w:r>
      <w:r w:rsidRPr="00EA3BAD">
        <w:t>Achieved.</w:t>
      </w:r>
      <w:r w:rsidR="00D91326">
        <w:t xml:space="preserve"> </w:t>
      </w:r>
      <w:r w:rsidRPr="00706D30">
        <w:t>Significant</w:t>
      </w:r>
      <w:r w:rsidR="00D91326">
        <w:t xml:space="preserve"> </w:t>
      </w:r>
      <w:r w:rsidRPr="00706D30">
        <w:t>progress</w:t>
      </w:r>
      <w:r w:rsidR="00D91326">
        <w:t xml:space="preserve"> </w:t>
      </w:r>
      <w:r w:rsidRPr="00706D30">
        <w:t>has</w:t>
      </w:r>
      <w:r w:rsidR="00D91326">
        <w:t xml:space="preserve"> </w:t>
      </w:r>
      <w:r w:rsidRPr="00706D30">
        <w:t>been</w:t>
      </w:r>
      <w:r w:rsidR="00D91326">
        <w:t xml:space="preserve"> </w:t>
      </w:r>
      <w:r w:rsidRPr="00706D30">
        <w:t>made</w:t>
      </w:r>
      <w:r w:rsidR="00D91326">
        <w:t xml:space="preserve"> </w:t>
      </w:r>
      <w:r w:rsidRPr="00706D30">
        <w:t>in</w:t>
      </w:r>
      <w:r w:rsidR="00D91326">
        <w:t xml:space="preserve"> </w:t>
      </w:r>
      <w:r w:rsidRPr="00706D30">
        <w:t>addressing</w:t>
      </w:r>
      <w:r w:rsidR="00D91326">
        <w:t xml:space="preserve"> </w:t>
      </w:r>
      <w:r>
        <w:t>the</w:t>
      </w:r>
      <w:r w:rsidR="00D91326">
        <w:t xml:space="preserve"> </w:t>
      </w:r>
      <w:r>
        <w:t>issue</w:t>
      </w:r>
      <w:r w:rsidR="00D91326">
        <w:t xml:space="preserve"> </w:t>
      </w:r>
    </w:p>
    <w:p w:rsidR="000D733F" w:rsidRPr="00EA3BAD" w:rsidRDefault="000D733F" w:rsidP="000D733F">
      <w:pPr>
        <w:pStyle w:val="Note"/>
      </w:pPr>
      <w:r w:rsidRPr="00EA3BAD">
        <w:rPr>
          <w:color w:val="E36C0A"/>
        </w:rPr>
        <w:sym w:font="Webdings" w:char="F067"/>
      </w:r>
      <w:r w:rsidRPr="00EA3BAD">
        <w:t> </w:t>
      </w:r>
      <w:r w:rsidR="00D91326">
        <w:t xml:space="preserve"> </w:t>
      </w:r>
      <w:r w:rsidRPr="00EA3BAD">
        <w:t>Partly</w:t>
      </w:r>
      <w:r w:rsidR="00D91326">
        <w:t xml:space="preserve"> </w:t>
      </w:r>
      <w:r w:rsidRPr="00EA3BAD">
        <w:t>achieved.</w:t>
      </w:r>
      <w:r w:rsidR="00D91326">
        <w:t xml:space="preserve"> </w:t>
      </w:r>
      <w:r>
        <w:t>Some</w:t>
      </w:r>
      <w:r w:rsidR="00D91326">
        <w:t xml:space="preserve"> </w:t>
      </w:r>
      <w:r>
        <w:t>pr</w:t>
      </w:r>
      <w:r w:rsidRPr="00EA3BAD">
        <w:t>ogress</w:t>
      </w:r>
      <w:r w:rsidR="00D91326">
        <w:t xml:space="preserve"> </w:t>
      </w:r>
      <w:r>
        <w:t>has</w:t>
      </w:r>
      <w:r w:rsidR="00D91326">
        <w:t xml:space="preserve"> </w:t>
      </w:r>
      <w:r>
        <w:t>been</w:t>
      </w:r>
      <w:r w:rsidR="00D91326">
        <w:t xml:space="preserve"> </w:t>
      </w:r>
      <w:r>
        <w:t>made</w:t>
      </w:r>
      <w:r w:rsidR="00D91326">
        <w:t xml:space="preserve"> </w:t>
      </w:r>
      <w:r>
        <w:t>in</w:t>
      </w:r>
      <w:r w:rsidR="00D91326">
        <w:t xml:space="preserve"> </w:t>
      </w:r>
      <w:r>
        <w:t>addressing</w:t>
      </w:r>
      <w:r w:rsidR="00D91326">
        <w:t xml:space="preserve"> </w:t>
      </w:r>
      <w:r>
        <w:t>the</w:t>
      </w:r>
      <w:r w:rsidR="00D91326">
        <w:t xml:space="preserve"> </w:t>
      </w:r>
      <w:r>
        <w:t>issue,</w:t>
      </w:r>
      <w:r w:rsidR="00D91326">
        <w:t xml:space="preserve"> </w:t>
      </w:r>
      <w:r>
        <w:t>but</w:t>
      </w:r>
      <w:r w:rsidR="00D91326">
        <w:t xml:space="preserve"> </w:t>
      </w:r>
      <w:r>
        <w:t>the</w:t>
      </w:r>
      <w:r w:rsidR="00D91326">
        <w:t xml:space="preserve"> </w:t>
      </w:r>
      <w:r>
        <w:t>issue</w:t>
      </w:r>
      <w:r w:rsidR="00D91326">
        <w:t xml:space="preserve"> </w:t>
      </w:r>
      <w:r>
        <w:t>has</w:t>
      </w:r>
      <w:r w:rsidR="00D91326">
        <w:t xml:space="preserve"> </w:t>
      </w:r>
      <w:r>
        <w:t>not</w:t>
      </w:r>
      <w:r w:rsidR="00D91326">
        <w:t xml:space="preserve"> </w:t>
      </w:r>
      <w:r>
        <w:t>been</w:t>
      </w:r>
      <w:r w:rsidR="00D91326">
        <w:t xml:space="preserve"> </w:t>
      </w:r>
      <w:r>
        <w:t>resolved</w:t>
      </w:r>
      <w:r w:rsidR="00D91326">
        <w:t xml:space="preserve"> </w:t>
      </w:r>
    </w:p>
    <w:p w:rsidR="000D733F" w:rsidRDefault="000D733F" w:rsidP="000D733F">
      <w:pPr>
        <w:pStyle w:val="Note"/>
      </w:pPr>
      <w:r w:rsidRPr="00EA3BAD">
        <w:rPr>
          <w:color w:val="FF0000"/>
        </w:rPr>
        <w:sym w:font="Webdings" w:char="F067"/>
      </w:r>
      <w:r w:rsidRPr="00EA3BAD">
        <w:t> </w:t>
      </w:r>
      <w:r w:rsidR="00D91326">
        <w:t xml:space="preserve"> </w:t>
      </w:r>
      <w:r w:rsidRPr="00EA3BAD">
        <w:t>Not</w:t>
      </w:r>
      <w:r w:rsidR="00D91326">
        <w:t xml:space="preserve"> </w:t>
      </w:r>
      <w:r w:rsidRPr="00EA3BAD">
        <w:t>achieved.</w:t>
      </w:r>
      <w:r w:rsidR="00D91326">
        <w:t xml:space="preserve"> </w:t>
      </w:r>
      <w:r w:rsidRPr="00EA3BAD">
        <w:t>Progress</w:t>
      </w:r>
      <w:r w:rsidR="00D91326">
        <w:t xml:space="preserve"> </w:t>
      </w:r>
      <w:r>
        <w:t>in</w:t>
      </w:r>
      <w:r w:rsidR="00D91326">
        <w:t xml:space="preserve"> </w:t>
      </w:r>
      <w:r>
        <w:t>addressing</w:t>
      </w:r>
      <w:r w:rsidR="00D91326">
        <w:t xml:space="preserve"> </w:t>
      </w:r>
      <w:r>
        <w:t>the</w:t>
      </w:r>
      <w:r w:rsidR="00D91326">
        <w:t xml:space="preserve"> </w:t>
      </w:r>
      <w:r>
        <w:t>issue</w:t>
      </w:r>
      <w:r w:rsidR="00D91326">
        <w:t xml:space="preserve"> </w:t>
      </w:r>
      <w:r w:rsidRPr="00EA3BAD">
        <w:t>has</w:t>
      </w:r>
      <w:r w:rsidR="00D91326">
        <w:t xml:space="preserve"> </w:t>
      </w:r>
      <w:r w:rsidRPr="00EA3BAD">
        <w:t>been</w:t>
      </w:r>
      <w:r w:rsidR="00D91326">
        <w:t xml:space="preserve"> </w:t>
      </w:r>
      <w:r w:rsidRPr="00EA3BAD">
        <w:t>significantly</w:t>
      </w:r>
      <w:r w:rsidR="00D91326">
        <w:t xml:space="preserve"> </w:t>
      </w:r>
      <w:r w:rsidRPr="00EA3BAD">
        <w:t>below</w:t>
      </w:r>
      <w:r w:rsidR="00D91326">
        <w:t xml:space="preserve"> </w:t>
      </w:r>
      <w:r w:rsidRPr="00EA3BAD">
        <w:t>expectations</w:t>
      </w:r>
    </w:p>
    <w:p w:rsidR="00751A4E" w:rsidRPr="00751A4E" w:rsidRDefault="00751A4E" w:rsidP="00751A4E">
      <w:pPr>
        <w:pStyle w:val="BodyText"/>
      </w:pPr>
    </w:p>
    <w:p w:rsidR="00751A4E" w:rsidRDefault="00751A4E" w:rsidP="000D733F">
      <w:pPr>
        <w:pStyle w:val="BodyText"/>
        <w:sectPr w:rsidR="00751A4E" w:rsidSect="00751A4E">
          <w:headerReference w:type="even" r:id="rId18"/>
          <w:footerReference w:type="first" r:id="rId19"/>
          <w:pgSz w:w="11906" w:h="16838" w:code="9"/>
          <w:pgMar w:top="1814" w:right="851" w:bottom="851" w:left="709" w:header="709" w:footer="425" w:gutter="0"/>
          <w:cols w:space="708"/>
          <w:docGrid w:linePitch="360"/>
        </w:sectPr>
      </w:pPr>
    </w:p>
    <w:p w:rsidR="000D733F" w:rsidRDefault="000D733F" w:rsidP="000D733F">
      <w:pPr>
        <w:pStyle w:val="BodyText"/>
      </w:pPr>
    </w:p>
    <w:p w:rsidR="000D733F" w:rsidRPr="009E38C1" w:rsidRDefault="000D733F" w:rsidP="000D733F">
      <w:pPr>
        <w:pStyle w:val="Heading2"/>
        <w:tabs>
          <w:tab w:val="left" w:pos="1560"/>
        </w:tabs>
        <w:rPr>
          <w:sz w:val="28"/>
        </w:rPr>
      </w:pPr>
      <w:r w:rsidRPr="009E38C1">
        <w:rPr>
          <w:sz w:val="28"/>
        </w:rPr>
        <w:t>Annex</w:t>
      </w:r>
      <w:r w:rsidR="00D91326">
        <w:rPr>
          <w:sz w:val="28"/>
        </w:rPr>
        <w:t xml:space="preserve"> </w:t>
      </w:r>
      <w:r w:rsidRPr="009E38C1">
        <w:rPr>
          <w:sz w:val="28"/>
        </w:rPr>
        <w:t>B</w:t>
      </w:r>
      <w:r w:rsidR="00D91326">
        <w:rPr>
          <w:sz w:val="28"/>
        </w:rPr>
        <w:t xml:space="preserve"> </w:t>
      </w:r>
      <w:r w:rsidRPr="009E38C1">
        <w:rPr>
          <w:sz w:val="28"/>
        </w:rPr>
        <w:tab/>
      </w:r>
    </w:p>
    <w:p w:rsidR="000D733F" w:rsidRPr="009E38C1" w:rsidRDefault="000D733F" w:rsidP="000D733F">
      <w:pPr>
        <w:pStyle w:val="Heading2"/>
        <w:rPr>
          <w:sz w:val="28"/>
        </w:rPr>
      </w:pPr>
      <w:r w:rsidRPr="009E38C1">
        <w:rPr>
          <w:sz w:val="28"/>
        </w:rPr>
        <w:t>Quality</w:t>
      </w:r>
      <w:r w:rsidR="00D91326">
        <w:rPr>
          <w:sz w:val="28"/>
        </w:rPr>
        <w:t xml:space="preserve"> </w:t>
      </w:r>
      <w:r w:rsidRPr="009E38C1">
        <w:rPr>
          <w:sz w:val="28"/>
        </w:rPr>
        <w:t>at</w:t>
      </w:r>
      <w:r w:rsidR="00D91326">
        <w:rPr>
          <w:sz w:val="28"/>
        </w:rPr>
        <w:t xml:space="preserve"> </w:t>
      </w:r>
      <w:r w:rsidRPr="009E38C1">
        <w:rPr>
          <w:sz w:val="28"/>
        </w:rPr>
        <w:t>Implementation</w:t>
      </w:r>
      <w:r w:rsidR="00D91326">
        <w:rPr>
          <w:sz w:val="28"/>
        </w:rPr>
        <w:t xml:space="preserve"> </w:t>
      </w:r>
      <w:r w:rsidRPr="009E38C1">
        <w:rPr>
          <w:sz w:val="28"/>
        </w:rPr>
        <w:t>ratings</w:t>
      </w:r>
    </w:p>
    <w:p w:rsidR="000D733F" w:rsidRDefault="000D733F" w:rsidP="000D733F">
      <w:pPr>
        <w:pStyle w:val="Note"/>
      </w:pPr>
    </w:p>
    <w:tbl>
      <w:tblPr>
        <w:tblStyle w:val="TableGrid"/>
        <w:tblW w:w="14743" w:type="dxa"/>
        <w:tblInd w:w="-601" w:type="dxa"/>
        <w:tblLayout w:type="fixed"/>
        <w:tblLook w:val="04A0" w:firstRow="1" w:lastRow="0" w:firstColumn="1" w:lastColumn="0" w:noHBand="0" w:noVBand="1"/>
      </w:tblPr>
      <w:tblGrid>
        <w:gridCol w:w="2021"/>
        <w:gridCol w:w="496"/>
        <w:gridCol w:w="498"/>
        <w:gridCol w:w="497"/>
        <w:gridCol w:w="496"/>
        <w:gridCol w:w="498"/>
        <w:gridCol w:w="498"/>
        <w:gridCol w:w="498"/>
        <w:gridCol w:w="496"/>
        <w:gridCol w:w="498"/>
        <w:gridCol w:w="498"/>
        <w:gridCol w:w="506"/>
        <w:gridCol w:w="496"/>
        <w:gridCol w:w="527"/>
        <w:gridCol w:w="527"/>
        <w:gridCol w:w="527"/>
        <w:gridCol w:w="496"/>
        <w:gridCol w:w="553"/>
        <w:gridCol w:w="553"/>
        <w:gridCol w:w="587"/>
        <w:gridCol w:w="709"/>
        <w:gridCol w:w="567"/>
        <w:gridCol w:w="567"/>
        <w:gridCol w:w="567"/>
        <w:gridCol w:w="567"/>
      </w:tblGrid>
      <w:tr w:rsidR="00581659" w:rsidRPr="00717818" w:rsidTr="0058363A">
        <w:tc>
          <w:tcPr>
            <w:tcW w:w="2021" w:type="dxa"/>
            <w:shd w:val="clear" w:color="auto" w:fill="F2DBDB" w:themeFill="accent2" w:themeFillTint="33"/>
          </w:tcPr>
          <w:p w:rsidR="00581659" w:rsidRPr="00717818" w:rsidRDefault="00581659" w:rsidP="0058363A">
            <w:pPr>
              <w:rPr>
                <w:szCs w:val="20"/>
              </w:rPr>
            </w:pPr>
          </w:p>
        </w:tc>
        <w:tc>
          <w:tcPr>
            <w:tcW w:w="1987" w:type="dxa"/>
            <w:gridSpan w:val="4"/>
            <w:tcBorders>
              <w:bottom w:val="single" w:sz="4" w:space="0" w:color="auto"/>
            </w:tcBorders>
            <w:shd w:val="clear" w:color="auto" w:fill="F2DBDB" w:themeFill="accent2" w:themeFillTint="33"/>
          </w:tcPr>
          <w:p w:rsidR="00581659" w:rsidRPr="00717818" w:rsidRDefault="00581659" w:rsidP="0058363A">
            <w:pPr>
              <w:rPr>
                <w:b/>
                <w:szCs w:val="20"/>
              </w:rPr>
            </w:pPr>
            <w:r w:rsidRPr="00717818">
              <w:rPr>
                <w:b/>
                <w:szCs w:val="20"/>
              </w:rPr>
              <w:t>Relevance</w:t>
            </w:r>
          </w:p>
        </w:tc>
        <w:tc>
          <w:tcPr>
            <w:tcW w:w="1990" w:type="dxa"/>
            <w:gridSpan w:val="4"/>
            <w:tcBorders>
              <w:bottom w:val="single" w:sz="4" w:space="0" w:color="auto"/>
            </w:tcBorders>
            <w:shd w:val="clear" w:color="auto" w:fill="F2DBDB" w:themeFill="accent2" w:themeFillTint="33"/>
          </w:tcPr>
          <w:p w:rsidR="00581659" w:rsidRPr="00717818" w:rsidRDefault="00581659" w:rsidP="0058363A">
            <w:pPr>
              <w:rPr>
                <w:b/>
                <w:szCs w:val="20"/>
              </w:rPr>
            </w:pPr>
            <w:r w:rsidRPr="00717818">
              <w:rPr>
                <w:b/>
                <w:szCs w:val="20"/>
              </w:rPr>
              <w:t>Effectiveness</w:t>
            </w:r>
          </w:p>
        </w:tc>
        <w:tc>
          <w:tcPr>
            <w:tcW w:w="1998" w:type="dxa"/>
            <w:gridSpan w:val="4"/>
            <w:tcBorders>
              <w:bottom w:val="single" w:sz="4" w:space="0" w:color="auto"/>
            </w:tcBorders>
            <w:shd w:val="clear" w:color="auto" w:fill="F2DBDB" w:themeFill="accent2" w:themeFillTint="33"/>
          </w:tcPr>
          <w:p w:rsidR="00581659" w:rsidRPr="00717818" w:rsidRDefault="00581659" w:rsidP="0058363A">
            <w:pPr>
              <w:rPr>
                <w:b/>
                <w:szCs w:val="20"/>
              </w:rPr>
            </w:pPr>
            <w:r w:rsidRPr="00717818">
              <w:rPr>
                <w:b/>
                <w:szCs w:val="20"/>
              </w:rPr>
              <w:t>Efficiency</w:t>
            </w:r>
          </w:p>
        </w:tc>
        <w:tc>
          <w:tcPr>
            <w:tcW w:w="2077" w:type="dxa"/>
            <w:gridSpan w:val="4"/>
            <w:tcBorders>
              <w:bottom w:val="single" w:sz="4" w:space="0" w:color="auto"/>
            </w:tcBorders>
            <w:shd w:val="clear" w:color="auto" w:fill="F2DBDB" w:themeFill="accent2" w:themeFillTint="33"/>
          </w:tcPr>
          <w:p w:rsidR="00581659" w:rsidRPr="00717818" w:rsidRDefault="00581659" w:rsidP="0058363A">
            <w:pPr>
              <w:rPr>
                <w:b/>
                <w:szCs w:val="20"/>
              </w:rPr>
            </w:pPr>
            <w:r w:rsidRPr="00717818">
              <w:rPr>
                <w:b/>
                <w:szCs w:val="20"/>
              </w:rPr>
              <w:t>M&amp;E</w:t>
            </w:r>
          </w:p>
        </w:tc>
        <w:tc>
          <w:tcPr>
            <w:tcW w:w="2402" w:type="dxa"/>
            <w:gridSpan w:val="4"/>
            <w:tcBorders>
              <w:bottom w:val="single" w:sz="4" w:space="0" w:color="auto"/>
            </w:tcBorders>
            <w:shd w:val="clear" w:color="auto" w:fill="F2DBDB" w:themeFill="accent2" w:themeFillTint="33"/>
          </w:tcPr>
          <w:p w:rsidR="00581659" w:rsidRPr="00717818" w:rsidRDefault="00581659" w:rsidP="0058363A">
            <w:pPr>
              <w:rPr>
                <w:b/>
                <w:szCs w:val="20"/>
              </w:rPr>
            </w:pPr>
            <w:r w:rsidRPr="00717818">
              <w:rPr>
                <w:b/>
                <w:szCs w:val="20"/>
              </w:rPr>
              <w:t>Sustainability</w:t>
            </w:r>
          </w:p>
        </w:tc>
        <w:tc>
          <w:tcPr>
            <w:tcW w:w="2268" w:type="dxa"/>
            <w:gridSpan w:val="4"/>
            <w:tcBorders>
              <w:bottom w:val="single" w:sz="4" w:space="0" w:color="auto"/>
            </w:tcBorders>
            <w:shd w:val="clear" w:color="auto" w:fill="F2DBDB" w:themeFill="accent2" w:themeFillTint="33"/>
          </w:tcPr>
          <w:p w:rsidR="00581659" w:rsidRPr="00717818" w:rsidRDefault="00581659" w:rsidP="0058363A">
            <w:pPr>
              <w:rPr>
                <w:b/>
                <w:szCs w:val="20"/>
              </w:rPr>
            </w:pPr>
            <w:r w:rsidRPr="00717818">
              <w:rPr>
                <w:b/>
                <w:szCs w:val="20"/>
              </w:rPr>
              <w:t>Gender</w:t>
            </w:r>
          </w:p>
        </w:tc>
      </w:tr>
      <w:tr w:rsidR="00581659" w:rsidRPr="00717818" w:rsidTr="0058363A">
        <w:tc>
          <w:tcPr>
            <w:tcW w:w="2021" w:type="dxa"/>
          </w:tcPr>
          <w:p w:rsidR="00581659" w:rsidRPr="00717818" w:rsidRDefault="00581659" w:rsidP="0058363A">
            <w:pPr>
              <w:rPr>
                <w:szCs w:val="20"/>
              </w:rPr>
            </w:pPr>
          </w:p>
        </w:tc>
        <w:tc>
          <w:tcPr>
            <w:tcW w:w="496" w:type="dxa"/>
            <w:tcBorders>
              <w:bottom w:val="single" w:sz="4" w:space="0" w:color="auto"/>
              <w:right w:val="dotted" w:sz="4" w:space="0" w:color="auto"/>
            </w:tcBorders>
          </w:tcPr>
          <w:p w:rsidR="00581659" w:rsidRPr="00717818" w:rsidRDefault="00581659" w:rsidP="0058363A">
            <w:pPr>
              <w:rPr>
                <w:b/>
                <w:szCs w:val="20"/>
              </w:rPr>
            </w:pPr>
            <w:r w:rsidRPr="00717818">
              <w:rPr>
                <w:b/>
                <w:szCs w:val="20"/>
              </w:rPr>
              <w:t>‘10</w:t>
            </w:r>
          </w:p>
        </w:tc>
        <w:tc>
          <w:tcPr>
            <w:tcW w:w="498" w:type="dxa"/>
            <w:tcBorders>
              <w:left w:val="dotted"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‘11</w:t>
            </w:r>
          </w:p>
        </w:tc>
        <w:tc>
          <w:tcPr>
            <w:tcW w:w="497" w:type="dxa"/>
            <w:tcBorders>
              <w:left w:val="dotted"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‘12</w:t>
            </w:r>
          </w:p>
        </w:tc>
        <w:tc>
          <w:tcPr>
            <w:tcW w:w="496" w:type="dxa"/>
            <w:tcBorders>
              <w:left w:val="dotted" w:sz="4" w:space="0" w:color="auto"/>
              <w:bottom w:val="single" w:sz="4" w:space="0" w:color="auto"/>
              <w:right w:val="single" w:sz="4" w:space="0" w:color="auto"/>
            </w:tcBorders>
          </w:tcPr>
          <w:p w:rsidR="00581659" w:rsidRPr="00717818" w:rsidRDefault="00581659" w:rsidP="0058363A">
            <w:pPr>
              <w:rPr>
                <w:b/>
                <w:szCs w:val="20"/>
              </w:rPr>
            </w:pPr>
            <w:r w:rsidRPr="00717818">
              <w:rPr>
                <w:b/>
                <w:szCs w:val="20"/>
              </w:rPr>
              <w:t>‘13</w:t>
            </w:r>
          </w:p>
        </w:tc>
        <w:tc>
          <w:tcPr>
            <w:tcW w:w="498" w:type="dxa"/>
            <w:tcBorders>
              <w:left w:val="single"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‘10</w:t>
            </w:r>
          </w:p>
        </w:tc>
        <w:tc>
          <w:tcPr>
            <w:tcW w:w="498" w:type="dxa"/>
            <w:tcBorders>
              <w:left w:val="dotted"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‘11</w:t>
            </w:r>
          </w:p>
        </w:tc>
        <w:tc>
          <w:tcPr>
            <w:tcW w:w="498" w:type="dxa"/>
            <w:tcBorders>
              <w:left w:val="dotted"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‘12</w:t>
            </w:r>
          </w:p>
        </w:tc>
        <w:tc>
          <w:tcPr>
            <w:tcW w:w="496" w:type="dxa"/>
            <w:tcBorders>
              <w:left w:val="dotted" w:sz="4" w:space="0" w:color="auto"/>
              <w:bottom w:val="single" w:sz="4" w:space="0" w:color="auto"/>
            </w:tcBorders>
          </w:tcPr>
          <w:p w:rsidR="00581659" w:rsidRPr="00717818" w:rsidRDefault="00581659" w:rsidP="0058363A">
            <w:pPr>
              <w:rPr>
                <w:b/>
                <w:szCs w:val="20"/>
              </w:rPr>
            </w:pPr>
            <w:r w:rsidRPr="00717818">
              <w:rPr>
                <w:b/>
                <w:szCs w:val="20"/>
              </w:rPr>
              <w:t>‘13</w:t>
            </w:r>
          </w:p>
        </w:tc>
        <w:tc>
          <w:tcPr>
            <w:tcW w:w="498" w:type="dxa"/>
            <w:tcBorders>
              <w:bottom w:val="single" w:sz="4" w:space="0" w:color="auto"/>
              <w:right w:val="dotted" w:sz="4" w:space="0" w:color="auto"/>
            </w:tcBorders>
          </w:tcPr>
          <w:p w:rsidR="00581659" w:rsidRPr="00717818" w:rsidRDefault="00581659" w:rsidP="0058363A">
            <w:pPr>
              <w:rPr>
                <w:b/>
                <w:szCs w:val="20"/>
              </w:rPr>
            </w:pPr>
            <w:r w:rsidRPr="00717818">
              <w:rPr>
                <w:b/>
                <w:szCs w:val="20"/>
              </w:rPr>
              <w:t>‘10</w:t>
            </w:r>
          </w:p>
        </w:tc>
        <w:tc>
          <w:tcPr>
            <w:tcW w:w="498" w:type="dxa"/>
            <w:tcBorders>
              <w:left w:val="dotted"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‘11</w:t>
            </w:r>
          </w:p>
        </w:tc>
        <w:tc>
          <w:tcPr>
            <w:tcW w:w="506" w:type="dxa"/>
            <w:tcBorders>
              <w:left w:val="dotted"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‘12</w:t>
            </w:r>
          </w:p>
        </w:tc>
        <w:tc>
          <w:tcPr>
            <w:tcW w:w="496" w:type="dxa"/>
            <w:tcBorders>
              <w:left w:val="dotted" w:sz="4" w:space="0" w:color="auto"/>
              <w:bottom w:val="single" w:sz="4" w:space="0" w:color="auto"/>
            </w:tcBorders>
          </w:tcPr>
          <w:p w:rsidR="00581659" w:rsidRPr="00717818" w:rsidRDefault="00581659" w:rsidP="0058363A">
            <w:pPr>
              <w:rPr>
                <w:b/>
                <w:szCs w:val="20"/>
              </w:rPr>
            </w:pPr>
            <w:r w:rsidRPr="00717818">
              <w:rPr>
                <w:b/>
                <w:szCs w:val="20"/>
              </w:rPr>
              <w:t>‘13</w:t>
            </w:r>
          </w:p>
        </w:tc>
        <w:tc>
          <w:tcPr>
            <w:tcW w:w="527" w:type="dxa"/>
            <w:tcBorders>
              <w:bottom w:val="single" w:sz="4" w:space="0" w:color="auto"/>
              <w:right w:val="dotted" w:sz="4" w:space="0" w:color="auto"/>
            </w:tcBorders>
          </w:tcPr>
          <w:p w:rsidR="00581659" w:rsidRPr="00717818" w:rsidRDefault="00581659" w:rsidP="0058363A">
            <w:pPr>
              <w:rPr>
                <w:b/>
                <w:szCs w:val="20"/>
              </w:rPr>
            </w:pPr>
            <w:r w:rsidRPr="00717818">
              <w:rPr>
                <w:b/>
                <w:szCs w:val="20"/>
              </w:rPr>
              <w:t>‘10</w:t>
            </w:r>
          </w:p>
        </w:tc>
        <w:tc>
          <w:tcPr>
            <w:tcW w:w="527" w:type="dxa"/>
            <w:tcBorders>
              <w:left w:val="dotted"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‘11</w:t>
            </w:r>
          </w:p>
        </w:tc>
        <w:tc>
          <w:tcPr>
            <w:tcW w:w="527" w:type="dxa"/>
            <w:tcBorders>
              <w:left w:val="dotted"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‘12</w:t>
            </w:r>
          </w:p>
        </w:tc>
        <w:tc>
          <w:tcPr>
            <w:tcW w:w="496" w:type="dxa"/>
            <w:tcBorders>
              <w:left w:val="dotted" w:sz="4" w:space="0" w:color="auto"/>
              <w:bottom w:val="single" w:sz="4" w:space="0" w:color="auto"/>
            </w:tcBorders>
          </w:tcPr>
          <w:p w:rsidR="00581659" w:rsidRPr="00717818" w:rsidRDefault="00581659" w:rsidP="0058363A">
            <w:pPr>
              <w:rPr>
                <w:b/>
                <w:szCs w:val="20"/>
              </w:rPr>
            </w:pPr>
            <w:r w:rsidRPr="00717818">
              <w:rPr>
                <w:b/>
                <w:szCs w:val="20"/>
              </w:rPr>
              <w:t>‘13</w:t>
            </w:r>
          </w:p>
        </w:tc>
        <w:tc>
          <w:tcPr>
            <w:tcW w:w="553" w:type="dxa"/>
            <w:tcBorders>
              <w:bottom w:val="single" w:sz="4" w:space="0" w:color="auto"/>
              <w:right w:val="dotted" w:sz="4" w:space="0" w:color="auto"/>
            </w:tcBorders>
          </w:tcPr>
          <w:p w:rsidR="00581659" w:rsidRPr="00717818" w:rsidRDefault="00581659" w:rsidP="0058363A">
            <w:pPr>
              <w:rPr>
                <w:b/>
                <w:szCs w:val="20"/>
              </w:rPr>
            </w:pPr>
            <w:r w:rsidRPr="00717818">
              <w:rPr>
                <w:b/>
                <w:szCs w:val="20"/>
              </w:rPr>
              <w:t>‘10</w:t>
            </w:r>
          </w:p>
        </w:tc>
        <w:tc>
          <w:tcPr>
            <w:tcW w:w="553" w:type="dxa"/>
            <w:tcBorders>
              <w:left w:val="dotted"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‘11</w:t>
            </w:r>
          </w:p>
        </w:tc>
        <w:tc>
          <w:tcPr>
            <w:tcW w:w="587" w:type="dxa"/>
            <w:tcBorders>
              <w:left w:val="dotted"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‘12</w:t>
            </w:r>
          </w:p>
        </w:tc>
        <w:tc>
          <w:tcPr>
            <w:tcW w:w="709" w:type="dxa"/>
            <w:tcBorders>
              <w:left w:val="dotted" w:sz="4" w:space="0" w:color="auto"/>
              <w:bottom w:val="single" w:sz="4" w:space="0" w:color="auto"/>
            </w:tcBorders>
          </w:tcPr>
          <w:p w:rsidR="00581659" w:rsidRPr="00717818" w:rsidRDefault="00581659" w:rsidP="0058363A">
            <w:pPr>
              <w:rPr>
                <w:b/>
                <w:szCs w:val="20"/>
              </w:rPr>
            </w:pPr>
            <w:r w:rsidRPr="00717818">
              <w:rPr>
                <w:b/>
                <w:szCs w:val="20"/>
              </w:rPr>
              <w:t>‘13</w:t>
            </w:r>
          </w:p>
        </w:tc>
        <w:tc>
          <w:tcPr>
            <w:tcW w:w="567" w:type="dxa"/>
            <w:tcBorders>
              <w:bottom w:val="single" w:sz="4" w:space="0" w:color="auto"/>
              <w:right w:val="dotted" w:sz="4" w:space="0" w:color="auto"/>
            </w:tcBorders>
          </w:tcPr>
          <w:p w:rsidR="00581659" w:rsidRPr="00717818" w:rsidRDefault="00581659" w:rsidP="0058363A">
            <w:pPr>
              <w:rPr>
                <w:b/>
                <w:szCs w:val="20"/>
              </w:rPr>
            </w:pPr>
            <w:r w:rsidRPr="00717818">
              <w:rPr>
                <w:b/>
                <w:szCs w:val="20"/>
              </w:rPr>
              <w:t>‘10</w:t>
            </w:r>
          </w:p>
        </w:tc>
        <w:tc>
          <w:tcPr>
            <w:tcW w:w="567" w:type="dxa"/>
            <w:tcBorders>
              <w:left w:val="dotted"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‘11</w:t>
            </w:r>
          </w:p>
        </w:tc>
        <w:tc>
          <w:tcPr>
            <w:tcW w:w="567" w:type="dxa"/>
            <w:tcBorders>
              <w:left w:val="dotted" w:sz="4" w:space="0" w:color="auto"/>
              <w:bottom w:val="single" w:sz="4" w:space="0" w:color="auto"/>
              <w:right w:val="dotted" w:sz="4" w:space="0" w:color="auto"/>
            </w:tcBorders>
          </w:tcPr>
          <w:p w:rsidR="00581659" w:rsidRPr="00717818" w:rsidRDefault="00581659" w:rsidP="0058363A">
            <w:pPr>
              <w:rPr>
                <w:b/>
                <w:szCs w:val="20"/>
              </w:rPr>
            </w:pPr>
            <w:r w:rsidRPr="00717818">
              <w:rPr>
                <w:b/>
                <w:szCs w:val="20"/>
              </w:rPr>
              <w:t>‘12</w:t>
            </w:r>
          </w:p>
        </w:tc>
        <w:tc>
          <w:tcPr>
            <w:tcW w:w="567" w:type="dxa"/>
            <w:tcBorders>
              <w:left w:val="dotted" w:sz="4" w:space="0" w:color="auto"/>
              <w:bottom w:val="single" w:sz="4" w:space="0" w:color="auto"/>
            </w:tcBorders>
          </w:tcPr>
          <w:p w:rsidR="00581659" w:rsidRPr="00717818" w:rsidRDefault="00581659" w:rsidP="0058363A">
            <w:pPr>
              <w:rPr>
                <w:b/>
                <w:szCs w:val="20"/>
              </w:rPr>
            </w:pPr>
            <w:r w:rsidRPr="00717818">
              <w:rPr>
                <w:b/>
                <w:szCs w:val="20"/>
              </w:rPr>
              <w:t>‘13</w:t>
            </w:r>
          </w:p>
        </w:tc>
      </w:tr>
      <w:tr w:rsidR="00581659" w:rsidRPr="00717818" w:rsidTr="0058363A">
        <w:tc>
          <w:tcPr>
            <w:tcW w:w="2021" w:type="dxa"/>
            <w:shd w:val="clear" w:color="auto" w:fill="FFFFFF" w:themeFill="background1"/>
          </w:tcPr>
          <w:p w:rsidR="00581659" w:rsidRPr="00717818" w:rsidRDefault="00581659" w:rsidP="00945BA1">
            <w:pPr>
              <w:rPr>
                <w:b/>
                <w:szCs w:val="20"/>
              </w:rPr>
            </w:pPr>
            <w:r w:rsidRPr="00717818">
              <w:rPr>
                <w:b/>
                <w:szCs w:val="20"/>
              </w:rPr>
              <w:t>PPF</w:t>
            </w:r>
          </w:p>
        </w:tc>
        <w:tc>
          <w:tcPr>
            <w:tcW w:w="496" w:type="dxa"/>
            <w:tcBorders>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 xml:space="preserve">5 </w:t>
            </w:r>
          </w:p>
        </w:tc>
        <w:tc>
          <w:tcPr>
            <w:tcW w:w="498"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6</w:t>
            </w:r>
          </w:p>
        </w:tc>
        <w:tc>
          <w:tcPr>
            <w:tcW w:w="49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6</w:t>
            </w:r>
          </w:p>
        </w:tc>
        <w:tc>
          <w:tcPr>
            <w:tcW w:w="496" w:type="dxa"/>
            <w:tcBorders>
              <w:left w:val="dotted"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06"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2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53"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8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709" w:type="dxa"/>
            <w:tcBorders>
              <w:left w:val="dotted"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6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67"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r>
      <w:tr w:rsidR="00581659" w:rsidRPr="00717818" w:rsidTr="0058363A">
        <w:tc>
          <w:tcPr>
            <w:tcW w:w="2021" w:type="dxa"/>
            <w:shd w:val="clear" w:color="auto" w:fill="FFFFFF" w:themeFill="background1"/>
          </w:tcPr>
          <w:p w:rsidR="00581659" w:rsidRPr="00717818" w:rsidRDefault="00581659" w:rsidP="00945BA1">
            <w:pPr>
              <w:rPr>
                <w:b/>
                <w:szCs w:val="20"/>
              </w:rPr>
            </w:pPr>
            <w:r w:rsidRPr="00717818">
              <w:rPr>
                <w:b/>
                <w:szCs w:val="20"/>
              </w:rPr>
              <w:t>L&amp;J</w:t>
            </w:r>
          </w:p>
        </w:tc>
        <w:tc>
          <w:tcPr>
            <w:tcW w:w="496" w:type="dxa"/>
            <w:tcBorders>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7" w:type="dxa"/>
            <w:tcBorders>
              <w:left w:val="dotted"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06"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27"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87"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709"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right w:val="single"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58363A">
            <w:pPr>
              <w:ind w:left="142"/>
              <w:rPr>
                <w:b/>
                <w:szCs w:val="20"/>
              </w:rPr>
            </w:pPr>
            <w:r w:rsidRPr="00717818">
              <w:rPr>
                <w:b/>
                <w:szCs w:val="20"/>
              </w:rPr>
              <w:t>Justice</w:t>
            </w:r>
          </w:p>
        </w:tc>
        <w:tc>
          <w:tcPr>
            <w:tcW w:w="496" w:type="dxa"/>
            <w:tcBorders>
              <w:left w:val="single"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06"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2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53"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8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709" w:type="dxa"/>
            <w:tcBorders>
              <w:lef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58363A">
            <w:pPr>
              <w:ind w:left="142"/>
              <w:rPr>
                <w:b/>
                <w:szCs w:val="20"/>
              </w:rPr>
            </w:pPr>
            <w:r w:rsidRPr="00717818">
              <w:rPr>
                <w:b/>
                <w:szCs w:val="20"/>
              </w:rPr>
              <w:t>Corrections</w:t>
            </w:r>
          </w:p>
        </w:tc>
        <w:tc>
          <w:tcPr>
            <w:tcW w:w="496" w:type="dxa"/>
            <w:tcBorders>
              <w:left w:val="single"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single"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06"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single"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2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8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709" w:type="dxa"/>
            <w:tcBorders>
              <w:lef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945BA1">
            <w:pPr>
              <w:rPr>
                <w:b/>
                <w:szCs w:val="20"/>
              </w:rPr>
            </w:pPr>
            <w:r w:rsidRPr="00717818">
              <w:rPr>
                <w:b/>
                <w:szCs w:val="20"/>
              </w:rPr>
              <w:t>SIGOV</w:t>
            </w:r>
          </w:p>
        </w:tc>
        <w:tc>
          <w:tcPr>
            <w:tcW w:w="496"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bottom w:val="single"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bottom w:val="single" w:sz="4" w:space="0" w:color="auto"/>
              <w:right w:val="single"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06"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bottom w:val="single"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53" w:type="dxa"/>
            <w:tcBorders>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8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709" w:type="dxa"/>
            <w:tcBorders>
              <w:left w:val="dotted" w:sz="4" w:space="0" w:color="auto"/>
              <w:bottom w:val="single"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r>
      <w:tr w:rsidR="00E5658C" w:rsidRPr="00717818" w:rsidTr="00E5658C">
        <w:tc>
          <w:tcPr>
            <w:tcW w:w="2021" w:type="dxa"/>
            <w:tcBorders>
              <w:right w:val="single" w:sz="4" w:space="0" w:color="auto"/>
            </w:tcBorders>
            <w:shd w:val="clear" w:color="auto" w:fill="FFFFFF" w:themeFill="background1"/>
          </w:tcPr>
          <w:p w:rsidR="00581659" w:rsidRPr="00717818" w:rsidRDefault="00581659" w:rsidP="0058363A">
            <w:pPr>
              <w:ind w:left="142"/>
              <w:rPr>
                <w:b/>
                <w:szCs w:val="20"/>
              </w:rPr>
            </w:pPr>
            <w:r w:rsidRPr="00717818">
              <w:rPr>
                <w:b/>
                <w:szCs w:val="20"/>
              </w:rPr>
              <w:t>Eco Gov</w:t>
            </w:r>
          </w:p>
        </w:tc>
        <w:tc>
          <w:tcPr>
            <w:tcW w:w="496" w:type="dxa"/>
            <w:tcBorders>
              <w:left w:val="single"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7" w:type="dxa"/>
            <w:tcBorders>
              <w:left w:val="dotted" w:sz="4" w:space="0" w:color="auto"/>
              <w:bottom w:val="single" w:sz="4" w:space="0" w:color="auto"/>
              <w:right w:val="dotted" w:sz="4" w:space="0" w:color="auto"/>
            </w:tcBorders>
            <w:shd w:val="clear" w:color="auto" w:fill="92D050"/>
          </w:tcPr>
          <w:p w:rsidR="00581659" w:rsidRPr="00717818" w:rsidRDefault="00E5658C" w:rsidP="0058363A">
            <w:pPr>
              <w:jc w:val="center"/>
              <w:rPr>
                <w:rFonts w:cstheme="minorHAnsi"/>
                <w:szCs w:val="20"/>
              </w:rPr>
            </w:pPr>
            <w:r>
              <w:rPr>
                <w:rFonts w:cstheme="minorHAnsi"/>
                <w:szCs w:val="20"/>
              </w:rPr>
              <w:t>5</w:t>
            </w:r>
          </w:p>
        </w:tc>
        <w:tc>
          <w:tcPr>
            <w:tcW w:w="496" w:type="dxa"/>
            <w:tcBorders>
              <w:left w:val="dotted" w:sz="4" w:space="0" w:color="auto"/>
              <w:bottom w:val="single"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single"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E5658C" w:rsidP="0058363A">
            <w:pPr>
              <w:jc w:val="center"/>
              <w:rPr>
                <w:rFonts w:cstheme="minorHAnsi"/>
                <w:szCs w:val="20"/>
              </w:rPr>
            </w:pPr>
            <w:r>
              <w:rPr>
                <w:rFonts w:cstheme="minorHAnsi"/>
                <w:szCs w:val="20"/>
              </w:rPr>
              <w:t>4</w:t>
            </w:r>
          </w:p>
        </w:tc>
        <w:tc>
          <w:tcPr>
            <w:tcW w:w="496" w:type="dxa"/>
            <w:tcBorders>
              <w:left w:val="dotted" w:sz="4" w:space="0" w:color="auto"/>
              <w:bottom w:val="single"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single"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06" w:type="dxa"/>
            <w:tcBorders>
              <w:left w:val="dotted" w:sz="4" w:space="0" w:color="auto"/>
              <w:bottom w:val="single" w:sz="4" w:space="0" w:color="auto"/>
              <w:right w:val="dotted" w:sz="4" w:space="0" w:color="auto"/>
            </w:tcBorders>
            <w:shd w:val="clear" w:color="auto" w:fill="FFFF00"/>
          </w:tcPr>
          <w:p w:rsidR="00581659" w:rsidRPr="00717818" w:rsidRDefault="00E5658C" w:rsidP="0058363A">
            <w:pPr>
              <w:jc w:val="center"/>
              <w:rPr>
                <w:rFonts w:cstheme="minorHAnsi"/>
                <w:szCs w:val="20"/>
              </w:rPr>
            </w:pPr>
            <w:r>
              <w:rPr>
                <w:rFonts w:cstheme="minorHAnsi"/>
                <w:szCs w:val="20"/>
              </w:rPr>
              <w:t>4</w:t>
            </w:r>
          </w:p>
        </w:tc>
        <w:tc>
          <w:tcPr>
            <w:tcW w:w="496"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2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left w:val="dotted" w:sz="4" w:space="0" w:color="auto"/>
              <w:bottom w:val="single" w:sz="4" w:space="0" w:color="auto"/>
              <w:right w:val="dotted" w:sz="4" w:space="0" w:color="auto"/>
            </w:tcBorders>
            <w:shd w:val="clear" w:color="auto" w:fill="FFFF00"/>
          </w:tcPr>
          <w:p w:rsidR="00581659" w:rsidRPr="00717818" w:rsidRDefault="00E5658C" w:rsidP="0058363A">
            <w:pPr>
              <w:jc w:val="center"/>
              <w:rPr>
                <w:rFonts w:cstheme="minorHAnsi"/>
                <w:szCs w:val="20"/>
              </w:rPr>
            </w:pPr>
            <w:r>
              <w:rPr>
                <w:rFonts w:cstheme="minorHAnsi"/>
                <w:szCs w:val="20"/>
              </w:rPr>
              <w:t>4</w:t>
            </w:r>
          </w:p>
        </w:tc>
        <w:tc>
          <w:tcPr>
            <w:tcW w:w="496"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87" w:type="dxa"/>
            <w:tcBorders>
              <w:left w:val="dotted" w:sz="4" w:space="0" w:color="auto"/>
              <w:bottom w:val="single" w:sz="4" w:space="0" w:color="auto"/>
              <w:right w:val="dotted" w:sz="4" w:space="0" w:color="auto"/>
            </w:tcBorders>
            <w:shd w:val="clear" w:color="auto" w:fill="FFFF00"/>
          </w:tcPr>
          <w:p w:rsidR="00581659" w:rsidRPr="00717818" w:rsidRDefault="00E5658C" w:rsidP="0058363A">
            <w:pPr>
              <w:jc w:val="center"/>
              <w:rPr>
                <w:rFonts w:cstheme="minorHAnsi"/>
                <w:szCs w:val="20"/>
              </w:rPr>
            </w:pPr>
            <w:r>
              <w:rPr>
                <w:rFonts w:cstheme="minorHAnsi"/>
                <w:szCs w:val="20"/>
              </w:rPr>
              <w:t>4</w:t>
            </w:r>
          </w:p>
        </w:tc>
        <w:tc>
          <w:tcPr>
            <w:tcW w:w="709" w:type="dxa"/>
            <w:tcBorders>
              <w:left w:val="dotted" w:sz="4" w:space="0" w:color="auto"/>
              <w:bottom w:val="single"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single"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6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67" w:type="dxa"/>
            <w:tcBorders>
              <w:left w:val="dotted" w:sz="4" w:space="0" w:color="auto"/>
              <w:bottom w:val="single" w:sz="4" w:space="0" w:color="auto"/>
              <w:right w:val="dotted" w:sz="4" w:space="0" w:color="auto"/>
            </w:tcBorders>
            <w:shd w:val="clear" w:color="auto" w:fill="FFFF00"/>
          </w:tcPr>
          <w:p w:rsidR="00581659" w:rsidRPr="00717818" w:rsidRDefault="00E5658C" w:rsidP="0058363A">
            <w:pPr>
              <w:jc w:val="center"/>
              <w:rPr>
                <w:rFonts w:cstheme="minorHAnsi"/>
                <w:szCs w:val="20"/>
              </w:rPr>
            </w:pPr>
            <w:r>
              <w:rPr>
                <w:rFonts w:cstheme="minorHAnsi"/>
                <w:szCs w:val="20"/>
              </w:rPr>
              <w:t>4</w:t>
            </w:r>
          </w:p>
        </w:tc>
        <w:tc>
          <w:tcPr>
            <w:tcW w:w="567"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r>
      <w:tr w:rsidR="00581659" w:rsidRPr="00717818" w:rsidTr="0058363A">
        <w:tc>
          <w:tcPr>
            <w:tcW w:w="2021" w:type="dxa"/>
            <w:shd w:val="clear" w:color="auto" w:fill="FFFFFF" w:themeFill="background1"/>
          </w:tcPr>
          <w:p w:rsidR="00581659" w:rsidRPr="00717818" w:rsidRDefault="00581659" w:rsidP="0058363A">
            <w:pPr>
              <w:ind w:left="142"/>
              <w:rPr>
                <w:b/>
                <w:szCs w:val="20"/>
              </w:rPr>
            </w:pPr>
            <w:r w:rsidRPr="00717818">
              <w:rPr>
                <w:b/>
                <w:szCs w:val="20"/>
              </w:rPr>
              <w:t>MOG</w:t>
            </w:r>
          </w:p>
        </w:tc>
        <w:tc>
          <w:tcPr>
            <w:tcW w:w="496" w:type="dxa"/>
            <w:tcBorders>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bottom w:val="single"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single"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06"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2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53"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8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709"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6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945BA1">
            <w:pPr>
              <w:rPr>
                <w:b/>
                <w:szCs w:val="20"/>
              </w:rPr>
            </w:pPr>
            <w:r w:rsidRPr="00717818">
              <w:rPr>
                <w:b/>
                <w:szCs w:val="20"/>
              </w:rPr>
              <w:t>Elections</w:t>
            </w:r>
          </w:p>
        </w:tc>
        <w:tc>
          <w:tcPr>
            <w:tcW w:w="496"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06"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27"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53"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8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709"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58363A">
            <w:pPr>
              <w:rPr>
                <w:b/>
                <w:szCs w:val="20"/>
              </w:rPr>
            </w:pPr>
            <w:r w:rsidRPr="00717818">
              <w:rPr>
                <w:b/>
                <w:szCs w:val="20"/>
              </w:rPr>
              <w:t>Health</w:t>
            </w:r>
          </w:p>
        </w:tc>
        <w:tc>
          <w:tcPr>
            <w:tcW w:w="496" w:type="dxa"/>
            <w:tcBorders>
              <w:left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6</w:t>
            </w:r>
          </w:p>
        </w:tc>
        <w:tc>
          <w:tcPr>
            <w:tcW w:w="49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06"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27"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2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8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709"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6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r>
      <w:tr w:rsidR="00581659" w:rsidRPr="00717818" w:rsidTr="0058363A">
        <w:trPr>
          <w:trHeight w:val="315"/>
        </w:trPr>
        <w:tc>
          <w:tcPr>
            <w:tcW w:w="2021" w:type="dxa"/>
            <w:shd w:val="clear" w:color="auto" w:fill="FFFFFF" w:themeFill="background1"/>
          </w:tcPr>
          <w:p w:rsidR="00581659" w:rsidRPr="00717818" w:rsidRDefault="00581659" w:rsidP="00945BA1">
            <w:pPr>
              <w:rPr>
                <w:b/>
                <w:szCs w:val="20"/>
              </w:rPr>
            </w:pPr>
            <w:r w:rsidRPr="00717818">
              <w:rPr>
                <w:b/>
                <w:szCs w:val="20"/>
              </w:rPr>
              <w:t>Education</w:t>
            </w:r>
          </w:p>
        </w:tc>
        <w:tc>
          <w:tcPr>
            <w:tcW w:w="496" w:type="dxa"/>
            <w:tcBorders>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6</w:t>
            </w:r>
          </w:p>
        </w:tc>
        <w:tc>
          <w:tcPr>
            <w:tcW w:w="49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bottom w:val="single"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6</w:t>
            </w:r>
          </w:p>
        </w:tc>
        <w:tc>
          <w:tcPr>
            <w:tcW w:w="498"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06"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6" w:type="dxa"/>
            <w:tcBorders>
              <w:left w:val="dotted" w:sz="4" w:space="0" w:color="auto"/>
              <w:bottom w:val="single"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53" w:type="dxa"/>
            <w:tcBorders>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8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709" w:type="dxa"/>
            <w:tcBorders>
              <w:left w:val="dotted" w:sz="4" w:space="0" w:color="auto"/>
              <w:bottom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67" w:type="dxa"/>
            <w:tcBorders>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67"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67" w:type="dxa"/>
            <w:tcBorders>
              <w:left w:val="dotted" w:sz="4" w:space="0" w:color="auto"/>
              <w:bottom w:val="single"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r>
      <w:tr w:rsidR="00581659" w:rsidRPr="00717818" w:rsidTr="0058363A">
        <w:tc>
          <w:tcPr>
            <w:tcW w:w="2021" w:type="dxa"/>
            <w:shd w:val="clear" w:color="auto" w:fill="FFFFFF" w:themeFill="background1"/>
          </w:tcPr>
          <w:p w:rsidR="00581659" w:rsidRPr="00717818" w:rsidRDefault="00581659" w:rsidP="0058363A">
            <w:pPr>
              <w:rPr>
                <w:b/>
                <w:szCs w:val="20"/>
              </w:rPr>
            </w:pPr>
            <w:r w:rsidRPr="00717818">
              <w:rPr>
                <w:b/>
                <w:szCs w:val="20"/>
              </w:rPr>
              <w:t>Livelihoods</w:t>
            </w:r>
          </w:p>
        </w:tc>
        <w:tc>
          <w:tcPr>
            <w:tcW w:w="496" w:type="dxa"/>
            <w:tcBorders>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bottom w:val="single"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single"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06"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left w:val="single" w:sz="4" w:space="0" w:color="auto"/>
              <w:bottom w:val="single" w:sz="4" w:space="0" w:color="auto"/>
              <w:right w:val="dotted" w:sz="4" w:space="0" w:color="auto"/>
            </w:tcBorders>
            <w:shd w:val="clear" w:color="auto" w:fill="FF0000"/>
          </w:tcPr>
          <w:p w:rsidR="00581659" w:rsidRPr="00717818" w:rsidRDefault="00581659" w:rsidP="0058363A">
            <w:pPr>
              <w:jc w:val="center"/>
              <w:rPr>
                <w:rFonts w:cstheme="minorHAnsi"/>
                <w:szCs w:val="20"/>
              </w:rPr>
            </w:pPr>
            <w:r w:rsidRPr="00717818">
              <w:rPr>
                <w:rFonts w:cstheme="minorHAnsi"/>
                <w:szCs w:val="20"/>
              </w:rPr>
              <w:t>2</w:t>
            </w:r>
          </w:p>
        </w:tc>
        <w:tc>
          <w:tcPr>
            <w:tcW w:w="527"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2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53"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8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709"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945BA1">
            <w:pPr>
              <w:rPr>
                <w:b/>
                <w:szCs w:val="20"/>
              </w:rPr>
            </w:pPr>
            <w:r w:rsidRPr="00717818">
              <w:rPr>
                <w:b/>
                <w:szCs w:val="20"/>
              </w:rPr>
              <w:t>Infrastructure</w:t>
            </w:r>
          </w:p>
        </w:tc>
        <w:tc>
          <w:tcPr>
            <w:tcW w:w="496" w:type="dxa"/>
            <w:tcBorders>
              <w:left w:val="single"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6</w:t>
            </w:r>
          </w:p>
        </w:tc>
        <w:tc>
          <w:tcPr>
            <w:tcW w:w="49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bottom w:val="single"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single"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06"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8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709"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58363A">
            <w:pPr>
              <w:ind w:left="142"/>
              <w:rPr>
                <w:b/>
                <w:szCs w:val="20"/>
              </w:rPr>
            </w:pPr>
            <w:r w:rsidRPr="00717818">
              <w:rPr>
                <w:b/>
                <w:szCs w:val="20"/>
              </w:rPr>
              <w:t>Transport</w:t>
            </w:r>
          </w:p>
        </w:tc>
        <w:tc>
          <w:tcPr>
            <w:tcW w:w="496"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06"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8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709"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58363A">
            <w:pPr>
              <w:ind w:left="142"/>
              <w:rPr>
                <w:b/>
                <w:szCs w:val="20"/>
              </w:rPr>
            </w:pPr>
            <w:r w:rsidRPr="00717818">
              <w:rPr>
                <w:b/>
                <w:szCs w:val="20"/>
              </w:rPr>
              <w:t>Utilities</w:t>
            </w:r>
          </w:p>
        </w:tc>
        <w:tc>
          <w:tcPr>
            <w:tcW w:w="496"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06"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8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709"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945BA1">
            <w:pPr>
              <w:rPr>
                <w:b/>
                <w:szCs w:val="20"/>
              </w:rPr>
            </w:pPr>
            <w:r w:rsidRPr="00717818">
              <w:rPr>
                <w:b/>
                <w:szCs w:val="20"/>
              </w:rPr>
              <w:t>Eco and fiscal- PLA</w:t>
            </w:r>
          </w:p>
        </w:tc>
        <w:tc>
          <w:tcPr>
            <w:tcW w:w="496" w:type="dxa"/>
            <w:tcBorders>
              <w:left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6</w:t>
            </w:r>
          </w:p>
        </w:tc>
        <w:tc>
          <w:tcPr>
            <w:tcW w:w="498" w:type="dxa"/>
            <w:tcBorders>
              <w:left w:val="dotted"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6</w:t>
            </w:r>
          </w:p>
        </w:tc>
        <w:tc>
          <w:tcPr>
            <w:tcW w:w="49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06"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27" w:type="dxa"/>
            <w:tcBorders>
              <w:left w:val="dotted"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2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left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8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709" w:type="dxa"/>
            <w:tcBorders>
              <w:left w:val="dotted" w:sz="4" w:space="0" w:color="auto"/>
              <w:right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67"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67" w:type="dxa"/>
            <w:tcBorders>
              <w:left w:val="dotted" w:sz="4" w:space="0" w:color="auto"/>
              <w:bottom w:val="single"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r>
      <w:tr w:rsidR="00581659" w:rsidRPr="00717818" w:rsidTr="0058363A">
        <w:tc>
          <w:tcPr>
            <w:tcW w:w="2021" w:type="dxa"/>
            <w:shd w:val="clear" w:color="auto" w:fill="FFFFFF" w:themeFill="background1"/>
          </w:tcPr>
          <w:p w:rsidR="00581659" w:rsidRPr="00717818" w:rsidRDefault="00581659" w:rsidP="00945BA1">
            <w:pPr>
              <w:rPr>
                <w:b/>
                <w:szCs w:val="20"/>
              </w:rPr>
            </w:pPr>
            <w:r w:rsidRPr="00717818">
              <w:rPr>
                <w:b/>
                <w:szCs w:val="20"/>
              </w:rPr>
              <w:t>HIES</w:t>
            </w:r>
          </w:p>
        </w:tc>
        <w:tc>
          <w:tcPr>
            <w:tcW w:w="496" w:type="dxa"/>
            <w:tcBorders>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bottom w:val="single"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single"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06"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27" w:type="dxa"/>
            <w:tcBorders>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87"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709"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67"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r>
      <w:tr w:rsidR="00581659" w:rsidRPr="00717818" w:rsidTr="0058363A">
        <w:tc>
          <w:tcPr>
            <w:tcW w:w="2021" w:type="dxa"/>
            <w:shd w:val="clear" w:color="auto" w:fill="FFFFFF" w:themeFill="background1"/>
          </w:tcPr>
          <w:p w:rsidR="00581659" w:rsidRPr="00717818" w:rsidRDefault="00581659" w:rsidP="0058363A">
            <w:pPr>
              <w:rPr>
                <w:b/>
                <w:szCs w:val="20"/>
              </w:rPr>
            </w:pPr>
            <w:r w:rsidRPr="00717818">
              <w:rPr>
                <w:b/>
                <w:szCs w:val="20"/>
              </w:rPr>
              <w:t>SINPA</w:t>
            </w:r>
          </w:p>
        </w:tc>
        <w:tc>
          <w:tcPr>
            <w:tcW w:w="496"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bottom w:val="single"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single"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left w:val="dotted" w:sz="4" w:space="0" w:color="auto"/>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06"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27" w:type="dxa"/>
            <w:tcBorders>
              <w:left w:val="dotted" w:sz="4" w:space="0" w:color="auto"/>
              <w:bottom w:val="single" w:sz="4" w:space="0" w:color="auto"/>
              <w:right w:val="dotted" w:sz="4" w:space="0" w:color="auto"/>
            </w:tcBorders>
            <w:shd w:val="clear" w:color="auto" w:fill="FF0000"/>
          </w:tcPr>
          <w:p w:rsidR="00581659" w:rsidRPr="00717818" w:rsidRDefault="00581659" w:rsidP="0058363A">
            <w:pPr>
              <w:jc w:val="center"/>
              <w:rPr>
                <w:rFonts w:cstheme="minorHAnsi"/>
                <w:szCs w:val="20"/>
              </w:rPr>
            </w:pPr>
            <w:r w:rsidRPr="00717818">
              <w:rPr>
                <w:rFonts w:cstheme="minorHAnsi"/>
                <w:szCs w:val="20"/>
              </w:rPr>
              <w:t>2</w:t>
            </w:r>
          </w:p>
        </w:tc>
        <w:tc>
          <w:tcPr>
            <w:tcW w:w="52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bottom w:val="single"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53"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8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709" w:type="dxa"/>
            <w:tcBorders>
              <w:left w:val="dotted" w:sz="4" w:space="0" w:color="auto"/>
              <w:bottom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bottom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67" w:type="dxa"/>
            <w:tcBorders>
              <w:left w:val="dotted" w:sz="4" w:space="0" w:color="auto"/>
              <w:bottom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6</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58363A">
            <w:pPr>
              <w:rPr>
                <w:b/>
                <w:szCs w:val="20"/>
              </w:rPr>
            </w:pPr>
            <w:r w:rsidRPr="00717818">
              <w:rPr>
                <w:b/>
                <w:szCs w:val="20"/>
              </w:rPr>
              <w:t>Scholarships</w:t>
            </w:r>
          </w:p>
        </w:tc>
        <w:tc>
          <w:tcPr>
            <w:tcW w:w="496" w:type="dxa"/>
            <w:tcBorders>
              <w:left w:val="single"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dotted"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7" w:type="dxa"/>
            <w:tcBorders>
              <w:left w:val="dotted"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right w:val="single" w:sz="4" w:space="0" w:color="auto"/>
            </w:tcBorders>
            <w:shd w:val="clear" w:color="auto" w:fill="92D050"/>
          </w:tcPr>
          <w:p w:rsidR="00581659" w:rsidRPr="00717818" w:rsidRDefault="00581659" w:rsidP="0058363A">
            <w:pPr>
              <w:jc w:val="center"/>
              <w:rPr>
                <w:rFonts w:cstheme="minorHAnsi"/>
                <w:szCs w:val="20"/>
                <w:highlight w:val="yellow"/>
              </w:rPr>
            </w:pPr>
            <w:r>
              <w:rPr>
                <w:rFonts w:cstheme="minorHAnsi"/>
                <w:szCs w:val="20"/>
                <w:highlight w:val="yellow"/>
              </w:rPr>
              <w:t>5</w:t>
            </w:r>
          </w:p>
        </w:tc>
        <w:tc>
          <w:tcPr>
            <w:tcW w:w="498" w:type="dxa"/>
            <w:tcBorders>
              <w:left w:val="single"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06" w:type="dxa"/>
            <w:tcBorders>
              <w:left w:val="dotted"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6"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27" w:type="dxa"/>
            <w:tcBorders>
              <w:left w:val="dotted"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27" w:type="dxa"/>
            <w:tcBorders>
              <w:left w:val="dotted"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6"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53"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87"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709"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67" w:type="dxa"/>
            <w:tcBorders>
              <w:lef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58363A">
            <w:pPr>
              <w:rPr>
                <w:b/>
                <w:szCs w:val="20"/>
              </w:rPr>
            </w:pPr>
            <w:r w:rsidRPr="00717818">
              <w:rPr>
                <w:b/>
                <w:szCs w:val="20"/>
              </w:rPr>
              <w:t>SOLMAS</w:t>
            </w:r>
          </w:p>
        </w:tc>
        <w:tc>
          <w:tcPr>
            <w:tcW w:w="496"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7" w:type="dxa"/>
            <w:tcBorders>
              <w:left w:val="dotted" w:sz="4" w:space="0" w:color="auto"/>
              <w:righ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6"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highlight w:val="yellow"/>
              </w:rPr>
            </w:pPr>
            <w:r w:rsidRPr="00717818">
              <w:rPr>
                <w:rFonts w:cstheme="minorHAnsi"/>
                <w:szCs w:val="20"/>
                <w:highlight w:val="yellow"/>
              </w:rPr>
              <w:t>4</w:t>
            </w:r>
          </w:p>
        </w:tc>
        <w:tc>
          <w:tcPr>
            <w:tcW w:w="498"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8"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06" w:type="dxa"/>
            <w:tcBorders>
              <w:left w:val="dotted"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496" w:type="dxa"/>
            <w:tcBorders>
              <w:lef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27"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6" w:type="dxa"/>
            <w:tcBorders>
              <w:left w:val="dotted" w:sz="4" w:space="0" w:color="auto"/>
            </w:tcBorders>
            <w:shd w:val="clear" w:color="auto" w:fill="FF0000"/>
          </w:tcPr>
          <w:p w:rsidR="00581659" w:rsidRPr="00717818" w:rsidRDefault="00581659" w:rsidP="0058363A">
            <w:pPr>
              <w:jc w:val="center"/>
              <w:rPr>
                <w:rFonts w:cstheme="minorHAnsi"/>
                <w:szCs w:val="20"/>
              </w:rPr>
            </w:pPr>
            <w:r w:rsidRPr="00717818">
              <w:rPr>
                <w:rFonts w:cstheme="minorHAnsi"/>
                <w:szCs w:val="20"/>
              </w:rPr>
              <w:t>2</w:t>
            </w:r>
          </w:p>
        </w:tc>
        <w:tc>
          <w:tcPr>
            <w:tcW w:w="553"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87" w:type="dxa"/>
            <w:tcBorders>
              <w:left w:val="dotted" w:sz="4" w:space="0" w:color="auto"/>
              <w:righ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709" w:type="dxa"/>
            <w:tcBorders>
              <w:lef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67"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left w:val="dotted" w:sz="4" w:space="0" w:color="auto"/>
            </w:tcBorders>
            <w:shd w:val="clear" w:color="auto" w:fill="FF0000"/>
          </w:tcPr>
          <w:p w:rsidR="00581659" w:rsidRPr="00717818" w:rsidRDefault="00581659" w:rsidP="0058363A">
            <w:pPr>
              <w:jc w:val="center"/>
              <w:rPr>
                <w:rFonts w:cstheme="minorHAnsi"/>
                <w:szCs w:val="20"/>
              </w:rPr>
            </w:pPr>
            <w:r w:rsidRPr="00717818">
              <w:rPr>
                <w:rFonts w:cstheme="minorHAnsi"/>
                <w:szCs w:val="20"/>
              </w:rPr>
              <w:t>2</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945BA1">
            <w:pPr>
              <w:rPr>
                <w:b/>
                <w:szCs w:val="20"/>
              </w:rPr>
            </w:pPr>
            <w:r w:rsidRPr="00717818">
              <w:rPr>
                <w:b/>
                <w:szCs w:val="20"/>
              </w:rPr>
              <w:t>Gender</w:t>
            </w:r>
          </w:p>
        </w:tc>
        <w:tc>
          <w:tcPr>
            <w:tcW w:w="496"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6</w:t>
            </w:r>
          </w:p>
        </w:tc>
        <w:tc>
          <w:tcPr>
            <w:tcW w:w="498"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06"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27"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8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709"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945BA1">
            <w:pPr>
              <w:rPr>
                <w:b/>
                <w:szCs w:val="20"/>
              </w:rPr>
            </w:pPr>
            <w:r w:rsidRPr="00717818">
              <w:rPr>
                <w:b/>
                <w:szCs w:val="20"/>
              </w:rPr>
              <w:t>SIPF</w:t>
            </w:r>
          </w:p>
        </w:tc>
        <w:tc>
          <w:tcPr>
            <w:tcW w:w="496"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498"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06"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92D050"/>
          </w:tcPr>
          <w:p w:rsidR="00581659" w:rsidRPr="00717818" w:rsidRDefault="00581659" w:rsidP="0058363A">
            <w:pPr>
              <w:jc w:val="center"/>
              <w:rPr>
                <w:rFonts w:cstheme="minorHAnsi"/>
                <w:szCs w:val="20"/>
              </w:rPr>
            </w:pPr>
            <w:r w:rsidRPr="00717818">
              <w:rPr>
                <w:rFonts w:cstheme="minorHAnsi"/>
                <w:szCs w:val="20"/>
              </w:rPr>
              <w:t>5</w:t>
            </w:r>
          </w:p>
        </w:tc>
        <w:tc>
          <w:tcPr>
            <w:tcW w:w="527"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8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709"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67"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r>
      <w:tr w:rsidR="00581659" w:rsidRPr="00717818" w:rsidTr="0058363A">
        <w:tc>
          <w:tcPr>
            <w:tcW w:w="2021" w:type="dxa"/>
            <w:tcBorders>
              <w:right w:val="single" w:sz="4" w:space="0" w:color="auto"/>
            </w:tcBorders>
            <w:shd w:val="clear" w:color="auto" w:fill="FFFFFF" w:themeFill="background1"/>
          </w:tcPr>
          <w:p w:rsidR="00581659" w:rsidRPr="00717818" w:rsidRDefault="00581659" w:rsidP="00945BA1">
            <w:pPr>
              <w:rPr>
                <w:b/>
                <w:szCs w:val="20"/>
              </w:rPr>
            </w:pPr>
            <w:r w:rsidRPr="00717818">
              <w:rPr>
                <w:b/>
                <w:szCs w:val="20"/>
              </w:rPr>
              <w:t>Infra P’ship</w:t>
            </w:r>
          </w:p>
        </w:tc>
        <w:tc>
          <w:tcPr>
            <w:tcW w:w="496"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right w:val="single"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498" w:type="dxa"/>
            <w:tcBorders>
              <w:left w:val="single"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0000"/>
          </w:tcPr>
          <w:p w:rsidR="00581659" w:rsidRPr="00717818" w:rsidRDefault="00581659" w:rsidP="0058363A">
            <w:pPr>
              <w:jc w:val="center"/>
              <w:rPr>
                <w:rFonts w:cstheme="minorHAnsi"/>
                <w:szCs w:val="20"/>
              </w:rPr>
            </w:pPr>
            <w:r w:rsidRPr="00717818">
              <w:rPr>
                <w:rFonts w:cstheme="minorHAnsi"/>
                <w:szCs w:val="20"/>
              </w:rPr>
              <w:t>2</w:t>
            </w:r>
          </w:p>
        </w:tc>
        <w:tc>
          <w:tcPr>
            <w:tcW w:w="498"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8"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06"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0000"/>
          </w:tcPr>
          <w:p w:rsidR="00581659" w:rsidRPr="00717818" w:rsidRDefault="00581659" w:rsidP="0058363A">
            <w:pPr>
              <w:jc w:val="center"/>
              <w:rPr>
                <w:rFonts w:cstheme="minorHAnsi"/>
                <w:szCs w:val="20"/>
              </w:rPr>
            </w:pPr>
            <w:r w:rsidRPr="00717818">
              <w:rPr>
                <w:rFonts w:cstheme="minorHAnsi"/>
                <w:szCs w:val="20"/>
              </w:rPr>
              <w:t>2</w:t>
            </w:r>
          </w:p>
        </w:tc>
        <w:tc>
          <w:tcPr>
            <w:tcW w:w="527"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2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496" w:type="dxa"/>
            <w:tcBorders>
              <w:left w:val="dotted" w:sz="4" w:space="0" w:color="auto"/>
            </w:tcBorders>
            <w:shd w:val="clear" w:color="auto" w:fill="FFFF00"/>
          </w:tcPr>
          <w:p w:rsidR="00581659" w:rsidRPr="00717818" w:rsidRDefault="00581659" w:rsidP="0058363A">
            <w:pPr>
              <w:jc w:val="center"/>
              <w:rPr>
                <w:rFonts w:cstheme="minorHAnsi"/>
                <w:szCs w:val="20"/>
              </w:rPr>
            </w:pPr>
            <w:r w:rsidRPr="00717818">
              <w:rPr>
                <w:rFonts w:cstheme="minorHAnsi"/>
                <w:szCs w:val="20"/>
              </w:rPr>
              <w:t>4</w:t>
            </w:r>
          </w:p>
        </w:tc>
        <w:tc>
          <w:tcPr>
            <w:tcW w:w="553"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53"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8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709" w:type="dxa"/>
            <w:tcBorders>
              <w:lef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c>
          <w:tcPr>
            <w:tcW w:w="567" w:type="dxa"/>
            <w:tcBorders>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right w:val="dotted" w:sz="4" w:space="0" w:color="auto"/>
            </w:tcBorders>
            <w:shd w:val="clear" w:color="auto" w:fill="FFFFFF" w:themeFill="background1"/>
          </w:tcPr>
          <w:p w:rsidR="00581659" w:rsidRPr="00717818" w:rsidRDefault="00581659" w:rsidP="0058363A">
            <w:pPr>
              <w:jc w:val="center"/>
              <w:rPr>
                <w:rFonts w:cstheme="minorHAnsi"/>
                <w:szCs w:val="20"/>
              </w:rPr>
            </w:pPr>
            <w:r w:rsidRPr="00717818">
              <w:rPr>
                <w:rFonts w:cstheme="minorHAnsi"/>
                <w:szCs w:val="20"/>
              </w:rPr>
              <w:t>-</w:t>
            </w:r>
          </w:p>
        </w:tc>
        <w:tc>
          <w:tcPr>
            <w:tcW w:w="567" w:type="dxa"/>
            <w:tcBorders>
              <w:left w:val="dotted" w:sz="4" w:space="0" w:color="auto"/>
            </w:tcBorders>
            <w:shd w:val="clear" w:color="auto" w:fill="FFC000"/>
          </w:tcPr>
          <w:p w:rsidR="00581659" w:rsidRPr="00717818" w:rsidRDefault="00581659" w:rsidP="0058363A">
            <w:pPr>
              <w:jc w:val="center"/>
              <w:rPr>
                <w:rFonts w:cstheme="minorHAnsi"/>
                <w:szCs w:val="20"/>
              </w:rPr>
            </w:pPr>
            <w:r w:rsidRPr="00717818">
              <w:rPr>
                <w:rFonts w:cstheme="minorHAnsi"/>
                <w:szCs w:val="20"/>
              </w:rPr>
              <w:t>3</w:t>
            </w:r>
          </w:p>
        </w:tc>
      </w:tr>
    </w:tbl>
    <w:p w:rsidR="00945BA1" w:rsidRDefault="00945BA1" w:rsidP="00945BA1">
      <w:pPr>
        <w:spacing w:after="60"/>
      </w:pPr>
    </w:p>
    <w:p w:rsidR="000241A7" w:rsidRPr="00BE3230" w:rsidRDefault="000241A7" w:rsidP="00BE3230">
      <w:pPr>
        <w:spacing w:after="60"/>
        <w:rPr>
          <w:rFonts w:asciiTheme="minorHAnsi" w:hAnsiTheme="minorHAnsi" w:cstheme="minorHAnsi"/>
        </w:rPr>
      </w:pPr>
      <w:r w:rsidRPr="00BE3230">
        <w:rPr>
          <w:rFonts w:asciiTheme="minorHAnsi" w:hAnsiTheme="minorHAnsi" w:cstheme="minorHAnsi"/>
          <w:b/>
        </w:rPr>
        <w:t>Notes</w:t>
      </w:r>
      <w:r w:rsidRPr="00BE3230">
        <w:rPr>
          <w:rFonts w:asciiTheme="minorHAnsi" w:hAnsiTheme="minorHAnsi" w:cstheme="minorHAnsi"/>
        </w:rPr>
        <w:t>:</w:t>
      </w:r>
    </w:p>
    <w:p w:rsidR="000241A7" w:rsidRPr="00BE3230" w:rsidRDefault="000241A7" w:rsidP="00BE3230">
      <w:pPr>
        <w:spacing w:after="60"/>
        <w:rPr>
          <w:rFonts w:asciiTheme="minorHAnsi" w:hAnsiTheme="minorHAnsi" w:cstheme="minorHAnsi"/>
          <w:b/>
        </w:rPr>
        <w:sectPr w:rsidR="000241A7" w:rsidRPr="00BE3230" w:rsidSect="00751A4E">
          <w:pgSz w:w="16838" w:h="11906" w:orient="landscape" w:code="9"/>
          <w:pgMar w:top="709" w:right="1814" w:bottom="851" w:left="851" w:header="709" w:footer="425" w:gutter="0"/>
          <w:cols w:space="708"/>
          <w:docGrid w:linePitch="360"/>
        </w:sectPr>
      </w:pPr>
    </w:p>
    <w:p w:rsidR="000241A7" w:rsidRPr="00BE3230" w:rsidRDefault="000241A7" w:rsidP="00BE3230">
      <w:pPr>
        <w:spacing w:after="60"/>
        <w:rPr>
          <w:rFonts w:asciiTheme="minorHAnsi" w:hAnsiTheme="minorHAnsi" w:cstheme="minorHAnsi"/>
          <w:szCs w:val="16"/>
        </w:rPr>
      </w:pPr>
      <w:r w:rsidRPr="00BE3230">
        <w:rPr>
          <w:rFonts w:asciiTheme="minorHAnsi" w:hAnsiTheme="minorHAnsi" w:cstheme="minorHAnsi"/>
          <w:b/>
        </w:rPr>
        <w:lastRenderedPageBreak/>
        <w:t>Justice and Corrections</w:t>
      </w:r>
      <w:r w:rsidRPr="00BE3230">
        <w:rPr>
          <w:rFonts w:asciiTheme="minorHAnsi" w:hAnsiTheme="minorHAnsi" w:cstheme="minorHAnsi"/>
          <w:szCs w:val="16"/>
        </w:rPr>
        <w:t xml:space="preserve"> were reported on separately prior to 2012</w:t>
      </w:r>
    </w:p>
    <w:p w:rsidR="000241A7" w:rsidRPr="00BE3230" w:rsidRDefault="000241A7" w:rsidP="00BE3230">
      <w:pPr>
        <w:spacing w:after="60"/>
        <w:rPr>
          <w:rFonts w:asciiTheme="minorHAnsi" w:hAnsiTheme="minorHAnsi" w:cstheme="minorHAnsi"/>
          <w:szCs w:val="16"/>
        </w:rPr>
      </w:pPr>
      <w:r w:rsidRPr="00BE3230">
        <w:rPr>
          <w:rFonts w:asciiTheme="minorHAnsi" w:hAnsiTheme="minorHAnsi" w:cstheme="minorHAnsi"/>
          <w:b/>
        </w:rPr>
        <w:t>Eco Gov and MOG:</w:t>
      </w:r>
      <w:r w:rsidRPr="00BE3230">
        <w:rPr>
          <w:rFonts w:asciiTheme="minorHAnsi" w:hAnsiTheme="minorHAnsi" w:cstheme="minorHAnsi"/>
          <w:szCs w:val="16"/>
        </w:rPr>
        <w:t xml:space="preserve"> Replaced by SIGOV post RAMSI Transition </w:t>
      </w:r>
    </w:p>
    <w:p w:rsidR="000241A7" w:rsidRPr="00BE3230" w:rsidRDefault="000241A7" w:rsidP="00BE3230">
      <w:pPr>
        <w:spacing w:after="60"/>
        <w:rPr>
          <w:rFonts w:asciiTheme="minorHAnsi" w:hAnsiTheme="minorHAnsi" w:cstheme="minorHAnsi"/>
          <w:szCs w:val="16"/>
        </w:rPr>
      </w:pPr>
      <w:r w:rsidRPr="00BE3230">
        <w:rPr>
          <w:rFonts w:asciiTheme="minorHAnsi" w:hAnsiTheme="minorHAnsi" w:cstheme="minorHAnsi"/>
          <w:b/>
        </w:rPr>
        <w:t>Elections</w:t>
      </w:r>
      <w:r w:rsidRPr="00BE3230">
        <w:rPr>
          <w:rFonts w:asciiTheme="minorHAnsi" w:hAnsiTheme="minorHAnsi" w:cstheme="minorHAnsi"/>
          <w:szCs w:val="16"/>
        </w:rPr>
        <w:t>: Previously covered under MOG</w:t>
      </w:r>
    </w:p>
    <w:p w:rsidR="000241A7" w:rsidRPr="00BE3230" w:rsidRDefault="000241A7" w:rsidP="00BE3230">
      <w:pPr>
        <w:spacing w:after="60"/>
        <w:rPr>
          <w:rFonts w:asciiTheme="minorHAnsi" w:hAnsiTheme="minorHAnsi" w:cstheme="minorHAnsi"/>
          <w:szCs w:val="16"/>
        </w:rPr>
      </w:pPr>
      <w:r w:rsidRPr="00BE3230">
        <w:rPr>
          <w:rFonts w:asciiTheme="minorHAnsi" w:hAnsiTheme="minorHAnsi" w:cstheme="minorHAnsi"/>
          <w:b/>
        </w:rPr>
        <w:t>Education</w:t>
      </w:r>
      <w:r w:rsidRPr="00BE3230">
        <w:rPr>
          <w:rFonts w:asciiTheme="minorHAnsi" w:hAnsiTheme="minorHAnsi" w:cstheme="minorHAnsi"/>
          <w:szCs w:val="16"/>
        </w:rPr>
        <w:t>: Australia entered the sector in 2011. That was the first QAI</w:t>
      </w:r>
    </w:p>
    <w:p w:rsidR="000241A7" w:rsidRPr="00BE3230" w:rsidRDefault="000241A7" w:rsidP="00BE3230">
      <w:pPr>
        <w:spacing w:after="60"/>
        <w:rPr>
          <w:rFonts w:asciiTheme="minorHAnsi" w:hAnsiTheme="minorHAnsi" w:cstheme="minorHAnsi"/>
          <w:szCs w:val="16"/>
        </w:rPr>
      </w:pPr>
      <w:r w:rsidRPr="00BE3230">
        <w:rPr>
          <w:rFonts w:asciiTheme="minorHAnsi" w:hAnsiTheme="minorHAnsi" w:cstheme="minorHAnsi"/>
          <w:b/>
        </w:rPr>
        <w:t>Infrastructure</w:t>
      </w:r>
      <w:r w:rsidRPr="00BE3230">
        <w:rPr>
          <w:rFonts w:asciiTheme="minorHAnsi" w:hAnsiTheme="minorHAnsi" w:cstheme="minorHAnsi"/>
          <w:szCs w:val="16"/>
        </w:rPr>
        <w:t>: For 2013 covered by two separate QAIs – Transport and Utilities</w:t>
      </w:r>
    </w:p>
    <w:p w:rsidR="000241A7" w:rsidRPr="00BE3230" w:rsidRDefault="000241A7" w:rsidP="00BE3230">
      <w:pPr>
        <w:spacing w:after="60"/>
        <w:rPr>
          <w:rFonts w:asciiTheme="minorHAnsi" w:hAnsiTheme="minorHAnsi" w:cstheme="minorHAnsi"/>
          <w:szCs w:val="16"/>
        </w:rPr>
      </w:pPr>
      <w:r w:rsidRPr="00BE3230">
        <w:rPr>
          <w:rFonts w:asciiTheme="minorHAnsi" w:hAnsiTheme="minorHAnsi" w:cstheme="minorHAnsi"/>
          <w:b/>
        </w:rPr>
        <w:lastRenderedPageBreak/>
        <w:t>Performance linked aid</w:t>
      </w:r>
      <w:r w:rsidRPr="00BE3230">
        <w:rPr>
          <w:rFonts w:asciiTheme="minorHAnsi" w:hAnsiTheme="minorHAnsi" w:cstheme="minorHAnsi"/>
          <w:szCs w:val="16"/>
        </w:rPr>
        <w:t>: Now covered under SIGOV</w:t>
      </w:r>
    </w:p>
    <w:p w:rsidR="000241A7" w:rsidRPr="00BE3230" w:rsidRDefault="000241A7" w:rsidP="00BE3230">
      <w:pPr>
        <w:spacing w:after="60"/>
        <w:rPr>
          <w:rFonts w:asciiTheme="minorHAnsi" w:hAnsiTheme="minorHAnsi" w:cstheme="minorHAnsi"/>
          <w:szCs w:val="16"/>
        </w:rPr>
      </w:pPr>
      <w:r w:rsidRPr="00BE3230">
        <w:rPr>
          <w:rFonts w:asciiTheme="minorHAnsi" w:hAnsiTheme="minorHAnsi" w:cstheme="minorHAnsi"/>
          <w:b/>
        </w:rPr>
        <w:t>HIES</w:t>
      </w:r>
      <w:r w:rsidRPr="00BE3230">
        <w:rPr>
          <w:rFonts w:asciiTheme="minorHAnsi" w:hAnsiTheme="minorHAnsi" w:cstheme="minorHAnsi"/>
          <w:szCs w:val="16"/>
        </w:rPr>
        <w:t>: Commenced in 2012 hence this is the first QAI</w:t>
      </w:r>
    </w:p>
    <w:p w:rsidR="000241A7" w:rsidRPr="00BE3230" w:rsidRDefault="000241A7" w:rsidP="00BE3230">
      <w:pPr>
        <w:spacing w:after="60"/>
        <w:rPr>
          <w:rFonts w:asciiTheme="minorHAnsi" w:hAnsiTheme="minorHAnsi" w:cstheme="minorHAnsi"/>
          <w:szCs w:val="16"/>
        </w:rPr>
      </w:pPr>
      <w:r w:rsidRPr="00BE3230">
        <w:rPr>
          <w:rFonts w:asciiTheme="minorHAnsi" w:hAnsiTheme="minorHAnsi" w:cstheme="minorHAnsi"/>
          <w:b/>
        </w:rPr>
        <w:t>Gender</w:t>
      </w:r>
      <w:r w:rsidRPr="00BE3230">
        <w:rPr>
          <w:rFonts w:asciiTheme="minorHAnsi" w:hAnsiTheme="minorHAnsi" w:cstheme="minorHAnsi"/>
        </w:rPr>
        <w:t xml:space="preserve">: </w:t>
      </w:r>
      <w:r w:rsidRPr="00BE3230">
        <w:rPr>
          <w:rFonts w:asciiTheme="minorHAnsi" w:hAnsiTheme="minorHAnsi" w:cstheme="minorHAnsi"/>
          <w:szCs w:val="16"/>
        </w:rPr>
        <w:t>First QAI for this new program</w:t>
      </w:r>
    </w:p>
    <w:p w:rsidR="000241A7" w:rsidRPr="00BE3230" w:rsidRDefault="000241A7" w:rsidP="00BE3230">
      <w:pPr>
        <w:spacing w:after="60"/>
        <w:rPr>
          <w:rFonts w:asciiTheme="minorHAnsi" w:hAnsiTheme="minorHAnsi" w:cstheme="minorHAnsi"/>
          <w:szCs w:val="16"/>
        </w:rPr>
      </w:pPr>
      <w:r w:rsidRPr="00BE3230">
        <w:rPr>
          <w:rFonts w:asciiTheme="minorHAnsi" w:hAnsiTheme="minorHAnsi" w:cstheme="minorHAnsi"/>
          <w:b/>
        </w:rPr>
        <w:t>SIFP</w:t>
      </w:r>
      <w:r w:rsidRPr="00BE3230">
        <w:rPr>
          <w:rFonts w:asciiTheme="minorHAnsi" w:hAnsiTheme="minorHAnsi" w:cstheme="minorHAnsi"/>
          <w:szCs w:val="16"/>
        </w:rPr>
        <w:t>: New program – previously covered by several separate contracts</w:t>
      </w:r>
    </w:p>
    <w:p w:rsidR="000241A7" w:rsidRPr="00BE3230" w:rsidRDefault="000241A7" w:rsidP="00BE3230">
      <w:pPr>
        <w:spacing w:after="60"/>
        <w:rPr>
          <w:rFonts w:asciiTheme="minorHAnsi" w:hAnsiTheme="minorHAnsi" w:cstheme="minorHAnsi"/>
          <w:szCs w:val="16"/>
        </w:rPr>
        <w:sectPr w:rsidR="000241A7" w:rsidRPr="00BE3230" w:rsidSect="000241A7">
          <w:type w:val="continuous"/>
          <w:pgSz w:w="16838" w:h="11906" w:orient="landscape" w:code="9"/>
          <w:pgMar w:top="709" w:right="1814" w:bottom="851" w:left="851" w:header="709" w:footer="425" w:gutter="0"/>
          <w:cols w:num="2" w:space="708"/>
          <w:docGrid w:linePitch="360"/>
        </w:sectPr>
      </w:pPr>
      <w:r w:rsidRPr="00BE3230">
        <w:rPr>
          <w:rFonts w:asciiTheme="minorHAnsi" w:hAnsiTheme="minorHAnsi" w:cstheme="minorHAnsi"/>
          <w:b/>
        </w:rPr>
        <w:t>Infrastructure Partnership</w:t>
      </w:r>
      <w:r w:rsidRPr="00BE3230">
        <w:rPr>
          <w:rFonts w:asciiTheme="minorHAnsi" w:hAnsiTheme="minorHAnsi" w:cstheme="minorHAnsi"/>
          <w:szCs w:val="16"/>
        </w:rPr>
        <w:t>: No previous QAI</w:t>
      </w:r>
    </w:p>
    <w:p w:rsidR="000D733F" w:rsidRPr="009E38C1" w:rsidRDefault="000D733F" w:rsidP="00751A4E">
      <w:pPr>
        <w:pStyle w:val="Heading2"/>
        <w:spacing w:before="240"/>
        <w:rPr>
          <w:sz w:val="28"/>
        </w:rPr>
      </w:pPr>
      <w:r w:rsidRPr="009E38C1">
        <w:rPr>
          <w:sz w:val="28"/>
        </w:rPr>
        <w:lastRenderedPageBreak/>
        <w:t>Annex</w:t>
      </w:r>
      <w:r w:rsidR="00D91326">
        <w:rPr>
          <w:sz w:val="28"/>
        </w:rPr>
        <w:t xml:space="preserve"> </w:t>
      </w:r>
      <w:r w:rsidRPr="009E38C1">
        <w:rPr>
          <w:sz w:val="28"/>
        </w:rPr>
        <w:t>C</w:t>
      </w:r>
    </w:p>
    <w:p w:rsidR="000D733F" w:rsidRPr="009E38C1" w:rsidRDefault="000D733F" w:rsidP="000D733F">
      <w:pPr>
        <w:pStyle w:val="Heading2"/>
        <w:rPr>
          <w:sz w:val="28"/>
        </w:rPr>
      </w:pPr>
      <w:r w:rsidRPr="009E38C1">
        <w:rPr>
          <w:sz w:val="28"/>
        </w:rPr>
        <w:t>Evaluation</w:t>
      </w:r>
      <w:r w:rsidR="00D91326">
        <w:rPr>
          <w:sz w:val="28"/>
        </w:rPr>
        <w:t xml:space="preserve"> </w:t>
      </w:r>
      <w:r w:rsidRPr="009E38C1">
        <w:rPr>
          <w:sz w:val="28"/>
        </w:rPr>
        <w:t>and</w:t>
      </w:r>
      <w:r w:rsidR="00D91326">
        <w:rPr>
          <w:sz w:val="28"/>
        </w:rPr>
        <w:t xml:space="preserve"> </w:t>
      </w:r>
      <w:r w:rsidRPr="009E38C1">
        <w:rPr>
          <w:sz w:val="28"/>
        </w:rPr>
        <w:t>Review</w:t>
      </w:r>
      <w:r w:rsidR="00D91326">
        <w:rPr>
          <w:sz w:val="28"/>
        </w:rPr>
        <w:t xml:space="preserve"> </w:t>
      </w:r>
      <w:r w:rsidRPr="009E38C1">
        <w:rPr>
          <w:sz w:val="28"/>
        </w:rPr>
        <w:t>Pipeline</w:t>
      </w:r>
      <w:r w:rsidR="00D91326">
        <w:rPr>
          <w:sz w:val="28"/>
        </w:rPr>
        <w:t xml:space="preserve"> </w:t>
      </w:r>
      <w:r w:rsidRPr="009E38C1">
        <w:rPr>
          <w:sz w:val="28"/>
        </w:rPr>
        <w:t>Planning</w:t>
      </w:r>
    </w:p>
    <w:p w:rsidR="000D733F" w:rsidRPr="00071B95" w:rsidRDefault="000D733F" w:rsidP="000D733F">
      <w:pPr>
        <w:pStyle w:val="Caption"/>
      </w:pPr>
      <w:r w:rsidRPr="00071B95">
        <w:t>List</w:t>
      </w:r>
      <w:r w:rsidR="00D91326">
        <w:t xml:space="preserve"> </w:t>
      </w:r>
      <w:r w:rsidRPr="00071B95">
        <w:t>of</w:t>
      </w:r>
      <w:r w:rsidR="00D91326">
        <w:t xml:space="preserve"> </w:t>
      </w:r>
      <w:r w:rsidR="00805ADD">
        <w:t>e</w:t>
      </w:r>
      <w:r w:rsidRPr="00071B95">
        <w:t>valuations</w:t>
      </w:r>
      <w:r w:rsidR="00D91326">
        <w:t xml:space="preserve"> </w:t>
      </w:r>
      <w:r w:rsidRPr="000D0ABC">
        <w:rPr>
          <w:b/>
        </w:rPr>
        <w:t>completed</w:t>
      </w:r>
      <w:r w:rsidR="00D91326">
        <w:t xml:space="preserve"> </w:t>
      </w:r>
      <w:r w:rsidRPr="00071B95">
        <w:t>in</w:t>
      </w:r>
      <w:r w:rsidR="00D91326">
        <w:t xml:space="preserve"> </w:t>
      </w:r>
      <w:r w:rsidRPr="00071B95">
        <w:t>the</w:t>
      </w:r>
      <w:r w:rsidR="00D91326">
        <w:t xml:space="preserve"> </w:t>
      </w:r>
      <w:r w:rsidRPr="00071B95">
        <w:t>reporting</w:t>
      </w:r>
      <w:r w:rsidR="00D91326">
        <w:t xml:space="preserve"> </w:t>
      </w:r>
      <w:r w:rsidRPr="00071B95">
        <w:t>period</w:t>
      </w:r>
      <w:r w:rsidR="00D91326">
        <w:t xml:space="preserve"> </w:t>
      </w:r>
    </w:p>
    <w:tbl>
      <w:tblPr>
        <w:tblStyle w:val="AP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9"/>
        <w:gridCol w:w="933"/>
        <w:gridCol w:w="3070"/>
        <w:gridCol w:w="1100"/>
        <w:gridCol w:w="1985"/>
        <w:gridCol w:w="2863"/>
        <w:gridCol w:w="1531"/>
      </w:tblGrid>
      <w:tr w:rsidR="00E80F0A" w:rsidRPr="00071B95" w:rsidTr="00D271B6">
        <w:trPr>
          <w:cnfStyle w:val="100000000000" w:firstRow="1" w:lastRow="0" w:firstColumn="0" w:lastColumn="0" w:oddVBand="0" w:evenVBand="0" w:oddHBand="0" w:evenHBand="0" w:firstRowFirstColumn="0" w:firstRowLastColumn="0" w:lastRowFirstColumn="0" w:lastRowLastColumn="0"/>
        </w:trPr>
        <w:tc>
          <w:tcPr>
            <w:tcW w:w="1947" w:type="dxa"/>
          </w:tcPr>
          <w:p w:rsidR="000D733F" w:rsidRPr="006C3265" w:rsidRDefault="000D733F" w:rsidP="000C7476">
            <w:pPr>
              <w:pStyle w:val="TableTextColumnHeading"/>
              <w:framePr w:wrap="around"/>
            </w:pPr>
            <w:r w:rsidRPr="006C3265">
              <w:t>Name</w:t>
            </w:r>
            <w:r w:rsidR="00D91326" w:rsidRPr="006C3265">
              <w:t xml:space="preserve"> </w:t>
            </w:r>
            <w:r w:rsidRPr="006C3265">
              <w:t>of</w:t>
            </w:r>
            <w:r w:rsidR="00D91326" w:rsidRPr="006C3265">
              <w:t xml:space="preserve"> </w:t>
            </w:r>
            <w:r w:rsidR="00501CD2" w:rsidRPr="006C3265">
              <w:t>Investment</w:t>
            </w:r>
          </w:p>
        </w:tc>
        <w:tc>
          <w:tcPr>
            <w:tcW w:w="905" w:type="dxa"/>
          </w:tcPr>
          <w:p w:rsidR="000D733F" w:rsidRPr="006C3265" w:rsidRDefault="000D733F" w:rsidP="000C7476">
            <w:pPr>
              <w:pStyle w:val="TableTextColumnHeading"/>
              <w:framePr w:wrap="around"/>
            </w:pPr>
            <w:r w:rsidRPr="006C3265">
              <w:t>Aidworks</w:t>
            </w:r>
            <w:r w:rsidR="00D91326" w:rsidRPr="006C3265">
              <w:t xml:space="preserve"> </w:t>
            </w:r>
            <w:r w:rsidRPr="006C3265">
              <w:t>number</w:t>
            </w:r>
          </w:p>
        </w:tc>
        <w:tc>
          <w:tcPr>
            <w:tcW w:w="3042" w:type="dxa"/>
          </w:tcPr>
          <w:p w:rsidR="000D733F" w:rsidRPr="006C3265" w:rsidRDefault="000D733F" w:rsidP="000C7476">
            <w:pPr>
              <w:pStyle w:val="TableTextColumnHeading"/>
              <w:framePr w:wrap="around"/>
            </w:pPr>
            <w:r w:rsidRPr="006C3265">
              <w:t>Name</w:t>
            </w:r>
            <w:r w:rsidR="00D91326" w:rsidRPr="006C3265">
              <w:t xml:space="preserve"> </w:t>
            </w:r>
            <w:r w:rsidRPr="006C3265">
              <w:t>of</w:t>
            </w:r>
            <w:r w:rsidR="00D91326" w:rsidRPr="006C3265">
              <w:t xml:space="preserve"> </w:t>
            </w:r>
            <w:r w:rsidRPr="006C3265">
              <w:t>evaluation</w:t>
            </w:r>
          </w:p>
        </w:tc>
        <w:tc>
          <w:tcPr>
            <w:tcW w:w="1072" w:type="dxa"/>
          </w:tcPr>
          <w:p w:rsidR="000D733F" w:rsidRPr="006C3265" w:rsidRDefault="000D733F" w:rsidP="000C7476">
            <w:pPr>
              <w:pStyle w:val="TableTextColumnHeading"/>
              <w:framePr w:wrap="around"/>
            </w:pPr>
            <w:r w:rsidRPr="006C3265">
              <w:t>Date</w:t>
            </w:r>
            <w:r w:rsidR="00D91326" w:rsidRPr="006C3265">
              <w:t xml:space="preserve"> </w:t>
            </w:r>
            <w:r w:rsidRPr="006C3265">
              <w:t>finalised</w:t>
            </w:r>
          </w:p>
        </w:tc>
        <w:tc>
          <w:tcPr>
            <w:tcW w:w="1957" w:type="dxa"/>
          </w:tcPr>
          <w:p w:rsidR="000D733F" w:rsidRPr="006C3265" w:rsidRDefault="000D733F" w:rsidP="000C7476">
            <w:pPr>
              <w:pStyle w:val="TableTextColumnHeading"/>
              <w:framePr w:wrap="around"/>
            </w:pPr>
            <w:r w:rsidRPr="006C3265">
              <w:t>Date</w:t>
            </w:r>
            <w:r w:rsidR="00D91326" w:rsidRPr="006C3265">
              <w:t xml:space="preserve"> </w:t>
            </w:r>
            <w:r w:rsidRPr="006C3265">
              <w:t>Evaluation</w:t>
            </w:r>
            <w:r w:rsidR="00D91326" w:rsidRPr="006C3265">
              <w:t xml:space="preserve"> </w:t>
            </w:r>
            <w:r w:rsidRPr="006C3265">
              <w:t>report</w:t>
            </w:r>
            <w:r w:rsidR="00D91326" w:rsidRPr="006C3265">
              <w:t xml:space="preserve"> </w:t>
            </w:r>
            <w:r w:rsidRPr="006C3265">
              <w:t>Uploaded</w:t>
            </w:r>
            <w:r w:rsidR="00D91326" w:rsidRPr="006C3265">
              <w:t xml:space="preserve"> </w:t>
            </w:r>
            <w:r w:rsidRPr="006C3265">
              <w:t>into</w:t>
            </w:r>
            <w:r w:rsidR="00D91326" w:rsidRPr="006C3265">
              <w:t xml:space="preserve"> </w:t>
            </w:r>
            <w:r w:rsidRPr="006C3265">
              <w:t>Aidworks</w:t>
            </w:r>
          </w:p>
        </w:tc>
        <w:tc>
          <w:tcPr>
            <w:tcW w:w="2835" w:type="dxa"/>
          </w:tcPr>
          <w:p w:rsidR="000D733F" w:rsidRPr="006C3265" w:rsidRDefault="000D733F" w:rsidP="000C7476">
            <w:pPr>
              <w:pStyle w:val="TableTextColumnHeading"/>
              <w:framePr w:wrap="around"/>
            </w:pPr>
            <w:r w:rsidRPr="006C3265">
              <w:t>Date</w:t>
            </w:r>
            <w:r w:rsidR="00D91326" w:rsidRPr="006C3265">
              <w:t xml:space="preserve"> </w:t>
            </w:r>
            <w:r w:rsidRPr="006C3265">
              <w:t>Management</w:t>
            </w:r>
            <w:r w:rsidR="00D91326" w:rsidRPr="006C3265">
              <w:t xml:space="preserve"> </w:t>
            </w:r>
            <w:r w:rsidRPr="006C3265">
              <w:t>response</w:t>
            </w:r>
            <w:r w:rsidR="00D91326" w:rsidRPr="006C3265">
              <w:t xml:space="preserve"> </w:t>
            </w:r>
            <w:r w:rsidRPr="006C3265">
              <w:t>uploaded</w:t>
            </w:r>
            <w:r w:rsidR="00D91326" w:rsidRPr="006C3265">
              <w:t xml:space="preserve"> </w:t>
            </w:r>
            <w:r w:rsidRPr="006C3265">
              <w:t>into</w:t>
            </w:r>
            <w:r w:rsidR="00D91326" w:rsidRPr="006C3265">
              <w:t xml:space="preserve"> </w:t>
            </w:r>
            <w:r w:rsidRPr="006C3265">
              <w:t>Aidworks</w:t>
            </w:r>
          </w:p>
        </w:tc>
        <w:tc>
          <w:tcPr>
            <w:tcW w:w="1489" w:type="dxa"/>
          </w:tcPr>
          <w:p w:rsidR="000D733F" w:rsidRPr="006C3265" w:rsidRDefault="000D733F" w:rsidP="000C7476">
            <w:pPr>
              <w:pStyle w:val="TableTextColumnHeading"/>
              <w:framePr w:wrap="around"/>
            </w:pPr>
            <w:r w:rsidRPr="006C3265">
              <w:t>Published</w:t>
            </w:r>
            <w:r w:rsidR="00D91326" w:rsidRPr="006C3265">
              <w:t xml:space="preserve"> </w:t>
            </w:r>
            <w:r w:rsidRPr="006C3265">
              <w:t>on</w:t>
            </w:r>
            <w:r w:rsidR="00D91326" w:rsidRPr="006C3265">
              <w:t xml:space="preserve"> </w:t>
            </w:r>
            <w:r w:rsidRPr="006C3265">
              <w:t>website</w:t>
            </w:r>
          </w:p>
        </w:tc>
      </w:tr>
    </w:tbl>
    <w:tbl>
      <w:tblPr>
        <w:tblStyle w:val="APPR"/>
        <w:tblW w:w="0" w:type="auto"/>
        <w:tblLook w:val="04A0" w:firstRow="1" w:lastRow="0" w:firstColumn="1" w:lastColumn="0" w:noHBand="0" w:noVBand="1"/>
      </w:tblPr>
      <w:tblGrid>
        <w:gridCol w:w="1989"/>
        <w:gridCol w:w="992"/>
        <w:gridCol w:w="2977"/>
        <w:gridCol w:w="1165"/>
        <w:gridCol w:w="1954"/>
        <w:gridCol w:w="2863"/>
        <w:gridCol w:w="1531"/>
      </w:tblGrid>
      <w:tr w:rsidR="00DF0CCD" w:rsidRPr="00DF0CCD" w:rsidTr="00D271B6">
        <w:trPr>
          <w:cnfStyle w:val="100000000000" w:firstRow="1" w:lastRow="0" w:firstColumn="0" w:lastColumn="0" w:oddVBand="0" w:evenVBand="0" w:oddHBand="0" w:evenHBand="0" w:firstRowFirstColumn="0" w:firstRowLastColumn="0" w:lastRowFirstColumn="0" w:lastRowLastColumn="0"/>
        </w:trPr>
        <w:tc>
          <w:tcPr>
            <w:tcW w:w="1947" w:type="dxa"/>
            <w:tcBorders>
              <w:top w:val="single" w:sz="4" w:space="0" w:color="auto"/>
              <w:left w:val="single" w:sz="4" w:space="0" w:color="auto"/>
              <w:bottom w:val="single" w:sz="4" w:space="0" w:color="auto"/>
              <w:right w:val="single" w:sz="4" w:space="0" w:color="auto"/>
            </w:tcBorders>
          </w:tcPr>
          <w:p w:rsidR="00DF0CCD" w:rsidRPr="00DF0CCD" w:rsidRDefault="00DF0CCD" w:rsidP="00D24C09">
            <w:pPr>
              <w:pStyle w:val="TableTextEntries"/>
              <w:rPr>
                <w:b w:val="0"/>
                <w:i/>
                <w:sz w:val="16"/>
                <w:szCs w:val="16"/>
                <w:lang w:eastAsia="en-AU"/>
              </w:rPr>
            </w:pPr>
            <w:r w:rsidRPr="00DF0CCD">
              <w:rPr>
                <w:b w:val="0"/>
                <w:i/>
                <w:sz w:val="16"/>
                <w:szCs w:val="16"/>
                <w:lang w:eastAsia="en-AU"/>
              </w:rPr>
              <w:t>Partnership for Development</w:t>
            </w:r>
          </w:p>
        </w:tc>
        <w:tc>
          <w:tcPr>
            <w:tcW w:w="964" w:type="dxa"/>
            <w:tcBorders>
              <w:top w:val="single" w:sz="4" w:space="0" w:color="auto"/>
              <w:left w:val="single" w:sz="4" w:space="0" w:color="auto"/>
              <w:bottom w:val="single" w:sz="4" w:space="0" w:color="auto"/>
              <w:right w:val="single" w:sz="4" w:space="0" w:color="auto"/>
            </w:tcBorders>
          </w:tcPr>
          <w:p w:rsidR="00DF0CCD" w:rsidRPr="00DF0CCD" w:rsidRDefault="00DF0CCD" w:rsidP="00D24C09">
            <w:pPr>
              <w:pStyle w:val="TableTextEntries"/>
              <w:rPr>
                <w:b w:val="0"/>
                <w:i/>
                <w:sz w:val="16"/>
                <w:szCs w:val="16"/>
                <w:lang w:eastAsia="en-AU"/>
              </w:rPr>
            </w:pPr>
            <w:r w:rsidRPr="00DF0CCD">
              <w:rPr>
                <w:b w:val="0"/>
                <w:i/>
                <w:sz w:val="16"/>
                <w:szCs w:val="16"/>
                <w:lang w:eastAsia="en-AU"/>
              </w:rPr>
              <w:t>11A950</w:t>
            </w:r>
          </w:p>
        </w:tc>
        <w:tc>
          <w:tcPr>
            <w:tcW w:w="2949" w:type="dxa"/>
            <w:tcBorders>
              <w:top w:val="single" w:sz="4" w:space="0" w:color="auto"/>
              <w:left w:val="single" w:sz="4" w:space="0" w:color="auto"/>
              <w:bottom w:val="single" w:sz="4" w:space="0" w:color="auto"/>
              <w:right w:val="single" w:sz="4" w:space="0" w:color="auto"/>
            </w:tcBorders>
          </w:tcPr>
          <w:p w:rsidR="00DF0CCD" w:rsidRPr="00DF0CCD" w:rsidRDefault="00DF0CCD" w:rsidP="00D24C09">
            <w:pPr>
              <w:pStyle w:val="TableTextEntries"/>
              <w:rPr>
                <w:b w:val="0"/>
                <w:i/>
                <w:sz w:val="16"/>
                <w:szCs w:val="16"/>
                <w:lang w:eastAsia="en-AU"/>
              </w:rPr>
            </w:pPr>
            <w:r w:rsidRPr="00DF0CCD">
              <w:rPr>
                <w:b w:val="0"/>
                <w:i/>
                <w:sz w:val="16"/>
                <w:szCs w:val="16"/>
                <w:lang w:eastAsia="en-AU"/>
              </w:rPr>
              <w:t>Independent Partnership Assessment Panel Report</w:t>
            </w:r>
          </w:p>
        </w:tc>
        <w:tc>
          <w:tcPr>
            <w:tcW w:w="1137" w:type="dxa"/>
            <w:tcBorders>
              <w:top w:val="single" w:sz="4" w:space="0" w:color="auto"/>
              <w:left w:val="single" w:sz="4" w:space="0" w:color="auto"/>
              <w:bottom w:val="single" w:sz="4" w:space="0" w:color="auto"/>
              <w:right w:val="single" w:sz="4" w:space="0" w:color="auto"/>
            </w:tcBorders>
          </w:tcPr>
          <w:p w:rsidR="00DF0CCD" w:rsidRPr="00DF0CCD" w:rsidRDefault="00DF0CCD" w:rsidP="00D24C09">
            <w:pPr>
              <w:pStyle w:val="TableTextEntries"/>
              <w:rPr>
                <w:b w:val="0"/>
                <w:i/>
                <w:sz w:val="16"/>
                <w:szCs w:val="16"/>
                <w:lang w:eastAsia="en-AU"/>
              </w:rPr>
            </w:pPr>
            <w:r w:rsidRPr="00DF0CCD">
              <w:rPr>
                <w:b w:val="0"/>
                <w:i/>
                <w:sz w:val="16"/>
                <w:szCs w:val="16"/>
                <w:lang w:eastAsia="en-AU"/>
              </w:rPr>
              <w:t>7/6/2014</w:t>
            </w:r>
          </w:p>
        </w:tc>
        <w:tc>
          <w:tcPr>
            <w:tcW w:w="1926" w:type="dxa"/>
            <w:tcBorders>
              <w:top w:val="single" w:sz="4" w:space="0" w:color="auto"/>
              <w:left w:val="single" w:sz="4" w:space="0" w:color="auto"/>
              <w:bottom w:val="single" w:sz="4" w:space="0" w:color="auto"/>
              <w:right w:val="single" w:sz="4" w:space="0" w:color="auto"/>
            </w:tcBorders>
          </w:tcPr>
          <w:p w:rsidR="00DF0CCD" w:rsidRPr="00DF0CCD" w:rsidRDefault="00DF0CCD" w:rsidP="00D24C09">
            <w:pPr>
              <w:pStyle w:val="TableTextEntries"/>
              <w:rPr>
                <w:b w:val="0"/>
                <w:i/>
                <w:sz w:val="16"/>
                <w:szCs w:val="16"/>
                <w:lang w:eastAsia="en-AU"/>
              </w:rPr>
            </w:pPr>
            <w:r w:rsidRPr="00DF0CCD">
              <w:rPr>
                <w:b w:val="0"/>
                <w:i/>
                <w:sz w:val="16"/>
                <w:szCs w:val="16"/>
                <w:lang w:eastAsia="en-AU"/>
              </w:rPr>
              <w:t>N/A</w:t>
            </w:r>
          </w:p>
        </w:tc>
        <w:tc>
          <w:tcPr>
            <w:tcW w:w="2835" w:type="dxa"/>
            <w:tcBorders>
              <w:top w:val="single" w:sz="4" w:space="0" w:color="auto"/>
              <w:left w:val="single" w:sz="4" w:space="0" w:color="auto"/>
              <w:bottom w:val="single" w:sz="4" w:space="0" w:color="auto"/>
              <w:right w:val="single" w:sz="4" w:space="0" w:color="auto"/>
            </w:tcBorders>
          </w:tcPr>
          <w:p w:rsidR="00DF0CCD" w:rsidRPr="00DF0CCD" w:rsidRDefault="00DF0CCD" w:rsidP="00D24C09">
            <w:pPr>
              <w:pStyle w:val="TableTextEntries"/>
              <w:rPr>
                <w:b w:val="0"/>
                <w:i/>
                <w:sz w:val="16"/>
                <w:szCs w:val="16"/>
                <w:lang w:eastAsia="en-AU"/>
              </w:rPr>
            </w:pPr>
            <w:r w:rsidRPr="00DF0CCD">
              <w:rPr>
                <w:b w:val="0"/>
                <w:i/>
                <w:sz w:val="16"/>
                <w:szCs w:val="16"/>
                <w:lang w:eastAsia="en-AU"/>
              </w:rPr>
              <w:t>N/A*(joint response to be agreed with Solomon Islands Government)</w:t>
            </w:r>
          </w:p>
        </w:tc>
        <w:tc>
          <w:tcPr>
            <w:tcW w:w="1489" w:type="dxa"/>
            <w:tcBorders>
              <w:top w:val="single" w:sz="4" w:space="0" w:color="auto"/>
              <w:left w:val="single" w:sz="4" w:space="0" w:color="auto"/>
              <w:bottom w:val="single" w:sz="4" w:space="0" w:color="auto"/>
              <w:right w:val="single" w:sz="4" w:space="0" w:color="auto"/>
            </w:tcBorders>
          </w:tcPr>
          <w:p w:rsidR="00DF0CCD" w:rsidRPr="00DF0CCD" w:rsidRDefault="00DF0CCD" w:rsidP="00D24C09">
            <w:pPr>
              <w:pStyle w:val="TableTextEntries"/>
              <w:rPr>
                <w:b w:val="0"/>
                <w:sz w:val="16"/>
                <w:szCs w:val="16"/>
                <w:lang w:eastAsia="en-AU"/>
              </w:rPr>
            </w:pPr>
            <w:r w:rsidRPr="00DF0CCD">
              <w:rPr>
                <w:b w:val="0"/>
                <w:sz w:val="16"/>
                <w:szCs w:val="16"/>
                <w:lang w:eastAsia="en-AU"/>
              </w:rPr>
              <w:t>N/A</w:t>
            </w:r>
          </w:p>
        </w:tc>
      </w:tr>
      <w:tr w:rsidR="00E80F0A" w:rsidRPr="00071B95" w:rsidTr="00D271B6">
        <w:trPr>
          <w:cnfStyle w:val="100000000000" w:firstRow="1" w:lastRow="0" w:firstColumn="0" w:lastColumn="0" w:oddVBand="0" w:evenVBand="0" w:oddHBand="0" w:evenHBand="0" w:firstRowFirstColumn="0" w:firstRowLastColumn="0" w:lastRowFirstColumn="0" w:lastRowLastColumn="0"/>
        </w:trPr>
        <w:tc>
          <w:tcPr>
            <w:tcW w:w="1947" w:type="dxa"/>
            <w:tcBorders>
              <w:top w:val="single" w:sz="4" w:space="0" w:color="auto"/>
              <w:left w:val="single" w:sz="4" w:space="0" w:color="auto"/>
              <w:bottom w:val="single" w:sz="4" w:space="0" w:color="auto"/>
              <w:right w:val="single" w:sz="4" w:space="0" w:color="auto"/>
            </w:tcBorders>
          </w:tcPr>
          <w:p w:rsidR="006C3265" w:rsidRPr="00861802" w:rsidRDefault="006C3265" w:rsidP="00EC42F0">
            <w:pPr>
              <w:pStyle w:val="TableTextEntries"/>
              <w:rPr>
                <w:b w:val="0"/>
                <w:i/>
                <w:sz w:val="16"/>
                <w:szCs w:val="16"/>
                <w:lang w:eastAsia="en-AU"/>
              </w:rPr>
            </w:pPr>
            <w:r w:rsidRPr="006C3265">
              <w:rPr>
                <w:b w:val="0"/>
                <w:i/>
                <w:sz w:val="16"/>
                <w:szCs w:val="16"/>
                <w:lang w:eastAsia="en-AU"/>
              </w:rPr>
              <w:t xml:space="preserve">Solomon Islands Transport Sector Based Approach  </w:t>
            </w:r>
          </w:p>
        </w:tc>
        <w:tc>
          <w:tcPr>
            <w:tcW w:w="964" w:type="dxa"/>
            <w:tcBorders>
              <w:top w:val="single" w:sz="4" w:space="0" w:color="auto"/>
              <w:left w:val="single" w:sz="4" w:space="0" w:color="auto"/>
              <w:bottom w:val="single" w:sz="4" w:space="0" w:color="auto"/>
              <w:right w:val="single" w:sz="4" w:space="0" w:color="auto"/>
            </w:tcBorders>
          </w:tcPr>
          <w:p w:rsidR="006C3265" w:rsidRPr="0004086C" w:rsidRDefault="006C3265" w:rsidP="000D733F">
            <w:pPr>
              <w:pStyle w:val="TableTextEntries"/>
              <w:rPr>
                <w:b w:val="0"/>
                <w:sz w:val="16"/>
                <w:szCs w:val="16"/>
                <w:lang w:eastAsia="en-AU"/>
              </w:rPr>
            </w:pPr>
            <w:r w:rsidRPr="006C3265">
              <w:rPr>
                <w:b w:val="0"/>
                <w:i/>
                <w:sz w:val="16"/>
                <w:szCs w:val="16"/>
                <w:lang w:eastAsia="en-AU"/>
              </w:rPr>
              <w:t>INJ485</w:t>
            </w:r>
          </w:p>
        </w:tc>
        <w:tc>
          <w:tcPr>
            <w:tcW w:w="2949" w:type="dxa"/>
            <w:tcBorders>
              <w:top w:val="single" w:sz="4" w:space="0" w:color="auto"/>
              <w:left w:val="single" w:sz="4" w:space="0" w:color="auto"/>
              <w:bottom w:val="single" w:sz="4" w:space="0" w:color="auto"/>
              <w:right w:val="single" w:sz="4" w:space="0" w:color="auto"/>
            </w:tcBorders>
          </w:tcPr>
          <w:p w:rsidR="006C3265" w:rsidRPr="00C64FD5" w:rsidRDefault="006C3265" w:rsidP="000D733F">
            <w:pPr>
              <w:pStyle w:val="TableTextEntries"/>
              <w:rPr>
                <w:b w:val="0"/>
              </w:rPr>
            </w:pPr>
            <w:r w:rsidRPr="006C3265">
              <w:rPr>
                <w:b w:val="0"/>
                <w:i/>
                <w:sz w:val="16"/>
                <w:szCs w:val="16"/>
                <w:lang w:eastAsia="en-AU"/>
              </w:rPr>
              <w:t>Joint Review of the Solomon Islands National Transport Fund and Mid-Term Review of Transport Sector Development Project</w:t>
            </w:r>
          </w:p>
        </w:tc>
        <w:tc>
          <w:tcPr>
            <w:tcW w:w="1137" w:type="dxa"/>
            <w:tcBorders>
              <w:top w:val="single" w:sz="4" w:space="0" w:color="auto"/>
              <w:left w:val="single" w:sz="4" w:space="0" w:color="auto"/>
              <w:bottom w:val="single" w:sz="4" w:space="0" w:color="auto"/>
              <w:right w:val="single" w:sz="4" w:space="0" w:color="auto"/>
            </w:tcBorders>
          </w:tcPr>
          <w:p w:rsidR="006C3265" w:rsidRPr="00C64FD5" w:rsidRDefault="006C3265" w:rsidP="000D733F">
            <w:pPr>
              <w:pStyle w:val="TableTextEntries"/>
              <w:rPr>
                <w:b w:val="0"/>
              </w:rPr>
            </w:pPr>
            <w:r w:rsidRPr="006C3265">
              <w:rPr>
                <w:b w:val="0"/>
                <w:i/>
                <w:sz w:val="16"/>
                <w:szCs w:val="16"/>
                <w:lang w:eastAsia="en-AU"/>
              </w:rPr>
              <w:t>03/02/2014</w:t>
            </w:r>
          </w:p>
        </w:tc>
        <w:tc>
          <w:tcPr>
            <w:tcW w:w="1926" w:type="dxa"/>
            <w:tcBorders>
              <w:top w:val="single" w:sz="4" w:space="0" w:color="auto"/>
              <w:left w:val="single" w:sz="4" w:space="0" w:color="auto"/>
              <w:bottom w:val="single" w:sz="4" w:space="0" w:color="auto"/>
              <w:right w:val="single" w:sz="4" w:space="0" w:color="auto"/>
            </w:tcBorders>
          </w:tcPr>
          <w:p w:rsidR="006C3265" w:rsidRPr="00C64FD5" w:rsidRDefault="006C3265" w:rsidP="000D733F">
            <w:pPr>
              <w:pStyle w:val="TableTextEntries"/>
              <w:rPr>
                <w:b w:val="0"/>
              </w:rPr>
            </w:pPr>
            <w:r w:rsidRPr="006C3265">
              <w:rPr>
                <w:b w:val="0"/>
                <w:i/>
                <w:sz w:val="16"/>
                <w:szCs w:val="16"/>
                <w:lang w:eastAsia="en-AU"/>
              </w:rPr>
              <w:t>14/05/2014</w:t>
            </w:r>
          </w:p>
        </w:tc>
        <w:tc>
          <w:tcPr>
            <w:tcW w:w="2835" w:type="dxa"/>
            <w:tcBorders>
              <w:top w:val="single" w:sz="4" w:space="0" w:color="auto"/>
              <w:left w:val="single" w:sz="4" w:space="0" w:color="auto"/>
              <w:bottom w:val="single" w:sz="4" w:space="0" w:color="auto"/>
              <w:right w:val="single" w:sz="4" w:space="0" w:color="auto"/>
            </w:tcBorders>
          </w:tcPr>
          <w:p w:rsidR="006C3265" w:rsidRPr="006C3265" w:rsidRDefault="006C3265" w:rsidP="000D733F">
            <w:pPr>
              <w:pStyle w:val="TableTextEntries"/>
              <w:rPr>
                <w:b w:val="0"/>
                <w:i/>
                <w:sz w:val="16"/>
                <w:szCs w:val="16"/>
                <w:lang w:eastAsia="en-AU"/>
              </w:rPr>
            </w:pPr>
            <w:r w:rsidRPr="006C3265">
              <w:rPr>
                <w:b w:val="0"/>
                <w:i/>
                <w:sz w:val="16"/>
                <w:szCs w:val="16"/>
                <w:lang w:eastAsia="en-AU"/>
              </w:rPr>
              <w:t>14/05/2014</w:t>
            </w:r>
          </w:p>
        </w:tc>
        <w:tc>
          <w:tcPr>
            <w:tcW w:w="1489" w:type="dxa"/>
            <w:tcBorders>
              <w:top w:val="single" w:sz="4" w:space="0" w:color="auto"/>
              <w:left w:val="single" w:sz="4" w:space="0" w:color="auto"/>
              <w:bottom w:val="single" w:sz="4" w:space="0" w:color="auto"/>
              <w:right w:val="single" w:sz="4" w:space="0" w:color="auto"/>
            </w:tcBorders>
          </w:tcPr>
          <w:p w:rsidR="006C3265" w:rsidRPr="00E71F45" w:rsidRDefault="00E71F45" w:rsidP="00850A87">
            <w:pPr>
              <w:pStyle w:val="TableTextEntries"/>
              <w:rPr>
                <w:b w:val="0"/>
                <w:sz w:val="16"/>
                <w:szCs w:val="16"/>
                <w:lang w:eastAsia="en-AU"/>
              </w:rPr>
            </w:pPr>
            <w:r w:rsidRPr="00E71F45">
              <w:rPr>
                <w:b w:val="0"/>
                <w:sz w:val="16"/>
                <w:szCs w:val="16"/>
                <w:lang w:eastAsia="en-AU"/>
              </w:rPr>
              <w:t>In progress</w:t>
            </w:r>
          </w:p>
        </w:tc>
      </w:tr>
      <w:tr w:rsidR="00E80F0A" w:rsidRPr="00071B95" w:rsidTr="00D271B6">
        <w:trPr>
          <w:cnfStyle w:val="100000000000" w:firstRow="1" w:lastRow="0" w:firstColumn="0" w:lastColumn="0" w:oddVBand="0" w:evenVBand="0" w:oddHBand="0" w:evenHBand="0" w:firstRowFirstColumn="0" w:firstRowLastColumn="0" w:lastRowFirstColumn="0" w:lastRowLastColumn="0"/>
        </w:trPr>
        <w:tc>
          <w:tcPr>
            <w:tcW w:w="1947" w:type="dxa"/>
            <w:tcBorders>
              <w:top w:val="single" w:sz="4" w:space="0" w:color="auto"/>
              <w:left w:val="single" w:sz="4" w:space="0" w:color="auto"/>
              <w:bottom w:val="single" w:sz="4" w:space="0" w:color="auto"/>
              <w:right w:val="single" w:sz="4" w:space="0" w:color="auto"/>
            </w:tcBorders>
            <w:shd w:val="clear" w:color="auto" w:fill="auto"/>
          </w:tcPr>
          <w:p w:rsidR="006C3265" w:rsidRPr="006C3265" w:rsidRDefault="006C3265">
            <w:pPr>
              <w:pStyle w:val="TableTextEntries"/>
              <w:rPr>
                <w:b w:val="0"/>
                <w:i/>
                <w:sz w:val="16"/>
                <w:szCs w:val="16"/>
                <w:lang w:eastAsia="en-AU"/>
              </w:rPr>
            </w:pPr>
            <w:r w:rsidRPr="006C3265">
              <w:rPr>
                <w:b w:val="0"/>
                <w:i/>
                <w:sz w:val="16"/>
                <w:szCs w:val="16"/>
                <w:lang w:eastAsia="en-AU"/>
              </w:rPr>
              <w:t>Solomon Islands Transport Infrastructure</w:t>
            </w:r>
          </w:p>
          <w:p w:rsidR="006C3265" w:rsidRPr="00861802" w:rsidRDefault="006C3265" w:rsidP="00A26B5D">
            <w:pPr>
              <w:pStyle w:val="TableTextEntries"/>
              <w:rPr>
                <w:b w:val="0"/>
                <w:i/>
                <w:sz w:val="16"/>
                <w:szCs w:val="16"/>
                <w:lang w:eastAsia="en-AU"/>
              </w:rPr>
            </w:pPr>
          </w:p>
        </w:tc>
        <w:tc>
          <w:tcPr>
            <w:tcW w:w="964" w:type="dxa"/>
            <w:tcBorders>
              <w:top w:val="single" w:sz="4" w:space="0" w:color="auto"/>
              <w:left w:val="single" w:sz="4" w:space="0" w:color="auto"/>
              <w:bottom w:val="single" w:sz="4" w:space="0" w:color="auto"/>
              <w:right w:val="single" w:sz="4" w:space="0" w:color="auto"/>
            </w:tcBorders>
          </w:tcPr>
          <w:p w:rsidR="006C3265" w:rsidRDefault="006C3265">
            <w:pPr>
              <w:pStyle w:val="TableTextEntries"/>
              <w:rPr>
                <w:rFonts w:eastAsiaTheme="minorHAnsi"/>
                <w:bCs/>
                <w:sz w:val="16"/>
                <w:szCs w:val="16"/>
                <w:lang w:eastAsia="en-AU"/>
              </w:rPr>
            </w:pPr>
          </w:p>
          <w:p w:rsidR="006C3265" w:rsidRPr="0004086C" w:rsidRDefault="006C3265" w:rsidP="00861802">
            <w:pPr>
              <w:pStyle w:val="TableTextEntries"/>
              <w:rPr>
                <w:b w:val="0"/>
                <w:sz w:val="16"/>
                <w:szCs w:val="16"/>
                <w:lang w:eastAsia="en-AU"/>
              </w:rPr>
            </w:pPr>
            <w:r w:rsidRPr="006C3265">
              <w:rPr>
                <w:b w:val="0"/>
                <w:i/>
                <w:sz w:val="16"/>
                <w:szCs w:val="16"/>
                <w:lang w:eastAsia="en-AU"/>
              </w:rPr>
              <w:t>INH817</w:t>
            </w:r>
          </w:p>
        </w:tc>
        <w:tc>
          <w:tcPr>
            <w:tcW w:w="2949" w:type="dxa"/>
            <w:tcBorders>
              <w:top w:val="single" w:sz="4" w:space="0" w:color="auto"/>
              <w:left w:val="single" w:sz="4" w:space="0" w:color="auto"/>
              <w:bottom w:val="single" w:sz="4" w:space="0" w:color="auto"/>
              <w:right w:val="single" w:sz="4" w:space="0" w:color="auto"/>
            </w:tcBorders>
          </w:tcPr>
          <w:p w:rsidR="006C3265" w:rsidRPr="006C3265" w:rsidRDefault="006C3265">
            <w:pPr>
              <w:pStyle w:val="TableTextEntries"/>
              <w:rPr>
                <w:b w:val="0"/>
                <w:i/>
                <w:sz w:val="16"/>
                <w:szCs w:val="16"/>
                <w:lang w:eastAsia="en-AU"/>
              </w:rPr>
            </w:pPr>
            <w:r w:rsidRPr="006C3265">
              <w:rPr>
                <w:b w:val="0"/>
                <w:i/>
                <w:sz w:val="16"/>
                <w:szCs w:val="16"/>
                <w:lang w:eastAsia="en-AU"/>
              </w:rPr>
              <w:t>Project Completion Report</w:t>
            </w:r>
          </w:p>
          <w:p w:rsidR="006C3265" w:rsidRPr="006C3265" w:rsidRDefault="006C3265">
            <w:pPr>
              <w:pStyle w:val="TableTextEntries"/>
              <w:rPr>
                <w:b w:val="0"/>
                <w:i/>
                <w:sz w:val="16"/>
                <w:szCs w:val="16"/>
                <w:lang w:eastAsia="en-AU"/>
              </w:rPr>
            </w:pPr>
            <w:r w:rsidRPr="006C3265">
              <w:rPr>
                <w:b w:val="0"/>
                <w:i/>
                <w:sz w:val="16"/>
                <w:szCs w:val="16"/>
                <w:lang w:eastAsia="en-AU"/>
              </w:rPr>
              <w:t>Road Improvement (Sector) Project</w:t>
            </w:r>
          </w:p>
          <w:p w:rsidR="006C3265" w:rsidRPr="00071B95" w:rsidRDefault="006C3265" w:rsidP="000D733F">
            <w:pPr>
              <w:pStyle w:val="TableTextEntries"/>
            </w:pPr>
            <w:r w:rsidRPr="006C3265">
              <w:rPr>
                <w:b w:val="0"/>
                <w:i/>
                <w:sz w:val="16"/>
                <w:szCs w:val="16"/>
                <w:lang w:eastAsia="en-AU"/>
              </w:rPr>
              <w:t xml:space="preserve"> (SIRIP)</w:t>
            </w:r>
          </w:p>
        </w:tc>
        <w:tc>
          <w:tcPr>
            <w:tcW w:w="1137" w:type="dxa"/>
            <w:tcBorders>
              <w:top w:val="single" w:sz="4" w:space="0" w:color="auto"/>
              <w:left w:val="single" w:sz="4" w:space="0" w:color="auto"/>
              <w:bottom w:val="single" w:sz="4" w:space="0" w:color="auto"/>
              <w:right w:val="single" w:sz="4" w:space="0" w:color="auto"/>
            </w:tcBorders>
          </w:tcPr>
          <w:p w:rsidR="006C3265" w:rsidRPr="00071B95" w:rsidRDefault="006C3265" w:rsidP="000D733F">
            <w:pPr>
              <w:pStyle w:val="TableTextEntries"/>
            </w:pPr>
            <w:r w:rsidRPr="006C3265">
              <w:rPr>
                <w:b w:val="0"/>
                <w:i/>
                <w:sz w:val="16"/>
                <w:szCs w:val="16"/>
                <w:lang w:eastAsia="en-AU"/>
              </w:rPr>
              <w:t>02/05/2014</w:t>
            </w:r>
          </w:p>
        </w:tc>
        <w:tc>
          <w:tcPr>
            <w:tcW w:w="1926" w:type="dxa"/>
            <w:tcBorders>
              <w:top w:val="single" w:sz="4" w:space="0" w:color="auto"/>
              <w:left w:val="single" w:sz="4" w:space="0" w:color="auto"/>
              <w:bottom w:val="single" w:sz="4" w:space="0" w:color="auto"/>
              <w:right w:val="single" w:sz="4" w:space="0" w:color="auto"/>
            </w:tcBorders>
          </w:tcPr>
          <w:p w:rsidR="006C3265" w:rsidRPr="00071B95" w:rsidRDefault="006C3265" w:rsidP="000D733F">
            <w:pPr>
              <w:pStyle w:val="TableTextEntries"/>
            </w:pPr>
            <w:r w:rsidRPr="006C3265">
              <w:rPr>
                <w:b w:val="0"/>
                <w:i/>
                <w:sz w:val="16"/>
                <w:szCs w:val="16"/>
                <w:lang w:eastAsia="en-AU"/>
              </w:rPr>
              <w:t>06/08/2014</w:t>
            </w:r>
          </w:p>
        </w:tc>
        <w:tc>
          <w:tcPr>
            <w:tcW w:w="2835" w:type="dxa"/>
            <w:tcBorders>
              <w:top w:val="single" w:sz="4" w:space="0" w:color="auto"/>
              <w:left w:val="single" w:sz="4" w:space="0" w:color="auto"/>
              <w:bottom w:val="single" w:sz="4" w:space="0" w:color="auto"/>
              <w:right w:val="single" w:sz="4" w:space="0" w:color="auto"/>
            </w:tcBorders>
          </w:tcPr>
          <w:p w:rsidR="006C3265" w:rsidRPr="00071B95" w:rsidRDefault="006C3265" w:rsidP="000D733F">
            <w:pPr>
              <w:pStyle w:val="TableTextEntries"/>
            </w:pPr>
            <w:r w:rsidRPr="006C3265">
              <w:rPr>
                <w:b w:val="0"/>
                <w:i/>
                <w:sz w:val="16"/>
                <w:szCs w:val="16"/>
                <w:lang w:eastAsia="en-AU"/>
              </w:rPr>
              <w:t>N/A – A management response covering phases 1 and 2 of SIRIP will be prepared after the Project Completion Report for Phase 2 Is prepared in late 2014.</w:t>
            </w:r>
          </w:p>
        </w:tc>
        <w:tc>
          <w:tcPr>
            <w:tcW w:w="1489" w:type="dxa"/>
            <w:tcBorders>
              <w:top w:val="single" w:sz="4" w:space="0" w:color="auto"/>
              <w:left w:val="single" w:sz="4" w:space="0" w:color="auto"/>
              <w:bottom w:val="single" w:sz="4" w:space="0" w:color="auto"/>
              <w:right w:val="single" w:sz="4" w:space="0" w:color="auto"/>
            </w:tcBorders>
          </w:tcPr>
          <w:p w:rsidR="006C3265" w:rsidRPr="00E71F45" w:rsidRDefault="00E71F45" w:rsidP="000D733F">
            <w:pPr>
              <w:pStyle w:val="TableTextEntries"/>
              <w:rPr>
                <w:b w:val="0"/>
              </w:rPr>
            </w:pPr>
            <w:r w:rsidRPr="00E71F45">
              <w:rPr>
                <w:b w:val="0"/>
                <w:lang w:eastAsia="en-AU"/>
              </w:rPr>
              <w:t>In progress</w:t>
            </w:r>
          </w:p>
        </w:tc>
      </w:tr>
      <w:tr w:rsidR="00E80F0A" w:rsidRPr="00F614FC" w:rsidTr="00D271B6">
        <w:trPr>
          <w:cnfStyle w:val="100000000000" w:firstRow="1" w:lastRow="0" w:firstColumn="0" w:lastColumn="0" w:oddVBand="0" w:evenVBand="0" w:oddHBand="0" w:evenHBand="0" w:firstRowFirstColumn="0" w:firstRowLastColumn="0" w:lastRowFirstColumn="0" w:lastRowLastColumn="0"/>
        </w:trPr>
        <w:tc>
          <w:tcPr>
            <w:tcW w:w="1947" w:type="dxa"/>
            <w:tcBorders>
              <w:top w:val="single" w:sz="4" w:space="0" w:color="auto"/>
              <w:left w:val="single" w:sz="4" w:space="0" w:color="auto"/>
              <w:bottom w:val="single" w:sz="4" w:space="0" w:color="auto"/>
              <w:right w:val="single" w:sz="4" w:space="0" w:color="auto"/>
            </w:tcBorders>
            <w:shd w:val="clear" w:color="auto" w:fill="auto"/>
          </w:tcPr>
          <w:p w:rsidR="000D733F" w:rsidRPr="00861802" w:rsidRDefault="00682387" w:rsidP="000D733F">
            <w:pPr>
              <w:pStyle w:val="TableTextEntries"/>
              <w:rPr>
                <w:b w:val="0"/>
                <w:i/>
                <w:sz w:val="16"/>
                <w:szCs w:val="16"/>
                <w:lang w:eastAsia="en-AU"/>
              </w:rPr>
            </w:pPr>
            <w:r w:rsidRPr="00861802">
              <w:rPr>
                <w:b w:val="0"/>
                <w:i/>
                <w:sz w:val="16"/>
                <w:szCs w:val="16"/>
                <w:lang w:eastAsia="en-AU"/>
              </w:rPr>
              <w:t>Solomon Islands Rural Development Program</w:t>
            </w:r>
          </w:p>
        </w:tc>
        <w:tc>
          <w:tcPr>
            <w:tcW w:w="964" w:type="dxa"/>
            <w:tcBorders>
              <w:top w:val="single" w:sz="4" w:space="0" w:color="auto"/>
              <w:left w:val="single" w:sz="4" w:space="0" w:color="auto"/>
              <w:bottom w:val="single" w:sz="4" w:space="0" w:color="auto"/>
              <w:right w:val="single" w:sz="4" w:space="0" w:color="auto"/>
            </w:tcBorders>
          </w:tcPr>
          <w:p w:rsidR="000D733F" w:rsidRPr="00F614FC" w:rsidRDefault="00682387" w:rsidP="000D733F">
            <w:pPr>
              <w:pStyle w:val="TableTextEntries"/>
              <w:rPr>
                <w:b w:val="0"/>
                <w:i/>
                <w:sz w:val="16"/>
                <w:szCs w:val="16"/>
                <w:lang w:eastAsia="en-AU"/>
              </w:rPr>
            </w:pPr>
            <w:r w:rsidRPr="00F614FC">
              <w:rPr>
                <w:b w:val="0"/>
                <w:i/>
                <w:sz w:val="16"/>
                <w:szCs w:val="16"/>
                <w:lang w:eastAsia="en-AU"/>
              </w:rPr>
              <w:t>INH615</w:t>
            </w:r>
          </w:p>
        </w:tc>
        <w:tc>
          <w:tcPr>
            <w:tcW w:w="2949" w:type="dxa"/>
            <w:tcBorders>
              <w:top w:val="single" w:sz="4" w:space="0" w:color="auto"/>
              <w:left w:val="single" w:sz="4" w:space="0" w:color="auto"/>
              <w:bottom w:val="single" w:sz="4" w:space="0" w:color="auto"/>
              <w:right w:val="single" w:sz="4" w:space="0" w:color="auto"/>
            </w:tcBorders>
          </w:tcPr>
          <w:p w:rsidR="000D733F" w:rsidRPr="00F614FC" w:rsidRDefault="00F614FC" w:rsidP="000D733F">
            <w:pPr>
              <w:pStyle w:val="TableTextEntries"/>
              <w:rPr>
                <w:b w:val="0"/>
                <w:i/>
                <w:sz w:val="16"/>
                <w:szCs w:val="16"/>
                <w:lang w:eastAsia="en-AU"/>
              </w:rPr>
            </w:pPr>
            <w:r w:rsidRPr="00F614FC">
              <w:rPr>
                <w:b w:val="0"/>
                <w:i/>
                <w:sz w:val="16"/>
                <w:szCs w:val="16"/>
                <w:lang w:eastAsia="en-AU"/>
              </w:rPr>
              <w:t>Evaluation of Business Development Component of RDP</w:t>
            </w:r>
          </w:p>
        </w:tc>
        <w:tc>
          <w:tcPr>
            <w:tcW w:w="1137" w:type="dxa"/>
            <w:tcBorders>
              <w:top w:val="single" w:sz="4" w:space="0" w:color="auto"/>
              <w:left w:val="single" w:sz="4" w:space="0" w:color="auto"/>
              <w:bottom w:val="single" w:sz="4" w:space="0" w:color="auto"/>
              <w:right w:val="single" w:sz="4" w:space="0" w:color="auto"/>
            </w:tcBorders>
          </w:tcPr>
          <w:p w:rsidR="00F614FC" w:rsidRDefault="00F614FC" w:rsidP="000D733F">
            <w:pPr>
              <w:pStyle w:val="TableTextEntries"/>
              <w:rPr>
                <w:b w:val="0"/>
                <w:i/>
                <w:sz w:val="16"/>
                <w:szCs w:val="16"/>
                <w:lang w:eastAsia="en-AU"/>
              </w:rPr>
            </w:pPr>
            <w:r w:rsidRPr="00F614FC">
              <w:rPr>
                <w:b w:val="0"/>
                <w:i/>
                <w:sz w:val="16"/>
                <w:szCs w:val="16"/>
                <w:lang w:eastAsia="en-AU"/>
              </w:rPr>
              <w:t>July 2013</w:t>
            </w:r>
          </w:p>
          <w:p w:rsidR="000D733F" w:rsidRPr="00F614FC" w:rsidRDefault="000D733F" w:rsidP="000D733F">
            <w:pPr>
              <w:pStyle w:val="TableTextEntries"/>
              <w:rPr>
                <w:b w:val="0"/>
                <w:i/>
                <w:sz w:val="16"/>
                <w:szCs w:val="16"/>
                <w:lang w:eastAsia="en-AU"/>
              </w:rPr>
            </w:pPr>
          </w:p>
        </w:tc>
        <w:tc>
          <w:tcPr>
            <w:tcW w:w="1926" w:type="dxa"/>
            <w:tcBorders>
              <w:top w:val="single" w:sz="4" w:space="0" w:color="auto"/>
              <w:left w:val="single" w:sz="4" w:space="0" w:color="auto"/>
              <w:bottom w:val="single" w:sz="4" w:space="0" w:color="auto"/>
              <w:right w:val="single" w:sz="4" w:space="0" w:color="auto"/>
            </w:tcBorders>
          </w:tcPr>
          <w:p w:rsidR="000D733F" w:rsidRPr="00F614FC" w:rsidRDefault="00F614FC" w:rsidP="000D733F">
            <w:pPr>
              <w:pStyle w:val="TableTextEntries"/>
              <w:rPr>
                <w:b w:val="0"/>
                <w:i/>
                <w:sz w:val="16"/>
                <w:szCs w:val="16"/>
                <w:lang w:eastAsia="en-AU"/>
              </w:rPr>
            </w:pPr>
            <w:r w:rsidRPr="00F614FC">
              <w:rPr>
                <w:b w:val="0"/>
                <w:i/>
                <w:sz w:val="16"/>
                <w:szCs w:val="16"/>
                <w:lang w:eastAsia="en-AU"/>
              </w:rPr>
              <w:t>July 2013</w:t>
            </w:r>
          </w:p>
        </w:tc>
        <w:tc>
          <w:tcPr>
            <w:tcW w:w="2835" w:type="dxa"/>
            <w:tcBorders>
              <w:top w:val="single" w:sz="4" w:space="0" w:color="auto"/>
              <w:left w:val="single" w:sz="4" w:space="0" w:color="auto"/>
              <w:bottom w:val="single" w:sz="4" w:space="0" w:color="auto"/>
              <w:right w:val="single" w:sz="4" w:space="0" w:color="auto"/>
            </w:tcBorders>
          </w:tcPr>
          <w:p w:rsidR="000D733F" w:rsidRPr="00F614FC" w:rsidRDefault="00F614FC" w:rsidP="000D733F">
            <w:pPr>
              <w:pStyle w:val="TableTextEntries"/>
              <w:rPr>
                <w:b w:val="0"/>
                <w:i/>
                <w:sz w:val="16"/>
                <w:szCs w:val="16"/>
                <w:lang w:eastAsia="en-AU"/>
              </w:rPr>
            </w:pPr>
            <w:r w:rsidRPr="00F614FC">
              <w:rPr>
                <w:b w:val="0"/>
                <w:i/>
                <w:sz w:val="16"/>
                <w:szCs w:val="16"/>
                <w:lang w:eastAsia="en-AU"/>
              </w:rPr>
              <w:t>Multi-donor program, no management response prepared by DFAT but findings used in design of RDP 2</w:t>
            </w:r>
          </w:p>
        </w:tc>
        <w:tc>
          <w:tcPr>
            <w:tcW w:w="1489" w:type="dxa"/>
            <w:tcBorders>
              <w:top w:val="single" w:sz="4" w:space="0" w:color="auto"/>
              <w:left w:val="single" w:sz="4" w:space="0" w:color="auto"/>
              <w:bottom w:val="single" w:sz="4" w:space="0" w:color="auto"/>
              <w:right w:val="single" w:sz="4" w:space="0" w:color="auto"/>
            </w:tcBorders>
          </w:tcPr>
          <w:p w:rsidR="000D733F" w:rsidRPr="00F614FC" w:rsidRDefault="00F614FC" w:rsidP="000D733F">
            <w:pPr>
              <w:pStyle w:val="TableTextEntries"/>
              <w:rPr>
                <w:b w:val="0"/>
                <w:i/>
                <w:sz w:val="16"/>
                <w:szCs w:val="16"/>
                <w:lang w:eastAsia="en-AU"/>
              </w:rPr>
            </w:pPr>
            <w:r w:rsidRPr="00F614FC">
              <w:rPr>
                <w:b w:val="0"/>
                <w:i/>
                <w:sz w:val="16"/>
                <w:szCs w:val="16"/>
                <w:lang w:eastAsia="en-AU"/>
              </w:rPr>
              <w:t>Will link to report on IFAD website once published</w:t>
            </w:r>
          </w:p>
        </w:tc>
      </w:tr>
      <w:tr w:rsidR="00E80F0A" w:rsidRPr="00F614FC" w:rsidTr="00D271B6">
        <w:trPr>
          <w:cnfStyle w:val="100000000000" w:firstRow="1" w:lastRow="0" w:firstColumn="0" w:lastColumn="0" w:oddVBand="0" w:evenVBand="0" w:oddHBand="0" w:evenHBand="0" w:firstRowFirstColumn="0" w:firstRowLastColumn="0" w:lastRowFirstColumn="0" w:lastRowLastColumn="0"/>
        </w:trPr>
        <w:tc>
          <w:tcPr>
            <w:tcW w:w="1947" w:type="dxa"/>
            <w:tcBorders>
              <w:top w:val="single" w:sz="4" w:space="0" w:color="auto"/>
              <w:left w:val="single" w:sz="4" w:space="0" w:color="auto"/>
              <w:bottom w:val="single" w:sz="4" w:space="0" w:color="auto"/>
              <w:right w:val="single" w:sz="4" w:space="0" w:color="auto"/>
            </w:tcBorders>
            <w:shd w:val="clear" w:color="auto" w:fill="auto"/>
          </w:tcPr>
          <w:p w:rsidR="00F614FC" w:rsidRPr="00861802" w:rsidRDefault="00F614FC" w:rsidP="000D733F">
            <w:pPr>
              <w:pStyle w:val="TableTextEntries"/>
              <w:rPr>
                <w:b w:val="0"/>
                <w:i/>
                <w:sz w:val="16"/>
                <w:szCs w:val="16"/>
                <w:lang w:eastAsia="en-AU"/>
              </w:rPr>
            </w:pPr>
            <w:r w:rsidRPr="00F614FC">
              <w:rPr>
                <w:b w:val="0"/>
                <w:i/>
                <w:sz w:val="16"/>
                <w:szCs w:val="16"/>
                <w:lang w:eastAsia="en-AU"/>
              </w:rPr>
              <w:t>Solomon Islands Rural Development Program</w:t>
            </w:r>
          </w:p>
        </w:tc>
        <w:tc>
          <w:tcPr>
            <w:tcW w:w="964" w:type="dxa"/>
            <w:tcBorders>
              <w:top w:val="single" w:sz="4" w:space="0" w:color="auto"/>
              <w:left w:val="single" w:sz="4" w:space="0" w:color="auto"/>
              <w:bottom w:val="single" w:sz="4" w:space="0" w:color="auto"/>
              <w:right w:val="single" w:sz="4" w:space="0" w:color="auto"/>
            </w:tcBorders>
          </w:tcPr>
          <w:p w:rsidR="00F614FC" w:rsidRPr="00F614FC" w:rsidRDefault="00F614FC" w:rsidP="000D733F">
            <w:pPr>
              <w:pStyle w:val="TableTextEntries"/>
              <w:rPr>
                <w:b w:val="0"/>
                <w:i/>
                <w:sz w:val="16"/>
                <w:szCs w:val="16"/>
                <w:lang w:eastAsia="en-AU"/>
              </w:rPr>
            </w:pPr>
            <w:r w:rsidRPr="00F614FC">
              <w:rPr>
                <w:b w:val="0"/>
                <w:i/>
                <w:sz w:val="16"/>
                <w:szCs w:val="16"/>
                <w:lang w:eastAsia="en-AU"/>
              </w:rPr>
              <w:t>INH615</w:t>
            </w:r>
          </w:p>
        </w:tc>
        <w:tc>
          <w:tcPr>
            <w:tcW w:w="2949" w:type="dxa"/>
            <w:tcBorders>
              <w:top w:val="single" w:sz="4" w:space="0" w:color="auto"/>
              <w:left w:val="single" w:sz="4" w:space="0" w:color="auto"/>
              <w:bottom w:val="single" w:sz="4" w:space="0" w:color="auto"/>
              <w:right w:val="single" w:sz="4" w:space="0" w:color="auto"/>
            </w:tcBorders>
          </w:tcPr>
          <w:p w:rsidR="00F614FC" w:rsidRPr="00F614FC" w:rsidRDefault="00F614FC" w:rsidP="000D733F">
            <w:pPr>
              <w:pStyle w:val="TableTextEntries"/>
              <w:rPr>
                <w:b w:val="0"/>
                <w:i/>
                <w:sz w:val="16"/>
                <w:szCs w:val="16"/>
                <w:lang w:eastAsia="en-AU"/>
              </w:rPr>
            </w:pPr>
            <w:r w:rsidRPr="00F614FC">
              <w:rPr>
                <w:b w:val="0"/>
                <w:i/>
                <w:sz w:val="16"/>
                <w:szCs w:val="16"/>
                <w:lang w:eastAsia="en-AU"/>
              </w:rPr>
              <w:t>Evaluation of Solomon Islands Rural Development Program</w:t>
            </w:r>
          </w:p>
        </w:tc>
        <w:tc>
          <w:tcPr>
            <w:tcW w:w="1137" w:type="dxa"/>
            <w:tcBorders>
              <w:top w:val="single" w:sz="4" w:space="0" w:color="auto"/>
              <w:left w:val="single" w:sz="4" w:space="0" w:color="auto"/>
              <w:bottom w:val="single" w:sz="4" w:space="0" w:color="auto"/>
              <w:right w:val="single" w:sz="4" w:space="0" w:color="auto"/>
            </w:tcBorders>
          </w:tcPr>
          <w:p w:rsidR="00F614FC" w:rsidRPr="00F614FC" w:rsidRDefault="00F614FC" w:rsidP="000D733F">
            <w:pPr>
              <w:pStyle w:val="TableTextEntries"/>
              <w:rPr>
                <w:b w:val="0"/>
                <w:i/>
                <w:sz w:val="16"/>
                <w:szCs w:val="16"/>
                <w:lang w:eastAsia="en-AU"/>
              </w:rPr>
            </w:pPr>
            <w:r w:rsidRPr="00F614FC">
              <w:rPr>
                <w:b w:val="0"/>
                <w:i/>
                <w:sz w:val="16"/>
                <w:szCs w:val="16"/>
                <w:lang w:eastAsia="en-AU"/>
              </w:rPr>
              <w:t>October 2013</w:t>
            </w:r>
          </w:p>
        </w:tc>
        <w:tc>
          <w:tcPr>
            <w:tcW w:w="1926" w:type="dxa"/>
            <w:tcBorders>
              <w:top w:val="single" w:sz="4" w:space="0" w:color="auto"/>
              <w:left w:val="single" w:sz="4" w:space="0" w:color="auto"/>
              <w:bottom w:val="single" w:sz="4" w:space="0" w:color="auto"/>
              <w:right w:val="single" w:sz="4" w:space="0" w:color="auto"/>
            </w:tcBorders>
          </w:tcPr>
          <w:p w:rsidR="00F614FC" w:rsidRPr="00F614FC" w:rsidRDefault="00F614FC" w:rsidP="000D733F">
            <w:pPr>
              <w:pStyle w:val="TableTextEntries"/>
              <w:rPr>
                <w:b w:val="0"/>
                <w:i/>
                <w:sz w:val="16"/>
                <w:szCs w:val="16"/>
                <w:lang w:eastAsia="en-AU"/>
              </w:rPr>
            </w:pPr>
            <w:r w:rsidRPr="00F614FC">
              <w:rPr>
                <w:b w:val="0"/>
                <w:i/>
                <w:sz w:val="16"/>
                <w:szCs w:val="16"/>
                <w:lang w:eastAsia="en-AU"/>
              </w:rPr>
              <w:t>May 2014</w:t>
            </w:r>
          </w:p>
        </w:tc>
        <w:tc>
          <w:tcPr>
            <w:tcW w:w="2835" w:type="dxa"/>
            <w:tcBorders>
              <w:top w:val="single" w:sz="4" w:space="0" w:color="auto"/>
              <w:left w:val="single" w:sz="4" w:space="0" w:color="auto"/>
              <w:bottom w:val="single" w:sz="4" w:space="0" w:color="auto"/>
              <w:right w:val="single" w:sz="4" w:space="0" w:color="auto"/>
            </w:tcBorders>
          </w:tcPr>
          <w:p w:rsidR="00F614FC" w:rsidRPr="00F614FC" w:rsidRDefault="00F614FC" w:rsidP="000D733F">
            <w:pPr>
              <w:pStyle w:val="TableTextEntries"/>
              <w:rPr>
                <w:b w:val="0"/>
                <w:i/>
                <w:sz w:val="16"/>
                <w:szCs w:val="16"/>
                <w:lang w:eastAsia="en-AU"/>
              </w:rPr>
            </w:pPr>
            <w:r w:rsidRPr="00F614FC">
              <w:rPr>
                <w:b w:val="0"/>
                <w:i/>
                <w:sz w:val="16"/>
                <w:szCs w:val="16"/>
                <w:lang w:eastAsia="en-AU"/>
              </w:rPr>
              <w:t>Multi-donor program, no management response prepared by DFAT but findings used in design of RDP 2</w:t>
            </w:r>
          </w:p>
        </w:tc>
        <w:tc>
          <w:tcPr>
            <w:tcW w:w="1489" w:type="dxa"/>
            <w:tcBorders>
              <w:top w:val="single" w:sz="4" w:space="0" w:color="auto"/>
              <w:left w:val="single" w:sz="4" w:space="0" w:color="auto"/>
              <w:bottom w:val="single" w:sz="4" w:space="0" w:color="auto"/>
              <w:right w:val="single" w:sz="4" w:space="0" w:color="auto"/>
            </w:tcBorders>
          </w:tcPr>
          <w:p w:rsidR="00F614FC" w:rsidRPr="00F614FC" w:rsidRDefault="00F614FC" w:rsidP="000D733F">
            <w:pPr>
              <w:pStyle w:val="TableTextEntries"/>
              <w:rPr>
                <w:b w:val="0"/>
                <w:i/>
                <w:sz w:val="16"/>
                <w:szCs w:val="16"/>
                <w:lang w:eastAsia="en-AU"/>
              </w:rPr>
            </w:pPr>
            <w:r w:rsidRPr="00F614FC">
              <w:rPr>
                <w:b w:val="0"/>
                <w:i/>
                <w:sz w:val="16"/>
                <w:szCs w:val="16"/>
                <w:lang w:eastAsia="en-AU"/>
              </w:rPr>
              <w:t>Will link to report on WB website once published</w:t>
            </w:r>
          </w:p>
        </w:tc>
      </w:tr>
    </w:tbl>
    <w:p w:rsidR="000D733F" w:rsidRPr="00071B95" w:rsidRDefault="000D733F" w:rsidP="00F614FC">
      <w:pPr>
        <w:pStyle w:val="TableTextEntries"/>
        <w:rPr>
          <w:b/>
        </w:rPr>
      </w:pPr>
    </w:p>
    <w:p w:rsidR="000D733F" w:rsidRPr="00071B95" w:rsidRDefault="000D733F" w:rsidP="00227511">
      <w:pPr>
        <w:pStyle w:val="Caption"/>
        <w:spacing w:before="0" w:line="240" w:lineRule="auto"/>
      </w:pPr>
      <w:r w:rsidRPr="00071B95">
        <w:t>List</w:t>
      </w:r>
      <w:r w:rsidR="00D91326">
        <w:t xml:space="preserve"> </w:t>
      </w:r>
      <w:r w:rsidRPr="00071B95">
        <w:t>of</w:t>
      </w:r>
      <w:r w:rsidR="00D91326">
        <w:t xml:space="preserve"> </w:t>
      </w:r>
      <w:r w:rsidRPr="00071B95">
        <w:t>evaluations</w:t>
      </w:r>
      <w:r w:rsidR="00D91326">
        <w:t xml:space="preserve"> </w:t>
      </w:r>
      <w:r w:rsidRPr="000D0ABC">
        <w:rPr>
          <w:b/>
        </w:rPr>
        <w:t>planned</w:t>
      </w:r>
      <w:r w:rsidR="00D91326">
        <w:t xml:space="preserve"> </w:t>
      </w:r>
      <w:r w:rsidRPr="00071B95">
        <w:t>in</w:t>
      </w:r>
      <w:r w:rsidR="00D91326">
        <w:t xml:space="preserve"> </w:t>
      </w:r>
      <w:r w:rsidRPr="00071B95">
        <w:t>the</w:t>
      </w:r>
      <w:r w:rsidR="00D91326">
        <w:t xml:space="preserve"> </w:t>
      </w:r>
      <w:r w:rsidRPr="00071B95">
        <w:t>next</w:t>
      </w:r>
      <w:r w:rsidR="00D91326">
        <w:t xml:space="preserve"> </w:t>
      </w:r>
      <w:r w:rsidRPr="00071B95">
        <w:t>12</w:t>
      </w:r>
      <w:r w:rsidR="00D91326">
        <w:t xml:space="preserve"> </w:t>
      </w:r>
      <w:r w:rsidRPr="00071B95">
        <w:t>months</w:t>
      </w:r>
      <w:r w:rsidR="00D91326">
        <w:t xml:space="preserve"> </w:t>
      </w:r>
    </w:p>
    <w:p w:rsidR="000D733F" w:rsidRDefault="000D733F" w:rsidP="00227511">
      <w:pPr>
        <w:pStyle w:val="TableTextColumnHeading"/>
        <w:framePr w:wrap="around"/>
        <w:spacing w:before="0" w:line="240" w:lineRule="auto"/>
        <w:sectPr w:rsidR="000D733F" w:rsidSect="00E24BBD">
          <w:type w:val="continuous"/>
          <w:pgSz w:w="16838" w:h="11906" w:orient="landscape" w:code="9"/>
          <w:pgMar w:top="709" w:right="1814" w:bottom="851" w:left="851" w:header="709" w:footer="425" w:gutter="0"/>
          <w:cols w:space="708"/>
          <w:docGrid w:linePitch="360"/>
        </w:sectPr>
      </w:pPr>
    </w:p>
    <w:tbl>
      <w:tblPr>
        <w:tblStyle w:val="AP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07"/>
        <w:gridCol w:w="1794"/>
        <w:gridCol w:w="2640"/>
        <w:gridCol w:w="3078"/>
        <w:gridCol w:w="2221"/>
      </w:tblGrid>
      <w:tr w:rsidR="000D733F" w:rsidRPr="00071B95" w:rsidTr="00D24C09">
        <w:tc>
          <w:tcPr>
            <w:tcW w:w="3365" w:type="dxa"/>
          </w:tcPr>
          <w:p w:rsidR="000D733F" w:rsidRPr="00071B95" w:rsidRDefault="000D733F" w:rsidP="000C7476">
            <w:pPr>
              <w:pStyle w:val="TableTextColumnHeading"/>
              <w:framePr w:wrap="around"/>
            </w:pPr>
            <w:r w:rsidRPr="00071B95">
              <w:t>Name</w:t>
            </w:r>
            <w:r w:rsidR="00D91326">
              <w:t xml:space="preserve"> </w:t>
            </w:r>
            <w:r w:rsidRPr="00071B95">
              <w:t>of</w:t>
            </w:r>
            <w:r w:rsidR="00D91326">
              <w:t xml:space="preserve"> </w:t>
            </w:r>
            <w:r w:rsidR="00501CD2">
              <w:t>Investment</w:t>
            </w:r>
          </w:p>
        </w:tc>
        <w:tc>
          <w:tcPr>
            <w:tcW w:w="1766" w:type="dxa"/>
          </w:tcPr>
          <w:p w:rsidR="000D733F" w:rsidRPr="00071B95" w:rsidRDefault="000D733F" w:rsidP="000C7476">
            <w:pPr>
              <w:pStyle w:val="TableTextColumnHeading"/>
              <w:framePr w:wrap="around"/>
            </w:pPr>
            <w:r w:rsidRPr="00071B95">
              <w:t>Aidworks</w:t>
            </w:r>
            <w:r w:rsidR="00D91326">
              <w:t xml:space="preserve"> </w:t>
            </w:r>
            <w:r w:rsidRPr="00071B95">
              <w:t>number</w:t>
            </w:r>
          </w:p>
        </w:tc>
        <w:tc>
          <w:tcPr>
            <w:tcW w:w="2612" w:type="dxa"/>
          </w:tcPr>
          <w:p w:rsidR="000D733F" w:rsidRPr="00071B95" w:rsidRDefault="000D733F" w:rsidP="000C7476">
            <w:pPr>
              <w:pStyle w:val="TableTextColumnHeading"/>
              <w:framePr w:wrap="around"/>
            </w:pPr>
            <w:r w:rsidRPr="00071B95">
              <w:t>Type</w:t>
            </w:r>
            <w:r w:rsidR="00D91326">
              <w:t xml:space="preserve"> </w:t>
            </w:r>
            <w:r w:rsidRPr="00071B95">
              <w:t>of</w:t>
            </w:r>
            <w:r w:rsidR="00D91326">
              <w:t xml:space="preserve"> </w:t>
            </w:r>
            <w:r w:rsidRPr="00071B95">
              <w:t>evaluation</w:t>
            </w:r>
          </w:p>
        </w:tc>
        <w:tc>
          <w:tcPr>
            <w:tcW w:w="3050" w:type="dxa"/>
          </w:tcPr>
          <w:p w:rsidR="000D733F" w:rsidRPr="00071B95" w:rsidRDefault="000D733F" w:rsidP="000C7476">
            <w:pPr>
              <w:pStyle w:val="TableTextColumnHeading"/>
              <w:framePr w:wrap="around"/>
            </w:pPr>
            <w:r w:rsidRPr="00071B95">
              <w:t>Purpose</w:t>
            </w:r>
            <w:r w:rsidR="00D91326">
              <w:t xml:space="preserve"> </w:t>
            </w:r>
            <w:r w:rsidRPr="00071B95">
              <w:t>of</w:t>
            </w:r>
            <w:r w:rsidR="00D91326">
              <w:t xml:space="preserve"> </w:t>
            </w:r>
            <w:r w:rsidRPr="00071B95">
              <w:t>evaluation</w:t>
            </w:r>
          </w:p>
        </w:tc>
        <w:tc>
          <w:tcPr>
            <w:tcW w:w="2179" w:type="dxa"/>
          </w:tcPr>
          <w:p w:rsidR="000D733F" w:rsidRPr="00071B95" w:rsidRDefault="000D733F" w:rsidP="000C7476">
            <w:pPr>
              <w:pStyle w:val="TableTextColumnHeading"/>
              <w:framePr w:wrap="around"/>
            </w:pPr>
            <w:r w:rsidRPr="00071B95">
              <w:t>Expected</w:t>
            </w:r>
            <w:r w:rsidR="00D91326">
              <w:t xml:space="preserve"> </w:t>
            </w:r>
            <w:r w:rsidRPr="00071B95">
              <w:t>completion</w:t>
            </w:r>
            <w:r w:rsidR="00D91326">
              <w:t xml:space="preserve"> </w:t>
            </w:r>
            <w:r w:rsidRPr="00071B95">
              <w:t>date</w:t>
            </w:r>
          </w:p>
        </w:tc>
      </w:tr>
    </w:tbl>
    <w:tbl>
      <w:tblPr>
        <w:tblStyle w:val="AP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07"/>
        <w:gridCol w:w="1794"/>
        <w:gridCol w:w="2640"/>
        <w:gridCol w:w="3078"/>
        <w:gridCol w:w="2221"/>
      </w:tblGrid>
      <w:tr w:rsidR="000D733F" w:rsidRPr="00071B95" w:rsidTr="00D24C09">
        <w:tc>
          <w:tcPr>
            <w:tcW w:w="3365" w:type="dxa"/>
          </w:tcPr>
          <w:p w:rsidR="003A3094" w:rsidRPr="0004086C" w:rsidRDefault="003A3094" w:rsidP="00340D09">
            <w:pPr>
              <w:pStyle w:val="TableTextEntries"/>
              <w:spacing w:line="240" w:lineRule="auto"/>
              <w:rPr>
                <w:i/>
                <w:sz w:val="16"/>
                <w:szCs w:val="16"/>
                <w:lang w:eastAsia="en-AU"/>
              </w:rPr>
            </w:pPr>
            <w:r w:rsidRPr="0004086C">
              <w:rPr>
                <w:i/>
                <w:sz w:val="16"/>
                <w:szCs w:val="16"/>
                <w:lang w:eastAsia="en-AU"/>
              </w:rPr>
              <w:t>Solomon Islands Justice Program</w:t>
            </w:r>
          </w:p>
        </w:tc>
        <w:tc>
          <w:tcPr>
            <w:tcW w:w="1766" w:type="dxa"/>
          </w:tcPr>
          <w:p w:rsidR="000D733F" w:rsidRPr="00E71F45" w:rsidRDefault="00861802" w:rsidP="00340D09">
            <w:pPr>
              <w:pStyle w:val="TableTextEntries"/>
              <w:spacing w:line="240" w:lineRule="auto"/>
              <w:rPr>
                <w:sz w:val="16"/>
                <w:szCs w:val="16"/>
                <w:lang w:eastAsia="en-AU"/>
              </w:rPr>
            </w:pPr>
            <w:r w:rsidRPr="00E71F45">
              <w:rPr>
                <w:sz w:val="16"/>
                <w:szCs w:val="16"/>
                <w:lang w:eastAsia="en-AU"/>
              </w:rPr>
              <w:t>INK867</w:t>
            </w:r>
          </w:p>
        </w:tc>
        <w:tc>
          <w:tcPr>
            <w:tcW w:w="2612" w:type="dxa"/>
          </w:tcPr>
          <w:p w:rsidR="000D733F" w:rsidRPr="00E71F45" w:rsidRDefault="00AD6541" w:rsidP="00340D09">
            <w:pPr>
              <w:pStyle w:val="TableTextEntries"/>
              <w:spacing w:line="240" w:lineRule="auto"/>
            </w:pPr>
            <w:r w:rsidRPr="00E71F45">
              <w:t>Mid-term review</w:t>
            </w:r>
          </w:p>
        </w:tc>
        <w:tc>
          <w:tcPr>
            <w:tcW w:w="3050" w:type="dxa"/>
          </w:tcPr>
          <w:p w:rsidR="000D733F" w:rsidRPr="00E71F45" w:rsidRDefault="00AD6541" w:rsidP="00340D09">
            <w:pPr>
              <w:pStyle w:val="TableTextEntries"/>
              <w:spacing w:line="240" w:lineRule="auto"/>
              <w:rPr>
                <w:color w:val="000000" w:themeColor="text1" w:themeShade="BF"/>
              </w:rPr>
            </w:pPr>
            <w:r w:rsidRPr="00E71F45">
              <w:t>T</w:t>
            </w:r>
            <w:r w:rsidR="000D733F" w:rsidRPr="00E71F45">
              <w:t>o</w:t>
            </w:r>
            <w:r w:rsidR="00D91326" w:rsidRPr="00E71F45">
              <w:t xml:space="preserve"> </w:t>
            </w:r>
            <w:r w:rsidR="000D733F" w:rsidRPr="00E71F45">
              <w:t>improve</w:t>
            </w:r>
            <w:r w:rsidR="00D91326" w:rsidRPr="00E71F45">
              <w:t xml:space="preserve"> </w:t>
            </w:r>
            <w:r w:rsidR="000D733F" w:rsidRPr="00E71F45">
              <w:t>existing</w:t>
            </w:r>
            <w:r w:rsidR="00D91326" w:rsidRPr="00E71F45">
              <w:t xml:space="preserve"> </w:t>
            </w:r>
            <w:r w:rsidR="000D733F" w:rsidRPr="00E71F45">
              <w:t>program</w:t>
            </w:r>
          </w:p>
        </w:tc>
        <w:tc>
          <w:tcPr>
            <w:tcW w:w="2179" w:type="dxa"/>
          </w:tcPr>
          <w:p w:rsidR="000D733F" w:rsidRPr="00E71F45" w:rsidRDefault="003A3094" w:rsidP="00340D09">
            <w:pPr>
              <w:pStyle w:val="TableTextEntries"/>
              <w:spacing w:line="240" w:lineRule="auto"/>
            </w:pPr>
            <w:r w:rsidRPr="00E71F45">
              <w:rPr>
                <w:rFonts w:cstheme="minorHAnsi"/>
              </w:rPr>
              <w:t>Mid-2015</w:t>
            </w:r>
          </w:p>
        </w:tc>
      </w:tr>
      <w:tr w:rsidR="00DF0CCD" w:rsidRPr="00071B95" w:rsidTr="00D24C09">
        <w:trPr>
          <w:trHeight w:val="813"/>
        </w:trPr>
        <w:tc>
          <w:tcPr>
            <w:tcW w:w="3365" w:type="dxa"/>
          </w:tcPr>
          <w:p w:rsidR="00DF0CCD" w:rsidRPr="008E799F" w:rsidRDefault="00DF0CCD" w:rsidP="00D24C09">
            <w:pPr>
              <w:pStyle w:val="TableTextEntries"/>
              <w:spacing w:before="0" w:after="0" w:line="240" w:lineRule="auto"/>
              <w:rPr>
                <w:rFonts w:cstheme="minorHAnsi"/>
                <w:b/>
                <w:i/>
              </w:rPr>
            </w:pPr>
            <w:r w:rsidRPr="00861802">
              <w:rPr>
                <w:rFonts w:cstheme="minorHAnsi"/>
                <w:i/>
              </w:rPr>
              <w:t>Solomon Islands Health Sector Support (phase 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F0CCD" w:rsidRPr="00E71F45" w:rsidRDefault="00DF0CCD" w:rsidP="00D24C09">
            <w:pPr>
              <w:pStyle w:val="TableTextEntries"/>
              <w:spacing w:before="0" w:after="0" w:line="240" w:lineRule="auto"/>
              <w:rPr>
                <w:rFonts w:cstheme="minorHAnsi"/>
              </w:rPr>
            </w:pPr>
            <w:r w:rsidRPr="00E71F45">
              <w:rPr>
                <w:sz w:val="16"/>
                <w:szCs w:val="16"/>
                <w:lang w:eastAsia="en-AU"/>
              </w:rPr>
              <w:t>INK561</w:t>
            </w:r>
          </w:p>
        </w:tc>
        <w:tc>
          <w:tcPr>
            <w:tcW w:w="2612" w:type="dxa"/>
          </w:tcPr>
          <w:p w:rsidR="00DF0CCD" w:rsidRPr="00D24C09" w:rsidRDefault="00DF0CCD" w:rsidP="00D24C09">
            <w:pPr>
              <w:pStyle w:val="TableTextEntries"/>
              <w:spacing w:before="0" w:after="0" w:line="240" w:lineRule="auto"/>
              <w:rPr>
                <w:sz w:val="16"/>
                <w:szCs w:val="16"/>
                <w:lang w:eastAsia="en-AU"/>
              </w:rPr>
            </w:pPr>
            <w:r w:rsidRPr="00D24C09">
              <w:rPr>
                <w:sz w:val="16"/>
                <w:szCs w:val="16"/>
                <w:lang w:eastAsia="en-AU"/>
              </w:rPr>
              <w:t>Annual Independent Assessment,</w:t>
            </w:r>
          </w:p>
          <w:p w:rsidR="00DF0CCD" w:rsidRPr="00D24C09" w:rsidRDefault="00DF0CCD" w:rsidP="00D24C09">
            <w:pPr>
              <w:pStyle w:val="TableTextEntries"/>
              <w:spacing w:before="0" w:after="0" w:line="240" w:lineRule="auto"/>
              <w:rPr>
                <w:color w:val="808080" w:themeColor="background1" w:themeShade="80"/>
                <w:sz w:val="16"/>
                <w:szCs w:val="16"/>
                <w:lang w:eastAsia="en-AU"/>
              </w:rPr>
            </w:pPr>
          </w:p>
          <w:p w:rsidR="00DF0CCD" w:rsidRPr="00D24C09" w:rsidRDefault="00DF0CCD" w:rsidP="00D24C09">
            <w:pPr>
              <w:pStyle w:val="TableTextEntries"/>
              <w:spacing w:before="0" w:after="0" w:line="240" w:lineRule="auto"/>
              <w:rPr>
                <w:sz w:val="16"/>
                <w:szCs w:val="16"/>
                <w:lang w:eastAsia="en-AU"/>
              </w:rPr>
            </w:pPr>
            <w:r w:rsidRPr="00D24C09">
              <w:rPr>
                <w:sz w:val="16"/>
                <w:szCs w:val="16"/>
                <w:lang w:eastAsia="en-AU"/>
              </w:rPr>
              <w:t>ODE evaluation</w:t>
            </w:r>
          </w:p>
          <w:p w:rsidR="00DF0CCD" w:rsidRPr="00D24C09" w:rsidRDefault="00DF0CCD" w:rsidP="00D24C09">
            <w:pPr>
              <w:pStyle w:val="TableTextEntries"/>
              <w:spacing w:before="0" w:after="0" w:line="240" w:lineRule="auto"/>
              <w:rPr>
                <w:sz w:val="16"/>
                <w:szCs w:val="16"/>
                <w:lang w:eastAsia="en-AU"/>
              </w:rPr>
            </w:pPr>
          </w:p>
          <w:p w:rsidR="00DF0CCD" w:rsidRPr="00D24C09" w:rsidRDefault="00DF0CCD" w:rsidP="00D24C09">
            <w:pPr>
              <w:pStyle w:val="TableTextEntries"/>
              <w:spacing w:before="0" w:after="0" w:line="240" w:lineRule="auto"/>
            </w:pPr>
            <w:r w:rsidRPr="00D24C09">
              <w:rPr>
                <w:sz w:val="16"/>
                <w:szCs w:val="16"/>
                <w:lang w:eastAsia="en-AU"/>
              </w:rPr>
              <w:t>National Health Strategic Plan</w:t>
            </w:r>
          </w:p>
        </w:tc>
        <w:tc>
          <w:tcPr>
            <w:tcW w:w="3050" w:type="dxa"/>
          </w:tcPr>
          <w:p w:rsidR="00DF0CCD" w:rsidRPr="00D24C09" w:rsidRDefault="00DF0CCD" w:rsidP="00D24C09">
            <w:pPr>
              <w:pStyle w:val="TableTextEntries"/>
              <w:spacing w:before="0" w:after="0" w:line="240" w:lineRule="auto"/>
              <w:rPr>
                <w:sz w:val="16"/>
                <w:szCs w:val="16"/>
                <w:lang w:eastAsia="en-AU"/>
              </w:rPr>
            </w:pPr>
            <w:r w:rsidRPr="00D24C09">
              <w:rPr>
                <w:sz w:val="16"/>
                <w:szCs w:val="16"/>
                <w:lang w:eastAsia="en-AU"/>
              </w:rPr>
              <w:t>Performance</w:t>
            </w:r>
          </w:p>
          <w:p w:rsidR="00DF0CCD" w:rsidRPr="00D24C09" w:rsidRDefault="00DF0CCD" w:rsidP="00D24C09">
            <w:pPr>
              <w:pStyle w:val="TableTextEntries"/>
              <w:spacing w:before="0" w:after="0" w:line="240" w:lineRule="auto"/>
              <w:rPr>
                <w:sz w:val="16"/>
                <w:szCs w:val="16"/>
                <w:lang w:eastAsia="en-AU"/>
              </w:rPr>
            </w:pPr>
          </w:p>
          <w:p w:rsidR="00DF0CCD" w:rsidRPr="00D24C09" w:rsidRDefault="00DF0CCD" w:rsidP="00D24C09">
            <w:pPr>
              <w:pStyle w:val="TableTextEntries"/>
              <w:spacing w:before="0" w:after="0" w:line="240" w:lineRule="auto"/>
              <w:rPr>
                <w:sz w:val="16"/>
                <w:szCs w:val="16"/>
                <w:lang w:eastAsia="en-AU"/>
              </w:rPr>
            </w:pPr>
            <w:r w:rsidRPr="00D24C09">
              <w:rPr>
                <w:sz w:val="16"/>
                <w:szCs w:val="16"/>
                <w:lang w:eastAsia="en-AU"/>
              </w:rPr>
              <w:t>Policy dialogue, programming, budget support modality</w:t>
            </w:r>
          </w:p>
          <w:p w:rsidR="00DF0CCD" w:rsidRPr="00D24C09" w:rsidRDefault="00DF0CCD" w:rsidP="00D24C09">
            <w:pPr>
              <w:pStyle w:val="TableTextEntries"/>
              <w:spacing w:before="0" w:after="0" w:line="240" w:lineRule="auto"/>
            </w:pPr>
            <w:r w:rsidRPr="00D24C09">
              <w:rPr>
                <w:sz w:val="16"/>
                <w:szCs w:val="16"/>
                <w:lang w:eastAsia="en-AU"/>
              </w:rPr>
              <w:t>Mid-term review</w:t>
            </w:r>
          </w:p>
        </w:tc>
        <w:tc>
          <w:tcPr>
            <w:tcW w:w="2179" w:type="dxa"/>
          </w:tcPr>
          <w:p w:rsidR="00DF0CCD" w:rsidRPr="00D24C09" w:rsidRDefault="00DF0CCD" w:rsidP="00D24C09">
            <w:pPr>
              <w:pStyle w:val="TableTextEntries"/>
              <w:spacing w:before="0" w:after="0" w:line="240" w:lineRule="auto"/>
              <w:rPr>
                <w:rFonts w:ascii="Arial" w:hAnsi="Arial" w:cs="Arial"/>
                <w:sz w:val="16"/>
                <w:szCs w:val="16"/>
              </w:rPr>
            </w:pPr>
            <w:r w:rsidRPr="00D24C09">
              <w:rPr>
                <w:rFonts w:ascii="Arial" w:hAnsi="Arial" w:cs="Arial"/>
                <w:sz w:val="16"/>
                <w:szCs w:val="16"/>
              </w:rPr>
              <w:t xml:space="preserve">Jun 2014 </w:t>
            </w:r>
          </w:p>
          <w:p w:rsidR="00DF0CCD" w:rsidRPr="00D24C09" w:rsidRDefault="00DF0CCD" w:rsidP="00D24C09">
            <w:pPr>
              <w:pStyle w:val="TableTextEntries"/>
              <w:spacing w:before="0" w:after="0" w:line="240" w:lineRule="auto"/>
              <w:rPr>
                <w:rFonts w:ascii="Arial" w:hAnsi="Arial" w:cs="Arial"/>
                <w:sz w:val="16"/>
                <w:szCs w:val="16"/>
              </w:rPr>
            </w:pPr>
            <w:r w:rsidRPr="00D24C09">
              <w:rPr>
                <w:rFonts w:ascii="Arial" w:hAnsi="Arial" w:cs="Arial"/>
                <w:sz w:val="16"/>
                <w:szCs w:val="16"/>
              </w:rPr>
              <w:t>Jun 2015</w:t>
            </w:r>
          </w:p>
          <w:p w:rsidR="00DF0CCD" w:rsidRPr="00D24C09" w:rsidRDefault="00DF0CCD" w:rsidP="00D24C09">
            <w:pPr>
              <w:pStyle w:val="TableTextEntries"/>
              <w:spacing w:before="0" w:after="0" w:line="240" w:lineRule="auto"/>
              <w:rPr>
                <w:rFonts w:ascii="Arial" w:hAnsi="Arial" w:cs="Arial"/>
                <w:sz w:val="16"/>
                <w:szCs w:val="16"/>
              </w:rPr>
            </w:pPr>
            <w:r w:rsidRPr="00D24C09">
              <w:rPr>
                <w:rFonts w:ascii="Arial" w:hAnsi="Arial" w:cs="Arial"/>
                <w:sz w:val="16"/>
                <w:szCs w:val="16"/>
              </w:rPr>
              <w:t>End 2014</w:t>
            </w:r>
          </w:p>
          <w:p w:rsidR="00DF0CCD" w:rsidRPr="00D24C09" w:rsidRDefault="00DF0CCD" w:rsidP="00D24C09">
            <w:pPr>
              <w:pStyle w:val="TableTextEntries"/>
              <w:spacing w:before="0" w:after="0" w:line="240" w:lineRule="auto"/>
              <w:rPr>
                <w:rFonts w:ascii="Arial" w:hAnsi="Arial" w:cs="Arial"/>
                <w:sz w:val="16"/>
                <w:szCs w:val="16"/>
              </w:rPr>
            </w:pPr>
          </w:p>
          <w:p w:rsidR="00DF0CCD" w:rsidRPr="00D24C09" w:rsidRDefault="00DF0CCD" w:rsidP="00D24C09">
            <w:pPr>
              <w:pStyle w:val="TableTextEntries"/>
              <w:spacing w:before="0" w:after="0" w:line="240" w:lineRule="auto"/>
              <w:rPr>
                <w:rFonts w:ascii="Arial" w:hAnsi="Arial" w:cs="Arial"/>
              </w:rPr>
            </w:pPr>
            <w:r w:rsidRPr="00D24C09">
              <w:rPr>
                <w:rFonts w:ascii="Arial" w:hAnsi="Arial" w:cs="Arial"/>
                <w:sz w:val="16"/>
                <w:szCs w:val="16"/>
              </w:rPr>
              <w:t>Early 2015</w:t>
            </w:r>
          </w:p>
        </w:tc>
      </w:tr>
      <w:tr w:rsidR="00AD6541" w:rsidRPr="00071B95" w:rsidTr="00D24C09">
        <w:tc>
          <w:tcPr>
            <w:tcW w:w="3365" w:type="dxa"/>
          </w:tcPr>
          <w:p w:rsidR="00AD6541" w:rsidRPr="00861802" w:rsidRDefault="00AD6541" w:rsidP="00340D09">
            <w:pPr>
              <w:pStyle w:val="TableTextEntries"/>
              <w:spacing w:line="240" w:lineRule="auto"/>
              <w:rPr>
                <w:rFonts w:cstheme="minorHAnsi"/>
                <w:i/>
              </w:rPr>
            </w:pPr>
            <w:r>
              <w:rPr>
                <w:rFonts w:cstheme="minorHAnsi"/>
                <w:i/>
              </w:rPr>
              <w:t>Strongim Yumi Togeta</w:t>
            </w:r>
          </w:p>
        </w:tc>
        <w:tc>
          <w:tcPr>
            <w:tcW w:w="1766" w:type="dxa"/>
          </w:tcPr>
          <w:p w:rsidR="00AD6541" w:rsidRPr="00E71F45" w:rsidRDefault="00AD6541" w:rsidP="00340D09">
            <w:pPr>
              <w:pStyle w:val="TableTextEntries"/>
              <w:spacing w:line="240" w:lineRule="auto"/>
              <w:rPr>
                <w:rFonts w:ascii="Arial" w:hAnsi="Arial" w:cs="Arial"/>
                <w:color w:val="25396E"/>
                <w:sz w:val="16"/>
                <w:szCs w:val="16"/>
              </w:rPr>
            </w:pPr>
            <w:r w:rsidRPr="00E71F45">
              <w:rPr>
                <w:sz w:val="16"/>
                <w:szCs w:val="16"/>
                <w:lang w:eastAsia="en-AU"/>
              </w:rPr>
              <w:t>INI854</w:t>
            </w:r>
          </w:p>
        </w:tc>
        <w:tc>
          <w:tcPr>
            <w:tcW w:w="2612" w:type="dxa"/>
          </w:tcPr>
          <w:p w:rsidR="00AD6541" w:rsidRPr="00E71F45" w:rsidRDefault="00AD6541" w:rsidP="00340D09">
            <w:pPr>
              <w:pStyle w:val="TableTextEntries"/>
              <w:spacing w:line="240" w:lineRule="auto"/>
            </w:pPr>
            <w:r w:rsidRPr="00E71F45">
              <w:t>End of program review</w:t>
            </w:r>
          </w:p>
        </w:tc>
        <w:tc>
          <w:tcPr>
            <w:tcW w:w="3050" w:type="dxa"/>
          </w:tcPr>
          <w:p w:rsidR="00AD6541" w:rsidRPr="00E71F45" w:rsidRDefault="00AD6541" w:rsidP="00340D09">
            <w:pPr>
              <w:pStyle w:val="TableTextEntries"/>
              <w:spacing w:line="240" w:lineRule="auto"/>
            </w:pPr>
            <w:r w:rsidRPr="00E71F45">
              <w:t>Verify program outcomes</w:t>
            </w:r>
          </w:p>
        </w:tc>
        <w:tc>
          <w:tcPr>
            <w:tcW w:w="2179" w:type="dxa"/>
          </w:tcPr>
          <w:p w:rsidR="00AD6541" w:rsidRPr="00E71F45" w:rsidRDefault="00AD6541" w:rsidP="00340D09">
            <w:pPr>
              <w:pStyle w:val="TableTextEntries"/>
              <w:spacing w:line="240" w:lineRule="auto"/>
              <w:rPr>
                <w:rFonts w:ascii="Arial" w:hAnsi="Arial" w:cs="Arial"/>
                <w:sz w:val="16"/>
                <w:szCs w:val="16"/>
              </w:rPr>
            </w:pPr>
            <w:r w:rsidRPr="00E71F45">
              <w:rPr>
                <w:rFonts w:ascii="Arial" w:hAnsi="Arial" w:cs="Arial"/>
                <w:sz w:val="16"/>
                <w:szCs w:val="16"/>
              </w:rPr>
              <w:t>End 2014</w:t>
            </w:r>
          </w:p>
        </w:tc>
      </w:tr>
      <w:tr w:rsidR="00C64FD5" w:rsidRPr="00071B95" w:rsidTr="00D24C09">
        <w:tc>
          <w:tcPr>
            <w:tcW w:w="3365" w:type="dxa"/>
          </w:tcPr>
          <w:p w:rsidR="00C64FD5" w:rsidRPr="008E799F" w:rsidRDefault="00C64FD5" w:rsidP="00340D09">
            <w:pPr>
              <w:pStyle w:val="TableTextEntries"/>
              <w:spacing w:line="240" w:lineRule="auto"/>
              <w:rPr>
                <w:rFonts w:cstheme="minorHAnsi"/>
                <w:b/>
                <w:i/>
              </w:rPr>
            </w:pPr>
            <w:r w:rsidRPr="00861802">
              <w:rPr>
                <w:rFonts w:cstheme="minorHAnsi"/>
                <w:i/>
              </w:rPr>
              <w:t>Solomon Islands Economic and Public Sector Governance Program (SIGOV)</w:t>
            </w:r>
            <w:r w:rsidRPr="00861802">
              <w:rPr>
                <w:rFonts w:cstheme="minorHAnsi"/>
                <w:i/>
              </w:rPr>
              <w:tab/>
            </w:r>
          </w:p>
        </w:tc>
        <w:tc>
          <w:tcPr>
            <w:tcW w:w="1766" w:type="dxa"/>
          </w:tcPr>
          <w:p w:rsidR="008E799F" w:rsidRPr="00E71F45" w:rsidRDefault="008E799F" w:rsidP="00340D09">
            <w:pPr>
              <w:pStyle w:val="TableTextEntries"/>
              <w:spacing w:line="240" w:lineRule="auto"/>
              <w:rPr>
                <w:rFonts w:ascii="Arial" w:hAnsi="Arial" w:cs="Arial"/>
                <w:color w:val="25396E"/>
                <w:sz w:val="16"/>
                <w:szCs w:val="16"/>
              </w:rPr>
            </w:pPr>
            <w:r w:rsidRPr="00E71F45">
              <w:rPr>
                <w:rFonts w:ascii="Arial" w:hAnsi="Arial" w:cs="Arial"/>
                <w:color w:val="25396E"/>
                <w:sz w:val="16"/>
                <w:szCs w:val="16"/>
              </w:rPr>
              <w:t>I</w:t>
            </w:r>
            <w:r w:rsidRPr="00E71F45">
              <w:rPr>
                <w:sz w:val="16"/>
                <w:szCs w:val="16"/>
                <w:lang w:eastAsia="en-AU"/>
              </w:rPr>
              <w:t>NL122</w:t>
            </w:r>
          </w:p>
          <w:p w:rsidR="00C64FD5" w:rsidRPr="00E71F45" w:rsidRDefault="00C64FD5" w:rsidP="00340D09">
            <w:pPr>
              <w:pStyle w:val="TableTextEntries"/>
              <w:spacing w:line="240" w:lineRule="auto"/>
            </w:pPr>
          </w:p>
        </w:tc>
        <w:tc>
          <w:tcPr>
            <w:tcW w:w="2612" w:type="dxa"/>
          </w:tcPr>
          <w:p w:rsidR="00C64FD5" w:rsidRPr="00E71F45" w:rsidRDefault="00AD6541" w:rsidP="00340D09">
            <w:pPr>
              <w:pStyle w:val="TableTextEntries"/>
              <w:spacing w:line="240" w:lineRule="auto"/>
            </w:pPr>
            <w:r w:rsidRPr="00E71F45">
              <w:t>Program review</w:t>
            </w:r>
          </w:p>
        </w:tc>
        <w:tc>
          <w:tcPr>
            <w:tcW w:w="3050" w:type="dxa"/>
          </w:tcPr>
          <w:p w:rsidR="00C64FD5" w:rsidRPr="00E71F45" w:rsidRDefault="008E799F" w:rsidP="00340D09">
            <w:pPr>
              <w:pStyle w:val="TableTextEntries"/>
              <w:spacing w:line="240" w:lineRule="auto"/>
            </w:pPr>
            <w:r w:rsidRPr="00E71F45">
              <w:t>To improve existing program</w:t>
            </w:r>
          </w:p>
        </w:tc>
        <w:tc>
          <w:tcPr>
            <w:tcW w:w="2179" w:type="dxa"/>
          </w:tcPr>
          <w:p w:rsidR="00C64FD5" w:rsidRPr="00E71F45" w:rsidRDefault="00C64FD5" w:rsidP="00340D09">
            <w:pPr>
              <w:pStyle w:val="TableTextEntries"/>
              <w:spacing w:line="240" w:lineRule="auto"/>
              <w:rPr>
                <w:rFonts w:ascii="Arial" w:hAnsi="Arial" w:cs="Arial"/>
                <w:sz w:val="16"/>
                <w:szCs w:val="16"/>
              </w:rPr>
            </w:pPr>
            <w:r w:rsidRPr="00E71F45">
              <w:rPr>
                <w:rFonts w:ascii="Arial" w:hAnsi="Arial" w:cs="Arial"/>
                <w:sz w:val="16"/>
                <w:szCs w:val="16"/>
              </w:rPr>
              <w:t>201</w:t>
            </w:r>
            <w:r w:rsidR="00AD6541" w:rsidRPr="00E71F45">
              <w:rPr>
                <w:rFonts w:ascii="Arial" w:hAnsi="Arial" w:cs="Arial"/>
                <w:sz w:val="16"/>
                <w:szCs w:val="16"/>
              </w:rPr>
              <w:t>4</w:t>
            </w:r>
          </w:p>
          <w:p w:rsidR="00C64FD5" w:rsidRPr="00E71F45" w:rsidRDefault="00C64FD5" w:rsidP="00340D09">
            <w:pPr>
              <w:pStyle w:val="TableTextEntries"/>
              <w:spacing w:line="240" w:lineRule="auto"/>
              <w:rPr>
                <w:rFonts w:cstheme="minorHAnsi"/>
              </w:rPr>
            </w:pPr>
          </w:p>
        </w:tc>
      </w:tr>
      <w:tr w:rsidR="00682387" w:rsidRPr="00071B95" w:rsidTr="00D24C09">
        <w:tc>
          <w:tcPr>
            <w:tcW w:w="3365" w:type="dxa"/>
          </w:tcPr>
          <w:p w:rsidR="00682387" w:rsidRPr="008E799F" w:rsidRDefault="00682387" w:rsidP="00340D09">
            <w:pPr>
              <w:pStyle w:val="TableTextEntries"/>
              <w:spacing w:line="240" w:lineRule="auto"/>
              <w:rPr>
                <w:rFonts w:cstheme="minorHAnsi"/>
                <w:b/>
                <w:i/>
              </w:rPr>
            </w:pPr>
            <w:r w:rsidRPr="00861802">
              <w:rPr>
                <w:rFonts w:cstheme="minorHAnsi"/>
                <w:i/>
              </w:rPr>
              <w:t>Education Sector Support Program Ph 2</w:t>
            </w:r>
          </w:p>
        </w:tc>
        <w:tc>
          <w:tcPr>
            <w:tcW w:w="1766" w:type="dxa"/>
            <w:shd w:val="clear" w:color="auto" w:fill="auto"/>
          </w:tcPr>
          <w:p w:rsidR="00682387" w:rsidRPr="00E71F45" w:rsidRDefault="00682387" w:rsidP="00340D09">
            <w:pPr>
              <w:pStyle w:val="TableTextEntries"/>
              <w:spacing w:line="240" w:lineRule="auto"/>
              <w:rPr>
                <w:rFonts w:ascii="Arial" w:hAnsi="Arial" w:cs="Arial"/>
                <w:color w:val="25396E"/>
                <w:sz w:val="16"/>
                <w:szCs w:val="16"/>
                <w:shd w:val="clear" w:color="auto" w:fill="EBF1DE"/>
              </w:rPr>
            </w:pPr>
            <w:r w:rsidRPr="00E71F45">
              <w:rPr>
                <w:sz w:val="16"/>
                <w:szCs w:val="16"/>
                <w:lang w:eastAsia="en-AU"/>
              </w:rPr>
              <w:t>INK172 (TBA)</w:t>
            </w:r>
          </w:p>
        </w:tc>
        <w:tc>
          <w:tcPr>
            <w:tcW w:w="2612" w:type="dxa"/>
          </w:tcPr>
          <w:p w:rsidR="00682387" w:rsidRPr="00E71F45" w:rsidRDefault="00682387" w:rsidP="00340D09">
            <w:pPr>
              <w:pStyle w:val="TableTextEntries"/>
              <w:spacing w:line="240" w:lineRule="auto"/>
            </w:pPr>
            <w:r w:rsidRPr="00E71F45">
              <w:t>SWAP and NEAP review</w:t>
            </w:r>
          </w:p>
        </w:tc>
        <w:tc>
          <w:tcPr>
            <w:tcW w:w="3050" w:type="dxa"/>
          </w:tcPr>
          <w:p w:rsidR="00682387" w:rsidRPr="00E71F45" w:rsidRDefault="00682387" w:rsidP="00340D09">
            <w:pPr>
              <w:pStyle w:val="TableTextEntries"/>
              <w:spacing w:line="240" w:lineRule="auto"/>
            </w:pPr>
            <w:r w:rsidRPr="00E71F45">
              <w:rPr>
                <w:sz w:val="16"/>
                <w:szCs w:val="16"/>
                <w:lang w:eastAsia="en-AU"/>
              </w:rPr>
              <w:t>Review in lead up to new NEAP cycle</w:t>
            </w:r>
          </w:p>
        </w:tc>
        <w:tc>
          <w:tcPr>
            <w:tcW w:w="2179" w:type="dxa"/>
          </w:tcPr>
          <w:p w:rsidR="00682387" w:rsidRPr="00EC42F0" w:rsidRDefault="00682387" w:rsidP="00EC42F0">
            <w:pPr>
              <w:pStyle w:val="TableTextEntries"/>
              <w:spacing w:line="240" w:lineRule="auto"/>
              <w:rPr>
                <w:sz w:val="16"/>
                <w:szCs w:val="16"/>
                <w:lang w:eastAsia="en-AU"/>
              </w:rPr>
            </w:pPr>
            <w:r w:rsidRPr="00E71F45">
              <w:rPr>
                <w:sz w:val="16"/>
                <w:szCs w:val="16"/>
                <w:lang w:eastAsia="en-AU"/>
              </w:rPr>
              <w:t>May 2015</w:t>
            </w:r>
          </w:p>
        </w:tc>
      </w:tr>
    </w:tbl>
    <w:p w:rsidR="00054FB9" w:rsidRDefault="00054FB9" w:rsidP="00C56B9D">
      <w:pPr>
        <w:spacing w:after="120"/>
        <w:rPr>
          <w:rFonts w:cstheme="minorHAnsi"/>
          <w:b/>
        </w:rPr>
      </w:pPr>
    </w:p>
    <w:p w:rsidR="00D555FB" w:rsidRDefault="00D555FB" w:rsidP="000D733F">
      <w:pPr>
        <w:rPr>
          <w:b/>
        </w:rPr>
        <w:sectPr w:rsidR="00D555FB" w:rsidSect="00E24BBD">
          <w:footnotePr>
            <w:numRestart w:val="eachPage"/>
          </w:footnotePr>
          <w:type w:val="continuous"/>
          <w:pgSz w:w="16838" w:h="11906" w:orient="landscape" w:code="9"/>
          <w:pgMar w:top="1814" w:right="1814" w:bottom="851" w:left="851" w:header="709" w:footer="425" w:gutter="0"/>
          <w:cols w:space="708"/>
          <w:titlePg/>
          <w:docGrid w:linePitch="360"/>
        </w:sectPr>
      </w:pPr>
    </w:p>
    <w:p w:rsidR="000D733F" w:rsidRPr="009E38C1" w:rsidRDefault="000D733F" w:rsidP="00E8467D">
      <w:pPr>
        <w:pStyle w:val="Heading2"/>
        <w:spacing w:before="0"/>
        <w:rPr>
          <w:sz w:val="28"/>
        </w:rPr>
      </w:pPr>
      <w:r w:rsidRPr="009E38C1">
        <w:rPr>
          <w:sz w:val="28"/>
        </w:rPr>
        <w:lastRenderedPageBreak/>
        <w:t>Annex</w:t>
      </w:r>
      <w:r w:rsidR="00D91326">
        <w:rPr>
          <w:sz w:val="28"/>
        </w:rPr>
        <w:t xml:space="preserve"> </w:t>
      </w:r>
      <w:r w:rsidRPr="009E38C1">
        <w:rPr>
          <w:sz w:val="28"/>
        </w:rPr>
        <w:t>D</w:t>
      </w:r>
    </w:p>
    <w:p w:rsidR="000D733F" w:rsidRPr="009E38C1" w:rsidRDefault="000D733F" w:rsidP="000D733F">
      <w:pPr>
        <w:pStyle w:val="Heading2"/>
        <w:rPr>
          <w:sz w:val="28"/>
        </w:rPr>
      </w:pPr>
      <w:r w:rsidRPr="009E38C1">
        <w:rPr>
          <w:sz w:val="28"/>
        </w:rPr>
        <w:t>Performance</w:t>
      </w:r>
      <w:r w:rsidR="00D91326">
        <w:rPr>
          <w:sz w:val="28"/>
        </w:rPr>
        <w:t xml:space="preserve"> </w:t>
      </w:r>
      <w:r w:rsidRPr="009E38C1">
        <w:rPr>
          <w:sz w:val="28"/>
        </w:rPr>
        <w:t>Benchmarks</w:t>
      </w:r>
      <w:r w:rsidR="00D91326">
        <w:rPr>
          <w:sz w:val="28"/>
        </w:rPr>
        <w:t xml:space="preserve"> </w:t>
      </w:r>
      <w:r w:rsidRPr="009E38C1">
        <w:rPr>
          <w:sz w:val="28"/>
        </w:rPr>
        <w:t>2014</w:t>
      </w:r>
      <w:r w:rsidR="00D91326">
        <w:rPr>
          <w:sz w:val="28"/>
        </w:rPr>
        <w:t xml:space="preserve"> </w:t>
      </w:r>
      <w:r w:rsidRPr="009E38C1">
        <w:rPr>
          <w:sz w:val="28"/>
        </w:rPr>
        <w:t>-15</w:t>
      </w:r>
    </w:p>
    <w:tbl>
      <w:tblPr>
        <w:tblStyle w:val="DFATTable"/>
        <w:tblW w:w="5000" w:type="pct"/>
        <w:tblLook w:val="04A0" w:firstRow="1" w:lastRow="0" w:firstColumn="1" w:lastColumn="0" w:noHBand="0" w:noVBand="1"/>
      </w:tblPr>
      <w:tblGrid>
        <w:gridCol w:w="3301"/>
        <w:gridCol w:w="3301"/>
        <w:gridCol w:w="7279"/>
      </w:tblGrid>
      <w:tr w:rsidR="00854855" w:rsidRPr="004F7D80" w:rsidTr="00854855">
        <w:trPr>
          <w:tblHeader/>
        </w:trPr>
        <w:tc>
          <w:tcPr>
            <w:tcW w:w="1189" w:type="pct"/>
            <w:tcBorders>
              <w:top w:val="single" w:sz="4" w:space="0" w:color="auto"/>
              <w:left w:val="single" w:sz="4" w:space="0" w:color="auto"/>
              <w:bottom w:val="single" w:sz="4" w:space="0" w:color="auto"/>
              <w:right w:val="single" w:sz="4" w:space="0" w:color="auto"/>
            </w:tcBorders>
            <w:tcMar>
              <w:top w:w="57" w:type="dxa"/>
              <w:bottom w:w="57" w:type="dxa"/>
            </w:tcMar>
          </w:tcPr>
          <w:bookmarkEnd w:id="2"/>
          <w:p w:rsidR="00854855" w:rsidRPr="002749B6" w:rsidRDefault="00854855" w:rsidP="00165B95">
            <w:pPr>
              <w:pStyle w:val="TableHeading1"/>
            </w:pPr>
            <w:r>
              <w:t xml:space="preserve">Aid </w:t>
            </w:r>
            <w:r w:rsidRPr="002749B6">
              <w:t>objective</w:t>
            </w:r>
          </w:p>
        </w:tc>
        <w:tc>
          <w:tcPr>
            <w:tcW w:w="1189" w:type="pct"/>
            <w:tcBorders>
              <w:top w:val="single" w:sz="4" w:space="0" w:color="auto"/>
              <w:left w:val="single" w:sz="4" w:space="0" w:color="auto"/>
              <w:bottom w:val="single" w:sz="4" w:space="0" w:color="auto"/>
              <w:right w:val="single" w:sz="4" w:space="0" w:color="auto"/>
            </w:tcBorders>
          </w:tcPr>
          <w:p w:rsidR="00854855" w:rsidRPr="009901DD" w:rsidRDefault="00854855" w:rsidP="00165B95">
            <w:pPr>
              <w:pStyle w:val="TableHeading1"/>
            </w:pPr>
            <w:r w:rsidRPr="009901DD">
              <w:t xml:space="preserve">2014-15 benchmark </w:t>
            </w:r>
          </w:p>
        </w:tc>
        <w:tc>
          <w:tcPr>
            <w:tcW w:w="2622" w:type="pct"/>
            <w:tcBorders>
              <w:top w:val="single" w:sz="4" w:space="0" w:color="auto"/>
              <w:left w:val="single" w:sz="4" w:space="0" w:color="auto"/>
              <w:bottom w:val="single" w:sz="4" w:space="0" w:color="auto"/>
              <w:right w:val="single" w:sz="4" w:space="0" w:color="auto"/>
            </w:tcBorders>
          </w:tcPr>
          <w:p w:rsidR="00854855" w:rsidRPr="002749B6" w:rsidRDefault="00854855" w:rsidP="00165B95">
            <w:pPr>
              <w:pStyle w:val="TableHeading1"/>
            </w:pPr>
            <w:r w:rsidRPr="002749B6">
              <w:t>Rationale</w:t>
            </w:r>
            <w:r>
              <w:t xml:space="preserve"> </w:t>
            </w:r>
            <w:r w:rsidRPr="002749B6">
              <w:t>for</w:t>
            </w:r>
            <w:r>
              <w:t xml:space="preserve"> </w:t>
            </w:r>
            <w:r w:rsidRPr="002749B6">
              <w:t>selecting</w:t>
            </w:r>
            <w:r>
              <w:t xml:space="preserve"> </w:t>
            </w:r>
            <w:r w:rsidRPr="002749B6">
              <w:t>this</w:t>
            </w:r>
            <w:r>
              <w:t xml:space="preserve"> </w:t>
            </w:r>
            <w:r w:rsidRPr="002749B6">
              <w:t>performance</w:t>
            </w:r>
            <w:r>
              <w:t xml:space="preserve"> </w:t>
            </w:r>
            <w:r w:rsidRPr="002749B6">
              <w:t>benchmark</w:t>
            </w:r>
          </w:p>
        </w:tc>
      </w:tr>
      <w:tr w:rsidR="00854855" w:rsidRPr="004F7D80" w:rsidTr="00165B95">
        <w:tc>
          <w:tcPr>
            <w:tcW w:w="1189" w:type="pct"/>
            <w:tcBorders>
              <w:top w:val="single" w:sz="4" w:space="0" w:color="auto"/>
              <w:left w:val="single" w:sz="4" w:space="0" w:color="auto"/>
              <w:bottom w:val="single" w:sz="4" w:space="0" w:color="auto"/>
              <w:right w:val="single" w:sz="4" w:space="0" w:color="auto"/>
            </w:tcBorders>
            <w:tcMar>
              <w:top w:w="57" w:type="dxa"/>
              <w:bottom w:w="57" w:type="dxa"/>
            </w:tcMar>
          </w:tcPr>
          <w:p w:rsidR="00854855" w:rsidRDefault="00854855" w:rsidP="00165B95">
            <w:pPr>
              <w:pStyle w:val="TableTextEntries"/>
            </w:pPr>
            <w:r>
              <w:t>Improved functioning of health system</w:t>
            </w:r>
          </w:p>
        </w:tc>
        <w:tc>
          <w:tcPr>
            <w:tcW w:w="1189" w:type="pct"/>
            <w:tcBorders>
              <w:top w:val="single" w:sz="4" w:space="0" w:color="auto"/>
              <w:left w:val="single" w:sz="4" w:space="0" w:color="auto"/>
              <w:bottom w:val="single" w:sz="4" w:space="0" w:color="auto"/>
              <w:right w:val="single" w:sz="4" w:space="0" w:color="auto"/>
            </w:tcBorders>
          </w:tcPr>
          <w:p w:rsidR="00854855" w:rsidRDefault="00854855" w:rsidP="00165B95">
            <w:pPr>
              <w:pStyle w:val="TableTextEntries"/>
            </w:pPr>
            <w:r w:rsidRPr="005E5129">
              <w:t xml:space="preserve">Availability of </w:t>
            </w:r>
            <w:r>
              <w:t>critical and essential medicines</w:t>
            </w:r>
            <w:r w:rsidRPr="005E5129">
              <w:t xml:space="preserve"> (includes contraceptives) at the provincial level</w:t>
            </w:r>
            <w:r>
              <w:rPr>
                <w:rStyle w:val="FootnoteReference"/>
              </w:rPr>
              <w:footnoteReference w:id="24"/>
            </w:r>
            <w:r w:rsidRPr="005E5129">
              <w:t xml:space="preserve"> increased to </w:t>
            </w:r>
            <w:r>
              <w:t>9</w:t>
            </w:r>
            <w:r w:rsidRPr="005E5129">
              <w:t>0 per cent</w:t>
            </w:r>
          </w:p>
        </w:tc>
        <w:tc>
          <w:tcPr>
            <w:tcW w:w="2622" w:type="pct"/>
            <w:tcBorders>
              <w:top w:val="single" w:sz="4" w:space="0" w:color="auto"/>
              <w:left w:val="single" w:sz="4" w:space="0" w:color="auto"/>
              <w:bottom w:val="single" w:sz="4" w:space="0" w:color="auto"/>
              <w:right w:val="single" w:sz="4" w:space="0" w:color="auto"/>
            </w:tcBorders>
          </w:tcPr>
          <w:p w:rsidR="00854855" w:rsidRDefault="00854855" w:rsidP="00165B95">
            <w:pPr>
              <w:pStyle w:val="TableTextEntries"/>
            </w:pPr>
            <w:r>
              <w:t xml:space="preserve">Taken from Core Indicator Set agreed with Solomon Islands Government. </w:t>
            </w:r>
            <w:r w:rsidRPr="005E5129">
              <w:t>Availability of essential medicine good proxy indicator for health care system. Also intermediary indicator for improving</w:t>
            </w:r>
            <w:r>
              <w:t xml:space="preserve"> contraceptive prevalence rate</w:t>
            </w:r>
            <w:r w:rsidRPr="005E5129">
              <w:t xml:space="preserve"> (a lagging indicator and MDG target). Also a headline result reported under the Partnership PAF. Gender benefits.</w:t>
            </w:r>
          </w:p>
        </w:tc>
      </w:tr>
      <w:tr w:rsidR="00854855" w:rsidRPr="004F7D80" w:rsidTr="00854855">
        <w:trPr>
          <w:trHeight w:val="1292"/>
        </w:trPr>
        <w:tc>
          <w:tcPr>
            <w:tcW w:w="1189" w:type="pct"/>
            <w:tcBorders>
              <w:top w:val="single" w:sz="4" w:space="0" w:color="auto"/>
              <w:left w:val="single" w:sz="4" w:space="0" w:color="auto"/>
              <w:bottom w:val="single" w:sz="4" w:space="0" w:color="auto"/>
              <w:right w:val="single" w:sz="4" w:space="0" w:color="auto"/>
            </w:tcBorders>
            <w:tcMar>
              <w:top w:w="57" w:type="dxa"/>
              <w:bottom w:w="57" w:type="dxa"/>
            </w:tcMar>
          </w:tcPr>
          <w:p w:rsidR="00854855" w:rsidRDefault="00854855" w:rsidP="00165B95">
            <w:pPr>
              <w:pStyle w:val="TableTextEntries"/>
            </w:pPr>
            <w:r w:rsidRPr="005E4B75">
              <w:rPr>
                <w:iCs w:val="0"/>
              </w:rPr>
              <w:t>Courts and justice agencies are better able to deliver their core functions</w:t>
            </w:r>
            <w:r>
              <w:t xml:space="preserve"> </w:t>
            </w:r>
          </w:p>
        </w:tc>
        <w:tc>
          <w:tcPr>
            <w:tcW w:w="1189" w:type="pct"/>
            <w:tcBorders>
              <w:top w:val="single" w:sz="4" w:space="0" w:color="auto"/>
              <w:left w:val="single" w:sz="4" w:space="0" w:color="auto"/>
              <w:bottom w:val="single" w:sz="4" w:space="0" w:color="auto"/>
              <w:right w:val="single" w:sz="4" w:space="0" w:color="auto"/>
            </w:tcBorders>
          </w:tcPr>
          <w:p w:rsidR="00854855" w:rsidRPr="005E4B75" w:rsidRDefault="00854855" w:rsidP="00165B95">
            <w:pPr>
              <w:pStyle w:val="TableTextEntries"/>
            </w:pPr>
            <w:r w:rsidRPr="005E4B75">
              <w:t>250 cases heard and disposed of in the Central Magistrates Court in 2014-15</w:t>
            </w:r>
          </w:p>
          <w:p w:rsidR="00854855" w:rsidRPr="00B24FC7" w:rsidRDefault="00854855" w:rsidP="00165B95">
            <w:pPr>
              <w:pStyle w:val="TableTextEntries"/>
            </w:pPr>
            <w:r>
              <w:t>2500 police and other law and justice officials trained in 2014-15</w:t>
            </w:r>
          </w:p>
        </w:tc>
        <w:tc>
          <w:tcPr>
            <w:tcW w:w="2622" w:type="pct"/>
            <w:tcBorders>
              <w:top w:val="single" w:sz="4" w:space="0" w:color="auto"/>
              <w:left w:val="single" w:sz="4" w:space="0" w:color="auto"/>
              <w:bottom w:val="single" w:sz="4" w:space="0" w:color="auto"/>
              <w:right w:val="single" w:sz="4" w:space="0" w:color="auto"/>
            </w:tcBorders>
          </w:tcPr>
          <w:p w:rsidR="00854855" w:rsidRDefault="00854855" w:rsidP="00165B95">
            <w:pPr>
              <w:pStyle w:val="TableTextEntries"/>
            </w:pPr>
            <w:r w:rsidRPr="005E4B75">
              <w:t>An effective criminal justice system which promotes the rule of law while protecting the rights of defendants</w:t>
            </w:r>
            <w:r>
              <w:t>,</w:t>
            </w:r>
            <w:r w:rsidRPr="005E4B75">
              <w:t xml:space="preserve"> depends on all parts of the justice system operating individually and as part of an integrated system. The civil jurisdiction of the courts </w:t>
            </w:r>
            <w:r>
              <w:t>is</w:t>
            </w:r>
            <w:r w:rsidRPr="005E4B75">
              <w:t xml:space="preserve"> also critical to ensuring that people and businesses are able to resolve their disputes fairly and peacefully. In order to function effectively courts must be able to hear and dispose of cases efficiently.</w:t>
            </w:r>
          </w:p>
          <w:p w:rsidR="00854855" w:rsidRPr="00CD07A1" w:rsidRDefault="00854855" w:rsidP="00165B95">
            <w:pPr>
              <w:pStyle w:val="TableTextEntries"/>
              <w:rPr>
                <w:iCs w:val="0"/>
              </w:rPr>
            </w:pPr>
            <w:r>
              <w:t xml:space="preserve">This is an indicator in the Justice PAF and data is available. </w:t>
            </w:r>
          </w:p>
        </w:tc>
      </w:tr>
      <w:tr w:rsidR="00854855" w:rsidRPr="004F7D80" w:rsidTr="00165B95">
        <w:trPr>
          <w:trHeight w:val="1918"/>
        </w:trPr>
        <w:tc>
          <w:tcPr>
            <w:tcW w:w="1189" w:type="pct"/>
            <w:tcBorders>
              <w:top w:val="single" w:sz="4" w:space="0" w:color="auto"/>
              <w:left w:val="single" w:sz="4" w:space="0" w:color="auto"/>
              <w:bottom w:val="single" w:sz="4" w:space="0" w:color="auto"/>
              <w:right w:val="single" w:sz="4" w:space="0" w:color="auto"/>
            </w:tcBorders>
            <w:tcMar>
              <w:top w:w="57" w:type="dxa"/>
              <w:bottom w:w="57" w:type="dxa"/>
            </w:tcMar>
          </w:tcPr>
          <w:p w:rsidR="00854855" w:rsidRPr="002749B6" w:rsidRDefault="00854855" w:rsidP="00165B95">
            <w:pPr>
              <w:pStyle w:val="TableTextEntries"/>
            </w:pPr>
            <w:r>
              <w:t xml:space="preserve">Number of women and men who increase their access to </w:t>
            </w:r>
            <w:r w:rsidRPr="00E5610C">
              <w:rPr>
                <w:b/>
              </w:rPr>
              <w:t>financial services</w:t>
            </w:r>
          </w:p>
        </w:tc>
        <w:tc>
          <w:tcPr>
            <w:tcW w:w="1189" w:type="pct"/>
            <w:tcBorders>
              <w:top w:val="single" w:sz="4" w:space="0" w:color="auto"/>
              <w:left w:val="single" w:sz="4" w:space="0" w:color="auto"/>
              <w:bottom w:val="single" w:sz="4" w:space="0" w:color="auto"/>
              <w:right w:val="single" w:sz="4" w:space="0" w:color="auto"/>
            </w:tcBorders>
          </w:tcPr>
          <w:p w:rsidR="00854855" w:rsidRPr="00B24FC7" w:rsidRDefault="00854855" w:rsidP="00165B95">
            <w:pPr>
              <w:pStyle w:val="TableTextEntries"/>
            </w:pPr>
            <w:r w:rsidRPr="00B24FC7">
              <w:t>Additional 20,000 people accessing appropriate and affordable financial services</w:t>
            </w:r>
            <w:r w:rsidRPr="00B24FC7">
              <w:rPr>
                <w:vertAlign w:val="superscript"/>
              </w:rPr>
              <w:footnoteReference w:id="25"/>
            </w:r>
          </w:p>
        </w:tc>
        <w:tc>
          <w:tcPr>
            <w:tcW w:w="2622" w:type="pct"/>
            <w:tcBorders>
              <w:top w:val="single" w:sz="4" w:space="0" w:color="auto"/>
              <w:left w:val="single" w:sz="4" w:space="0" w:color="auto"/>
              <w:bottom w:val="single" w:sz="4" w:space="0" w:color="auto"/>
              <w:right w:val="single" w:sz="4" w:space="0" w:color="auto"/>
            </w:tcBorders>
          </w:tcPr>
          <w:p w:rsidR="00854855" w:rsidRPr="00E5610C" w:rsidRDefault="00854855" w:rsidP="00165B95">
            <w:pPr>
              <w:pStyle w:val="TableTextEntries"/>
              <w:rPr>
                <w:i/>
              </w:rPr>
            </w:pPr>
            <w:r w:rsidRPr="005306CE">
              <w:t>Access to low-cost financial services is an important enabler of economic growth. It is estimated that only 15 per cent of Solomon Islanders use banking and other financial services</w:t>
            </w:r>
            <w:r w:rsidRPr="00615666">
              <w:rPr>
                <w:vertAlign w:val="superscript"/>
              </w:rPr>
              <w:footnoteReference w:id="26"/>
            </w:r>
            <w:r w:rsidRPr="005306CE">
              <w:t>. Sparse banking services coupled with a limited road network can necessitate long and often dangerous boat rides for provincial teachers, nurses and police to access their pay. This negatively impacts on rural service delivery. Access to credit, a safe place to save, appropriate insurance products and efficient payment mechanisms are essential to enable people to build up financial reserves for emergencies and investment in productive assets and businesses. Australia is supporting the Solomon Islands Financial Inclusion Taskforce by providing AUD$2.0million in 2013-14.  This benchmark is measurable and alre</w:t>
            </w:r>
            <w:r w:rsidRPr="00190DA1">
              <w:t>ady reported in the PAF and ADR.</w:t>
            </w:r>
          </w:p>
        </w:tc>
      </w:tr>
      <w:tr w:rsidR="00854855" w:rsidRPr="004F7D80" w:rsidTr="00165B95">
        <w:tc>
          <w:tcPr>
            <w:tcW w:w="1189" w:type="pct"/>
            <w:tcBorders>
              <w:top w:val="single" w:sz="4" w:space="0" w:color="auto"/>
              <w:left w:val="single" w:sz="4" w:space="0" w:color="auto"/>
              <w:bottom w:val="single" w:sz="4" w:space="0" w:color="auto"/>
              <w:right w:val="single" w:sz="4" w:space="0" w:color="auto"/>
            </w:tcBorders>
            <w:tcMar>
              <w:top w:w="57" w:type="dxa"/>
              <w:bottom w:w="57" w:type="dxa"/>
            </w:tcMar>
          </w:tcPr>
          <w:p w:rsidR="00854855" w:rsidRPr="00E5610C" w:rsidRDefault="00854855" w:rsidP="00165B95">
            <w:pPr>
              <w:pStyle w:val="TableTextEntries"/>
              <w:rPr>
                <w:b/>
              </w:rPr>
            </w:pPr>
            <w:r>
              <w:rPr>
                <w:b/>
              </w:rPr>
              <w:t xml:space="preserve">Gender focus </w:t>
            </w:r>
            <w:r w:rsidRPr="00E0749C">
              <w:t>of aid investments is improved towards reaching New Aid Policy benchmarks</w:t>
            </w:r>
          </w:p>
        </w:tc>
        <w:tc>
          <w:tcPr>
            <w:tcW w:w="1189" w:type="pct"/>
            <w:tcBorders>
              <w:top w:val="single" w:sz="4" w:space="0" w:color="auto"/>
              <w:left w:val="single" w:sz="4" w:space="0" w:color="auto"/>
              <w:bottom w:val="single" w:sz="4" w:space="0" w:color="auto"/>
              <w:right w:val="single" w:sz="4" w:space="0" w:color="auto"/>
            </w:tcBorders>
          </w:tcPr>
          <w:p w:rsidR="00854855" w:rsidRPr="00B24FC7" w:rsidRDefault="00854855" w:rsidP="00165B95">
            <w:pPr>
              <w:pStyle w:val="TableTextEntries"/>
            </w:pPr>
            <w:r>
              <w:t>80</w:t>
            </w:r>
            <w:r w:rsidR="00670871">
              <w:t xml:space="preserve"> per cent</w:t>
            </w:r>
            <w:r>
              <w:t xml:space="preserve"> of QAIs for Solomon Islands program are rated as 4 or higher</w:t>
            </w:r>
          </w:p>
        </w:tc>
        <w:tc>
          <w:tcPr>
            <w:tcW w:w="2622" w:type="pct"/>
            <w:tcBorders>
              <w:top w:val="single" w:sz="4" w:space="0" w:color="auto"/>
              <w:left w:val="single" w:sz="4" w:space="0" w:color="auto"/>
              <w:bottom w:val="single" w:sz="4" w:space="0" w:color="auto"/>
              <w:right w:val="single" w:sz="4" w:space="0" w:color="auto"/>
            </w:tcBorders>
          </w:tcPr>
          <w:p w:rsidR="00854855" w:rsidRPr="005306CE" w:rsidRDefault="00854855" w:rsidP="00165B95">
            <w:pPr>
              <w:pStyle w:val="TableTextEntries"/>
            </w:pPr>
            <w:r w:rsidRPr="005306CE">
              <w:t xml:space="preserve">The status of women in Solomon Islands is low compared to that of men. This means that development outcomes for women are poor: Solomon Islands is one of the worst countries in the world for sexual violence; there is only female member of Parliament; women’s participation in the workforce is hindered by cultural attitudes and lack of appropriate regulations; and girls continue to miss out on educational opportunities. Under the Pacific Women Shaping Pacific Development initiative, and reinforced by the new aid policy, gender is a priority area for the program.  In addition to implementing new programs aimed at reducing family violence, increasing economic empowerment of women, and strengthening SIG’s efforts to address gender equality, the gender program aims to improve gender outcomes across existing programs.  </w:t>
            </w:r>
          </w:p>
          <w:p w:rsidR="00854855" w:rsidRPr="00E8467D" w:rsidRDefault="00854855" w:rsidP="00165B95">
            <w:pPr>
              <w:pStyle w:val="TableTextEntries"/>
            </w:pPr>
            <w:r w:rsidRPr="005306CE">
              <w:t>This benchmark is measurable</w:t>
            </w:r>
            <w:r w:rsidRPr="00190DA1">
              <w:t>.</w:t>
            </w:r>
          </w:p>
        </w:tc>
      </w:tr>
      <w:tr w:rsidR="00854855" w:rsidRPr="004F7D80" w:rsidTr="00165B95">
        <w:tc>
          <w:tcPr>
            <w:tcW w:w="1189" w:type="pct"/>
            <w:tcBorders>
              <w:top w:val="single" w:sz="4" w:space="0" w:color="auto"/>
              <w:left w:val="single" w:sz="4" w:space="0" w:color="auto"/>
              <w:bottom w:val="single" w:sz="4" w:space="0" w:color="auto"/>
              <w:right w:val="single" w:sz="4" w:space="0" w:color="auto"/>
            </w:tcBorders>
            <w:tcMar>
              <w:top w:w="57" w:type="dxa"/>
              <w:bottom w:w="57" w:type="dxa"/>
            </w:tcMar>
          </w:tcPr>
          <w:p w:rsidR="00854855" w:rsidRDefault="00854855" w:rsidP="00165B95">
            <w:pPr>
              <w:pStyle w:val="TableTextEntries"/>
            </w:pPr>
            <w:r w:rsidRPr="002749B6">
              <w:lastRenderedPageBreak/>
              <w:t>Improved</w:t>
            </w:r>
            <w:r>
              <w:t xml:space="preserve"> </w:t>
            </w:r>
            <w:r w:rsidRPr="00E5610C">
              <w:rPr>
                <w:b/>
              </w:rPr>
              <w:t>transport</w:t>
            </w:r>
            <w:r>
              <w:t xml:space="preserve"> </w:t>
            </w:r>
            <w:r w:rsidRPr="002749B6">
              <w:t>infrastructure</w:t>
            </w:r>
            <w:r>
              <w:t xml:space="preserve"> </w:t>
            </w:r>
            <w:r w:rsidRPr="002749B6">
              <w:t>to</w:t>
            </w:r>
            <w:r>
              <w:t xml:space="preserve"> </w:t>
            </w:r>
            <w:r w:rsidRPr="002749B6">
              <w:t>support</w:t>
            </w:r>
            <w:r>
              <w:t xml:space="preserve"> </w:t>
            </w:r>
            <w:r w:rsidRPr="002749B6">
              <w:t>increased</w:t>
            </w:r>
            <w:r>
              <w:t xml:space="preserve"> </w:t>
            </w:r>
            <w:r w:rsidRPr="002749B6">
              <w:t>economic</w:t>
            </w:r>
            <w:r>
              <w:t xml:space="preserve"> </w:t>
            </w:r>
            <w:r w:rsidRPr="002749B6">
              <w:t>activity.</w:t>
            </w:r>
            <w:r>
              <w:t xml:space="preserve"> </w:t>
            </w:r>
          </w:p>
          <w:p w:rsidR="00854855" w:rsidRPr="002749B6" w:rsidRDefault="00854855" w:rsidP="00165B95">
            <w:pPr>
              <w:pStyle w:val="TableTextEntries"/>
            </w:pPr>
          </w:p>
        </w:tc>
        <w:tc>
          <w:tcPr>
            <w:tcW w:w="1189" w:type="pct"/>
            <w:tcBorders>
              <w:top w:val="single" w:sz="4" w:space="0" w:color="auto"/>
              <w:left w:val="single" w:sz="4" w:space="0" w:color="auto"/>
              <w:bottom w:val="single" w:sz="4" w:space="0" w:color="auto"/>
              <w:right w:val="single" w:sz="4" w:space="0" w:color="auto"/>
            </w:tcBorders>
          </w:tcPr>
          <w:p w:rsidR="00854855" w:rsidRPr="00B24FC7" w:rsidRDefault="00362B0E" w:rsidP="00165B95">
            <w:pPr>
              <w:pStyle w:val="TableTextEntries"/>
            </w:pPr>
            <w:r>
              <w:t>6</w:t>
            </w:r>
            <w:r w:rsidR="00854855" w:rsidRPr="00B24FC7">
              <w:t xml:space="preserve">00km of roads rehabilitated or maintained </w:t>
            </w:r>
            <w:r w:rsidR="00854855">
              <w:t>in</w:t>
            </w:r>
            <w:r w:rsidR="00854855" w:rsidRPr="00B24FC7">
              <w:t xml:space="preserve"> 2014-15</w:t>
            </w:r>
          </w:p>
        </w:tc>
        <w:tc>
          <w:tcPr>
            <w:tcW w:w="2622" w:type="pct"/>
            <w:tcBorders>
              <w:top w:val="single" w:sz="4" w:space="0" w:color="auto"/>
              <w:left w:val="single" w:sz="4" w:space="0" w:color="auto"/>
              <w:bottom w:val="single" w:sz="4" w:space="0" w:color="auto"/>
              <w:right w:val="single" w:sz="4" w:space="0" w:color="auto"/>
            </w:tcBorders>
          </w:tcPr>
          <w:p w:rsidR="00854855" w:rsidRDefault="00854855" w:rsidP="00165B95">
            <w:pPr>
              <w:pStyle w:val="TableTextEntries"/>
            </w:pPr>
            <w:r>
              <w:t>Transport infrastructure is essential to economic growth and access to basic services. The trade potential of Solomon Islands is hampered not only by its remoteness but particularly by its poor internal connectivity. I</w:t>
            </w:r>
            <w:r w:rsidRPr="001F6B0B">
              <w:t xml:space="preserve">n </w:t>
            </w:r>
            <w:r>
              <w:t>small economies t</w:t>
            </w:r>
            <w:r w:rsidRPr="001F6B0B">
              <w:t xml:space="preserve">he quality of infrastructure has </w:t>
            </w:r>
            <w:r>
              <w:t>a large effect on trade. Of the total road network of around 1600km, 46 per cent was in poor condition, down from 65 per cent in 2011. In 2013 Australia supported the maintenance and rehabilitation of 417km of road. Increased maintenance and rehabilitation of roads is necessary to reduce the amount of the network in a poor condition and keep the roads in a good condition.</w:t>
            </w:r>
          </w:p>
          <w:p w:rsidR="00854855" w:rsidRPr="002749B6" w:rsidRDefault="00854855" w:rsidP="00165B95">
            <w:pPr>
              <w:pStyle w:val="TableTextEntries"/>
            </w:pPr>
            <w:r>
              <w:t>This benchmark is measurable and already reported in the PAF and ADR.</w:t>
            </w:r>
          </w:p>
        </w:tc>
      </w:tr>
    </w:tbl>
    <w:tbl>
      <w:tblPr>
        <w:tblStyle w:val="DFATTable2"/>
        <w:tblW w:w="5000" w:type="pct"/>
        <w:tblLook w:val="04A0" w:firstRow="1" w:lastRow="0" w:firstColumn="1" w:lastColumn="0" w:noHBand="0" w:noVBand="1"/>
      </w:tblPr>
      <w:tblGrid>
        <w:gridCol w:w="3301"/>
        <w:gridCol w:w="3301"/>
        <w:gridCol w:w="7279"/>
      </w:tblGrid>
      <w:tr w:rsidR="00854855" w:rsidRPr="004F7D80" w:rsidTr="00165B95">
        <w:trPr>
          <w:trHeight w:val="762"/>
        </w:trPr>
        <w:tc>
          <w:tcPr>
            <w:tcW w:w="1189" w:type="pct"/>
            <w:tcBorders>
              <w:top w:val="single" w:sz="4" w:space="0" w:color="auto"/>
              <w:left w:val="single" w:sz="4" w:space="0" w:color="auto"/>
              <w:bottom w:val="single" w:sz="4" w:space="0" w:color="auto"/>
              <w:right w:val="single" w:sz="4" w:space="0" w:color="auto"/>
            </w:tcBorders>
            <w:tcMar>
              <w:top w:w="57" w:type="dxa"/>
              <w:bottom w:w="57" w:type="dxa"/>
            </w:tcMar>
          </w:tcPr>
          <w:p w:rsidR="00854855" w:rsidRPr="0051374E" w:rsidRDefault="00854855" w:rsidP="00165B95">
            <w:pPr>
              <w:pStyle w:val="TableTextEntries"/>
            </w:pPr>
            <w:r>
              <w:t xml:space="preserve">Support </w:t>
            </w:r>
            <w:r w:rsidR="00F413E6">
              <w:rPr>
                <w:color w:val="000000" w:themeColor="text1"/>
              </w:rPr>
              <w:t>the Solomon Islands Government</w:t>
            </w:r>
            <w:r w:rsidR="00F413E6" w:rsidDel="00F413E6">
              <w:t xml:space="preserve"> </w:t>
            </w:r>
            <w:r>
              <w:t xml:space="preserve">to improve the quality of </w:t>
            </w:r>
            <w:r w:rsidRPr="005353CC">
              <w:rPr>
                <w:b/>
              </w:rPr>
              <w:t>financial management systems</w:t>
            </w:r>
            <w:r>
              <w:t xml:space="preserve"> towards ensuring resources intended for better delivery or public services achieve their intended purposes.</w:t>
            </w:r>
          </w:p>
        </w:tc>
        <w:tc>
          <w:tcPr>
            <w:tcW w:w="1189" w:type="pct"/>
            <w:tcBorders>
              <w:top w:val="single" w:sz="4" w:space="0" w:color="auto"/>
              <w:left w:val="single" w:sz="4" w:space="0" w:color="auto"/>
              <w:bottom w:val="single" w:sz="4" w:space="0" w:color="auto"/>
              <w:right w:val="single" w:sz="4" w:space="0" w:color="auto"/>
            </w:tcBorders>
          </w:tcPr>
          <w:p w:rsidR="00854855" w:rsidRPr="00B24FC7" w:rsidRDefault="00854855" w:rsidP="00165B95">
            <w:pPr>
              <w:pStyle w:val="TableTextEntries"/>
            </w:pPr>
            <w:r>
              <w:t xml:space="preserve">Agreed Core Economic Working Group’s Economic and Financial Reform Program matrix for 2014-15 between donor partners and </w:t>
            </w:r>
            <w:r w:rsidR="00F413E6">
              <w:rPr>
                <w:color w:val="000000" w:themeColor="text1"/>
              </w:rPr>
              <w:t>the Solomon Islands Government</w:t>
            </w:r>
          </w:p>
        </w:tc>
        <w:tc>
          <w:tcPr>
            <w:tcW w:w="2622" w:type="pct"/>
            <w:tcBorders>
              <w:top w:val="single" w:sz="4" w:space="0" w:color="auto"/>
              <w:left w:val="single" w:sz="4" w:space="0" w:color="auto"/>
              <w:bottom w:val="single" w:sz="4" w:space="0" w:color="auto"/>
              <w:right w:val="single" w:sz="4" w:space="0" w:color="auto"/>
            </w:tcBorders>
          </w:tcPr>
          <w:p w:rsidR="00854855" w:rsidRPr="002749B6" w:rsidRDefault="00854855" w:rsidP="00165B95">
            <w:pPr>
              <w:pStyle w:val="TableTextEntries"/>
            </w:pPr>
            <w:r>
              <w:t xml:space="preserve">Since 2009, CEWG’s annual EFRP matrix has </w:t>
            </w:r>
            <w:r w:rsidRPr="0084040E">
              <w:t>encourage</w:t>
            </w:r>
            <w:r>
              <w:t>d</w:t>
            </w:r>
            <w:r w:rsidRPr="0084040E">
              <w:t xml:space="preserve"> </w:t>
            </w:r>
            <w:r>
              <w:t xml:space="preserve">economic and financial </w:t>
            </w:r>
            <w:r w:rsidRPr="0084040E">
              <w:t xml:space="preserve">reform through donor support and linked financing. </w:t>
            </w:r>
            <w:r w:rsidR="00F413E6">
              <w:rPr>
                <w:color w:val="000000" w:themeColor="text1"/>
              </w:rPr>
              <w:t>the Solomon Islands Government</w:t>
            </w:r>
            <w:r>
              <w:t xml:space="preserve">, the World Bank, ADB, New Zealand, EU and </w:t>
            </w:r>
            <w:r w:rsidRPr="0084040E">
              <w:t xml:space="preserve">Australia </w:t>
            </w:r>
            <w:r>
              <w:t xml:space="preserve">work together to agree on actions and assess their implementation. Building on this established partnership, the CEWG currently develops a rolling matrix for 2014-17 with a focus on economic growth. Australia </w:t>
            </w:r>
            <w:r w:rsidRPr="0084040E">
              <w:t xml:space="preserve">has up to AUD$3million </w:t>
            </w:r>
            <w:r>
              <w:t xml:space="preserve">annually </w:t>
            </w:r>
            <w:r w:rsidRPr="0084040E">
              <w:t xml:space="preserve">available as an incentive payment linked to </w:t>
            </w:r>
            <w:r>
              <w:t xml:space="preserve">achievements against actions in </w:t>
            </w:r>
            <w:r w:rsidRPr="0084040E">
              <w:t xml:space="preserve">the Matrix. </w:t>
            </w:r>
          </w:p>
        </w:tc>
      </w:tr>
      <w:tr w:rsidR="00854855" w:rsidRPr="004F7D80" w:rsidTr="00165B95">
        <w:trPr>
          <w:trHeight w:val="762"/>
        </w:trPr>
        <w:tc>
          <w:tcPr>
            <w:tcW w:w="1189" w:type="pct"/>
            <w:tcBorders>
              <w:top w:val="single" w:sz="4" w:space="0" w:color="auto"/>
              <w:left w:val="single" w:sz="4" w:space="0" w:color="auto"/>
              <w:bottom w:val="single" w:sz="4" w:space="0" w:color="auto"/>
              <w:right w:val="single" w:sz="4" w:space="0" w:color="auto"/>
            </w:tcBorders>
            <w:tcMar>
              <w:top w:w="57" w:type="dxa"/>
              <w:bottom w:w="57" w:type="dxa"/>
            </w:tcMar>
          </w:tcPr>
          <w:p w:rsidR="00854855" w:rsidRPr="00076613" w:rsidRDefault="00854855" w:rsidP="00165B95">
            <w:pPr>
              <w:pStyle w:val="TableTextEntries"/>
              <w:rPr>
                <w:b/>
              </w:rPr>
            </w:pPr>
            <w:r>
              <w:rPr>
                <w:b/>
              </w:rPr>
              <w:t>Improve prospects for economic growth through aid for trade</w:t>
            </w:r>
          </w:p>
        </w:tc>
        <w:tc>
          <w:tcPr>
            <w:tcW w:w="1189" w:type="pct"/>
            <w:tcBorders>
              <w:top w:val="single" w:sz="4" w:space="0" w:color="auto"/>
              <w:left w:val="single" w:sz="4" w:space="0" w:color="auto"/>
              <w:bottom w:val="single" w:sz="4" w:space="0" w:color="auto"/>
              <w:right w:val="single" w:sz="4" w:space="0" w:color="auto"/>
            </w:tcBorders>
          </w:tcPr>
          <w:p w:rsidR="00854855" w:rsidRDefault="00854855" w:rsidP="00165B95">
            <w:pPr>
              <w:pStyle w:val="TableTextEntries"/>
            </w:pPr>
            <w:r>
              <w:t>Increase aid for trade expenditure to progress towards the global target of 20</w:t>
            </w:r>
            <w:r w:rsidR="00670871">
              <w:t xml:space="preserve"> per cent</w:t>
            </w:r>
            <w:r>
              <w:t xml:space="preserve"> of bilateral expenditure by 2020.</w:t>
            </w:r>
          </w:p>
          <w:p w:rsidR="00854855" w:rsidRPr="003371F7" w:rsidRDefault="00854855" w:rsidP="00165B95">
            <w:pPr>
              <w:pStyle w:val="TableTextEntries"/>
            </w:pPr>
          </w:p>
        </w:tc>
        <w:tc>
          <w:tcPr>
            <w:tcW w:w="2622" w:type="pct"/>
            <w:tcBorders>
              <w:top w:val="single" w:sz="4" w:space="0" w:color="auto"/>
              <w:left w:val="single" w:sz="4" w:space="0" w:color="auto"/>
              <w:bottom w:val="single" w:sz="4" w:space="0" w:color="auto"/>
              <w:right w:val="single" w:sz="4" w:space="0" w:color="auto"/>
            </w:tcBorders>
          </w:tcPr>
          <w:p w:rsidR="00854855" w:rsidRPr="003371F7" w:rsidRDefault="00854855" w:rsidP="00165B95">
            <w:pPr>
              <w:pStyle w:val="TableTextEntries"/>
            </w:pPr>
            <w:r>
              <w:t>Exports of commodities remain key to economic growth and government revenue in Solomon Islands. Australia will continue to support export industries in Solomon Islands through effective regulations and legislation, targeted practical support to key export sectors to improve product quality and targeting lucrative markets, and infrastructure that enables people to reach markets.</w:t>
            </w:r>
          </w:p>
        </w:tc>
      </w:tr>
    </w:tbl>
    <w:p w:rsidR="00FB0505" w:rsidRDefault="00FB0505">
      <w:pPr>
        <w:spacing w:after="200" w:line="276" w:lineRule="auto"/>
        <w:rPr>
          <w:szCs w:val="20"/>
        </w:rPr>
      </w:pPr>
    </w:p>
    <w:p w:rsidR="00D75477" w:rsidRDefault="00FB0505">
      <w:pPr>
        <w:spacing w:after="200" w:line="276" w:lineRule="auto"/>
        <w:rPr>
          <w:szCs w:val="20"/>
        </w:rPr>
      </w:pPr>
      <w:r>
        <w:rPr>
          <w:szCs w:val="20"/>
        </w:rPr>
        <w:t>Note: Education benchmark will be developed for the AIP.</w:t>
      </w:r>
      <w:r w:rsidR="00D75477">
        <w:rPr>
          <w:szCs w:val="20"/>
        </w:rPr>
        <w:br w:type="page"/>
      </w:r>
    </w:p>
    <w:p w:rsidR="000D733F" w:rsidRDefault="00D75477" w:rsidP="00AC6D63">
      <w:pPr>
        <w:pStyle w:val="Heading2"/>
        <w:spacing w:before="120"/>
        <w:rPr>
          <w:sz w:val="28"/>
        </w:rPr>
      </w:pPr>
      <w:r w:rsidRPr="00D75477">
        <w:rPr>
          <w:sz w:val="28"/>
        </w:rPr>
        <w:lastRenderedPageBreak/>
        <w:t>Attachment 1</w:t>
      </w:r>
    </w:p>
    <w:p w:rsidR="008A7232" w:rsidRPr="008A7232" w:rsidRDefault="00D75477" w:rsidP="00AC6D63">
      <w:pPr>
        <w:pStyle w:val="Heading2"/>
        <w:spacing w:before="120"/>
        <w:rPr>
          <w:sz w:val="28"/>
        </w:rPr>
      </w:pPr>
      <w:r w:rsidRPr="00D75477">
        <w:rPr>
          <w:sz w:val="28"/>
        </w:rPr>
        <w:t>Progress against sector PAFs</w:t>
      </w:r>
      <w:r w:rsidR="008A7232">
        <w:rPr>
          <w:sz w:val="28"/>
        </w:rPr>
        <w:t xml:space="preserve">: </w:t>
      </w:r>
      <w:r w:rsidR="008A7232" w:rsidRPr="00AC6D63">
        <w:rPr>
          <w:sz w:val="28"/>
        </w:rPr>
        <w:t>Service Delivery - Education</w:t>
      </w:r>
    </w:p>
    <w:p w:rsidR="008A7232" w:rsidRDefault="008A7232" w:rsidP="008A7232"/>
    <w:tbl>
      <w:tblPr>
        <w:tblStyle w:val="TableGrid"/>
        <w:tblW w:w="0" w:type="auto"/>
        <w:tblLook w:val="04A0" w:firstRow="1" w:lastRow="0" w:firstColumn="1" w:lastColumn="0" w:noHBand="0" w:noVBand="1"/>
      </w:tblPr>
      <w:tblGrid>
        <w:gridCol w:w="5495"/>
        <w:gridCol w:w="8363"/>
      </w:tblGrid>
      <w:tr w:rsidR="008A7232" w:rsidTr="008A7232">
        <w:tc>
          <w:tcPr>
            <w:tcW w:w="5495" w:type="dxa"/>
          </w:tcPr>
          <w:p w:rsidR="008A7232" w:rsidRPr="00BE3230" w:rsidRDefault="008A7232" w:rsidP="00404A9B">
            <w:pPr>
              <w:rPr>
                <w:rFonts w:asciiTheme="minorHAnsi" w:hAnsiTheme="minorHAnsi" w:cstheme="minorHAnsi"/>
              </w:rPr>
            </w:pPr>
            <w:r w:rsidRPr="00BE3230">
              <w:rPr>
                <w:rFonts w:asciiTheme="minorHAnsi" w:hAnsiTheme="minorHAnsi" w:cstheme="minorHAnsi"/>
              </w:rPr>
              <w:t>PAF targets 2013-14</w:t>
            </w:r>
          </w:p>
        </w:tc>
        <w:tc>
          <w:tcPr>
            <w:tcW w:w="8363" w:type="dxa"/>
          </w:tcPr>
          <w:p w:rsidR="008A7232" w:rsidRPr="00BE3230" w:rsidRDefault="008A7232" w:rsidP="00404A9B">
            <w:pPr>
              <w:rPr>
                <w:rFonts w:asciiTheme="minorHAnsi" w:hAnsiTheme="minorHAnsi" w:cstheme="minorHAnsi"/>
              </w:rPr>
            </w:pPr>
            <w:r w:rsidRPr="00BE3230">
              <w:rPr>
                <w:rFonts w:asciiTheme="minorHAnsi" w:hAnsiTheme="minorHAnsi" w:cstheme="minorHAnsi"/>
              </w:rPr>
              <w:t>QAI and Joint Annual Review</w:t>
            </w:r>
          </w:p>
        </w:tc>
      </w:tr>
      <w:tr w:rsidR="008A7232" w:rsidTr="00AD5CA9">
        <w:tc>
          <w:tcPr>
            <w:tcW w:w="5495" w:type="dxa"/>
          </w:tcPr>
          <w:p w:rsidR="008A7232" w:rsidRPr="00BE3230" w:rsidRDefault="008A7232" w:rsidP="00AD5CA9">
            <w:pPr>
              <w:rPr>
                <w:rFonts w:asciiTheme="minorHAnsi" w:hAnsiTheme="minorHAnsi" w:cstheme="minorHAnsi"/>
              </w:rPr>
            </w:pPr>
            <w:r w:rsidRPr="00BE3230">
              <w:rPr>
                <w:rFonts w:asciiTheme="minorHAnsi" w:hAnsiTheme="minorHAnsi" w:cstheme="minorHAnsi"/>
              </w:rPr>
              <w:t>Literacy and numeracy rates for year 4 as baseline established</w:t>
            </w:r>
          </w:p>
          <w:p w:rsidR="008A7232" w:rsidRPr="00BE3230" w:rsidRDefault="008A7232" w:rsidP="00AD5CA9">
            <w:pPr>
              <w:rPr>
                <w:rFonts w:asciiTheme="minorHAnsi" w:hAnsiTheme="minorHAnsi" w:cstheme="minorHAnsi"/>
              </w:rPr>
            </w:pPr>
          </w:p>
          <w:p w:rsidR="008A7232" w:rsidRPr="00BE3230" w:rsidRDefault="008A7232" w:rsidP="00AD5CA9">
            <w:pPr>
              <w:rPr>
                <w:rFonts w:asciiTheme="minorHAnsi" w:hAnsiTheme="minorHAnsi" w:cstheme="minorHAnsi"/>
              </w:rPr>
            </w:pPr>
          </w:p>
          <w:p w:rsidR="008A7232" w:rsidRPr="00BE3230" w:rsidRDefault="008A7232" w:rsidP="00AD5CA9">
            <w:pPr>
              <w:rPr>
                <w:rFonts w:asciiTheme="minorHAnsi" w:hAnsiTheme="minorHAnsi" w:cstheme="minorHAnsi"/>
              </w:rPr>
            </w:pPr>
          </w:p>
          <w:p w:rsidR="008A7232" w:rsidRPr="00BE3230" w:rsidRDefault="008A7232" w:rsidP="00AD5CA9">
            <w:pPr>
              <w:rPr>
                <w:rFonts w:asciiTheme="minorHAnsi" w:hAnsiTheme="minorHAnsi" w:cstheme="minorHAnsi"/>
              </w:rPr>
            </w:pPr>
            <w:r w:rsidRPr="00BE3230">
              <w:rPr>
                <w:rFonts w:asciiTheme="minorHAnsi" w:hAnsiTheme="minorHAnsi" w:cstheme="minorHAnsi"/>
              </w:rPr>
              <w:t xml:space="preserve">Plan developed  to support  teaching of literacy as part of teacher professional development </w:t>
            </w:r>
          </w:p>
        </w:tc>
        <w:tc>
          <w:tcPr>
            <w:tcW w:w="8363" w:type="dxa"/>
          </w:tcPr>
          <w:p w:rsidR="008A7232" w:rsidRPr="00BE3230" w:rsidRDefault="00056438" w:rsidP="00404A9B">
            <w:pPr>
              <w:rPr>
                <w:rFonts w:asciiTheme="minorHAnsi" w:hAnsiTheme="minorHAnsi" w:cstheme="minorHAnsi"/>
              </w:rPr>
            </w:pPr>
            <w:r w:rsidRPr="00056438">
              <w:rPr>
                <w:rFonts w:asciiTheme="minorHAnsi" w:hAnsiTheme="minorHAnsi" w:cstheme="minorHAnsi"/>
              </w:rPr>
              <w:t>Revised Year 4 and Year 6 SISTA assessment for literacy and numeracy piloted, and implemented in October 2013, which showed large increases in functional literacy and numeracy rates.</w:t>
            </w:r>
            <w:r w:rsidR="008A7232" w:rsidRPr="00BE3230">
              <w:rPr>
                <w:rFonts w:asciiTheme="minorHAnsi" w:hAnsiTheme="minorHAnsi" w:cstheme="minorHAnsi"/>
              </w:rPr>
              <w:t xml:space="preserve">  The Ministry will now begin the process of dissemination of the results to schools from the assessment in 2014.</w:t>
            </w:r>
          </w:p>
          <w:p w:rsidR="008A7232" w:rsidRPr="00BE3230" w:rsidRDefault="008A7232" w:rsidP="00404A9B">
            <w:pPr>
              <w:rPr>
                <w:rFonts w:asciiTheme="minorHAnsi" w:hAnsiTheme="minorHAnsi" w:cstheme="minorHAnsi"/>
              </w:rPr>
            </w:pPr>
            <w:r w:rsidRPr="00BE3230">
              <w:rPr>
                <w:rFonts w:asciiTheme="minorHAnsi" w:hAnsiTheme="minorHAnsi" w:cstheme="minorHAnsi"/>
              </w:rPr>
              <w:t>A focus on literacy improvements in 2013 has resulted in the National Literacy Policy and schools Literacy Strategy, the establishment of the Literacy Technical Working Group, and a plan for a Literacy Program Management Unit, to coordinate the various initiatives underway.</w:t>
            </w:r>
          </w:p>
        </w:tc>
      </w:tr>
      <w:tr w:rsidR="008A7232" w:rsidTr="008A7232">
        <w:tc>
          <w:tcPr>
            <w:tcW w:w="5495" w:type="dxa"/>
            <w:vAlign w:val="center"/>
          </w:tcPr>
          <w:p w:rsidR="008A7232" w:rsidRPr="00BE3230" w:rsidRDefault="008A7232" w:rsidP="00404A9B">
            <w:pPr>
              <w:rPr>
                <w:rFonts w:asciiTheme="minorHAnsi" w:hAnsiTheme="minorHAnsi" w:cstheme="minorHAnsi"/>
              </w:rPr>
            </w:pPr>
            <w:r w:rsidRPr="00BE3230">
              <w:rPr>
                <w:rFonts w:asciiTheme="minorHAnsi" w:hAnsiTheme="minorHAnsi" w:cstheme="minorHAnsi"/>
              </w:rPr>
              <w:t>Public Expenditure Analysis of MEHRD informs the 2014 budget preparation process to ensure adequate allocation to primary education</w:t>
            </w:r>
          </w:p>
          <w:p w:rsidR="008A7232" w:rsidRPr="00BE3230" w:rsidRDefault="008A7232" w:rsidP="00404A9B">
            <w:pPr>
              <w:spacing w:beforeLines="20" w:before="48" w:afterLines="20" w:after="48"/>
              <w:rPr>
                <w:rFonts w:asciiTheme="minorHAnsi" w:hAnsiTheme="minorHAnsi" w:cstheme="minorHAnsi"/>
              </w:rPr>
            </w:pPr>
          </w:p>
        </w:tc>
        <w:tc>
          <w:tcPr>
            <w:tcW w:w="8363" w:type="dxa"/>
          </w:tcPr>
          <w:p w:rsidR="008A7232" w:rsidRPr="00BE3230" w:rsidRDefault="008A7232" w:rsidP="00404A9B">
            <w:pPr>
              <w:rPr>
                <w:rFonts w:asciiTheme="minorHAnsi" w:hAnsiTheme="minorHAnsi" w:cstheme="minorHAnsi"/>
              </w:rPr>
            </w:pPr>
            <w:r w:rsidRPr="00BE3230">
              <w:rPr>
                <w:rFonts w:asciiTheme="minorHAnsi" w:hAnsiTheme="minorHAnsi" w:cstheme="minorHAnsi"/>
              </w:rPr>
              <w:t>At the Joint Annual review of the letter of Arrangement, independent assessment of the targets shows that MEHRD has not achieved the target for per unit cost of primary education. The increase of 1.1 per cent was not enough to include inflation.  (per unit cost of primary education is at least equal to the 2012 per unit cost of primary education (SBD1769), indexed to inflation)</w:t>
            </w:r>
          </w:p>
        </w:tc>
      </w:tr>
      <w:tr w:rsidR="008A7232" w:rsidTr="00AD5CA9">
        <w:tc>
          <w:tcPr>
            <w:tcW w:w="5495" w:type="dxa"/>
          </w:tcPr>
          <w:p w:rsidR="008A7232" w:rsidRPr="00BE3230" w:rsidRDefault="008A7232" w:rsidP="00AD5CA9">
            <w:pPr>
              <w:rPr>
                <w:rFonts w:asciiTheme="minorHAnsi" w:hAnsiTheme="minorHAnsi" w:cstheme="minorHAnsi"/>
              </w:rPr>
            </w:pPr>
            <w:r w:rsidRPr="00BE3230">
              <w:rPr>
                <w:rFonts w:asciiTheme="minorHAnsi" w:hAnsiTheme="minorHAnsi" w:cstheme="minorHAnsi"/>
              </w:rPr>
              <w:t>Strategies to increase on-time retirements (acquittals) of school grants are agreed and implemented</w:t>
            </w:r>
          </w:p>
          <w:p w:rsidR="008A7232" w:rsidRPr="00BE3230" w:rsidRDefault="008A7232" w:rsidP="00AD5CA9">
            <w:pPr>
              <w:rPr>
                <w:rFonts w:asciiTheme="minorHAnsi" w:hAnsiTheme="minorHAnsi" w:cstheme="minorHAnsi"/>
              </w:rPr>
            </w:pPr>
          </w:p>
          <w:p w:rsidR="008A7232" w:rsidRPr="00BE3230" w:rsidRDefault="008A7232" w:rsidP="00AD5CA9">
            <w:pPr>
              <w:rPr>
                <w:rFonts w:asciiTheme="minorHAnsi" w:hAnsiTheme="minorHAnsi" w:cstheme="minorHAnsi"/>
              </w:rPr>
            </w:pPr>
            <w:r w:rsidRPr="00BE3230">
              <w:rPr>
                <w:rFonts w:asciiTheme="minorHAnsi" w:hAnsiTheme="minorHAnsi" w:cstheme="minorHAnsi"/>
              </w:rPr>
              <w:t>PFM Action Plan reforms are implemented as planned</w:t>
            </w:r>
          </w:p>
        </w:tc>
        <w:tc>
          <w:tcPr>
            <w:tcW w:w="8363" w:type="dxa"/>
          </w:tcPr>
          <w:p w:rsidR="008A7232" w:rsidRPr="00BE3230" w:rsidRDefault="008A7232" w:rsidP="00404A9B">
            <w:pPr>
              <w:rPr>
                <w:rFonts w:asciiTheme="minorHAnsi" w:hAnsiTheme="minorHAnsi" w:cstheme="minorHAnsi"/>
              </w:rPr>
            </w:pPr>
            <w:r w:rsidRPr="00BE3230">
              <w:rPr>
                <w:rFonts w:asciiTheme="minorHAnsi" w:hAnsiTheme="minorHAnsi" w:cstheme="minorHAnsi"/>
              </w:rPr>
              <w:t xml:space="preserve">MEHRD established a baseline for on-time retirement which will form the basis of measuring future year’s progress against this target. </w:t>
            </w: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r w:rsidRPr="00BE3230">
              <w:rPr>
                <w:rFonts w:asciiTheme="minorHAnsi" w:hAnsiTheme="minorHAnsi" w:cstheme="minorHAnsi"/>
              </w:rPr>
              <w:t>While MEHRD Executive had endorsed the action plan, and made good progress with its planned reforms, it did not complete the reforms relating to imprest and establishment of asset registers.</w:t>
            </w:r>
          </w:p>
        </w:tc>
      </w:tr>
      <w:tr w:rsidR="008A7232" w:rsidTr="00AD5CA9">
        <w:tc>
          <w:tcPr>
            <w:tcW w:w="5495" w:type="dxa"/>
          </w:tcPr>
          <w:p w:rsidR="008A7232" w:rsidRPr="00BE3230" w:rsidRDefault="008A7232" w:rsidP="00AD5CA9">
            <w:pPr>
              <w:rPr>
                <w:rFonts w:asciiTheme="minorHAnsi" w:hAnsiTheme="minorHAnsi" w:cstheme="minorHAnsi"/>
              </w:rPr>
            </w:pPr>
            <w:r w:rsidRPr="00BE3230">
              <w:rPr>
                <w:rFonts w:asciiTheme="minorHAnsi" w:hAnsiTheme="minorHAnsi" w:cstheme="minorHAnsi"/>
              </w:rPr>
              <w:t>Quality review team contracted, implementation on time</w:t>
            </w:r>
          </w:p>
          <w:p w:rsidR="008A7232" w:rsidRPr="00BE3230" w:rsidRDefault="008A7232" w:rsidP="00AD5CA9">
            <w:pPr>
              <w:rPr>
                <w:rFonts w:asciiTheme="minorHAnsi" w:hAnsiTheme="minorHAnsi" w:cstheme="minorHAnsi"/>
              </w:rPr>
            </w:pPr>
          </w:p>
          <w:p w:rsidR="008A7232" w:rsidRPr="00BE3230" w:rsidRDefault="008A7232" w:rsidP="00AD5CA9">
            <w:pPr>
              <w:rPr>
                <w:rFonts w:asciiTheme="minorHAnsi" w:hAnsiTheme="minorHAnsi" w:cstheme="minorHAnsi"/>
              </w:rPr>
            </w:pPr>
          </w:p>
          <w:p w:rsidR="008A7232" w:rsidRPr="00BE3230" w:rsidRDefault="008A7232" w:rsidP="00AD5CA9">
            <w:pPr>
              <w:rPr>
                <w:rFonts w:asciiTheme="minorHAnsi" w:hAnsiTheme="minorHAnsi" w:cstheme="minorHAnsi"/>
              </w:rPr>
            </w:pPr>
            <w:r w:rsidRPr="00BE3230">
              <w:rPr>
                <w:rFonts w:asciiTheme="minorHAnsi" w:hAnsiTheme="minorHAnsi" w:cstheme="minorHAnsi"/>
              </w:rPr>
              <w:t>Understanding of labour market needs, skills gaps and baselines for TVET and tertiary enrolment established</w:t>
            </w:r>
          </w:p>
        </w:tc>
        <w:tc>
          <w:tcPr>
            <w:tcW w:w="8363" w:type="dxa"/>
          </w:tcPr>
          <w:p w:rsidR="008A7232" w:rsidRPr="00BE3230" w:rsidRDefault="008A7232" w:rsidP="00404A9B">
            <w:pPr>
              <w:rPr>
                <w:rFonts w:asciiTheme="minorHAnsi" w:hAnsiTheme="minorHAnsi" w:cstheme="minorHAnsi"/>
              </w:rPr>
            </w:pPr>
            <w:r w:rsidRPr="00BE3230">
              <w:rPr>
                <w:rFonts w:asciiTheme="minorHAnsi" w:hAnsiTheme="minorHAnsi" w:cstheme="minorHAnsi"/>
              </w:rPr>
              <w:t>SINU has not requested a quality review of all of its systems and this activity is now delayed until the new Education Sector Support Program is in place.  It is expected that each course area will be quality assured as it is redeveloped, rather than a systemic review.</w:t>
            </w: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r w:rsidRPr="00BE3230">
              <w:rPr>
                <w:rFonts w:asciiTheme="minorHAnsi" w:hAnsiTheme="minorHAnsi" w:cstheme="minorHAnsi"/>
              </w:rPr>
              <w:t>In 2013, the program completed planned labour market mobility analysis and gained a deeper understanding of the dynamics between the demand for skilled workers and the ability of training systems to meet industry requirements.  Baselines have been developed from which progress can be measured.</w:t>
            </w:r>
          </w:p>
        </w:tc>
      </w:tr>
    </w:tbl>
    <w:p w:rsidR="00021E03" w:rsidRDefault="00021E03" w:rsidP="00AC6D63">
      <w:pPr>
        <w:pStyle w:val="Heading2"/>
        <w:spacing w:before="120"/>
        <w:rPr>
          <w:sz w:val="28"/>
        </w:rPr>
      </w:pPr>
    </w:p>
    <w:p w:rsidR="00021E03" w:rsidRDefault="00021E03">
      <w:pPr>
        <w:spacing w:after="200" w:line="276" w:lineRule="auto"/>
        <w:rPr>
          <w:rFonts w:ascii="Helvetica" w:eastAsia="Times New Roman" w:hAnsi="Helvetica" w:cs="Arial"/>
          <w:color w:val="007FAD"/>
          <w:kern w:val="28"/>
          <w:sz w:val="28"/>
          <w:szCs w:val="28"/>
        </w:rPr>
      </w:pPr>
      <w:r>
        <w:rPr>
          <w:sz w:val="28"/>
        </w:rPr>
        <w:br w:type="page"/>
      </w:r>
    </w:p>
    <w:p w:rsidR="008A7232" w:rsidRDefault="008A7232" w:rsidP="00AC6D63">
      <w:pPr>
        <w:pStyle w:val="Heading2"/>
        <w:spacing w:before="120"/>
        <w:rPr>
          <w:sz w:val="28"/>
        </w:rPr>
      </w:pPr>
      <w:r w:rsidRPr="00D75477">
        <w:rPr>
          <w:sz w:val="28"/>
        </w:rPr>
        <w:lastRenderedPageBreak/>
        <w:t xml:space="preserve">Attachment </w:t>
      </w:r>
      <w:r>
        <w:rPr>
          <w:sz w:val="28"/>
        </w:rPr>
        <w:t>2</w:t>
      </w:r>
    </w:p>
    <w:p w:rsidR="008A7232" w:rsidRPr="008A7232" w:rsidRDefault="008A7232" w:rsidP="00AC6D63">
      <w:pPr>
        <w:pStyle w:val="Heading2"/>
        <w:spacing w:before="120"/>
        <w:rPr>
          <w:sz w:val="28"/>
        </w:rPr>
      </w:pPr>
      <w:r w:rsidRPr="00D75477">
        <w:rPr>
          <w:sz w:val="28"/>
        </w:rPr>
        <w:t>Progress against sector PAFs</w:t>
      </w:r>
      <w:r>
        <w:rPr>
          <w:sz w:val="28"/>
        </w:rPr>
        <w:t xml:space="preserve">: </w:t>
      </w:r>
      <w:r w:rsidRPr="00AC6D63">
        <w:rPr>
          <w:sz w:val="28"/>
        </w:rPr>
        <w:t>Service Delivery - Health</w:t>
      </w:r>
    </w:p>
    <w:tbl>
      <w:tblPr>
        <w:tblStyle w:val="TableGrid"/>
        <w:tblW w:w="0" w:type="auto"/>
        <w:tblLook w:val="04A0" w:firstRow="1" w:lastRow="0" w:firstColumn="1" w:lastColumn="0" w:noHBand="0" w:noVBand="1"/>
      </w:tblPr>
      <w:tblGrid>
        <w:gridCol w:w="5495"/>
        <w:gridCol w:w="8363"/>
      </w:tblGrid>
      <w:tr w:rsidR="008A7232" w:rsidRPr="00944169" w:rsidTr="008A7232">
        <w:tc>
          <w:tcPr>
            <w:tcW w:w="5495" w:type="dxa"/>
          </w:tcPr>
          <w:p w:rsidR="008A7232" w:rsidRPr="00944169" w:rsidRDefault="008A7232" w:rsidP="00404A9B">
            <w:pPr>
              <w:rPr>
                <w:rFonts w:asciiTheme="minorHAnsi" w:hAnsiTheme="minorHAnsi" w:cstheme="minorHAnsi"/>
                <w:sz w:val="22"/>
                <w:szCs w:val="22"/>
              </w:rPr>
            </w:pPr>
            <w:r w:rsidRPr="00944169">
              <w:rPr>
                <w:rFonts w:asciiTheme="minorHAnsi" w:hAnsiTheme="minorHAnsi" w:cstheme="minorHAnsi"/>
                <w:sz w:val="22"/>
                <w:szCs w:val="22"/>
              </w:rPr>
              <w:t>PAF</w:t>
            </w:r>
          </w:p>
        </w:tc>
        <w:tc>
          <w:tcPr>
            <w:tcW w:w="8363" w:type="dxa"/>
          </w:tcPr>
          <w:p w:rsidR="008A7232" w:rsidRPr="00944169" w:rsidRDefault="008A7232" w:rsidP="00404A9B">
            <w:pPr>
              <w:rPr>
                <w:rFonts w:asciiTheme="minorHAnsi" w:hAnsiTheme="minorHAnsi" w:cstheme="minorHAnsi"/>
                <w:sz w:val="22"/>
                <w:szCs w:val="22"/>
              </w:rPr>
            </w:pPr>
            <w:r w:rsidRPr="00944169">
              <w:rPr>
                <w:rFonts w:asciiTheme="minorHAnsi" w:hAnsiTheme="minorHAnsi" w:cstheme="minorHAnsi"/>
                <w:sz w:val="22"/>
                <w:szCs w:val="22"/>
              </w:rPr>
              <w:t>QAI</w:t>
            </w:r>
          </w:p>
        </w:tc>
      </w:tr>
      <w:tr w:rsidR="008A7232" w:rsidRPr="00944169" w:rsidTr="00021E03">
        <w:trPr>
          <w:trHeight w:val="560"/>
        </w:trPr>
        <w:tc>
          <w:tcPr>
            <w:tcW w:w="5495" w:type="dxa"/>
          </w:tcPr>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 xml:space="preserve">Increased access to essential health services, including an adequately staffed and stocked health facility </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 xml:space="preserve">Availability of critical and essential medicines at the provincial level increased to 80 per cent. </w:t>
            </w:r>
          </w:p>
          <w:p w:rsidR="008A7232" w:rsidRPr="00BE3230" w:rsidRDefault="008A7232" w:rsidP="002C33E9">
            <w:pPr>
              <w:spacing w:after="120"/>
              <w:rPr>
                <w:rFonts w:asciiTheme="minorHAnsi" w:hAnsiTheme="minorHAnsi" w:cstheme="minorHAnsi"/>
                <w:szCs w:val="20"/>
              </w:rPr>
            </w:pPr>
          </w:p>
          <w:p w:rsidR="008A7232" w:rsidRPr="00BE3230" w:rsidRDefault="008A7232" w:rsidP="002C33E9">
            <w:pPr>
              <w:spacing w:after="120"/>
              <w:rPr>
                <w:rFonts w:asciiTheme="minorHAnsi" w:hAnsiTheme="minorHAnsi" w:cstheme="minorHAnsi"/>
                <w:szCs w:val="20"/>
              </w:rPr>
            </w:pPr>
          </w:p>
          <w:p w:rsidR="008A7232" w:rsidRPr="00BE3230" w:rsidRDefault="008A7232" w:rsidP="002C33E9">
            <w:pPr>
              <w:spacing w:after="120"/>
              <w:rPr>
                <w:rFonts w:asciiTheme="minorHAnsi" w:hAnsiTheme="minorHAnsi" w:cstheme="minorHAnsi"/>
                <w:szCs w:val="20"/>
              </w:rPr>
            </w:pPr>
          </w:p>
          <w:p w:rsidR="008A7232" w:rsidRPr="00BE3230" w:rsidRDefault="008A7232" w:rsidP="002C33E9">
            <w:pPr>
              <w:spacing w:after="120"/>
              <w:rPr>
                <w:rFonts w:asciiTheme="minorHAnsi" w:hAnsiTheme="minorHAnsi" w:cstheme="minorHAnsi"/>
                <w:szCs w:val="20"/>
              </w:rPr>
            </w:pP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 xml:space="preserve">Number of maternal deaths reduced to 15, with associated decrease in maternal mortality rate. </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Infant mortality rate reduced to less than 20/1000.</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More informed budget resource allocation process.</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Efficiency savings through more transparent procurement processes</w:t>
            </w:r>
          </w:p>
          <w:p w:rsidR="008A7232" w:rsidRPr="00BE3230" w:rsidRDefault="008A7232" w:rsidP="002C33E9">
            <w:pPr>
              <w:spacing w:after="120"/>
              <w:rPr>
                <w:rFonts w:asciiTheme="minorHAnsi" w:hAnsiTheme="minorHAnsi" w:cstheme="minorHAnsi"/>
                <w:szCs w:val="20"/>
              </w:rPr>
            </w:pP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 xml:space="preserve">Stronger internal audit capacity. </w:t>
            </w:r>
          </w:p>
          <w:p w:rsidR="008A7232" w:rsidRPr="00BE3230" w:rsidRDefault="008A7232" w:rsidP="002C33E9">
            <w:pPr>
              <w:spacing w:after="120"/>
              <w:rPr>
                <w:rFonts w:asciiTheme="minorHAnsi" w:hAnsiTheme="minorHAnsi" w:cstheme="minorHAnsi"/>
                <w:szCs w:val="20"/>
              </w:rPr>
            </w:pPr>
          </w:p>
        </w:tc>
        <w:tc>
          <w:tcPr>
            <w:tcW w:w="8363" w:type="dxa"/>
          </w:tcPr>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The quality and coverage of essential primary health interventions was largely maintained in 2013, with some notable gains. (2)</w:t>
            </w:r>
          </w:p>
          <w:p w:rsidR="008A7232" w:rsidRPr="00BE3230" w:rsidRDefault="008A7232" w:rsidP="002C33E9">
            <w:pPr>
              <w:spacing w:after="120"/>
              <w:rPr>
                <w:rFonts w:asciiTheme="minorHAnsi" w:hAnsiTheme="minorHAnsi" w:cstheme="minorHAnsi"/>
                <w:i/>
                <w:szCs w:val="20"/>
              </w:rPr>
            </w:pPr>
            <w:r w:rsidRPr="00BE3230">
              <w:rPr>
                <w:rFonts w:asciiTheme="minorHAnsi" w:hAnsiTheme="minorHAnsi" w:cstheme="minorHAnsi"/>
                <w:szCs w:val="20"/>
              </w:rPr>
              <w:t>Target to improve availability at the provincial level was met. with 88.7</w:t>
            </w:r>
            <w:r w:rsidR="00670871">
              <w:rPr>
                <w:rFonts w:asciiTheme="minorHAnsi" w:hAnsiTheme="minorHAnsi" w:cstheme="minorHAnsi"/>
                <w:szCs w:val="20"/>
              </w:rPr>
              <w:t xml:space="preserve"> per cent</w:t>
            </w:r>
            <w:r w:rsidRPr="00BE3230">
              <w:rPr>
                <w:rFonts w:asciiTheme="minorHAnsi" w:hAnsiTheme="minorHAnsi" w:cstheme="minorHAnsi"/>
                <w:szCs w:val="20"/>
              </w:rPr>
              <w:t xml:space="preserve"> reported availability in 2013 (Source NMS Annual Report and verified by Independent Performance Assessment, May 14). </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Availability of critical drugs and consumables at the national level has also increased from 73.8 per cent in 2010 and 81 per cent in 2011, 91 per cent in 2012 to 94 per cent in 2013.  (source: NMS annual report). In 2014 we will support the MHMS roll-out the new distribution network to Afio (South Malaita), Seghe (Morovo Lagoon) and Guadalcanal Province.</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 xml:space="preserve">Maternal death target met. There were 15 maternal deaths reported in 2013 out of 6,936 reported live births. This result continues the downward trend  in maternal deaths in Solomon Islands.  (Source: DHIS and MHMS Core Indicator Set).  </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Under 5 mortality has declined to 10.6 per 1,000 in 2013 from over per 1,000 in 2010.</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 xml:space="preserve">For the first time Costed Annual Operational Plans were linked to budget ceilings.  </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 xml:space="preserve">Well-functioning Budget &amp; Planning Sub-committee submitted the MHMS Budget proposal within funding ceiling and on time (MHMS was the first ministry to submit a budget in 2013 </w:t>
            </w:r>
            <w:r w:rsidR="002C33E9">
              <w:rPr>
                <w:rFonts w:asciiTheme="minorHAnsi" w:hAnsiTheme="minorHAnsi" w:cstheme="minorHAnsi"/>
                <w:szCs w:val="20"/>
              </w:rPr>
              <w:t xml:space="preserve">(last </w:t>
            </w:r>
            <w:r w:rsidRPr="00BE3230">
              <w:rPr>
                <w:rFonts w:asciiTheme="minorHAnsi" w:hAnsiTheme="minorHAnsi" w:cstheme="minorHAnsi"/>
                <w:szCs w:val="20"/>
              </w:rPr>
              <w:t>In 2012).</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Need to further strengthen procurement: MHMS suffered inefficiencies from slow implementation particularly in the area of infrastructure, with bottlenecks occurring during MHMS and MoFT procurement, contracting and payment processes. (3)</w:t>
            </w:r>
          </w:p>
          <w:p w:rsidR="008A7232" w:rsidRPr="00021E03" w:rsidRDefault="008A7232" w:rsidP="002C33E9">
            <w:pPr>
              <w:spacing w:after="120"/>
              <w:rPr>
                <w:rFonts w:asciiTheme="minorHAnsi" w:hAnsiTheme="minorHAnsi" w:cstheme="minorHAnsi"/>
                <w:szCs w:val="20"/>
              </w:rPr>
            </w:pPr>
            <w:r w:rsidRPr="00BE3230">
              <w:rPr>
                <w:rFonts w:asciiTheme="minorHAnsi" w:hAnsiTheme="minorHAnsi" w:cstheme="minorHAnsi"/>
                <w:szCs w:val="20"/>
              </w:rPr>
              <w:t>Fraud cases being investigated and internal controls being strengthened.  An Internal Auditor is in place in MHMS and MOFT</w:t>
            </w:r>
            <w:r w:rsidR="002C33E9">
              <w:rPr>
                <w:rFonts w:asciiTheme="minorHAnsi" w:hAnsiTheme="minorHAnsi" w:cstheme="minorHAnsi"/>
                <w:szCs w:val="20"/>
              </w:rPr>
              <w:t xml:space="preserve">. </w:t>
            </w:r>
            <w:r w:rsidRPr="00BE3230">
              <w:rPr>
                <w:rFonts w:asciiTheme="minorHAnsi" w:hAnsiTheme="minorHAnsi" w:cstheme="minorHAnsi"/>
                <w:szCs w:val="20"/>
              </w:rPr>
              <w:t>75 per cent of the HR establishment audit was completed.</w:t>
            </w:r>
          </w:p>
        </w:tc>
      </w:tr>
      <w:tr w:rsidR="008A7232" w:rsidRPr="00944169" w:rsidTr="002C33E9">
        <w:trPr>
          <w:trHeight w:val="1355"/>
        </w:trPr>
        <w:tc>
          <w:tcPr>
            <w:tcW w:w="5495" w:type="dxa"/>
          </w:tcPr>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Malaria incidence rate reduced to 42/1000</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Malaria related mortality rate reduced to 1/100,000</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Availability of rapid diagnostic testing or microscopy maintained in at least 97 per cent of health facilities</w:t>
            </w:r>
          </w:p>
        </w:tc>
        <w:tc>
          <w:tcPr>
            <w:tcW w:w="8363" w:type="dxa"/>
          </w:tcPr>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The incidence of malaria has fallen from 199 cases per 1,000 people in 2003; to 45 cases per 1,000 in 2013.  This target was not met in 2013 and incidence has plateaued.  Malaria related mortality rates continue their trend downwards (Source: MIS).</w:t>
            </w:r>
          </w:p>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Proportion of clinics with rapid diagnostic tests or microscopes increased to 97 per cent (from 80 per cent in 2010). Over 107,000 prescriptions of antimalarial medication were distributed in 2013.</w:t>
            </w:r>
          </w:p>
        </w:tc>
      </w:tr>
      <w:tr w:rsidR="008A7232" w:rsidRPr="00944169" w:rsidTr="00BE3230">
        <w:trPr>
          <w:trHeight w:val="1094"/>
        </w:trPr>
        <w:tc>
          <w:tcPr>
            <w:tcW w:w="5495" w:type="dxa"/>
          </w:tcPr>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lastRenderedPageBreak/>
              <w:t xml:space="preserve">An approximate 2 per cent increase in access to clean water and basic sanitation (connecting an estimated 10,000 additional rural people to safe water and basic sanitation). </w:t>
            </w:r>
          </w:p>
        </w:tc>
        <w:tc>
          <w:tcPr>
            <w:tcW w:w="8363" w:type="dxa"/>
          </w:tcPr>
          <w:p w:rsidR="008A7232" w:rsidRPr="00BE3230" w:rsidRDefault="008A7232" w:rsidP="002C33E9">
            <w:pPr>
              <w:spacing w:after="120"/>
              <w:rPr>
                <w:rFonts w:asciiTheme="minorHAnsi" w:hAnsiTheme="minorHAnsi" w:cstheme="minorHAnsi"/>
                <w:szCs w:val="20"/>
              </w:rPr>
            </w:pPr>
            <w:r w:rsidRPr="00BE3230">
              <w:rPr>
                <w:rFonts w:asciiTheme="minorHAnsi" w:hAnsiTheme="minorHAnsi" w:cstheme="minorHAnsi"/>
                <w:szCs w:val="20"/>
              </w:rPr>
              <w:t xml:space="preserve">Since 2010 Australian funding has built </w:t>
            </w:r>
            <w:r w:rsidRPr="00BE3230">
              <w:rPr>
                <w:rFonts w:asciiTheme="minorHAnsi" w:hAnsiTheme="minorHAnsi" w:cstheme="minorHAnsi"/>
                <w:bCs/>
                <w:color w:val="000000"/>
                <w:szCs w:val="20"/>
              </w:rPr>
              <w:t>129</w:t>
            </w:r>
            <w:r w:rsidRPr="00BE3230">
              <w:rPr>
                <w:rFonts w:asciiTheme="minorHAnsi" w:hAnsiTheme="minorHAnsi" w:cstheme="minorHAnsi"/>
                <w:szCs w:val="20"/>
              </w:rPr>
              <w:t xml:space="preserve"> water and sanitation facilities, including 18 in 2013, providing access to an estimated additional 35998 people with safe water or basic sanitation, including an estimated 12,600 women (source: Rural Water Supply and Sanitation database).</w:t>
            </w:r>
          </w:p>
        </w:tc>
      </w:tr>
    </w:tbl>
    <w:p w:rsidR="008A7232" w:rsidRDefault="008A7232" w:rsidP="00AC6D63">
      <w:pPr>
        <w:pStyle w:val="Heading2"/>
        <w:spacing w:before="120"/>
        <w:rPr>
          <w:sz w:val="28"/>
        </w:rPr>
      </w:pPr>
      <w:r w:rsidRPr="00D75477">
        <w:rPr>
          <w:sz w:val="28"/>
        </w:rPr>
        <w:t xml:space="preserve">Attachment </w:t>
      </w:r>
      <w:r>
        <w:rPr>
          <w:sz w:val="28"/>
        </w:rPr>
        <w:t>3</w:t>
      </w:r>
    </w:p>
    <w:p w:rsidR="00BE3048" w:rsidRPr="00AC6D63" w:rsidRDefault="00BE3048" w:rsidP="00BE3048">
      <w:pPr>
        <w:pStyle w:val="Heading2"/>
        <w:spacing w:before="120"/>
        <w:rPr>
          <w:sz w:val="28"/>
        </w:rPr>
      </w:pPr>
      <w:r w:rsidRPr="00D75477">
        <w:rPr>
          <w:sz w:val="28"/>
        </w:rPr>
        <w:t>Progress against sector PAFs</w:t>
      </w:r>
      <w:r>
        <w:rPr>
          <w:sz w:val="28"/>
        </w:rPr>
        <w:t xml:space="preserve">: </w:t>
      </w:r>
      <w:r w:rsidRPr="00AC6D63">
        <w:rPr>
          <w:sz w:val="28"/>
        </w:rPr>
        <w:t>Broadbased Growth - Livelihoods</w:t>
      </w:r>
    </w:p>
    <w:tbl>
      <w:tblPr>
        <w:tblStyle w:val="TableGrid"/>
        <w:tblW w:w="0" w:type="auto"/>
        <w:tblLook w:val="04A0" w:firstRow="1" w:lastRow="0" w:firstColumn="1" w:lastColumn="0" w:noHBand="0" w:noVBand="1"/>
      </w:tblPr>
      <w:tblGrid>
        <w:gridCol w:w="5495"/>
        <w:gridCol w:w="8363"/>
      </w:tblGrid>
      <w:tr w:rsidR="00BE3048" w:rsidRPr="00F31D58" w:rsidTr="00404A9B">
        <w:tc>
          <w:tcPr>
            <w:tcW w:w="5495" w:type="dxa"/>
          </w:tcPr>
          <w:p w:rsidR="00BE3048" w:rsidRPr="00BE3230" w:rsidRDefault="00BE3048" w:rsidP="00404A9B">
            <w:pPr>
              <w:rPr>
                <w:rFonts w:asciiTheme="minorHAnsi" w:hAnsiTheme="minorHAnsi" w:cstheme="minorHAnsi"/>
                <w:b/>
                <w:szCs w:val="20"/>
              </w:rPr>
            </w:pPr>
            <w:r w:rsidRPr="00BE3230">
              <w:rPr>
                <w:rFonts w:asciiTheme="minorHAnsi" w:hAnsiTheme="minorHAnsi" w:cstheme="minorHAnsi"/>
                <w:b/>
                <w:szCs w:val="20"/>
              </w:rPr>
              <w:t>PAF targets</w:t>
            </w:r>
          </w:p>
        </w:tc>
        <w:tc>
          <w:tcPr>
            <w:tcW w:w="8363" w:type="dxa"/>
          </w:tcPr>
          <w:p w:rsidR="00BE3048" w:rsidRPr="00BE3230" w:rsidRDefault="00BE3048" w:rsidP="00404A9B">
            <w:pPr>
              <w:rPr>
                <w:rFonts w:asciiTheme="minorHAnsi" w:hAnsiTheme="minorHAnsi" w:cstheme="minorHAnsi"/>
                <w:b/>
                <w:szCs w:val="20"/>
              </w:rPr>
            </w:pPr>
            <w:r w:rsidRPr="00BE3230">
              <w:rPr>
                <w:rFonts w:asciiTheme="minorHAnsi" w:hAnsiTheme="minorHAnsi" w:cstheme="minorHAnsi"/>
                <w:b/>
                <w:szCs w:val="20"/>
              </w:rPr>
              <w:t>QAI</w:t>
            </w:r>
          </w:p>
        </w:tc>
      </w:tr>
      <w:tr w:rsidR="00BE3048" w:rsidRPr="0057530B" w:rsidTr="00404A9B">
        <w:tc>
          <w:tcPr>
            <w:tcW w:w="5495" w:type="dxa"/>
          </w:tcPr>
          <w:p w:rsidR="00BE3048" w:rsidRPr="00BE3230" w:rsidRDefault="00BE3048" w:rsidP="00043007">
            <w:pPr>
              <w:spacing w:after="120"/>
              <w:rPr>
                <w:rFonts w:asciiTheme="minorHAnsi" w:hAnsiTheme="minorHAnsi" w:cstheme="minorHAnsi"/>
                <w:szCs w:val="20"/>
              </w:rPr>
            </w:pPr>
            <w:r w:rsidRPr="00BE3230">
              <w:rPr>
                <w:rFonts w:asciiTheme="minorHAnsi" w:hAnsiTheme="minorHAnsi" w:cstheme="minorHAnsi"/>
                <w:szCs w:val="20"/>
              </w:rPr>
              <w:t xml:space="preserve">An additional 30,000 new clients with access to sustainable, affordable and sound financial services (at least 40 </w:t>
            </w:r>
            <w:r w:rsidR="00AB5D2B">
              <w:rPr>
                <w:rFonts w:asciiTheme="minorHAnsi" w:hAnsiTheme="minorHAnsi" w:cstheme="minorHAnsi"/>
                <w:szCs w:val="20"/>
              </w:rPr>
              <w:t>per cent</w:t>
            </w:r>
            <w:r w:rsidRPr="00BE3230">
              <w:rPr>
                <w:rFonts w:asciiTheme="minorHAnsi" w:hAnsiTheme="minorHAnsi" w:cstheme="minorHAnsi"/>
                <w:szCs w:val="20"/>
              </w:rPr>
              <w:t xml:space="preserve"> women).</w:t>
            </w:r>
          </w:p>
          <w:p w:rsidR="00BE3048" w:rsidRPr="00BE3230" w:rsidRDefault="00BE3048" w:rsidP="00043007">
            <w:pPr>
              <w:tabs>
                <w:tab w:val="left" w:pos="1290"/>
              </w:tabs>
              <w:spacing w:after="120"/>
              <w:rPr>
                <w:rFonts w:asciiTheme="minorHAnsi" w:hAnsiTheme="minorHAnsi" w:cstheme="minorHAnsi"/>
                <w:szCs w:val="20"/>
              </w:rPr>
            </w:pPr>
            <w:r w:rsidRPr="00BE3230">
              <w:rPr>
                <w:rFonts w:asciiTheme="minorHAnsi" w:hAnsiTheme="minorHAnsi" w:cstheme="minorHAnsi"/>
                <w:szCs w:val="20"/>
              </w:rPr>
              <w:t xml:space="preserve">More than 200 village infrastructure projects completed and benefiting around 150,000 people. </w:t>
            </w: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r w:rsidRPr="00BE3230">
              <w:rPr>
                <w:rFonts w:asciiTheme="minorHAnsi" w:hAnsiTheme="minorHAnsi" w:cstheme="minorHAnsi"/>
                <w:szCs w:val="20"/>
              </w:rPr>
              <w:t xml:space="preserve">More than 12,000 farmers participating in agricultural training and extension activities, including participatory cocoa research and development. </w:t>
            </w: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p>
          <w:p w:rsidR="00BE3048" w:rsidRPr="00BE3230" w:rsidRDefault="00BE3048" w:rsidP="00404A9B">
            <w:pPr>
              <w:rPr>
                <w:rFonts w:asciiTheme="minorHAnsi" w:hAnsiTheme="minorHAnsi" w:cstheme="minorHAnsi"/>
                <w:szCs w:val="20"/>
              </w:rPr>
            </w:pPr>
            <w:r w:rsidRPr="00BE3230">
              <w:rPr>
                <w:rFonts w:asciiTheme="minorHAnsi" w:hAnsiTheme="minorHAnsi" w:cstheme="minorHAnsi"/>
                <w:szCs w:val="20"/>
              </w:rPr>
              <w:t>Increased capacity of SIAQS to carry out core functions of pest and disease prevention, surveillance and control.</w:t>
            </w:r>
          </w:p>
        </w:tc>
        <w:tc>
          <w:tcPr>
            <w:tcW w:w="8363" w:type="dxa"/>
          </w:tcPr>
          <w:p w:rsidR="00BE3048" w:rsidRPr="00BE3230" w:rsidRDefault="00021E03" w:rsidP="00043007">
            <w:pPr>
              <w:spacing w:after="120"/>
              <w:rPr>
                <w:rFonts w:asciiTheme="minorHAnsi" w:hAnsiTheme="minorHAnsi" w:cstheme="minorHAnsi"/>
                <w:szCs w:val="20"/>
              </w:rPr>
            </w:pPr>
            <w:r>
              <w:rPr>
                <w:rFonts w:asciiTheme="minorHAnsi" w:hAnsiTheme="minorHAnsi" w:cstheme="minorHAnsi"/>
                <w:szCs w:val="20"/>
              </w:rPr>
              <w:t>A</w:t>
            </w:r>
            <w:r w:rsidR="00BE3048" w:rsidRPr="00BE3230">
              <w:rPr>
                <w:rFonts w:asciiTheme="minorHAnsi" w:hAnsiTheme="minorHAnsi" w:cstheme="minorHAnsi"/>
                <w:szCs w:val="20"/>
              </w:rPr>
              <w:t>n additional 62,046 people access</w:t>
            </w:r>
            <w:r>
              <w:rPr>
                <w:rFonts w:asciiTheme="minorHAnsi" w:hAnsiTheme="minorHAnsi" w:cstheme="minorHAnsi"/>
                <w:szCs w:val="20"/>
              </w:rPr>
              <w:t>ed</w:t>
            </w:r>
            <w:r w:rsidR="00BE3048" w:rsidRPr="00BE3230">
              <w:rPr>
                <w:rFonts w:asciiTheme="minorHAnsi" w:hAnsiTheme="minorHAnsi" w:cstheme="minorHAnsi"/>
                <w:szCs w:val="20"/>
              </w:rPr>
              <w:t xml:space="preserve"> banking services by the end of 2013 compared to the baseline at the end of 2010. Of these new customers, 31,915 were added in 2013, of which at least 10,133 were female customers.</w:t>
            </w:r>
          </w:p>
          <w:p w:rsidR="00BE3048" w:rsidRPr="00BE3230" w:rsidRDefault="00043007" w:rsidP="00043007">
            <w:pPr>
              <w:spacing w:after="120"/>
              <w:rPr>
                <w:rFonts w:asciiTheme="minorHAnsi" w:hAnsiTheme="minorHAnsi" w:cstheme="minorHAnsi"/>
                <w:szCs w:val="20"/>
              </w:rPr>
            </w:pPr>
            <w:r>
              <w:rPr>
                <w:rFonts w:asciiTheme="minorHAnsi" w:hAnsiTheme="minorHAnsi" w:cstheme="minorHAnsi"/>
                <w:szCs w:val="20"/>
              </w:rPr>
              <w:t>U</w:t>
            </w:r>
            <w:r w:rsidR="00BE3048" w:rsidRPr="00BE3230">
              <w:rPr>
                <w:rFonts w:asciiTheme="minorHAnsi" w:hAnsiTheme="minorHAnsi" w:cstheme="minorHAnsi"/>
                <w:szCs w:val="20"/>
              </w:rPr>
              <w:t xml:space="preserve">nder component 1, RDP has a target of completing 370 village infrastructure projects with an estimated 250,000 beneficiaries. These include village water supply systems, wharves, village roads, community halls and staff houses for nurses and teachers. So far, 157 village infrastructure projects have been completed and 211 are under construction and nearing completion. </w:t>
            </w:r>
          </w:p>
          <w:p w:rsidR="00BE3048" w:rsidRPr="00BE3230" w:rsidRDefault="00BE3048" w:rsidP="00043007">
            <w:pPr>
              <w:spacing w:after="120"/>
              <w:rPr>
                <w:rFonts w:asciiTheme="minorHAnsi" w:hAnsiTheme="minorHAnsi" w:cstheme="minorHAnsi"/>
                <w:szCs w:val="20"/>
              </w:rPr>
            </w:pPr>
            <w:r w:rsidRPr="00BE3230">
              <w:rPr>
                <w:rFonts w:asciiTheme="minorHAnsi" w:hAnsiTheme="minorHAnsi" w:cstheme="minorHAnsi"/>
                <w:szCs w:val="20"/>
              </w:rPr>
              <w:t xml:space="preserve">With support from RDP, MAL continued its wide reach into rural communities, providing agricultural services to 9,643 farmers in eight provinces in 2013. To date 32,926 farmers have been involved in MAL training and research activities supported by RDP. More than 60 </w:t>
            </w:r>
            <w:r w:rsidR="00AB5D2B">
              <w:rPr>
                <w:rFonts w:asciiTheme="minorHAnsi" w:hAnsiTheme="minorHAnsi" w:cstheme="minorHAnsi"/>
                <w:szCs w:val="20"/>
              </w:rPr>
              <w:t>per cent</w:t>
            </w:r>
            <w:r w:rsidRPr="00BE3230">
              <w:rPr>
                <w:rFonts w:asciiTheme="minorHAnsi" w:hAnsiTheme="minorHAnsi" w:cstheme="minorHAnsi"/>
                <w:szCs w:val="20"/>
              </w:rPr>
              <w:t xml:space="preserve"> of households that received advice from MAL were satisfied with the advice 50 </w:t>
            </w:r>
            <w:r w:rsidR="00AB5D2B">
              <w:rPr>
                <w:rFonts w:asciiTheme="minorHAnsi" w:hAnsiTheme="minorHAnsi" w:cstheme="minorHAnsi"/>
                <w:szCs w:val="20"/>
              </w:rPr>
              <w:t>per cent</w:t>
            </w:r>
            <w:r w:rsidRPr="00BE3230">
              <w:rPr>
                <w:rFonts w:asciiTheme="minorHAnsi" w:hAnsiTheme="minorHAnsi" w:cstheme="minorHAnsi"/>
                <w:szCs w:val="20"/>
              </w:rPr>
              <w:t xml:space="preserve"> of households that received advice changed their farming practices as a result of that advice. </w:t>
            </w:r>
          </w:p>
          <w:p w:rsidR="00BE3048" w:rsidRPr="00BE3230" w:rsidRDefault="00BE3048" w:rsidP="00043007">
            <w:pPr>
              <w:spacing w:after="120"/>
              <w:rPr>
                <w:rFonts w:asciiTheme="minorHAnsi" w:hAnsiTheme="minorHAnsi" w:cstheme="minorHAnsi"/>
                <w:szCs w:val="20"/>
              </w:rPr>
            </w:pPr>
            <w:r w:rsidRPr="00BE3230">
              <w:rPr>
                <w:rFonts w:asciiTheme="minorHAnsi" w:hAnsiTheme="minorHAnsi" w:cstheme="minorHAnsi"/>
                <w:szCs w:val="20"/>
              </w:rPr>
              <w:t>In 2013 KGA conducted training and research activities which benefited 2,687 farmers (1,571 women)</w:t>
            </w:r>
            <w:r w:rsidRPr="00BE3230">
              <w:rPr>
                <w:rFonts w:asciiTheme="minorHAnsi" w:hAnsiTheme="minorHAnsi" w:cstheme="minorHAnsi"/>
                <w:b/>
                <w:szCs w:val="20"/>
              </w:rPr>
              <w:t>.</w:t>
            </w:r>
            <w:r w:rsidRPr="00BE3230">
              <w:rPr>
                <w:rFonts w:asciiTheme="minorHAnsi" w:hAnsiTheme="minorHAnsi" w:cstheme="minorHAnsi"/>
                <w:szCs w:val="20"/>
              </w:rPr>
              <w:t xml:space="preserve"> Activities included bulking and distribution of planting materials, establishment of crop trials, and training on pest and disease management, seed saving, livestock breeding, soil improvement, post harvesting and processing, value chain mapping, and financial literacy.</w:t>
            </w:r>
          </w:p>
          <w:p w:rsidR="00BE3048" w:rsidRPr="00BE3230" w:rsidRDefault="00BE3048" w:rsidP="00043007">
            <w:pPr>
              <w:spacing w:after="120"/>
              <w:rPr>
                <w:rFonts w:asciiTheme="minorHAnsi" w:hAnsiTheme="minorHAnsi" w:cstheme="minorHAnsi"/>
                <w:szCs w:val="20"/>
              </w:rPr>
            </w:pPr>
            <w:r w:rsidRPr="00BE3230">
              <w:rPr>
                <w:rFonts w:asciiTheme="minorHAnsi" w:hAnsiTheme="minorHAnsi" w:cstheme="minorHAnsi"/>
                <w:szCs w:val="20"/>
              </w:rPr>
              <w:t xml:space="preserve">The cocoa adviser has been mentoring three staff in MAL to become local cocoa specialists and to establish a cocoa genetic improvement program. Training on screening imported planting material for disease resistance has been conducted. Two participatory research groups (with 24 farmers) have been established on Guadalcanal and further sites planned for other provinces. </w:t>
            </w:r>
          </w:p>
          <w:p w:rsidR="00BE3048" w:rsidRPr="00BE3230" w:rsidRDefault="00BE3048" w:rsidP="00021E03">
            <w:pPr>
              <w:rPr>
                <w:rFonts w:asciiTheme="minorHAnsi" w:hAnsiTheme="minorHAnsi" w:cstheme="minorHAnsi"/>
                <w:szCs w:val="20"/>
              </w:rPr>
            </w:pPr>
            <w:r w:rsidRPr="00BE3230">
              <w:rPr>
                <w:rFonts w:asciiTheme="minorHAnsi" w:hAnsiTheme="minorHAnsi" w:cstheme="minorHAnsi"/>
                <w:szCs w:val="20"/>
              </w:rPr>
              <w:t>The Biosecurity Development Program commenced in September with the arrival of the quarantine adviser in country. Activities included pest risk analysis training, operational assessments and leakage surveys on existing quarantine border operations, preliminary stakeholder engagement meetings with internal and external stakeholder groups and a review of the SIAQS organisational structure. Quarantine systems, inspection regimes and import conditions were also reviewed in detail, along with legislation considerations.</w:t>
            </w:r>
          </w:p>
        </w:tc>
      </w:tr>
    </w:tbl>
    <w:p w:rsidR="00021E03" w:rsidRDefault="00021E03" w:rsidP="00BE3048">
      <w:pPr>
        <w:pStyle w:val="Heading2"/>
        <w:spacing w:before="120"/>
        <w:rPr>
          <w:sz w:val="28"/>
        </w:rPr>
      </w:pPr>
    </w:p>
    <w:p w:rsidR="00021E03" w:rsidRDefault="00021E03">
      <w:pPr>
        <w:spacing w:after="200" w:line="276" w:lineRule="auto"/>
        <w:rPr>
          <w:rFonts w:ascii="Helvetica" w:eastAsia="Times New Roman" w:hAnsi="Helvetica" w:cs="Arial"/>
          <w:color w:val="007FAD"/>
          <w:kern w:val="28"/>
          <w:sz w:val="28"/>
          <w:szCs w:val="28"/>
        </w:rPr>
      </w:pPr>
    </w:p>
    <w:p w:rsidR="00BE3048" w:rsidRDefault="00BE3048" w:rsidP="00BE3048">
      <w:pPr>
        <w:pStyle w:val="Heading2"/>
        <w:spacing w:before="120"/>
        <w:rPr>
          <w:sz w:val="28"/>
        </w:rPr>
      </w:pPr>
      <w:r w:rsidRPr="00D75477">
        <w:rPr>
          <w:sz w:val="28"/>
        </w:rPr>
        <w:t xml:space="preserve">Attachment </w:t>
      </w:r>
      <w:r>
        <w:rPr>
          <w:sz w:val="28"/>
        </w:rPr>
        <w:t>4</w:t>
      </w:r>
    </w:p>
    <w:p w:rsidR="008A7232" w:rsidRPr="008A7232" w:rsidRDefault="008A7232" w:rsidP="00AC6D63">
      <w:pPr>
        <w:pStyle w:val="Heading2"/>
        <w:spacing w:before="120"/>
        <w:rPr>
          <w:sz w:val="28"/>
        </w:rPr>
      </w:pPr>
      <w:r w:rsidRPr="00D75477">
        <w:rPr>
          <w:sz w:val="28"/>
        </w:rPr>
        <w:t>Progress against sector PAFs</w:t>
      </w:r>
      <w:r>
        <w:rPr>
          <w:sz w:val="28"/>
        </w:rPr>
        <w:t xml:space="preserve">: </w:t>
      </w:r>
      <w:r w:rsidRPr="00AC6D63">
        <w:rPr>
          <w:sz w:val="28"/>
        </w:rPr>
        <w:t>Broadbased Growth - Infrastructure</w:t>
      </w:r>
    </w:p>
    <w:tbl>
      <w:tblPr>
        <w:tblStyle w:val="TableGrid"/>
        <w:tblW w:w="0" w:type="auto"/>
        <w:tblLook w:val="04A0" w:firstRow="1" w:lastRow="0" w:firstColumn="1" w:lastColumn="0" w:noHBand="0" w:noVBand="1"/>
      </w:tblPr>
      <w:tblGrid>
        <w:gridCol w:w="4644"/>
        <w:gridCol w:w="9214"/>
      </w:tblGrid>
      <w:tr w:rsidR="008A7232" w:rsidTr="00AC6D63">
        <w:tc>
          <w:tcPr>
            <w:tcW w:w="4644" w:type="dxa"/>
          </w:tcPr>
          <w:p w:rsidR="008A7232" w:rsidRPr="00BE3230" w:rsidRDefault="008A7232" w:rsidP="00404A9B">
            <w:pPr>
              <w:rPr>
                <w:rFonts w:asciiTheme="minorHAnsi" w:hAnsiTheme="minorHAnsi" w:cstheme="minorHAnsi"/>
              </w:rPr>
            </w:pPr>
            <w:r w:rsidRPr="00BE3230">
              <w:rPr>
                <w:rFonts w:asciiTheme="minorHAnsi" w:hAnsiTheme="minorHAnsi" w:cstheme="minorHAnsi"/>
              </w:rPr>
              <w:t>PAF targets 2013-14</w:t>
            </w:r>
          </w:p>
        </w:tc>
        <w:tc>
          <w:tcPr>
            <w:tcW w:w="9214" w:type="dxa"/>
          </w:tcPr>
          <w:p w:rsidR="008A7232" w:rsidRPr="00BE3230" w:rsidRDefault="008A7232" w:rsidP="00404A9B">
            <w:pPr>
              <w:rPr>
                <w:rFonts w:asciiTheme="minorHAnsi" w:hAnsiTheme="minorHAnsi" w:cstheme="minorHAnsi"/>
              </w:rPr>
            </w:pPr>
            <w:r w:rsidRPr="00BE3230">
              <w:rPr>
                <w:rFonts w:asciiTheme="minorHAnsi" w:hAnsiTheme="minorHAnsi" w:cstheme="minorHAnsi"/>
              </w:rPr>
              <w:t>QAI</w:t>
            </w:r>
          </w:p>
        </w:tc>
      </w:tr>
      <w:tr w:rsidR="008A7232" w:rsidTr="00AC6D63">
        <w:tc>
          <w:tcPr>
            <w:tcW w:w="4644" w:type="dxa"/>
          </w:tcPr>
          <w:p w:rsidR="008A7232" w:rsidRPr="00BE3230" w:rsidRDefault="008A7232" w:rsidP="00404A9B">
            <w:pPr>
              <w:rPr>
                <w:rFonts w:asciiTheme="minorHAnsi" w:hAnsiTheme="minorHAnsi" w:cstheme="minorHAnsi"/>
              </w:rPr>
            </w:pPr>
            <w:r w:rsidRPr="00BE3230">
              <w:rPr>
                <w:rFonts w:asciiTheme="minorHAnsi" w:hAnsiTheme="minorHAnsi" w:cstheme="minorHAnsi"/>
              </w:rPr>
              <w:t>Growth in household incomes through an increased proportion of the rural population with reliable transport access to markets and services</w:t>
            </w: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r w:rsidRPr="00BE3230">
              <w:rPr>
                <w:rFonts w:asciiTheme="minorHAnsi" w:hAnsiTheme="minorHAnsi" w:cstheme="minorHAnsi"/>
              </w:rPr>
              <w:t>Increased proportion of urban population with access to clean and reliable water supply</w:t>
            </w: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r w:rsidRPr="00BE3230">
              <w:rPr>
                <w:rFonts w:asciiTheme="minorHAnsi" w:hAnsiTheme="minorHAnsi" w:cstheme="minorHAnsi"/>
              </w:rPr>
              <w:t>Increased proportion of the population with access to affordable telecommunications</w:t>
            </w:r>
          </w:p>
        </w:tc>
        <w:tc>
          <w:tcPr>
            <w:tcW w:w="9214" w:type="dxa"/>
          </w:tcPr>
          <w:p w:rsidR="008A7232" w:rsidRPr="00BE3230" w:rsidRDefault="008A7232" w:rsidP="00404A9B">
            <w:pPr>
              <w:rPr>
                <w:rFonts w:asciiTheme="minorHAnsi" w:hAnsiTheme="minorHAnsi" w:cstheme="minorHAnsi"/>
              </w:rPr>
            </w:pPr>
            <w:r w:rsidRPr="00BE3230">
              <w:rPr>
                <w:rFonts w:asciiTheme="minorHAnsi" w:hAnsiTheme="minorHAnsi" w:cstheme="minorHAnsi"/>
              </w:rPr>
              <w:t xml:space="preserve">Transport access is improving through the rehabilitation and maintenance of roads and wharves. In 2013 Australia assisted the Solomon Islands Government to maintain or rehabilitate 417 km of roads. Two new rural wharves funded by Australia were completed in early 2014 and a third is underway. There is clear evidence that improved access to reliable transportation is leading to household income growth. A survey undertaken by SIRIP in Makira in 2012 (and anecdotal evidence in West Guadalcanal) suggests that improvements to major roads and bridges have had significant impacts on economic activity. In Makira, after the completion of road works, average monthly household income from cocoa and copra increased by 88 and 48 per cent respectively. The average travel time across the three main subprojects under SIRIP decreased by 40 per cent. </w:t>
            </w:r>
          </w:p>
          <w:p w:rsidR="008A7232" w:rsidRPr="00BE3230" w:rsidRDefault="008A7232" w:rsidP="00404A9B">
            <w:pPr>
              <w:rPr>
                <w:rFonts w:asciiTheme="minorHAnsi" w:hAnsiTheme="minorHAnsi" w:cstheme="minorHAnsi"/>
              </w:rPr>
            </w:pPr>
          </w:p>
          <w:p w:rsidR="008A7232" w:rsidRPr="00BE3230" w:rsidRDefault="008A7232" w:rsidP="00404A9B">
            <w:pPr>
              <w:rPr>
                <w:rFonts w:asciiTheme="minorHAnsi" w:hAnsiTheme="minorHAnsi" w:cstheme="minorHAnsi"/>
              </w:rPr>
            </w:pPr>
            <w:r w:rsidRPr="00BE3230">
              <w:rPr>
                <w:rFonts w:asciiTheme="minorHAnsi" w:hAnsiTheme="minorHAnsi" w:cstheme="minorHAnsi"/>
              </w:rPr>
              <w:t>In 2013 significant improvements in water supply reliability and quality were achieved. All areas of Honiara received water and average hours of supply increased to 18 hours. Over 40 per cent of the population could access 24-hour supply and 94 per cent could access 12 hours of supply or more. In April 2011 less than 50 per cent of Solomon Water’s samples passed WHO bacteria standards. By the second half of 2013 an average of 90 per cent of samples passed.</w:t>
            </w:r>
          </w:p>
          <w:p w:rsidR="008A7232" w:rsidRPr="00BE3230" w:rsidRDefault="008A7232" w:rsidP="00404A9B">
            <w:pPr>
              <w:rPr>
                <w:rFonts w:asciiTheme="minorHAnsi" w:hAnsiTheme="minorHAnsi" w:cstheme="minorHAnsi"/>
              </w:rPr>
            </w:pPr>
          </w:p>
          <w:p w:rsidR="008A7232" w:rsidRPr="00BE3230" w:rsidRDefault="008A7232" w:rsidP="00021E03">
            <w:pPr>
              <w:spacing w:after="120"/>
              <w:rPr>
                <w:rFonts w:asciiTheme="minorHAnsi" w:hAnsiTheme="minorHAnsi" w:cstheme="minorHAnsi"/>
              </w:rPr>
            </w:pPr>
            <w:r w:rsidRPr="00BE3230">
              <w:rPr>
                <w:rFonts w:asciiTheme="minorHAnsi" w:hAnsiTheme="minorHAnsi" w:cstheme="minorHAnsi"/>
              </w:rPr>
              <w:t xml:space="preserve">Australia supported the introduction and regulation of telecommunications competition in Solomon Islands. Rapid increases in access to telecommunications services have opened up new opportunities for Solomon Islands, such as mobile banking. Improved access has only been possible through competition. </w:t>
            </w:r>
          </w:p>
          <w:p w:rsidR="008A7232" w:rsidRPr="00BE3230" w:rsidRDefault="008A7232" w:rsidP="00021E03">
            <w:pPr>
              <w:spacing w:after="120"/>
              <w:rPr>
                <w:rFonts w:asciiTheme="minorHAnsi" w:hAnsiTheme="minorHAnsi" w:cstheme="minorHAnsi"/>
              </w:rPr>
            </w:pPr>
            <w:r w:rsidRPr="00BE3230">
              <w:rPr>
                <w:rFonts w:asciiTheme="minorHAnsi" w:hAnsiTheme="minorHAnsi" w:cstheme="minorHAnsi"/>
              </w:rPr>
              <w:t>Mobile phone subscriber numbers increased more than five-fold from 57,000 (or 11 per cent of the population) in 2009, when the reforms began, to 323,105 (58 per cent of the population) in 2013. This represents a 7 per cent increase on the 2012 figure of 302,147 (55 per cent of the population).</w:t>
            </w:r>
          </w:p>
          <w:p w:rsidR="008A7232" w:rsidRPr="00BE3230" w:rsidRDefault="008A7232" w:rsidP="00021E03">
            <w:pPr>
              <w:spacing w:after="120"/>
              <w:rPr>
                <w:rFonts w:asciiTheme="minorHAnsi" w:hAnsiTheme="minorHAnsi" w:cstheme="minorHAnsi"/>
              </w:rPr>
            </w:pPr>
            <w:r w:rsidRPr="00BE3230">
              <w:rPr>
                <w:rFonts w:asciiTheme="minorHAnsi" w:hAnsiTheme="minorHAnsi" w:cstheme="minorHAnsi"/>
              </w:rPr>
              <w:t>Mobile signal coverage increased to 83 per cent of the population by end of 2013 compared to 80 per cent by end 2012 and only 20 per cent in 2010.</w:t>
            </w:r>
          </w:p>
          <w:p w:rsidR="008A7232" w:rsidRPr="00BE3230" w:rsidRDefault="008A7232" w:rsidP="00021E03">
            <w:pPr>
              <w:spacing w:after="120"/>
              <w:rPr>
                <w:rFonts w:asciiTheme="minorHAnsi" w:hAnsiTheme="minorHAnsi" w:cstheme="minorHAnsi"/>
              </w:rPr>
            </w:pPr>
            <w:r w:rsidRPr="00BE3230">
              <w:rPr>
                <w:rFonts w:asciiTheme="minorHAnsi" w:hAnsiTheme="minorHAnsi" w:cstheme="minorHAnsi"/>
              </w:rPr>
              <w:t>Following deregulation of the internet market in 2011, costs fell and subscriber numbers continued to increase. Mobile internet (3G) subscriber numbers have increased more than five-fold from 8,205 (1.8 per cent of the population) in 2010 to 44,935 (8.1 per cent of the population) in 2013. This was a 25 per cent per cent increase on the 2012 figure of 35,826. Mobile data costs in 2013 were less than half those in 2009.</w:t>
            </w:r>
          </w:p>
        </w:tc>
      </w:tr>
    </w:tbl>
    <w:p w:rsidR="00AC6D63" w:rsidRPr="00BE3230" w:rsidRDefault="008A7232" w:rsidP="00BE3230">
      <w:pPr>
        <w:rPr>
          <w:rFonts w:ascii="Helvetica" w:eastAsia="Times New Roman" w:hAnsi="Helvetica" w:cs="Arial"/>
          <w:color w:val="007FAD"/>
          <w:kern w:val="28"/>
          <w:sz w:val="28"/>
          <w:szCs w:val="28"/>
        </w:rPr>
      </w:pPr>
      <w:r>
        <w:br w:type="page"/>
      </w:r>
      <w:r w:rsidR="00AC6D63" w:rsidRPr="00BE3230">
        <w:rPr>
          <w:rFonts w:ascii="Helvetica" w:eastAsia="Times New Roman" w:hAnsi="Helvetica" w:cs="Arial"/>
          <w:color w:val="007FAD"/>
          <w:kern w:val="28"/>
          <w:sz w:val="28"/>
          <w:szCs w:val="28"/>
        </w:rPr>
        <w:lastRenderedPageBreak/>
        <w:t>Attachment 5</w:t>
      </w:r>
    </w:p>
    <w:p w:rsidR="00AC6D63" w:rsidRPr="008A7232" w:rsidRDefault="00AC6D63" w:rsidP="00AC6D63">
      <w:pPr>
        <w:pStyle w:val="Heading2"/>
        <w:spacing w:before="120"/>
        <w:rPr>
          <w:sz w:val="28"/>
        </w:rPr>
      </w:pPr>
      <w:r w:rsidRPr="00D75477">
        <w:rPr>
          <w:sz w:val="28"/>
        </w:rPr>
        <w:t>Progress against sector PAFs</w:t>
      </w:r>
      <w:r>
        <w:rPr>
          <w:sz w:val="28"/>
        </w:rPr>
        <w:t xml:space="preserve">: </w:t>
      </w:r>
      <w:r>
        <w:t>Governance</w:t>
      </w:r>
    </w:p>
    <w:tbl>
      <w:tblPr>
        <w:tblStyle w:val="TableGrid"/>
        <w:tblW w:w="0" w:type="auto"/>
        <w:tblLook w:val="04A0" w:firstRow="1" w:lastRow="0" w:firstColumn="1" w:lastColumn="0" w:noHBand="0" w:noVBand="1"/>
      </w:tblPr>
      <w:tblGrid>
        <w:gridCol w:w="7621"/>
        <w:gridCol w:w="6237"/>
      </w:tblGrid>
      <w:tr w:rsidR="008A7232" w:rsidTr="00AC6D63">
        <w:tc>
          <w:tcPr>
            <w:tcW w:w="7621" w:type="dxa"/>
          </w:tcPr>
          <w:p w:rsidR="008A7232" w:rsidRPr="00043007" w:rsidRDefault="008A7232" w:rsidP="00404A9B">
            <w:pPr>
              <w:rPr>
                <w:rFonts w:asciiTheme="minorHAnsi" w:hAnsiTheme="minorHAnsi" w:cstheme="minorHAnsi"/>
              </w:rPr>
            </w:pPr>
            <w:r w:rsidRPr="00043007">
              <w:rPr>
                <w:rFonts w:asciiTheme="minorHAnsi" w:hAnsiTheme="minorHAnsi" w:cstheme="minorHAnsi"/>
              </w:rPr>
              <w:t>PAF targets</w:t>
            </w:r>
          </w:p>
        </w:tc>
        <w:tc>
          <w:tcPr>
            <w:tcW w:w="6237" w:type="dxa"/>
          </w:tcPr>
          <w:p w:rsidR="008A7232" w:rsidRPr="00043007" w:rsidRDefault="008A7232" w:rsidP="00404A9B">
            <w:pPr>
              <w:rPr>
                <w:rFonts w:asciiTheme="minorHAnsi" w:hAnsiTheme="minorHAnsi" w:cstheme="minorHAnsi"/>
              </w:rPr>
            </w:pPr>
            <w:r w:rsidRPr="00043007">
              <w:rPr>
                <w:rFonts w:asciiTheme="minorHAnsi" w:hAnsiTheme="minorHAnsi" w:cstheme="minorHAnsi"/>
              </w:rPr>
              <w:t>QAI</w:t>
            </w:r>
          </w:p>
        </w:tc>
      </w:tr>
      <w:tr w:rsidR="008A7232" w:rsidTr="00AC6D63">
        <w:tc>
          <w:tcPr>
            <w:tcW w:w="7621" w:type="dxa"/>
          </w:tcPr>
          <w:p w:rsidR="008A7232" w:rsidRPr="00043007" w:rsidRDefault="008A7232" w:rsidP="00404A9B">
            <w:pPr>
              <w:rPr>
                <w:rFonts w:asciiTheme="minorHAnsi" w:hAnsiTheme="minorHAnsi" w:cstheme="minorHAnsi"/>
              </w:rPr>
            </w:pPr>
            <w:r w:rsidRPr="00043007">
              <w:rPr>
                <w:rFonts w:asciiTheme="minorHAnsi" w:hAnsiTheme="minorHAnsi" w:cstheme="minorHAnsi"/>
              </w:rPr>
              <w:t xml:space="preserve">Absenteeism policy introduced (including a mechanism to dock salaries for unauthorised absences)  and implementation commences </w:t>
            </w:r>
          </w:p>
          <w:p w:rsidR="008A7232" w:rsidRPr="00043007" w:rsidRDefault="008A7232" w:rsidP="00404A9B">
            <w:pPr>
              <w:rPr>
                <w:rFonts w:asciiTheme="minorHAnsi" w:hAnsiTheme="minorHAnsi" w:cstheme="minorHAnsi"/>
              </w:rPr>
            </w:pPr>
          </w:p>
          <w:p w:rsidR="008A7232" w:rsidRPr="00AD5CA9" w:rsidRDefault="008A7232" w:rsidP="00404A9B">
            <w:pPr>
              <w:rPr>
                <w:rFonts w:asciiTheme="minorHAnsi" w:hAnsiTheme="minorHAnsi" w:cstheme="minorHAnsi"/>
              </w:rPr>
            </w:pPr>
            <w:r w:rsidRPr="00043007">
              <w:rPr>
                <w:rFonts w:asciiTheme="minorHAnsi" w:hAnsiTheme="minorHAnsi" w:cstheme="minorHAnsi"/>
              </w:rPr>
              <w:t>Recruitment delegation piloted and assessed in Ministry of Health and Medical Services (MHMS)</w:t>
            </w:r>
          </w:p>
          <w:p w:rsidR="008A7232" w:rsidRPr="00AD5CA9" w:rsidRDefault="008A7232" w:rsidP="00404A9B">
            <w:pPr>
              <w:rPr>
                <w:rFonts w:asciiTheme="minorHAnsi" w:hAnsiTheme="minorHAnsi" w:cstheme="minorHAnsi"/>
              </w:rPr>
            </w:pPr>
            <w:r w:rsidRPr="00AD5CA9">
              <w:rPr>
                <w:rFonts w:asciiTheme="minorHAnsi" w:hAnsiTheme="minorHAnsi" w:cstheme="minorHAnsi"/>
              </w:rPr>
              <w:t>50</w:t>
            </w:r>
            <w:r w:rsidR="00670871">
              <w:rPr>
                <w:rFonts w:asciiTheme="minorHAnsi" w:hAnsiTheme="minorHAnsi" w:cstheme="minorHAnsi"/>
              </w:rPr>
              <w:t xml:space="preserve"> per cent</w:t>
            </w:r>
            <w:r w:rsidRPr="00AD5CA9">
              <w:rPr>
                <w:rFonts w:asciiTheme="minorHAnsi" w:hAnsiTheme="minorHAnsi" w:cstheme="minorHAnsi"/>
              </w:rPr>
              <w:t xml:space="preserve"> of vacancies on the </w:t>
            </w:r>
            <w:r w:rsidR="00F413E6" w:rsidRPr="00AD5CA9">
              <w:rPr>
                <w:rFonts w:asciiTheme="minorHAnsi" w:hAnsiTheme="minorHAnsi" w:cstheme="minorHAnsi"/>
                <w:color w:val="000000" w:themeColor="text1"/>
              </w:rPr>
              <w:t>Solomon Islands Government</w:t>
            </w:r>
            <w:r w:rsidR="00F413E6" w:rsidRPr="00AD5CA9" w:rsidDel="00F413E6">
              <w:rPr>
                <w:rFonts w:asciiTheme="minorHAnsi" w:hAnsiTheme="minorHAnsi" w:cstheme="minorHAnsi"/>
              </w:rPr>
              <w:t xml:space="preserve"> </w:t>
            </w:r>
            <w:r w:rsidRPr="00AD5CA9">
              <w:rPr>
                <w:rFonts w:asciiTheme="minorHAnsi" w:hAnsiTheme="minorHAnsi" w:cstheme="minorHAnsi"/>
              </w:rPr>
              <w:t>2013 establishment (excluding TSD) filled</w:t>
            </w:r>
          </w:p>
          <w:p w:rsidR="008A7232" w:rsidRPr="00043007" w:rsidRDefault="008A7232" w:rsidP="00404A9B">
            <w:pPr>
              <w:rPr>
                <w:rFonts w:asciiTheme="minorHAnsi" w:hAnsiTheme="minorHAnsi" w:cstheme="minorHAnsi"/>
              </w:rPr>
            </w:pPr>
            <w:r w:rsidRPr="00AD5CA9">
              <w:rPr>
                <w:rFonts w:asciiTheme="minorHAnsi" w:hAnsiTheme="minorHAnsi" w:cstheme="minorHAnsi"/>
              </w:rPr>
              <w:t>OAG reports and makes p</w:t>
            </w:r>
            <w:r w:rsidRPr="00043007">
              <w:rPr>
                <w:rFonts w:asciiTheme="minorHAnsi" w:hAnsiTheme="minorHAnsi" w:cstheme="minorHAnsi"/>
              </w:rPr>
              <w:t>ublic quarterly, audit recommendations that have not been acted on</w:t>
            </w:r>
          </w:p>
          <w:p w:rsidR="008A7232" w:rsidRPr="00043007" w:rsidRDefault="008A7232" w:rsidP="00404A9B">
            <w:pPr>
              <w:rPr>
                <w:rFonts w:asciiTheme="minorHAnsi" w:hAnsiTheme="minorHAnsi" w:cstheme="minorHAnsi"/>
              </w:rPr>
            </w:pPr>
            <w:r w:rsidRPr="00043007">
              <w:rPr>
                <w:rFonts w:asciiTheme="minorHAnsi" w:hAnsiTheme="minorHAnsi" w:cstheme="minorHAnsi"/>
              </w:rPr>
              <w:t>Permanent Secretaries (PSs) performance is formally assessed, including on statutory compliance and gender mainstreaming KPIs</w:t>
            </w:r>
          </w:p>
          <w:p w:rsidR="008A7232" w:rsidRPr="00043007" w:rsidRDefault="008A7232" w:rsidP="00404A9B">
            <w:pPr>
              <w:rPr>
                <w:rFonts w:asciiTheme="minorHAnsi" w:hAnsiTheme="minorHAnsi" w:cstheme="minorHAnsi"/>
              </w:rPr>
            </w:pPr>
          </w:p>
          <w:p w:rsidR="008A7232" w:rsidRPr="00043007" w:rsidRDefault="008A7232" w:rsidP="00404A9B">
            <w:pPr>
              <w:rPr>
                <w:rFonts w:asciiTheme="minorHAnsi" w:hAnsiTheme="minorHAnsi" w:cstheme="minorHAnsi"/>
              </w:rPr>
            </w:pPr>
            <w:r w:rsidRPr="00043007">
              <w:rPr>
                <w:rFonts w:asciiTheme="minorHAnsi" w:hAnsiTheme="minorHAnsi" w:cstheme="minorHAnsi"/>
              </w:rPr>
              <w:t xml:space="preserve">Data is collected on OAG report recommendations acted on </w:t>
            </w:r>
          </w:p>
          <w:p w:rsidR="008A7232" w:rsidRPr="00043007" w:rsidRDefault="008A7232" w:rsidP="00404A9B">
            <w:pPr>
              <w:rPr>
                <w:rFonts w:asciiTheme="minorHAnsi" w:hAnsiTheme="minorHAnsi" w:cstheme="minorHAnsi"/>
              </w:rPr>
            </w:pPr>
            <w:r w:rsidRPr="00043007">
              <w:rPr>
                <w:rFonts w:asciiTheme="minorHAnsi" w:hAnsiTheme="minorHAnsi" w:cstheme="minorHAnsi"/>
              </w:rPr>
              <w:t>Central agencies meet at least quarterly to jointly address public administration challenges</w:t>
            </w:r>
          </w:p>
          <w:p w:rsidR="008A7232" w:rsidRPr="00043007" w:rsidRDefault="008A7232" w:rsidP="00404A9B">
            <w:pPr>
              <w:rPr>
                <w:rFonts w:asciiTheme="minorHAnsi" w:hAnsiTheme="minorHAnsi" w:cstheme="minorHAnsi"/>
              </w:rPr>
            </w:pPr>
            <w:r w:rsidRPr="00043007">
              <w:rPr>
                <w:rFonts w:asciiTheme="minorHAnsi" w:hAnsiTheme="minorHAnsi" w:cstheme="minorHAnsi"/>
              </w:rPr>
              <w:t>OAG audit reports are tabled and made public within two months of finalisation</w:t>
            </w:r>
          </w:p>
          <w:p w:rsidR="008A7232" w:rsidRPr="00043007" w:rsidRDefault="008A7232" w:rsidP="00404A9B">
            <w:pPr>
              <w:rPr>
                <w:rFonts w:asciiTheme="minorHAnsi" w:hAnsiTheme="minorHAnsi" w:cstheme="minorHAnsi"/>
              </w:rPr>
            </w:pPr>
            <w:r w:rsidRPr="00043007">
              <w:rPr>
                <w:rFonts w:asciiTheme="minorHAnsi" w:hAnsiTheme="minorHAnsi" w:cstheme="minorHAnsi"/>
              </w:rPr>
              <w:t>OAG issues 2011 audit certificate on national accounts within 12 months of receiving financial statements ; and issues 2012 Annual Report within 4 months of end of year</w:t>
            </w:r>
          </w:p>
          <w:p w:rsidR="008A7232" w:rsidRPr="00043007" w:rsidRDefault="008A7232" w:rsidP="00404A9B">
            <w:pPr>
              <w:rPr>
                <w:rFonts w:asciiTheme="minorHAnsi" w:hAnsiTheme="minorHAnsi" w:cstheme="minorHAnsi"/>
              </w:rPr>
            </w:pPr>
            <w:r w:rsidRPr="00043007">
              <w:rPr>
                <w:rFonts w:asciiTheme="minorHAnsi" w:hAnsiTheme="minorHAnsi" w:cstheme="minorHAnsi"/>
              </w:rPr>
              <w:t xml:space="preserve">LCC and OOSI measure and make public data on number of cases/complaints received, investigated, finalised and actioned </w:t>
            </w:r>
          </w:p>
          <w:p w:rsidR="008A7232" w:rsidRPr="00043007" w:rsidRDefault="008A7232" w:rsidP="00404A9B">
            <w:pPr>
              <w:rPr>
                <w:rFonts w:asciiTheme="minorHAnsi" w:hAnsiTheme="minorHAnsi" w:cstheme="minorHAnsi"/>
              </w:rPr>
            </w:pPr>
          </w:p>
          <w:p w:rsidR="008A7232" w:rsidRPr="00043007" w:rsidRDefault="008A7232" w:rsidP="00404A9B">
            <w:pPr>
              <w:rPr>
                <w:rFonts w:asciiTheme="minorHAnsi" w:hAnsiTheme="minorHAnsi" w:cstheme="minorHAnsi"/>
              </w:rPr>
            </w:pPr>
            <w:r w:rsidRPr="00043007">
              <w:rPr>
                <w:rFonts w:asciiTheme="minorHAnsi" w:hAnsiTheme="minorHAnsi" w:cstheme="minorHAnsi"/>
              </w:rPr>
              <w:t>Sustainable voter registration system created to strengthen the integrity of the electoral cycle</w:t>
            </w:r>
          </w:p>
          <w:p w:rsidR="008A7232" w:rsidRPr="00043007" w:rsidRDefault="008A7232" w:rsidP="00404A9B">
            <w:pPr>
              <w:rPr>
                <w:rFonts w:asciiTheme="minorHAnsi" w:hAnsiTheme="minorHAnsi" w:cstheme="minorHAnsi"/>
              </w:rPr>
            </w:pPr>
          </w:p>
          <w:p w:rsidR="008A7232" w:rsidRPr="00043007" w:rsidRDefault="008A7232" w:rsidP="00404A9B">
            <w:pPr>
              <w:rPr>
                <w:rFonts w:asciiTheme="minorHAnsi" w:hAnsiTheme="minorHAnsi" w:cstheme="minorHAnsi"/>
              </w:rPr>
            </w:pPr>
            <w:r w:rsidRPr="00043007">
              <w:rPr>
                <w:rFonts w:asciiTheme="minorHAnsi" w:hAnsiTheme="minorHAnsi" w:cstheme="minorHAnsi"/>
              </w:rPr>
              <w:t>More efficient and effective administrative procedures designed and implemented for the SIEC to fulfil its mandate</w:t>
            </w:r>
          </w:p>
          <w:p w:rsidR="008A7232" w:rsidRPr="00043007" w:rsidRDefault="008A7232" w:rsidP="00404A9B">
            <w:pPr>
              <w:rPr>
                <w:rFonts w:asciiTheme="minorHAnsi" w:hAnsiTheme="minorHAnsi" w:cstheme="minorHAnsi"/>
              </w:rPr>
            </w:pPr>
            <w:r w:rsidRPr="00043007">
              <w:rPr>
                <w:rFonts w:asciiTheme="minorHAnsi" w:hAnsiTheme="minorHAnsi" w:cstheme="minorHAnsi"/>
              </w:rPr>
              <w:t>Electoral and legal reforms contribute to a stronger, independent SIEC and representative democracy</w:t>
            </w:r>
          </w:p>
        </w:tc>
        <w:tc>
          <w:tcPr>
            <w:tcW w:w="6237" w:type="dxa"/>
          </w:tcPr>
          <w:p w:rsidR="008A7232" w:rsidRPr="00043007" w:rsidRDefault="008A7232" w:rsidP="00404A9B">
            <w:pPr>
              <w:rPr>
                <w:rFonts w:asciiTheme="minorHAnsi" w:hAnsiTheme="minorHAnsi" w:cstheme="minorHAnsi"/>
              </w:rPr>
            </w:pPr>
            <w:r w:rsidRPr="00043007">
              <w:rPr>
                <w:rFonts w:asciiTheme="minorHAnsi" w:hAnsiTheme="minorHAnsi" w:cstheme="minorHAnsi"/>
              </w:rPr>
              <w:t>(see performance contracts below)</w:t>
            </w:r>
          </w:p>
          <w:p w:rsidR="008A7232" w:rsidRPr="00043007" w:rsidRDefault="008A7232" w:rsidP="00404A9B">
            <w:pPr>
              <w:rPr>
                <w:rFonts w:asciiTheme="minorHAnsi" w:hAnsiTheme="minorHAnsi" w:cstheme="minorHAnsi"/>
              </w:rPr>
            </w:pPr>
          </w:p>
          <w:p w:rsidR="008A7232" w:rsidRPr="00043007" w:rsidRDefault="008A7232" w:rsidP="00404A9B">
            <w:pPr>
              <w:rPr>
                <w:rFonts w:asciiTheme="minorHAnsi" w:hAnsiTheme="minorHAnsi" w:cstheme="minorHAnsi"/>
              </w:rPr>
            </w:pPr>
            <w:r w:rsidRPr="00043007">
              <w:rPr>
                <w:rFonts w:asciiTheme="minorHAnsi" w:hAnsiTheme="minorHAnsi" w:cstheme="minorHAnsi"/>
              </w:rPr>
              <w:t>Performance contracts for PS have been introduced, with mid-year reviews conducted. These have led to behavioural change amongst PSs, as well as further reforms, including gender mainstreaming, rollout of performance management processes across ministries and development of an absence management policy.</w:t>
            </w:r>
          </w:p>
          <w:p w:rsidR="008A7232" w:rsidRPr="00043007" w:rsidRDefault="008A7232" w:rsidP="00404A9B">
            <w:pPr>
              <w:rPr>
                <w:rFonts w:asciiTheme="minorHAnsi" w:hAnsiTheme="minorHAnsi" w:cstheme="minorHAnsi"/>
              </w:rPr>
            </w:pPr>
          </w:p>
          <w:p w:rsidR="008A7232" w:rsidRPr="00043007" w:rsidRDefault="008A7232" w:rsidP="00404A9B">
            <w:pPr>
              <w:rPr>
                <w:rFonts w:asciiTheme="minorHAnsi" w:hAnsiTheme="minorHAnsi" w:cstheme="minorHAnsi"/>
              </w:rPr>
            </w:pPr>
            <w:r w:rsidRPr="00043007">
              <w:rPr>
                <w:rFonts w:asciiTheme="minorHAnsi" w:hAnsiTheme="minorHAnsi" w:cstheme="minorHAnsi"/>
              </w:rPr>
              <w:t>Through the bilateral program and Australia’s contribution to the new UNDP program, SIEC has managed to prepare for the complete re-registration of the voter roll though the introduction of new biometric registration technology-two immensely complicated tasks. (p1)</w:t>
            </w:r>
          </w:p>
          <w:p w:rsidR="008A7232" w:rsidRPr="00043007" w:rsidRDefault="008A7232" w:rsidP="00404A9B">
            <w:pPr>
              <w:rPr>
                <w:rFonts w:asciiTheme="minorHAnsi" w:hAnsiTheme="minorHAnsi" w:cstheme="minorHAnsi"/>
              </w:rPr>
            </w:pPr>
            <w:r w:rsidRPr="00043007">
              <w:rPr>
                <w:rFonts w:asciiTheme="minorHAnsi" w:hAnsiTheme="minorHAnsi" w:cstheme="minorHAnsi"/>
              </w:rPr>
              <w:t>There have been considerable delays in the SIEC’s preparation for the BVR  exercise, due to</w:t>
            </w:r>
            <w:r w:rsidRPr="00AD5CA9">
              <w:rPr>
                <w:rFonts w:asciiTheme="minorHAnsi" w:hAnsiTheme="minorHAnsi" w:cstheme="minorHAnsi"/>
              </w:rPr>
              <w:t xml:space="preserve"> a combination of factors primarily arising out of poor leadership of SIEC, particularly through failure to make key decisions and manage timelines and manage relationships with other </w:t>
            </w:r>
            <w:r w:rsidR="00F413E6" w:rsidRPr="00AD5CA9">
              <w:rPr>
                <w:rFonts w:asciiTheme="minorHAnsi" w:hAnsiTheme="minorHAnsi" w:cstheme="minorHAnsi"/>
                <w:color w:val="000000" w:themeColor="text1"/>
              </w:rPr>
              <w:t>the Solomon Islands Government</w:t>
            </w:r>
            <w:r w:rsidR="00F413E6" w:rsidRPr="00AD5CA9" w:rsidDel="00F413E6">
              <w:rPr>
                <w:rFonts w:asciiTheme="minorHAnsi" w:hAnsiTheme="minorHAnsi" w:cstheme="minorHAnsi"/>
              </w:rPr>
              <w:t xml:space="preserve"> </w:t>
            </w:r>
            <w:r w:rsidRPr="00AD5CA9">
              <w:rPr>
                <w:rFonts w:asciiTheme="minorHAnsi" w:hAnsiTheme="minorHAnsi" w:cstheme="minorHAnsi"/>
              </w:rPr>
              <w:t>agencies to sec</w:t>
            </w:r>
            <w:r w:rsidRPr="00043007">
              <w:rPr>
                <w:rFonts w:asciiTheme="minorHAnsi" w:hAnsiTheme="minorHAnsi" w:cstheme="minorHAnsi"/>
              </w:rPr>
              <w:t>ure their cooperation (p4)</w:t>
            </w:r>
          </w:p>
        </w:tc>
      </w:tr>
    </w:tbl>
    <w:p w:rsidR="0044737A" w:rsidRDefault="0044737A" w:rsidP="00043007">
      <w:pPr>
        <w:pStyle w:val="Heading2"/>
      </w:pPr>
    </w:p>
    <w:p w:rsidR="0044737A" w:rsidRDefault="0044737A">
      <w:pPr>
        <w:spacing w:after="200" w:line="276" w:lineRule="auto"/>
        <w:rPr>
          <w:rFonts w:ascii="Helvetica" w:eastAsia="Times New Roman" w:hAnsi="Helvetica" w:cs="Arial"/>
          <w:color w:val="007FAD"/>
          <w:kern w:val="28"/>
          <w:sz w:val="24"/>
          <w:szCs w:val="28"/>
        </w:rPr>
      </w:pPr>
      <w:r>
        <w:br w:type="page"/>
      </w:r>
    </w:p>
    <w:p w:rsidR="00D75477" w:rsidRDefault="00D75477" w:rsidP="00043007">
      <w:pPr>
        <w:pStyle w:val="Heading2"/>
      </w:pPr>
    </w:p>
    <w:p w:rsidR="0044737A" w:rsidRPr="0044737A" w:rsidRDefault="0044737A" w:rsidP="0044737A">
      <w:pPr>
        <w:rPr>
          <w:rFonts w:ascii="Helvetica" w:eastAsia="Times New Roman" w:hAnsi="Helvetica" w:cs="Arial"/>
          <w:color w:val="007FAD"/>
          <w:kern w:val="28"/>
          <w:sz w:val="28"/>
          <w:szCs w:val="28"/>
        </w:rPr>
      </w:pPr>
      <w:r w:rsidRPr="00BE3230">
        <w:rPr>
          <w:rFonts w:ascii="Helvetica" w:eastAsia="Times New Roman" w:hAnsi="Helvetica" w:cs="Arial"/>
          <w:color w:val="007FAD"/>
          <w:kern w:val="28"/>
          <w:sz w:val="28"/>
          <w:szCs w:val="28"/>
        </w:rPr>
        <w:t xml:space="preserve">Attachment </w:t>
      </w:r>
      <w:r>
        <w:rPr>
          <w:rFonts w:ascii="Helvetica" w:eastAsia="Times New Roman" w:hAnsi="Helvetica" w:cs="Arial"/>
          <w:color w:val="007FAD"/>
          <w:kern w:val="28"/>
          <w:sz w:val="28"/>
          <w:szCs w:val="28"/>
        </w:rPr>
        <w:t>6</w:t>
      </w:r>
    </w:p>
    <w:p w:rsidR="0044737A" w:rsidRPr="0044737A" w:rsidRDefault="0044737A" w:rsidP="0044737A">
      <w:pPr>
        <w:pStyle w:val="Heading2"/>
        <w:spacing w:before="120"/>
        <w:rPr>
          <w:sz w:val="28"/>
        </w:rPr>
      </w:pPr>
      <w:r w:rsidRPr="00D75477">
        <w:rPr>
          <w:sz w:val="28"/>
        </w:rPr>
        <w:t>Progress against sector PAFs</w:t>
      </w:r>
      <w:r>
        <w:rPr>
          <w:sz w:val="28"/>
        </w:rPr>
        <w:t xml:space="preserve">: </w:t>
      </w:r>
      <w:r w:rsidRPr="0044737A">
        <w:rPr>
          <w:sz w:val="28"/>
        </w:rPr>
        <w:t>Justice</w:t>
      </w:r>
    </w:p>
    <w:tbl>
      <w:tblPr>
        <w:tblStyle w:val="TableGrid1"/>
        <w:tblW w:w="13892" w:type="dxa"/>
        <w:tblInd w:w="-34" w:type="dxa"/>
        <w:tblLook w:val="04A0" w:firstRow="1" w:lastRow="0" w:firstColumn="1" w:lastColumn="0" w:noHBand="0" w:noVBand="1"/>
      </w:tblPr>
      <w:tblGrid>
        <w:gridCol w:w="5671"/>
        <w:gridCol w:w="8221"/>
      </w:tblGrid>
      <w:tr w:rsidR="0044737A" w:rsidRPr="00190DA1" w:rsidTr="0044737A">
        <w:tc>
          <w:tcPr>
            <w:tcW w:w="5671" w:type="dxa"/>
          </w:tcPr>
          <w:p w:rsidR="0044737A" w:rsidRPr="0044737A" w:rsidRDefault="0044737A" w:rsidP="0044737A">
            <w:pPr>
              <w:rPr>
                <w:rFonts w:ascii="Calibri" w:eastAsia="Times New Roman" w:hAnsi="Calibri" w:cs="Calibri"/>
                <w:szCs w:val="20"/>
              </w:rPr>
            </w:pPr>
            <w:r w:rsidRPr="0044737A">
              <w:rPr>
                <w:rFonts w:ascii="Calibri" w:eastAsia="Times New Roman" w:hAnsi="Calibri" w:cs="Calibri"/>
                <w:szCs w:val="20"/>
              </w:rPr>
              <w:t>PAF target</w:t>
            </w:r>
          </w:p>
        </w:tc>
        <w:tc>
          <w:tcPr>
            <w:tcW w:w="8221" w:type="dxa"/>
          </w:tcPr>
          <w:p w:rsidR="0044737A" w:rsidRPr="0044737A" w:rsidRDefault="0044737A" w:rsidP="0044737A">
            <w:pPr>
              <w:rPr>
                <w:rFonts w:ascii="Calibri" w:eastAsia="Times New Roman" w:hAnsi="Calibri" w:cs="Calibri"/>
                <w:szCs w:val="20"/>
              </w:rPr>
            </w:pPr>
            <w:r w:rsidRPr="0044737A">
              <w:rPr>
                <w:rFonts w:ascii="Calibri" w:eastAsia="Times New Roman" w:hAnsi="Calibri" w:cs="Calibri"/>
                <w:szCs w:val="20"/>
              </w:rPr>
              <w:t>QAI</w:t>
            </w:r>
          </w:p>
        </w:tc>
      </w:tr>
      <w:tr w:rsidR="0044737A" w:rsidRPr="00190DA1" w:rsidTr="0044737A">
        <w:tc>
          <w:tcPr>
            <w:tcW w:w="5671" w:type="dxa"/>
          </w:tcPr>
          <w:p w:rsidR="0044737A" w:rsidRPr="0044737A" w:rsidRDefault="0044737A" w:rsidP="0044737A">
            <w:pPr>
              <w:tabs>
                <w:tab w:val="left" w:pos="720"/>
              </w:tabs>
              <w:spacing w:after="120"/>
              <w:rPr>
                <w:rFonts w:ascii="Calibri" w:eastAsia="Times New Roman" w:hAnsi="Calibri"/>
                <w:szCs w:val="20"/>
              </w:rPr>
            </w:pPr>
            <w:r w:rsidRPr="0044737A">
              <w:rPr>
                <w:rFonts w:ascii="Calibri" w:eastAsia="Times New Roman" w:hAnsi="Calibri"/>
                <w:szCs w:val="20"/>
              </w:rPr>
              <w:t>Courts and justice agencies are better able to deliver their core functions.</w:t>
            </w:r>
          </w:p>
        </w:tc>
        <w:tc>
          <w:tcPr>
            <w:tcW w:w="8221" w:type="dxa"/>
          </w:tcPr>
          <w:p w:rsidR="0044737A" w:rsidRPr="0044737A" w:rsidRDefault="0044737A" w:rsidP="0044737A">
            <w:pPr>
              <w:spacing w:after="60"/>
              <w:rPr>
                <w:rFonts w:ascii="Calibri" w:eastAsia="Times New Roman" w:hAnsi="Calibri" w:cs="Calibri"/>
                <w:szCs w:val="20"/>
              </w:rPr>
            </w:pPr>
            <w:r w:rsidRPr="0044737A">
              <w:rPr>
                <w:rFonts w:ascii="Calibri" w:eastAsia="Times New Roman" w:hAnsi="Calibri" w:cs="Calibri"/>
                <w:szCs w:val="20"/>
              </w:rPr>
              <w:t>In 2013* the High Court disposed of 398 cases.</w:t>
            </w:r>
          </w:p>
          <w:p w:rsidR="0044737A" w:rsidRPr="0044737A" w:rsidRDefault="0044737A" w:rsidP="0044737A">
            <w:pPr>
              <w:rPr>
                <w:rFonts w:ascii="Calibri" w:eastAsia="Times New Roman" w:hAnsi="Calibri" w:cs="Calibri"/>
                <w:szCs w:val="20"/>
              </w:rPr>
            </w:pPr>
            <w:r w:rsidRPr="0044737A">
              <w:rPr>
                <w:rFonts w:ascii="Calibri" w:eastAsia="Times New Roman" w:hAnsi="Calibri" w:cs="Calibri"/>
                <w:szCs w:val="20"/>
              </w:rPr>
              <w:t>In 2013* the Magistrates Court disposed of 208 cases.</w:t>
            </w:r>
          </w:p>
        </w:tc>
      </w:tr>
      <w:tr w:rsidR="0044737A" w:rsidRPr="00190DA1" w:rsidTr="0044737A">
        <w:tc>
          <w:tcPr>
            <w:tcW w:w="5671" w:type="dxa"/>
          </w:tcPr>
          <w:p w:rsidR="0044737A" w:rsidRPr="0044737A" w:rsidRDefault="0044737A" w:rsidP="00165B95">
            <w:pPr>
              <w:spacing w:after="120"/>
              <w:rPr>
                <w:rFonts w:ascii="Calibri" w:eastAsia="Times New Roman" w:hAnsi="Calibri" w:cs="Calibri"/>
                <w:szCs w:val="20"/>
              </w:rPr>
            </w:pPr>
            <w:r w:rsidRPr="0044737A">
              <w:rPr>
                <w:rFonts w:ascii="Calibri" w:eastAsia="Times New Roman" w:hAnsi="Calibri"/>
                <w:szCs w:val="20"/>
              </w:rPr>
              <w:t>Courts and justice agencies are better able to manage their human and financial resources.</w:t>
            </w:r>
          </w:p>
        </w:tc>
        <w:tc>
          <w:tcPr>
            <w:tcW w:w="8221" w:type="dxa"/>
          </w:tcPr>
          <w:p w:rsidR="0044737A" w:rsidRPr="0044737A" w:rsidRDefault="0044737A" w:rsidP="0044737A">
            <w:pPr>
              <w:pStyle w:val="ListParagraph"/>
              <w:numPr>
                <w:ilvl w:val="0"/>
                <w:numId w:val="48"/>
              </w:numPr>
              <w:spacing w:after="60"/>
              <w:ind w:left="175" w:hanging="142"/>
              <w:rPr>
                <w:rFonts w:ascii="Calibri" w:hAnsi="Calibri" w:cs="Calibri"/>
                <w:sz w:val="20"/>
                <w:szCs w:val="20"/>
              </w:rPr>
            </w:pPr>
            <w:r w:rsidRPr="0044737A">
              <w:rPr>
                <w:rFonts w:ascii="Calibri" w:hAnsi="Calibri" w:cs="Calibri"/>
                <w:sz w:val="20"/>
                <w:szCs w:val="20"/>
              </w:rPr>
              <w:t>A Justice Sector Strategic Framework has been finalised and Agency Corporate Plans developed.  A Performance Management Framework is currently being revised</w:t>
            </w:r>
          </w:p>
          <w:p w:rsidR="0044737A" w:rsidRPr="0044737A" w:rsidRDefault="0044737A" w:rsidP="0044737A">
            <w:pPr>
              <w:pStyle w:val="ListParagraph"/>
              <w:numPr>
                <w:ilvl w:val="0"/>
                <w:numId w:val="48"/>
              </w:numPr>
              <w:spacing w:after="60"/>
              <w:ind w:left="175" w:hanging="142"/>
              <w:rPr>
                <w:rFonts w:ascii="Calibri" w:hAnsi="Calibri" w:cs="Calibri"/>
                <w:sz w:val="20"/>
                <w:szCs w:val="20"/>
              </w:rPr>
            </w:pPr>
            <w:r w:rsidRPr="0044737A">
              <w:rPr>
                <w:rFonts w:ascii="Calibri" w:hAnsi="Calibri" w:cs="Calibri"/>
                <w:sz w:val="20"/>
                <w:szCs w:val="20"/>
              </w:rPr>
              <w:t>A Performance Management Policy has been implemented at Head of Agency level</w:t>
            </w:r>
          </w:p>
          <w:p w:rsidR="0044737A" w:rsidRPr="00AD5CA9" w:rsidRDefault="0044737A" w:rsidP="0044737A">
            <w:pPr>
              <w:pStyle w:val="ListParagraph"/>
              <w:numPr>
                <w:ilvl w:val="0"/>
                <w:numId w:val="48"/>
              </w:numPr>
              <w:spacing w:after="60"/>
              <w:ind w:left="175" w:hanging="142"/>
              <w:rPr>
                <w:rFonts w:asciiTheme="minorHAnsi" w:hAnsiTheme="minorHAnsi" w:cstheme="minorHAnsi"/>
                <w:sz w:val="20"/>
                <w:szCs w:val="20"/>
              </w:rPr>
            </w:pPr>
            <w:r w:rsidRPr="0044737A">
              <w:rPr>
                <w:rFonts w:ascii="Calibri" w:hAnsi="Calibri" w:cs="Calibri"/>
                <w:sz w:val="20"/>
                <w:szCs w:val="20"/>
              </w:rPr>
              <w:t>A Human Resource Management Annual Plan has been developed and endorsed by the MJLA. Imple</w:t>
            </w:r>
            <w:r w:rsidRPr="00AD5CA9">
              <w:rPr>
                <w:rFonts w:asciiTheme="minorHAnsi" w:hAnsiTheme="minorHAnsi" w:cstheme="minorHAnsi"/>
                <w:sz w:val="20"/>
                <w:szCs w:val="20"/>
              </w:rPr>
              <w:t>mentation  ongoing throughout the period</w:t>
            </w:r>
          </w:p>
          <w:p w:rsidR="0044737A" w:rsidRPr="0044737A" w:rsidRDefault="0044737A" w:rsidP="0044737A">
            <w:pPr>
              <w:pStyle w:val="ListParagraph"/>
              <w:numPr>
                <w:ilvl w:val="0"/>
                <w:numId w:val="48"/>
              </w:numPr>
              <w:spacing w:after="60"/>
              <w:ind w:left="175" w:hanging="142"/>
              <w:rPr>
                <w:rFonts w:ascii="Calibri" w:hAnsi="Calibri" w:cs="Calibri"/>
                <w:sz w:val="20"/>
                <w:szCs w:val="20"/>
              </w:rPr>
            </w:pPr>
            <w:r w:rsidRPr="00AD5CA9">
              <w:rPr>
                <w:rFonts w:asciiTheme="minorHAnsi" w:hAnsiTheme="minorHAnsi" w:cstheme="minorHAnsi"/>
                <w:sz w:val="20"/>
                <w:szCs w:val="20"/>
              </w:rPr>
              <w:t xml:space="preserve">A </w:t>
            </w:r>
            <w:r w:rsidR="00F413E6" w:rsidRPr="00AD5CA9">
              <w:rPr>
                <w:rFonts w:asciiTheme="minorHAnsi" w:hAnsiTheme="minorHAnsi" w:cstheme="minorHAnsi"/>
                <w:color w:val="000000" w:themeColor="text1"/>
                <w:sz w:val="20"/>
                <w:szCs w:val="20"/>
              </w:rPr>
              <w:t>Solomon Islands Government</w:t>
            </w:r>
            <w:r w:rsidR="00F413E6" w:rsidRPr="00AD5CA9" w:rsidDel="00F413E6">
              <w:rPr>
                <w:rFonts w:asciiTheme="minorHAnsi" w:hAnsiTheme="minorHAnsi" w:cstheme="minorHAnsi"/>
                <w:sz w:val="20"/>
                <w:szCs w:val="20"/>
              </w:rPr>
              <w:t xml:space="preserve"> </w:t>
            </w:r>
            <w:r w:rsidRPr="00AD5CA9">
              <w:rPr>
                <w:rFonts w:asciiTheme="minorHAnsi" w:hAnsiTheme="minorHAnsi" w:cstheme="minorHAnsi"/>
                <w:sz w:val="20"/>
                <w:szCs w:val="20"/>
              </w:rPr>
              <w:t>recru</w:t>
            </w:r>
            <w:r w:rsidRPr="0044737A">
              <w:rPr>
                <w:rFonts w:ascii="Calibri" w:hAnsi="Calibri" w:cs="Calibri"/>
                <w:sz w:val="20"/>
                <w:szCs w:val="20"/>
              </w:rPr>
              <w:t>itment strategy, targeting key vacancies, has been implemented across the Justice sector during the period</w:t>
            </w:r>
          </w:p>
          <w:p w:rsidR="0044737A" w:rsidRPr="0044737A" w:rsidRDefault="0044737A" w:rsidP="0044737A">
            <w:pPr>
              <w:pStyle w:val="ListParagraph"/>
              <w:numPr>
                <w:ilvl w:val="0"/>
                <w:numId w:val="48"/>
              </w:numPr>
              <w:spacing w:after="60"/>
              <w:ind w:left="175" w:hanging="142"/>
              <w:rPr>
                <w:rFonts w:ascii="Calibri" w:hAnsi="Calibri" w:cs="Calibri"/>
                <w:sz w:val="20"/>
                <w:szCs w:val="20"/>
              </w:rPr>
            </w:pPr>
            <w:r w:rsidRPr="0044737A">
              <w:rPr>
                <w:rFonts w:ascii="Calibri" w:hAnsi="Calibri" w:cs="Calibri"/>
                <w:sz w:val="20"/>
                <w:szCs w:val="20"/>
              </w:rPr>
              <w:t xml:space="preserve">Discrete human resource management advice has been provided to Heads of Agencies  to address performance and poor discipline issues </w:t>
            </w:r>
          </w:p>
          <w:p w:rsidR="0044737A" w:rsidRPr="0044737A" w:rsidRDefault="0044737A" w:rsidP="0044737A">
            <w:pPr>
              <w:pStyle w:val="ListParagraph"/>
              <w:numPr>
                <w:ilvl w:val="0"/>
                <w:numId w:val="48"/>
              </w:numPr>
              <w:spacing w:after="60"/>
              <w:ind w:left="175" w:hanging="142"/>
              <w:rPr>
                <w:rFonts w:ascii="Calibri" w:hAnsi="Calibri" w:cs="Calibri"/>
                <w:sz w:val="20"/>
                <w:szCs w:val="20"/>
              </w:rPr>
            </w:pPr>
            <w:r w:rsidRPr="0044737A">
              <w:rPr>
                <w:rFonts w:ascii="Calibri" w:hAnsi="Calibri" w:cs="Calibri"/>
                <w:sz w:val="20"/>
                <w:szCs w:val="20"/>
              </w:rPr>
              <w:t>Significant constitutional and legislative reforms have been passed in support of improved terms and conditions for employment of Magistrates.</w:t>
            </w:r>
          </w:p>
          <w:p w:rsidR="0044737A" w:rsidRPr="0044737A" w:rsidRDefault="0044737A" w:rsidP="0044737A">
            <w:pPr>
              <w:pStyle w:val="ListParagraph"/>
              <w:numPr>
                <w:ilvl w:val="0"/>
                <w:numId w:val="48"/>
              </w:numPr>
              <w:spacing w:after="60"/>
              <w:ind w:left="175" w:hanging="142"/>
              <w:rPr>
                <w:rFonts w:ascii="Calibri" w:hAnsi="Calibri" w:cs="Calibri"/>
                <w:sz w:val="20"/>
                <w:szCs w:val="20"/>
              </w:rPr>
            </w:pPr>
            <w:r w:rsidRPr="0044737A">
              <w:rPr>
                <w:rFonts w:ascii="Calibri" w:hAnsi="Calibri" w:cs="Calibri"/>
                <w:sz w:val="20"/>
                <w:szCs w:val="20"/>
              </w:rPr>
              <w:t>A total of 7 internal audits have been conducted within Justice Sector agencies in relation to infrastructure expenditure and other budget discrepancies related to procurement procedures.</w:t>
            </w:r>
          </w:p>
        </w:tc>
      </w:tr>
      <w:tr w:rsidR="0044737A" w:rsidRPr="00190DA1" w:rsidTr="0044737A">
        <w:tc>
          <w:tcPr>
            <w:tcW w:w="5671" w:type="dxa"/>
          </w:tcPr>
          <w:p w:rsidR="0044737A" w:rsidRPr="0044737A" w:rsidRDefault="0044737A" w:rsidP="00165B95">
            <w:pPr>
              <w:spacing w:after="120"/>
              <w:rPr>
                <w:rFonts w:ascii="Calibri" w:eastAsia="Times New Roman" w:hAnsi="Calibri" w:cs="Calibri"/>
                <w:szCs w:val="20"/>
              </w:rPr>
            </w:pPr>
            <w:r w:rsidRPr="0044737A">
              <w:rPr>
                <w:rFonts w:ascii="Calibri" w:eastAsia="Times New Roman" w:hAnsi="Calibri"/>
                <w:szCs w:val="20"/>
              </w:rPr>
              <w:t>The delivery of a range of justice services to rural communities is expanded.</w:t>
            </w:r>
          </w:p>
        </w:tc>
        <w:tc>
          <w:tcPr>
            <w:tcW w:w="8221" w:type="dxa"/>
          </w:tcPr>
          <w:p w:rsidR="0044737A" w:rsidRPr="0044737A" w:rsidRDefault="0044737A" w:rsidP="0044737A">
            <w:pPr>
              <w:spacing w:after="60"/>
              <w:rPr>
                <w:rFonts w:ascii="Calibri" w:eastAsia="Times New Roman" w:hAnsi="Calibri"/>
                <w:szCs w:val="20"/>
              </w:rPr>
            </w:pPr>
            <w:r w:rsidRPr="0044737A">
              <w:rPr>
                <w:rFonts w:ascii="Calibri" w:eastAsia="Times New Roman" w:hAnsi="Calibri"/>
                <w:szCs w:val="20"/>
              </w:rPr>
              <w:t>In 2013* the Local Court disposed of 81 cases.</w:t>
            </w:r>
          </w:p>
        </w:tc>
      </w:tr>
      <w:tr w:rsidR="0044737A" w:rsidRPr="00190DA1" w:rsidTr="0044737A">
        <w:tc>
          <w:tcPr>
            <w:tcW w:w="5671" w:type="dxa"/>
          </w:tcPr>
          <w:p w:rsidR="0044737A" w:rsidRPr="0044737A" w:rsidRDefault="0044737A" w:rsidP="00165B95">
            <w:pPr>
              <w:spacing w:after="120"/>
              <w:rPr>
                <w:rFonts w:ascii="Calibri" w:eastAsia="Times New Roman" w:hAnsi="Calibri" w:cs="Calibri"/>
                <w:szCs w:val="20"/>
              </w:rPr>
            </w:pPr>
            <w:r w:rsidRPr="0044737A">
              <w:rPr>
                <w:rFonts w:ascii="Calibri" w:eastAsia="Times New Roman" w:hAnsi="Calibri"/>
                <w:szCs w:val="20"/>
              </w:rPr>
              <w:t>Strengthened laws, increased services and focus on violence against women and gender equality in the workplace.</w:t>
            </w:r>
          </w:p>
        </w:tc>
        <w:tc>
          <w:tcPr>
            <w:tcW w:w="8221" w:type="dxa"/>
          </w:tcPr>
          <w:p w:rsidR="0044737A" w:rsidRPr="0044737A" w:rsidRDefault="0044737A" w:rsidP="0044737A">
            <w:pPr>
              <w:spacing w:after="60"/>
              <w:rPr>
                <w:rFonts w:ascii="Calibri" w:eastAsia="Times New Roman" w:hAnsi="Calibri" w:cs="Arial"/>
                <w:noProof/>
                <w:szCs w:val="20"/>
              </w:rPr>
            </w:pPr>
            <w:r w:rsidRPr="0044737A">
              <w:rPr>
                <w:rFonts w:ascii="Calibri" w:eastAsia="Times New Roman" w:hAnsi="Calibri" w:cs="Arial"/>
                <w:noProof/>
                <w:szCs w:val="20"/>
              </w:rPr>
              <w:t>Women comprise 16</w:t>
            </w:r>
            <w:r w:rsidR="00670871">
              <w:rPr>
                <w:rFonts w:ascii="Calibri" w:eastAsia="Times New Roman" w:hAnsi="Calibri" w:cs="Arial"/>
                <w:noProof/>
                <w:szCs w:val="20"/>
              </w:rPr>
              <w:t xml:space="preserve"> per cent</w:t>
            </w:r>
            <w:r w:rsidRPr="0044737A">
              <w:rPr>
                <w:rFonts w:ascii="Calibri" w:eastAsia="Times New Roman" w:hAnsi="Calibri" w:cs="Arial"/>
                <w:noProof/>
                <w:szCs w:val="20"/>
              </w:rPr>
              <w:t xml:space="preserve"> of CSSI staff (as of 30 June 2014)</w:t>
            </w:r>
          </w:p>
          <w:p w:rsidR="0044737A" w:rsidRPr="0044737A" w:rsidRDefault="0044737A" w:rsidP="0044737A">
            <w:pPr>
              <w:spacing w:after="60"/>
              <w:rPr>
                <w:rFonts w:ascii="Calibri" w:eastAsia="Times New Roman" w:hAnsi="Calibri" w:cs="Calibri"/>
                <w:szCs w:val="20"/>
              </w:rPr>
            </w:pPr>
            <w:r w:rsidRPr="0044737A">
              <w:rPr>
                <w:rFonts w:ascii="Calibri" w:eastAsia="Times New Roman" w:hAnsi="Calibri"/>
                <w:szCs w:val="20"/>
              </w:rPr>
              <w:t>14</w:t>
            </w:r>
            <w:r w:rsidR="00670871">
              <w:rPr>
                <w:rFonts w:ascii="Calibri" w:eastAsia="Times New Roman" w:hAnsi="Calibri"/>
                <w:szCs w:val="20"/>
              </w:rPr>
              <w:t xml:space="preserve"> per cent</w:t>
            </w:r>
            <w:r w:rsidRPr="0044737A">
              <w:rPr>
                <w:rFonts w:ascii="Calibri" w:eastAsia="Times New Roman" w:hAnsi="Calibri"/>
                <w:szCs w:val="20"/>
              </w:rPr>
              <w:t xml:space="preserve"> of CSSI’s female staff occupy leadership positions </w:t>
            </w:r>
            <w:r w:rsidRPr="0044737A">
              <w:rPr>
                <w:rFonts w:ascii="Calibri" w:eastAsia="Times New Roman" w:hAnsi="Calibri" w:cs="Arial"/>
                <w:noProof/>
                <w:szCs w:val="20"/>
              </w:rPr>
              <w:t xml:space="preserve">(as of 30 June 2014) </w:t>
            </w:r>
            <w:r w:rsidRPr="0044737A">
              <w:rPr>
                <w:rFonts w:ascii="Calibri" w:eastAsia="Times New Roman" w:hAnsi="Calibri"/>
                <w:szCs w:val="20"/>
              </w:rPr>
              <w:t xml:space="preserve"> </w:t>
            </w:r>
          </w:p>
        </w:tc>
      </w:tr>
      <w:tr w:rsidR="0044737A" w:rsidRPr="00190DA1" w:rsidTr="0044737A">
        <w:tc>
          <w:tcPr>
            <w:tcW w:w="5671" w:type="dxa"/>
          </w:tcPr>
          <w:p w:rsidR="0044737A" w:rsidRPr="0044737A" w:rsidRDefault="0044737A" w:rsidP="00165B95">
            <w:pPr>
              <w:spacing w:after="120"/>
              <w:rPr>
                <w:rFonts w:ascii="Calibri" w:eastAsia="Times New Roman" w:hAnsi="Calibri" w:cs="Calibri"/>
                <w:szCs w:val="20"/>
              </w:rPr>
            </w:pPr>
            <w:r w:rsidRPr="0044737A">
              <w:rPr>
                <w:rFonts w:ascii="Calibri" w:eastAsia="Times New Roman" w:hAnsi="Calibri"/>
                <w:szCs w:val="20"/>
              </w:rPr>
              <w:t>Improved correctional centre management and a sustained focus on rehabilitation.</w:t>
            </w:r>
          </w:p>
        </w:tc>
        <w:tc>
          <w:tcPr>
            <w:tcW w:w="8221" w:type="dxa"/>
          </w:tcPr>
          <w:p w:rsidR="0044737A" w:rsidRPr="0044737A" w:rsidRDefault="0044737A" w:rsidP="0044737A">
            <w:pPr>
              <w:spacing w:after="60"/>
              <w:jc w:val="both"/>
              <w:rPr>
                <w:rFonts w:ascii="Calibri" w:eastAsia="Times New Roman" w:hAnsi="Calibri"/>
                <w:i/>
                <w:szCs w:val="20"/>
              </w:rPr>
            </w:pPr>
            <w:r w:rsidRPr="0044737A">
              <w:rPr>
                <w:rFonts w:ascii="Calibri" w:eastAsia="Times New Roman" w:hAnsi="Calibri"/>
                <w:szCs w:val="20"/>
              </w:rPr>
              <w:t xml:space="preserve">Five out of the six correctional centres in the Solomon Islands comply with </w:t>
            </w:r>
            <w:r w:rsidRPr="0044737A">
              <w:rPr>
                <w:rFonts w:ascii="Calibri" w:eastAsia="Times New Roman" w:hAnsi="Calibri"/>
                <w:i/>
                <w:szCs w:val="20"/>
              </w:rPr>
              <w:t xml:space="preserve">UN Standards Minimum for the Treatment of Prisoners. </w:t>
            </w:r>
          </w:p>
          <w:p w:rsidR="0044737A" w:rsidRPr="0044737A" w:rsidRDefault="0044737A" w:rsidP="0044737A">
            <w:pPr>
              <w:spacing w:after="60"/>
              <w:rPr>
                <w:rFonts w:ascii="Calibri" w:eastAsia="Times New Roman" w:hAnsi="Calibri" w:cs="Calibri"/>
                <w:szCs w:val="20"/>
              </w:rPr>
            </w:pPr>
            <w:r w:rsidRPr="0044737A">
              <w:rPr>
                <w:rFonts w:ascii="Calibri" w:eastAsia="Times New Roman" w:hAnsi="Calibri" w:cs="Calibri"/>
                <w:szCs w:val="20"/>
              </w:rPr>
              <w:t>Rove Central Correctional Centre reported 39 incidents of prisoner infractions against the rules in 2013-14.</w:t>
            </w:r>
          </w:p>
        </w:tc>
      </w:tr>
    </w:tbl>
    <w:p w:rsidR="0044737A" w:rsidRDefault="0044737A" w:rsidP="0044737A">
      <w:pPr>
        <w:pStyle w:val="BodyText"/>
        <w:jc w:val="right"/>
        <w:rPr>
          <w:rFonts w:ascii="Calibri" w:hAnsi="Calibri"/>
          <w:sz w:val="20"/>
          <w:szCs w:val="20"/>
        </w:rPr>
      </w:pPr>
    </w:p>
    <w:p w:rsidR="0044737A" w:rsidRPr="0044737A" w:rsidRDefault="0044737A" w:rsidP="0044737A">
      <w:pPr>
        <w:pStyle w:val="BodyText"/>
        <w:jc w:val="right"/>
      </w:pPr>
      <w:r w:rsidRPr="0044737A">
        <w:rPr>
          <w:rFonts w:ascii="Calibri" w:hAnsi="Calibri"/>
          <w:sz w:val="20"/>
          <w:szCs w:val="20"/>
        </w:rPr>
        <w:t>*Figures not yet available for 2014</w:t>
      </w:r>
    </w:p>
    <w:sectPr w:rsidR="0044737A" w:rsidRPr="0044737A" w:rsidSect="00A05718">
      <w:pgSz w:w="16840" w:h="11907" w:orient="landscape" w:code="9"/>
      <w:pgMar w:top="709" w:right="2268" w:bottom="1276"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2B" w:rsidRDefault="00AB5D2B" w:rsidP="0050529F">
      <w:r>
        <w:separator/>
      </w:r>
    </w:p>
    <w:p w:rsidR="00AB5D2B" w:rsidRDefault="00AB5D2B"/>
    <w:p w:rsidR="00AB5D2B" w:rsidRDefault="00AB5D2B"/>
    <w:p w:rsidR="00AB5D2B" w:rsidRDefault="00AB5D2B"/>
    <w:p w:rsidR="00AB5D2B" w:rsidRDefault="00AB5D2B"/>
    <w:p w:rsidR="00AB5D2B" w:rsidRDefault="00AB5D2B"/>
    <w:p w:rsidR="00AB5D2B" w:rsidRDefault="00AB5D2B"/>
  </w:endnote>
  <w:endnote w:type="continuationSeparator" w:id="0">
    <w:p w:rsidR="00AB5D2B" w:rsidRDefault="00AB5D2B" w:rsidP="0050529F">
      <w:r>
        <w:continuationSeparator/>
      </w:r>
    </w:p>
    <w:p w:rsidR="00AB5D2B" w:rsidRDefault="00AB5D2B"/>
    <w:p w:rsidR="00AB5D2B" w:rsidRDefault="00AB5D2B"/>
    <w:p w:rsidR="00AB5D2B" w:rsidRDefault="00AB5D2B"/>
    <w:p w:rsidR="00AB5D2B" w:rsidRDefault="00AB5D2B"/>
    <w:p w:rsidR="00AB5D2B" w:rsidRDefault="00AB5D2B"/>
    <w:p w:rsidR="00AB5D2B" w:rsidRDefault="00AB5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2B" w:rsidRPr="0091071F" w:rsidRDefault="00AB5D2B" w:rsidP="000D733F">
    <w:pPr>
      <w:pStyle w:val="Footer"/>
    </w:pPr>
    <w:r w:rsidRPr="0091071F">
      <w:fldChar w:fldCharType="begin"/>
    </w:r>
    <w:r w:rsidRPr="0091071F">
      <w:instrText xml:space="preserve"> PAGE </w:instrText>
    </w:r>
    <w:r w:rsidRPr="0091071F">
      <w:fldChar w:fldCharType="separate"/>
    </w:r>
    <w:r>
      <w:rPr>
        <w:noProof/>
      </w:rPr>
      <w:t>26</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2B" w:rsidRPr="0091071F" w:rsidRDefault="00AB5D2B" w:rsidP="000D733F">
    <w:pPr>
      <w:pStyle w:val="Footer"/>
    </w:pPr>
    <w:r>
      <w:tab/>
    </w:r>
    <w:r w:rsidR="003076A9">
      <w:fldChar w:fldCharType="begin"/>
    </w:r>
    <w:r w:rsidR="003076A9">
      <w:instrText xml:space="preserve"> STYLEREF Title \* MERGEFORMAT </w:instrText>
    </w:r>
    <w:r w:rsidR="003076A9">
      <w:fldChar w:fldCharType="separate"/>
    </w:r>
    <w:r w:rsidR="003076A9">
      <w:rPr>
        <w:noProof/>
      </w:rPr>
      <w:t>Aid Program Performance Report 2013-14</w:t>
    </w:r>
    <w:r w:rsidR="003076A9">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3076A9">
      <w:rPr>
        <w:rStyle w:val="PageNumber"/>
        <w:noProof/>
        <w:color w:val="3E3935"/>
      </w:rPr>
      <w:t>2</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6A9" w:rsidRDefault="003076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2B" w:rsidRPr="004C4A3E" w:rsidRDefault="00AB5D2B"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7FDA6D88" wp14:editId="79A8E89F">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662E17">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20</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40EA178B" wp14:editId="6F9619BE">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6C667D97" wp14:editId="32ECF587">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2B" w:rsidRDefault="00AB5D2B">
      <w:r>
        <w:separator/>
      </w:r>
    </w:p>
  </w:footnote>
  <w:footnote w:type="continuationSeparator" w:id="0">
    <w:p w:rsidR="00AB5D2B" w:rsidRDefault="00AB5D2B" w:rsidP="0050529F">
      <w:r>
        <w:continuationSeparator/>
      </w:r>
    </w:p>
    <w:p w:rsidR="00AB5D2B" w:rsidRDefault="00AB5D2B"/>
    <w:p w:rsidR="00AB5D2B" w:rsidRDefault="00AB5D2B"/>
    <w:p w:rsidR="00AB5D2B" w:rsidRDefault="00AB5D2B"/>
    <w:p w:rsidR="00AB5D2B" w:rsidRDefault="00AB5D2B"/>
    <w:p w:rsidR="00AB5D2B" w:rsidRDefault="00AB5D2B"/>
    <w:p w:rsidR="00AB5D2B" w:rsidRDefault="00AB5D2B"/>
  </w:footnote>
  <w:footnote w:id="1">
    <w:p w:rsidR="00AB5D2B" w:rsidRPr="00E70905" w:rsidRDefault="00AB5D2B" w:rsidP="00831DC0">
      <w:pPr>
        <w:pStyle w:val="FootnoteText"/>
        <w:spacing w:line="240" w:lineRule="auto"/>
        <w:contextualSpacing w:val="0"/>
        <w:rPr>
          <w:rFonts w:asciiTheme="minorHAnsi" w:hAnsiTheme="minorHAnsi" w:cstheme="minorHAnsi"/>
          <w:szCs w:val="16"/>
        </w:rPr>
      </w:pPr>
      <w:r w:rsidRPr="00E70905">
        <w:rPr>
          <w:rStyle w:val="FootnoteReference"/>
          <w:rFonts w:asciiTheme="minorHAnsi" w:hAnsiTheme="minorHAnsi" w:cstheme="minorHAnsi"/>
          <w:szCs w:val="16"/>
        </w:rPr>
        <w:footnoteRef/>
      </w:r>
      <w:r w:rsidRPr="00E70905">
        <w:rPr>
          <w:rStyle w:val="FootnoteReference"/>
          <w:rFonts w:asciiTheme="minorHAnsi" w:hAnsiTheme="minorHAnsi" w:cstheme="minorHAnsi"/>
          <w:szCs w:val="16"/>
        </w:rPr>
        <w:t xml:space="preserve"> </w:t>
      </w:r>
      <w:r w:rsidRPr="00E70905">
        <w:rPr>
          <w:rFonts w:asciiTheme="minorHAnsi" w:hAnsiTheme="minorHAnsi" w:cstheme="minorHAnsi"/>
          <w:szCs w:val="16"/>
        </w:rPr>
        <w:t>http://hdr.undp.org/sites/default/files/hdr2013_en_summary.pdf</w:t>
      </w:r>
    </w:p>
  </w:footnote>
  <w:footnote w:id="2">
    <w:p w:rsidR="00AB5D2B" w:rsidRPr="00E70905" w:rsidRDefault="00AB5D2B" w:rsidP="00831DC0">
      <w:pPr>
        <w:pStyle w:val="FootnoteText"/>
        <w:spacing w:line="240" w:lineRule="auto"/>
        <w:contextualSpacing w:val="0"/>
        <w:rPr>
          <w:rFonts w:asciiTheme="minorHAnsi" w:hAnsiTheme="minorHAnsi" w:cstheme="minorHAnsi"/>
          <w:szCs w:val="16"/>
        </w:rPr>
      </w:pPr>
      <w:r w:rsidRPr="00E70905">
        <w:rPr>
          <w:rStyle w:val="FootnoteReference"/>
          <w:rFonts w:asciiTheme="minorHAnsi" w:hAnsiTheme="minorHAnsi" w:cstheme="minorHAnsi"/>
          <w:szCs w:val="16"/>
        </w:rPr>
        <w:footnoteRef/>
      </w:r>
      <w:r w:rsidRPr="00E70905">
        <w:rPr>
          <w:rFonts w:asciiTheme="minorHAnsi" w:hAnsiTheme="minorHAnsi" w:cstheme="minorHAnsi"/>
          <w:szCs w:val="16"/>
        </w:rPr>
        <w:t xml:space="preserve"> World Bank Databank – using the average </w:t>
      </w:r>
      <w:r>
        <w:rPr>
          <w:rFonts w:asciiTheme="minorHAnsi" w:hAnsiTheme="minorHAnsi" w:cstheme="minorHAnsi"/>
          <w:szCs w:val="16"/>
        </w:rPr>
        <w:t xml:space="preserve"> per cent</w:t>
      </w:r>
      <w:r w:rsidRPr="00E70905">
        <w:rPr>
          <w:rFonts w:asciiTheme="minorHAnsi" w:hAnsiTheme="minorHAnsi" w:cstheme="minorHAnsi"/>
          <w:szCs w:val="16"/>
        </w:rPr>
        <w:t xml:space="preserve"> ODA to GNI for 2010-2012, Solomon Islands is the second most aid dependant country in the world, using data for 2012 alone, it is the 4th most dependant.</w:t>
      </w:r>
    </w:p>
  </w:footnote>
  <w:footnote w:id="3">
    <w:p w:rsidR="00AB5D2B" w:rsidRPr="00E70905" w:rsidRDefault="00AB5D2B" w:rsidP="00831DC0">
      <w:pPr>
        <w:pStyle w:val="FootnoteText"/>
        <w:spacing w:line="240" w:lineRule="auto"/>
        <w:contextualSpacing w:val="0"/>
        <w:rPr>
          <w:rFonts w:asciiTheme="minorHAnsi" w:hAnsiTheme="minorHAnsi" w:cstheme="minorHAnsi"/>
          <w:szCs w:val="16"/>
        </w:rPr>
      </w:pPr>
      <w:r w:rsidRPr="00E70905">
        <w:rPr>
          <w:rStyle w:val="FootnoteReference"/>
          <w:rFonts w:asciiTheme="minorHAnsi" w:hAnsiTheme="minorHAnsi" w:cstheme="minorHAnsi"/>
          <w:szCs w:val="16"/>
        </w:rPr>
        <w:footnoteRef/>
      </w:r>
      <w:r w:rsidRPr="00E70905">
        <w:rPr>
          <w:rFonts w:asciiTheme="minorHAnsi" w:hAnsiTheme="minorHAnsi" w:cstheme="minorHAnsi"/>
          <w:szCs w:val="16"/>
        </w:rPr>
        <w:t xml:space="preserve"> World Bank World Development Indictors 2012</w:t>
      </w:r>
    </w:p>
  </w:footnote>
  <w:footnote w:id="4">
    <w:p w:rsidR="00AB5D2B" w:rsidRPr="00E70905" w:rsidRDefault="00AB5D2B" w:rsidP="00831DC0">
      <w:pPr>
        <w:pStyle w:val="FootnoteText"/>
        <w:spacing w:line="240" w:lineRule="auto"/>
        <w:contextualSpacing w:val="0"/>
        <w:rPr>
          <w:rFonts w:asciiTheme="minorHAnsi" w:hAnsiTheme="minorHAnsi" w:cstheme="minorHAnsi"/>
          <w:szCs w:val="16"/>
        </w:rPr>
      </w:pPr>
      <w:r w:rsidRPr="00E70905">
        <w:rPr>
          <w:rStyle w:val="FootnoteReference"/>
          <w:rFonts w:asciiTheme="minorHAnsi" w:hAnsiTheme="minorHAnsi" w:cstheme="minorHAnsi"/>
          <w:szCs w:val="16"/>
        </w:rPr>
        <w:footnoteRef/>
      </w:r>
      <w:r w:rsidRPr="00E70905">
        <w:rPr>
          <w:rFonts w:asciiTheme="minorHAnsi" w:hAnsiTheme="minorHAnsi" w:cstheme="minorHAnsi"/>
          <w:szCs w:val="16"/>
        </w:rPr>
        <w:t xml:space="preserve"> 2013 Pacific Regional MDGs Tracking Report, Prepared by the Pacific Islands Forum Secretariat August 2013.</w:t>
      </w:r>
    </w:p>
  </w:footnote>
  <w:footnote w:id="5">
    <w:p w:rsidR="00AB5D2B" w:rsidRPr="00E70905" w:rsidRDefault="00AB5D2B" w:rsidP="00831DC0">
      <w:pPr>
        <w:widowControl w:val="0"/>
        <w:rPr>
          <w:rFonts w:asciiTheme="minorHAnsi" w:eastAsia="Times New Roman" w:hAnsiTheme="minorHAnsi" w:cstheme="minorHAnsi"/>
          <w:sz w:val="16"/>
          <w:szCs w:val="16"/>
        </w:rPr>
      </w:pPr>
      <w:r w:rsidRPr="00E70905">
        <w:rPr>
          <w:rStyle w:val="FootnoteReference"/>
          <w:rFonts w:asciiTheme="minorHAnsi" w:hAnsiTheme="minorHAnsi" w:cstheme="minorHAnsi"/>
          <w:szCs w:val="16"/>
        </w:rPr>
        <w:footnoteRef/>
      </w:r>
      <w:r w:rsidRPr="00E70905">
        <w:rPr>
          <w:rFonts w:asciiTheme="minorHAnsi" w:hAnsiTheme="minorHAnsi" w:cstheme="minorHAnsi"/>
          <w:sz w:val="16"/>
          <w:szCs w:val="16"/>
        </w:rPr>
        <w:t xml:space="preserve"> </w:t>
      </w:r>
      <w:r w:rsidRPr="00E70905">
        <w:rPr>
          <w:rFonts w:asciiTheme="minorHAnsi" w:eastAsia="Times New Roman" w:hAnsiTheme="minorHAnsi" w:cstheme="minorHAnsi"/>
          <w:sz w:val="16"/>
          <w:szCs w:val="16"/>
        </w:rPr>
        <w:t>Solomon Islands is ranked 138/141 in the Inter Parliamentary Union World Classification: Proportion of seats held by women in single or lower houses of national parliaments (global ranking)</w:t>
      </w:r>
    </w:p>
  </w:footnote>
  <w:footnote w:id="6">
    <w:p w:rsidR="00AB5D2B" w:rsidRPr="00E70905" w:rsidRDefault="00AB5D2B" w:rsidP="00831DC0">
      <w:pPr>
        <w:pStyle w:val="FootnoteText"/>
        <w:rPr>
          <w:rFonts w:asciiTheme="minorHAnsi" w:hAnsiTheme="minorHAnsi" w:cstheme="minorHAnsi"/>
        </w:rPr>
      </w:pPr>
      <w:r w:rsidRPr="00E70905">
        <w:rPr>
          <w:rStyle w:val="FootnoteReference"/>
          <w:rFonts w:asciiTheme="minorHAnsi" w:hAnsiTheme="minorHAnsi" w:cstheme="minorHAnsi"/>
        </w:rPr>
        <w:footnoteRef/>
      </w:r>
      <w:r w:rsidRPr="00E70905">
        <w:rPr>
          <w:rFonts w:asciiTheme="minorHAnsi" w:hAnsiTheme="minorHAnsi" w:cstheme="minorHAnsi"/>
        </w:rPr>
        <w:t xml:space="preserve"> </w:t>
      </w:r>
      <w:r w:rsidRPr="00A130A8">
        <w:rPr>
          <w:rFonts w:asciiTheme="minorHAnsi" w:hAnsiTheme="minorHAnsi" w:cstheme="minorHAnsi"/>
          <w:lang w:eastAsia="en-US"/>
        </w:rPr>
        <w:t>2009 POPULATION &amp; HOUSING CENSUS</w:t>
      </w:r>
      <w:r>
        <w:rPr>
          <w:rFonts w:asciiTheme="minorHAnsi" w:hAnsiTheme="minorHAnsi" w:cstheme="minorHAnsi"/>
          <w:lang w:eastAsia="en-US"/>
        </w:rPr>
        <w:t xml:space="preserve">: </w:t>
      </w:r>
      <w:r w:rsidRPr="00A130A8">
        <w:rPr>
          <w:rFonts w:asciiTheme="minorHAnsi" w:hAnsiTheme="minorHAnsi" w:cstheme="minorHAnsi"/>
          <w:lang w:eastAsia="en-US"/>
        </w:rPr>
        <w:t xml:space="preserve"> Report on Economic Activity and Labour Force</w:t>
      </w:r>
    </w:p>
  </w:footnote>
  <w:footnote w:id="7">
    <w:p w:rsidR="00AB5D2B" w:rsidRDefault="00AB5D2B" w:rsidP="00831DC0">
      <w:pPr>
        <w:pStyle w:val="FootnoteText"/>
      </w:pPr>
      <w:r w:rsidRPr="00E70905">
        <w:rPr>
          <w:rStyle w:val="FootnoteReference"/>
          <w:rFonts w:asciiTheme="minorHAnsi" w:hAnsiTheme="minorHAnsi" w:cstheme="minorHAnsi"/>
        </w:rPr>
        <w:footnoteRef/>
      </w:r>
      <w:r w:rsidRPr="00E70905">
        <w:rPr>
          <w:rFonts w:asciiTheme="minorHAnsi" w:hAnsiTheme="minorHAnsi" w:cstheme="minorHAnsi"/>
        </w:rPr>
        <w:t xml:space="preserve"> World Bank, 2013 Country Strategy, p6</w:t>
      </w:r>
    </w:p>
  </w:footnote>
  <w:footnote w:id="8">
    <w:p w:rsidR="00AB5D2B" w:rsidRPr="00A24FC2" w:rsidRDefault="00AB5D2B" w:rsidP="00831DC0">
      <w:pPr>
        <w:pStyle w:val="FootnoteText"/>
        <w:rPr>
          <w:rFonts w:asciiTheme="minorHAnsi" w:hAnsiTheme="minorHAnsi" w:cstheme="minorHAnsi"/>
        </w:rPr>
      </w:pPr>
      <w:r>
        <w:rPr>
          <w:rStyle w:val="FootnoteReference"/>
        </w:rPr>
        <w:footnoteRef/>
      </w:r>
      <w:hyperlink r:id="rId1" w:history="1">
        <w:r w:rsidRPr="00A24FC2">
          <w:rPr>
            <w:rFonts w:asciiTheme="minorHAnsi" w:hAnsiTheme="minorHAnsi" w:cstheme="minorHAnsi"/>
          </w:rPr>
          <w:t>http://www.oecd.org/dac/stats/documentupload/SLB.JPG</w:t>
        </w:r>
      </w:hyperlink>
    </w:p>
  </w:footnote>
  <w:footnote w:id="9">
    <w:p w:rsidR="00AB5D2B" w:rsidRDefault="00AB5D2B" w:rsidP="00E70905">
      <w:pPr>
        <w:pStyle w:val="FootnoteText"/>
        <w:spacing w:line="240" w:lineRule="auto"/>
      </w:pPr>
      <w:r w:rsidRPr="00E70905">
        <w:rPr>
          <w:rStyle w:val="FootnoteReference"/>
          <w:rFonts w:asciiTheme="minorHAnsi" w:hAnsiTheme="minorHAnsi" w:cstheme="minorHAnsi"/>
        </w:rPr>
        <w:footnoteRef/>
      </w:r>
      <w:r w:rsidRPr="00E70905">
        <w:rPr>
          <w:rFonts w:asciiTheme="minorHAnsi" w:hAnsiTheme="minorHAnsi" w:cstheme="minorHAnsi"/>
        </w:rPr>
        <w:t xml:space="preserve"> </w:t>
      </w:r>
      <w:r w:rsidRPr="00D94209">
        <w:rPr>
          <w:rFonts w:asciiTheme="minorHAnsi" w:hAnsiTheme="minorHAnsi" w:cstheme="minorHAnsi"/>
        </w:rPr>
        <w:t>People</w:t>
      </w:r>
      <w:r>
        <w:rPr>
          <w:rFonts w:asciiTheme="minorHAnsi" w:hAnsiTheme="minorHAnsi" w:cstheme="minorHAnsi"/>
        </w:rPr>
        <w:t>’</w:t>
      </w:r>
      <w:r w:rsidRPr="00D94209">
        <w:rPr>
          <w:rFonts w:asciiTheme="minorHAnsi" w:hAnsiTheme="minorHAnsi" w:cstheme="minorHAnsi"/>
        </w:rPr>
        <w:t>s</w:t>
      </w:r>
      <w:r>
        <w:rPr>
          <w:rFonts w:asciiTheme="minorHAnsi" w:hAnsiTheme="minorHAnsi" w:cstheme="minorHAnsi"/>
        </w:rPr>
        <w:t xml:space="preserve"> </w:t>
      </w:r>
      <w:r w:rsidRPr="00D94209">
        <w:rPr>
          <w:rFonts w:asciiTheme="minorHAnsi" w:hAnsiTheme="minorHAnsi" w:cstheme="minorHAnsi"/>
        </w:rPr>
        <w:t>Survey</w:t>
      </w:r>
      <w:r>
        <w:rPr>
          <w:rFonts w:asciiTheme="minorHAnsi" w:hAnsiTheme="minorHAnsi" w:cstheme="minorHAnsi"/>
        </w:rPr>
        <w:t xml:space="preserve"> </w:t>
      </w:r>
      <w:r w:rsidRPr="00D94209">
        <w:rPr>
          <w:rFonts w:asciiTheme="minorHAnsi" w:hAnsiTheme="minorHAnsi" w:cstheme="minorHAnsi"/>
        </w:rPr>
        <w:t>2013,</w:t>
      </w:r>
      <w:r>
        <w:rPr>
          <w:rFonts w:asciiTheme="minorHAnsi" w:hAnsiTheme="minorHAnsi" w:cstheme="minorHAnsi"/>
        </w:rPr>
        <w:t xml:space="preserve"> </w:t>
      </w:r>
      <w:r w:rsidRPr="00D94209">
        <w:rPr>
          <w:rFonts w:asciiTheme="minorHAnsi" w:hAnsiTheme="minorHAnsi" w:cstheme="minorHAnsi"/>
        </w:rPr>
        <w:t>Australian</w:t>
      </w:r>
      <w:r>
        <w:rPr>
          <w:rFonts w:asciiTheme="minorHAnsi" w:hAnsiTheme="minorHAnsi" w:cstheme="minorHAnsi"/>
        </w:rPr>
        <w:t xml:space="preserve"> </w:t>
      </w:r>
      <w:r w:rsidRPr="00D94209">
        <w:rPr>
          <w:rFonts w:asciiTheme="minorHAnsi" w:hAnsiTheme="minorHAnsi" w:cstheme="minorHAnsi"/>
        </w:rPr>
        <w:t>National</w:t>
      </w:r>
      <w:r>
        <w:rPr>
          <w:rFonts w:asciiTheme="minorHAnsi" w:hAnsiTheme="minorHAnsi" w:cstheme="minorHAnsi"/>
        </w:rPr>
        <w:t xml:space="preserve"> </w:t>
      </w:r>
      <w:r w:rsidRPr="00D94209">
        <w:rPr>
          <w:rFonts w:asciiTheme="minorHAnsi" w:hAnsiTheme="minorHAnsi" w:cstheme="minorHAnsi"/>
        </w:rPr>
        <w:t>University</w:t>
      </w:r>
    </w:p>
  </w:footnote>
  <w:footnote w:id="10">
    <w:p w:rsidR="00AB5D2B" w:rsidRPr="00503EEC" w:rsidRDefault="00AB5D2B" w:rsidP="00503EEC">
      <w:pPr>
        <w:rPr>
          <w:rFonts w:ascii="Calibri" w:eastAsia="Times New Roman" w:hAnsi="Calibri"/>
          <w:sz w:val="16"/>
          <w:szCs w:val="20"/>
        </w:rPr>
      </w:pPr>
      <w:r>
        <w:rPr>
          <w:rStyle w:val="FootnoteReference"/>
        </w:rPr>
        <w:footnoteRef/>
      </w:r>
      <w:r>
        <w:t xml:space="preserve"> </w:t>
      </w:r>
      <w:r w:rsidRPr="00503EEC">
        <w:rPr>
          <w:rFonts w:ascii="Calibri" w:eastAsia="Times New Roman" w:hAnsi="Calibri"/>
          <w:sz w:val="16"/>
          <w:szCs w:val="20"/>
        </w:rPr>
        <w:t xml:space="preserve">Year 4 literacy has increased from 32 per cent in 2010 to 66.4 per cent in 2013. Year 6 literacy has increased from 40 per cent in 2010 to 62.3 per cent in 2013. Year 4 numeracy has increased from 46 per cent in 2010 to 66.7 per cent in 2013. Year 6 numeracy has increased from 46 per cent in 2010 to 86.6 per cent in 2013. </w:t>
      </w:r>
    </w:p>
    <w:p w:rsidR="00AB5D2B" w:rsidRDefault="00AB5D2B">
      <w:pPr>
        <w:pStyle w:val="FootnoteText"/>
      </w:pPr>
    </w:p>
  </w:footnote>
  <w:footnote w:id="11">
    <w:p w:rsidR="00AB5D2B" w:rsidRDefault="00AB5D2B">
      <w:pPr>
        <w:pStyle w:val="FootnoteText"/>
      </w:pPr>
      <w:r>
        <w:rPr>
          <w:rStyle w:val="FootnoteReference"/>
        </w:rPr>
        <w:footnoteRef/>
      </w:r>
      <w:r>
        <w:t xml:space="preserve"> </w:t>
      </w:r>
      <w:r>
        <w:rPr>
          <w:rFonts w:ascii="Calibri" w:hAnsi="Calibri"/>
        </w:rPr>
        <w:t>Pacific Financial Inclusion Program (2010) In Search of Sustainability: The Provision of Rural Financial Services in Solomon Islands</w:t>
      </w:r>
    </w:p>
  </w:footnote>
  <w:footnote w:id="12">
    <w:p w:rsidR="00AB5D2B" w:rsidRDefault="00AB5D2B" w:rsidP="00B82D34">
      <w:pPr>
        <w:pStyle w:val="FootnoteText"/>
        <w:spacing w:line="240" w:lineRule="auto"/>
      </w:pPr>
      <w:r>
        <w:rPr>
          <w:rStyle w:val="FootnoteReference"/>
        </w:rPr>
        <w:footnoteRef/>
      </w:r>
      <w:r>
        <w:t xml:space="preserve"> </w:t>
      </w:r>
      <w:r>
        <w:rPr>
          <w:rFonts w:ascii="Calibri" w:hAnsi="Calibri"/>
        </w:rPr>
        <w:t>The Maya Declaration is the first global and measurable set of commitments by developing and emerging country governments to unlock the economic and social potential of the 2.5 billion ‘unbanked’ people through greater financial inclusion. More than 90 such countries – representing more than 75 per cent of the world’s unbanked population – have supported the Declaration.</w:t>
      </w:r>
      <w:r w:rsidRPr="00A34882">
        <w:rPr>
          <w:rFonts w:asciiTheme="minorHAnsi" w:hAnsiTheme="minorHAnsi" w:cstheme="minorHAnsi"/>
          <w:szCs w:val="16"/>
        </w:rPr>
        <w:t xml:space="preserve"> </w:t>
      </w:r>
      <w:hyperlink r:id="rId2" w:history="1">
        <w:r w:rsidRPr="00A34882">
          <w:rPr>
            <w:rStyle w:val="Hyperlink"/>
            <w:rFonts w:asciiTheme="minorHAnsi" w:eastAsiaTheme="minorHAnsi" w:hAnsiTheme="minorHAnsi" w:cstheme="minorHAnsi"/>
            <w:sz w:val="16"/>
            <w:szCs w:val="16"/>
          </w:rPr>
          <w:t>http://www.afi-global.org/maya-declaration</w:t>
        </w:r>
      </w:hyperlink>
      <w:r w:rsidRPr="00A34882">
        <w:rPr>
          <w:rFonts w:asciiTheme="minorHAnsi" w:hAnsiTheme="minorHAnsi" w:cstheme="minorHAnsi"/>
          <w:szCs w:val="16"/>
        </w:rPr>
        <w:t xml:space="preserve"> </w:t>
      </w:r>
    </w:p>
  </w:footnote>
  <w:footnote w:id="13">
    <w:p w:rsidR="00AB5D2B" w:rsidRDefault="00AB5D2B">
      <w:pPr>
        <w:pStyle w:val="FootnoteText"/>
      </w:pPr>
      <w:r>
        <w:rPr>
          <w:rStyle w:val="FootnoteReference"/>
        </w:rPr>
        <w:footnoteRef/>
      </w:r>
      <w:r>
        <w:t xml:space="preserve"> </w:t>
      </w:r>
      <w:r>
        <w:rPr>
          <w:rFonts w:ascii="Calibri" w:hAnsi="Calibri"/>
        </w:rPr>
        <w:t>Evaluation of the Solomon Islands Rural Development Program, Monash University, October 2013. The Rural Development program is implemented by the World Bank and funded by Australia</w:t>
      </w:r>
    </w:p>
  </w:footnote>
  <w:footnote w:id="14">
    <w:p w:rsidR="00AB5D2B" w:rsidRPr="001C23B3" w:rsidRDefault="00AB5D2B" w:rsidP="002F075F">
      <w:pPr>
        <w:pStyle w:val="FootnoteText"/>
        <w:rPr>
          <w:rFonts w:asciiTheme="minorHAnsi" w:hAnsiTheme="minorHAnsi" w:cstheme="minorHAnsi"/>
        </w:rPr>
      </w:pPr>
      <w:r w:rsidRPr="00EE3657">
        <w:rPr>
          <w:rFonts w:asciiTheme="minorHAnsi" w:hAnsiTheme="minorHAnsi" w:cstheme="minorHAnsi"/>
        </w:rPr>
        <w:footnoteRef/>
      </w:r>
      <w:r w:rsidRPr="00EE3657">
        <w:rPr>
          <w:rFonts w:asciiTheme="minorHAnsi" w:hAnsiTheme="minorHAnsi" w:cstheme="minorHAnsi"/>
        </w:rPr>
        <w:t xml:space="preserve"> SI Chamber of Commerce 2011</w:t>
      </w:r>
    </w:p>
  </w:footnote>
  <w:footnote w:id="15">
    <w:p w:rsidR="00AB5D2B" w:rsidRPr="001C23B3" w:rsidRDefault="00AB5D2B" w:rsidP="002F075F">
      <w:pPr>
        <w:pStyle w:val="FootnoteText"/>
        <w:rPr>
          <w:rFonts w:asciiTheme="minorHAnsi" w:hAnsiTheme="minorHAnsi" w:cstheme="minorHAnsi"/>
        </w:rPr>
      </w:pPr>
      <w:r>
        <w:rPr>
          <w:rStyle w:val="FootnoteReference"/>
        </w:rPr>
        <w:footnoteRef/>
      </w:r>
      <w:r>
        <w:t xml:space="preserve"> </w:t>
      </w:r>
      <w:r w:rsidRPr="001C23B3">
        <w:rPr>
          <w:rFonts w:asciiTheme="minorHAnsi" w:hAnsiTheme="minorHAnsi" w:cstheme="minorHAnsi"/>
        </w:rPr>
        <w:t>PRIF</w:t>
      </w:r>
      <w:r>
        <w:rPr>
          <w:rFonts w:asciiTheme="minorHAnsi" w:hAnsiTheme="minorHAnsi" w:cstheme="minorHAnsi"/>
        </w:rPr>
        <w:t xml:space="preserve"> </w:t>
      </w:r>
      <w:r w:rsidRPr="001C23B3">
        <w:rPr>
          <w:rFonts w:asciiTheme="minorHAnsi" w:hAnsiTheme="minorHAnsi" w:cstheme="minorHAnsi"/>
        </w:rPr>
        <w:t>Review,</w:t>
      </w:r>
      <w:r>
        <w:rPr>
          <w:rFonts w:asciiTheme="minorHAnsi" w:hAnsiTheme="minorHAnsi" w:cstheme="minorHAnsi"/>
        </w:rPr>
        <w:t xml:space="preserve"> </w:t>
      </w:r>
      <w:r w:rsidRPr="001C23B3">
        <w:rPr>
          <w:rFonts w:asciiTheme="minorHAnsi" w:hAnsiTheme="minorHAnsi" w:cstheme="minorHAnsi"/>
        </w:rPr>
        <w:t>2012</w:t>
      </w:r>
    </w:p>
  </w:footnote>
  <w:footnote w:id="16">
    <w:p w:rsidR="00AB5D2B" w:rsidRPr="001C23B3" w:rsidRDefault="00AB5D2B" w:rsidP="002F075F">
      <w:pPr>
        <w:pStyle w:val="FootnoteText"/>
        <w:spacing w:line="240" w:lineRule="auto"/>
        <w:contextualSpacing w:val="0"/>
      </w:pPr>
      <w:r>
        <w:rPr>
          <w:rStyle w:val="FootnoteReference"/>
        </w:rPr>
        <w:footnoteRef/>
      </w:r>
      <w:r>
        <w:t xml:space="preserve"> </w:t>
      </w:r>
      <w:r w:rsidRPr="001C23B3">
        <w:rPr>
          <w:rFonts w:asciiTheme="minorHAnsi" w:hAnsiTheme="minorHAnsi" w:cstheme="minorHAnsi"/>
        </w:rPr>
        <w:t>Solomon</w:t>
      </w:r>
      <w:r>
        <w:rPr>
          <w:rFonts w:asciiTheme="minorHAnsi" w:hAnsiTheme="minorHAnsi" w:cstheme="minorHAnsi"/>
        </w:rPr>
        <w:t xml:space="preserve"> </w:t>
      </w:r>
      <w:r w:rsidRPr="001C23B3">
        <w:rPr>
          <w:rFonts w:asciiTheme="minorHAnsi" w:hAnsiTheme="minorHAnsi" w:cstheme="minorHAnsi"/>
        </w:rPr>
        <w:t>Water</w:t>
      </w:r>
      <w:r>
        <w:rPr>
          <w:rFonts w:asciiTheme="minorHAnsi" w:hAnsiTheme="minorHAnsi" w:cstheme="minorHAnsi"/>
        </w:rPr>
        <w:t xml:space="preserve"> </w:t>
      </w:r>
      <w:r w:rsidRPr="001C23B3">
        <w:rPr>
          <w:rFonts w:asciiTheme="minorHAnsi" w:hAnsiTheme="minorHAnsi" w:cstheme="minorHAnsi"/>
        </w:rPr>
        <w:t>2013</w:t>
      </w:r>
    </w:p>
  </w:footnote>
  <w:footnote w:id="17">
    <w:p w:rsidR="00AB5D2B" w:rsidRDefault="00AB5D2B" w:rsidP="002F075F">
      <w:pPr>
        <w:pStyle w:val="FootnoteText"/>
        <w:spacing w:line="240" w:lineRule="auto"/>
        <w:contextualSpacing w:val="0"/>
      </w:pPr>
      <w:r>
        <w:rPr>
          <w:rStyle w:val="FootnoteReference"/>
        </w:rPr>
        <w:footnoteRef/>
      </w:r>
      <w:r>
        <w:t xml:space="preserve"> </w:t>
      </w:r>
      <w:r w:rsidRPr="005143A7">
        <w:rPr>
          <w:rFonts w:asciiTheme="minorHAnsi" w:hAnsiTheme="minorHAnsi"/>
        </w:rPr>
        <w:t>Telecommunications</w:t>
      </w:r>
      <w:r>
        <w:rPr>
          <w:rFonts w:asciiTheme="minorHAnsi" w:hAnsiTheme="minorHAnsi"/>
        </w:rPr>
        <w:t xml:space="preserve"> </w:t>
      </w:r>
      <w:r w:rsidRPr="005143A7">
        <w:rPr>
          <w:rFonts w:asciiTheme="minorHAnsi" w:hAnsiTheme="minorHAnsi"/>
        </w:rPr>
        <w:t>Commission</w:t>
      </w:r>
      <w:r>
        <w:rPr>
          <w:rFonts w:asciiTheme="minorHAnsi" w:hAnsiTheme="minorHAnsi"/>
        </w:rPr>
        <w:t xml:space="preserve"> </w:t>
      </w:r>
      <w:r w:rsidRPr="005143A7">
        <w:rPr>
          <w:rFonts w:asciiTheme="minorHAnsi" w:hAnsiTheme="minorHAnsi"/>
        </w:rPr>
        <w:t>of</w:t>
      </w:r>
      <w:r>
        <w:rPr>
          <w:rFonts w:asciiTheme="minorHAnsi" w:hAnsiTheme="minorHAnsi"/>
        </w:rPr>
        <w:t xml:space="preserve"> </w:t>
      </w:r>
      <w:r w:rsidRPr="005143A7">
        <w:rPr>
          <w:rFonts w:asciiTheme="minorHAnsi" w:hAnsiTheme="minorHAnsi"/>
        </w:rPr>
        <w:t>Solomon</w:t>
      </w:r>
      <w:r>
        <w:rPr>
          <w:rFonts w:asciiTheme="minorHAnsi" w:hAnsiTheme="minorHAnsi"/>
        </w:rPr>
        <w:t xml:space="preserve"> </w:t>
      </w:r>
      <w:r w:rsidRPr="005143A7">
        <w:rPr>
          <w:rFonts w:asciiTheme="minorHAnsi" w:hAnsiTheme="minorHAnsi"/>
        </w:rPr>
        <w:t>Islands,</w:t>
      </w:r>
      <w:r>
        <w:rPr>
          <w:rFonts w:asciiTheme="minorHAnsi" w:hAnsiTheme="minorHAnsi"/>
        </w:rPr>
        <w:t xml:space="preserve"> </w:t>
      </w:r>
      <w:r w:rsidRPr="005143A7">
        <w:rPr>
          <w:rFonts w:asciiTheme="minorHAnsi" w:hAnsiTheme="minorHAnsi"/>
        </w:rPr>
        <w:t>2013</w:t>
      </w:r>
    </w:p>
  </w:footnote>
  <w:footnote w:id="18">
    <w:p w:rsidR="00AB5D2B" w:rsidRPr="001C23B3" w:rsidRDefault="00AB5D2B" w:rsidP="002F075F">
      <w:pPr>
        <w:pStyle w:val="FootnoteText"/>
        <w:spacing w:line="240" w:lineRule="auto"/>
        <w:contextualSpacing w:val="0"/>
        <w:rPr>
          <w:rFonts w:asciiTheme="minorHAnsi" w:hAnsiTheme="minorHAnsi" w:cstheme="minorHAnsi"/>
        </w:rPr>
      </w:pPr>
      <w:r>
        <w:rPr>
          <w:rStyle w:val="FootnoteReference"/>
        </w:rPr>
        <w:footnoteRef/>
      </w:r>
      <w:r>
        <w:t xml:space="preserve"> </w:t>
      </w:r>
      <w:r w:rsidRPr="000039AA">
        <w:rPr>
          <w:rFonts w:asciiTheme="minorHAnsi" w:hAnsiTheme="minorHAnsi" w:cstheme="minorHAnsi"/>
        </w:rPr>
        <w:t>ADB</w:t>
      </w:r>
      <w:r>
        <w:rPr>
          <w:rFonts w:asciiTheme="minorHAnsi" w:hAnsiTheme="minorHAnsi" w:cstheme="minorHAnsi"/>
        </w:rPr>
        <w:t xml:space="preserve"> </w:t>
      </w:r>
      <w:r w:rsidRPr="000039AA">
        <w:rPr>
          <w:rFonts w:asciiTheme="minorHAnsi" w:hAnsiTheme="minorHAnsi" w:cstheme="minorHAnsi"/>
        </w:rPr>
        <w:t>2012</w:t>
      </w:r>
      <w:r>
        <w:rPr>
          <w:rFonts w:asciiTheme="minorHAnsi" w:hAnsiTheme="minorHAnsi" w:cstheme="minorHAnsi"/>
        </w:rPr>
        <w:t>,</w:t>
      </w:r>
      <w:r>
        <w:t xml:space="preserve"> </w:t>
      </w:r>
      <w:r w:rsidRPr="000039AA">
        <w:rPr>
          <w:rFonts w:asciiTheme="minorHAnsi" w:hAnsiTheme="minorHAnsi" w:cstheme="minorHAnsi"/>
        </w:rPr>
        <w:t>Solomon</w:t>
      </w:r>
      <w:r>
        <w:rPr>
          <w:rFonts w:asciiTheme="minorHAnsi" w:hAnsiTheme="minorHAnsi" w:cstheme="minorHAnsi"/>
        </w:rPr>
        <w:t xml:space="preserve"> </w:t>
      </w:r>
      <w:r w:rsidRPr="000039AA">
        <w:rPr>
          <w:rFonts w:asciiTheme="minorHAnsi" w:hAnsiTheme="minorHAnsi" w:cstheme="minorHAnsi"/>
        </w:rPr>
        <w:t>Islands:</w:t>
      </w:r>
      <w:r>
        <w:rPr>
          <w:rFonts w:asciiTheme="minorHAnsi" w:hAnsiTheme="minorHAnsi" w:cstheme="minorHAnsi"/>
        </w:rPr>
        <w:t xml:space="preserve"> </w:t>
      </w:r>
      <w:r w:rsidRPr="000039AA">
        <w:rPr>
          <w:rFonts w:asciiTheme="minorHAnsi" w:hAnsiTheme="minorHAnsi" w:cstheme="minorHAnsi"/>
        </w:rPr>
        <w:t>Outer</w:t>
      </w:r>
      <w:r>
        <w:rPr>
          <w:rFonts w:asciiTheme="minorHAnsi" w:hAnsiTheme="minorHAnsi" w:cstheme="minorHAnsi"/>
        </w:rPr>
        <w:t xml:space="preserve"> </w:t>
      </w:r>
      <w:r w:rsidRPr="000039AA">
        <w:rPr>
          <w:rFonts w:asciiTheme="minorHAnsi" w:hAnsiTheme="minorHAnsi" w:cstheme="minorHAnsi"/>
        </w:rPr>
        <w:t>Island</w:t>
      </w:r>
      <w:r>
        <w:rPr>
          <w:rFonts w:asciiTheme="minorHAnsi" w:hAnsiTheme="minorHAnsi" w:cstheme="minorHAnsi"/>
        </w:rPr>
        <w:t xml:space="preserve"> </w:t>
      </w:r>
      <w:r w:rsidRPr="000039AA">
        <w:rPr>
          <w:rFonts w:asciiTheme="minorHAnsi" w:hAnsiTheme="minorHAnsi" w:cstheme="minorHAnsi"/>
        </w:rPr>
        <w:t>Renewable</w:t>
      </w:r>
      <w:r>
        <w:rPr>
          <w:rFonts w:asciiTheme="minorHAnsi" w:hAnsiTheme="minorHAnsi" w:cstheme="minorHAnsi"/>
        </w:rPr>
        <w:t xml:space="preserve"> </w:t>
      </w:r>
      <w:r w:rsidRPr="000039AA">
        <w:rPr>
          <w:rFonts w:asciiTheme="minorHAnsi" w:hAnsiTheme="minorHAnsi" w:cstheme="minorHAnsi"/>
        </w:rPr>
        <w:t>Energy</w:t>
      </w:r>
      <w:r>
        <w:rPr>
          <w:rFonts w:asciiTheme="minorHAnsi" w:hAnsiTheme="minorHAnsi" w:cstheme="minorHAnsi"/>
        </w:rPr>
        <w:t xml:space="preserve"> </w:t>
      </w:r>
      <w:r w:rsidRPr="000039AA">
        <w:rPr>
          <w:rFonts w:asciiTheme="minorHAnsi" w:hAnsiTheme="minorHAnsi" w:cstheme="minorHAnsi"/>
        </w:rPr>
        <w:t>Project</w:t>
      </w:r>
      <w:r>
        <w:rPr>
          <w:rFonts w:asciiTheme="minorHAnsi" w:hAnsiTheme="minorHAnsi" w:cstheme="minorHAnsi"/>
        </w:rPr>
        <w:t xml:space="preserve">, Draft Concept Paper </w:t>
      </w:r>
    </w:p>
  </w:footnote>
  <w:footnote w:id="19">
    <w:p w:rsidR="00AB5D2B" w:rsidRDefault="00AB5D2B" w:rsidP="00854FCE">
      <w:pPr>
        <w:pStyle w:val="FootnoteText"/>
      </w:pPr>
      <w:r w:rsidRPr="00E70905">
        <w:rPr>
          <w:rStyle w:val="FootnoteReference"/>
          <w:rFonts w:asciiTheme="minorHAnsi" w:hAnsiTheme="minorHAnsi" w:cstheme="minorHAnsi"/>
          <w:szCs w:val="16"/>
        </w:rPr>
        <w:footnoteRef/>
      </w:r>
      <w:r w:rsidRPr="00E70905">
        <w:rPr>
          <w:rFonts w:asciiTheme="minorHAnsi" w:hAnsiTheme="minorHAnsi" w:cstheme="minorHAnsi"/>
          <w:szCs w:val="16"/>
        </w:rPr>
        <w:t xml:space="preserve"> UNDP 2012-2015 Electoral Cycle Strengthening Program Document</w:t>
      </w:r>
    </w:p>
  </w:footnote>
  <w:footnote w:id="20">
    <w:p w:rsidR="00AB5D2B" w:rsidRPr="00E70905" w:rsidRDefault="00AB5D2B" w:rsidP="00CF1001">
      <w:pPr>
        <w:pStyle w:val="FootnoteText"/>
        <w:rPr>
          <w:rFonts w:asciiTheme="minorHAnsi" w:hAnsiTheme="minorHAnsi" w:cstheme="minorHAnsi"/>
          <w:szCs w:val="16"/>
        </w:rPr>
      </w:pPr>
      <w:r w:rsidRPr="00E70905">
        <w:rPr>
          <w:rStyle w:val="FootnoteReference"/>
          <w:rFonts w:asciiTheme="minorHAnsi" w:hAnsiTheme="minorHAnsi" w:cstheme="minorHAnsi"/>
          <w:szCs w:val="16"/>
        </w:rPr>
        <w:footnoteRef/>
      </w:r>
      <w:r w:rsidRPr="00E70905">
        <w:rPr>
          <w:rFonts w:asciiTheme="minorHAnsi" w:hAnsiTheme="minorHAnsi" w:cstheme="minorHAnsi"/>
          <w:szCs w:val="16"/>
        </w:rPr>
        <w:t xml:space="preserve"> SOLMAS Phase 3 Independent Progress Review November 2012.</w:t>
      </w:r>
    </w:p>
  </w:footnote>
  <w:footnote w:id="21">
    <w:p w:rsidR="00AB5D2B" w:rsidRPr="00E70905" w:rsidRDefault="00AB5D2B" w:rsidP="00CF1001">
      <w:pPr>
        <w:pStyle w:val="FootnoteText"/>
        <w:rPr>
          <w:rFonts w:asciiTheme="minorHAnsi" w:hAnsiTheme="minorHAnsi" w:cstheme="minorHAnsi"/>
          <w:szCs w:val="16"/>
        </w:rPr>
      </w:pPr>
      <w:r w:rsidRPr="00E70905">
        <w:rPr>
          <w:rStyle w:val="FootnoteReference"/>
          <w:rFonts w:asciiTheme="minorHAnsi" w:hAnsiTheme="minorHAnsi" w:cstheme="minorHAnsi"/>
          <w:szCs w:val="16"/>
        </w:rPr>
        <w:footnoteRef/>
      </w:r>
      <w:r w:rsidRPr="00E70905">
        <w:rPr>
          <w:rFonts w:asciiTheme="minorHAnsi" w:hAnsiTheme="minorHAnsi" w:cstheme="minorHAnsi"/>
          <w:szCs w:val="16"/>
        </w:rPr>
        <w:t xml:space="preserve"> Activity Completion Report Solomon Islands Media Assistance Scheme February 2014.</w:t>
      </w:r>
    </w:p>
  </w:footnote>
  <w:footnote w:id="22">
    <w:p w:rsidR="00AB5D2B" w:rsidRDefault="00AB5D2B" w:rsidP="000520E1">
      <w:pPr>
        <w:pStyle w:val="FootnoteText"/>
      </w:pPr>
      <w:r>
        <w:rPr>
          <w:rStyle w:val="FootnoteReference"/>
        </w:rPr>
        <w:footnoteRef/>
      </w:r>
      <w:r>
        <w:t xml:space="preserve"> </w:t>
      </w:r>
      <w:r>
        <w:rPr>
          <w:rFonts w:ascii="Calibri" w:hAnsi="Calibri"/>
        </w:rPr>
        <w:t>World Development Report 2011</w:t>
      </w:r>
    </w:p>
  </w:footnote>
  <w:footnote w:id="23">
    <w:p w:rsidR="00AB5D2B" w:rsidRPr="00E70905" w:rsidRDefault="00AB5D2B" w:rsidP="00E70905">
      <w:pPr>
        <w:pStyle w:val="FootnoteText"/>
        <w:spacing w:line="240" w:lineRule="auto"/>
        <w:contextualSpacing w:val="0"/>
        <w:rPr>
          <w:rFonts w:asciiTheme="minorHAnsi" w:hAnsiTheme="minorHAnsi" w:cstheme="minorHAnsi"/>
        </w:rPr>
      </w:pPr>
      <w:r w:rsidRPr="00E70905">
        <w:rPr>
          <w:rStyle w:val="FootnoteReference"/>
          <w:rFonts w:asciiTheme="minorHAnsi" w:hAnsiTheme="minorHAnsi" w:cstheme="minorHAnsi"/>
        </w:rPr>
        <w:footnoteRef/>
      </w:r>
      <w:r w:rsidRPr="00E70905">
        <w:rPr>
          <w:rFonts w:asciiTheme="minorHAnsi" w:hAnsiTheme="minorHAnsi" w:cstheme="minorHAnsi"/>
        </w:rPr>
        <w:t xml:space="preserve"> Traffic Light Report on the CEWG Economic and Financial Report Program – 2013/14 Cycle</w:t>
      </w:r>
    </w:p>
  </w:footnote>
  <w:footnote w:id="24">
    <w:p w:rsidR="00AB5D2B" w:rsidRDefault="00AB5D2B" w:rsidP="00854855">
      <w:pPr>
        <w:pStyle w:val="FootnoteText"/>
      </w:pPr>
      <w:r>
        <w:rPr>
          <w:rStyle w:val="FootnoteReference"/>
        </w:rPr>
        <w:footnoteRef/>
      </w:r>
      <w:r>
        <w:t xml:space="preserve"> Provincial hospital (second tier medical store) level</w:t>
      </w:r>
    </w:p>
  </w:footnote>
  <w:footnote w:id="25">
    <w:p w:rsidR="00AB5D2B" w:rsidRPr="006975B6" w:rsidRDefault="00AB5D2B" w:rsidP="00854855">
      <w:pPr>
        <w:pStyle w:val="FootnoteText"/>
        <w:rPr>
          <w:sz w:val="18"/>
        </w:rPr>
      </w:pPr>
      <w:r>
        <w:rPr>
          <w:rStyle w:val="FootnoteReference"/>
        </w:rPr>
        <w:footnoteRef/>
      </w:r>
      <w:r>
        <w:t xml:space="preserve"> </w:t>
      </w:r>
      <w:r w:rsidRPr="006975B6">
        <w:t>Financial services include but are not limited to: tra</w:t>
      </w:r>
      <w:r>
        <w:t>ditional savings</w:t>
      </w:r>
      <w:r w:rsidRPr="006975B6">
        <w:t>; loan products providing working capital for small businesses; larger loans for durable goods; loans for children’s education and to cover emergencies; safe, secure deposit services; remittances and money transfers; and banking through mobile phones.</w:t>
      </w:r>
    </w:p>
  </w:footnote>
  <w:footnote w:id="26">
    <w:p w:rsidR="00AB5D2B" w:rsidRDefault="00AB5D2B" w:rsidP="00854855">
      <w:pPr>
        <w:pStyle w:val="FootnoteText"/>
      </w:pPr>
      <w:r>
        <w:rPr>
          <w:rStyle w:val="FootnoteReference"/>
        </w:rPr>
        <w:footnoteRef/>
      </w:r>
      <w:r>
        <w:t xml:space="preserve"> </w:t>
      </w:r>
      <w:r w:rsidRPr="00E577F6">
        <w:t>Source: 2013 QAI Report – Economic Livelihood</w:t>
      </w:r>
      <w:r w:rsidRPr="00E816B5">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6A9" w:rsidRDefault="003076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6A9" w:rsidRDefault="003076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6A9" w:rsidRDefault="003076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2B" w:rsidRDefault="00AB5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7">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nsid w:val="2F296843"/>
    <w:multiLevelType w:val="hybridMultilevel"/>
    <w:tmpl w:val="26224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F5050C"/>
    <w:multiLevelType w:val="hybridMultilevel"/>
    <w:tmpl w:val="75747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8262BF7"/>
    <w:multiLevelType w:val="hybridMultilevel"/>
    <w:tmpl w:val="9C40BE38"/>
    <w:lvl w:ilvl="0" w:tplc="97DEBF18">
      <w:numFmt w:val="bullet"/>
      <w:lvlText w:val="-"/>
      <w:lvlJc w:val="left"/>
      <w:pPr>
        <w:ind w:left="360" w:hanging="360"/>
      </w:pPr>
      <w:rPr>
        <w:rFonts w:ascii="Arial" w:eastAsia="Calibr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3B25E82"/>
    <w:multiLevelType w:val="hybridMultilevel"/>
    <w:tmpl w:val="F9A85B24"/>
    <w:lvl w:ilvl="0" w:tplc="B2446DF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0F962FD"/>
    <w:multiLevelType w:val="hybridMultilevel"/>
    <w:tmpl w:val="964E9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4"/>
  </w:num>
  <w:num w:numId="4">
    <w:abstractNumId w:val="15"/>
  </w:num>
  <w:num w:numId="5">
    <w:abstractNumId w:val="13"/>
  </w:num>
  <w:num w:numId="6">
    <w:abstractNumId w:val="11"/>
  </w:num>
  <w:num w:numId="7">
    <w:abstractNumId w:val="20"/>
  </w:num>
  <w:num w:numId="8">
    <w:abstractNumId w:val="3"/>
  </w:num>
  <w:num w:numId="9">
    <w:abstractNumId w:val="6"/>
  </w:num>
  <w:num w:numId="10">
    <w:abstractNumId w:val="22"/>
  </w:num>
  <w:num w:numId="11">
    <w:abstractNumId w:val="23"/>
  </w:num>
  <w:num w:numId="12">
    <w:abstractNumId w:val="0"/>
  </w:num>
  <w:num w:numId="13">
    <w:abstractNumId w:val="2"/>
  </w:num>
  <w:num w:numId="14">
    <w:abstractNumId w:val="19"/>
  </w:num>
  <w:num w:numId="15">
    <w:abstractNumId w:val="1"/>
  </w:num>
  <w:num w:numId="16">
    <w:abstractNumId w:val="9"/>
  </w:num>
  <w:num w:numId="17">
    <w:abstractNumId w:val="7"/>
  </w:num>
  <w:num w:numId="18">
    <w:abstractNumId w:val="5"/>
  </w:num>
  <w:num w:numId="19">
    <w:abstractNumId w:val="10"/>
  </w:num>
  <w:num w:numId="20">
    <w:abstractNumId w:val="23"/>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18"/>
  </w:num>
  <w:num w:numId="42">
    <w:abstractNumId w:val="18"/>
  </w:num>
  <w:num w:numId="43">
    <w:abstractNumId w:val="18"/>
  </w:num>
  <w:num w:numId="44">
    <w:abstractNumId w:val="18"/>
  </w:num>
  <w:num w:numId="45">
    <w:abstractNumId w:val="18"/>
  </w:num>
  <w:num w:numId="46">
    <w:abstractNumId w:val="17"/>
  </w:num>
  <w:num w:numId="47">
    <w:abstractNumId w:val="12"/>
  </w:num>
  <w:num w:numId="48">
    <w:abstractNumId w:val="21"/>
  </w:num>
  <w:num w:numId="49">
    <w:abstractNumId w:val="14"/>
  </w:num>
  <w:num w:numId="50">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18D7"/>
    <w:rsid w:val="00002161"/>
    <w:rsid w:val="0000242A"/>
    <w:rsid w:val="00002A92"/>
    <w:rsid w:val="00002E28"/>
    <w:rsid w:val="000039CF"/>
    <w:rsid w:val="00004E18"/>
    <w:rsid w:val="00007E94"/>
    <w:rsid w:val="000142A2"/>
    <w:rsid w:val="000143D9"/>
    <w:rsid w:val="00020121"/>
    <w:rsid w:val="00021A9E"/>
    <w:rsid w:val="00021E03"/>
    <w:rsid w:val="000238E4"/>
    <w:rsid w:val="000239ED"/>
    <w:rsid w:val="000241A7"/>
    <w:rsid w:val="00027629"/>
    <w:rsid w:val="00030111"/>
    <w:rsid w:val="00031100"/>
    <w:rsid w:val="00031EB5"/>
    <w:rsid w:val="0003231A"/>
    <w:rsid w:val="00034A3C"/>
    <w:rsid w:val="00034EB9"/>
    <w:rsid w:val="0004086C"/>
    <w:rsid w:val="00040AF6"/>
    <w:rsid w:val="000426DF"/>
    <w:rsid w:val="00043007"/>
    <w:rsid w:val="00044773"/>
    <w:rsid w:val="00045A36"/>
    <w:rsid w:val="00045CB9"/>
    <w:rsid w:val="00051B6E"/>
    <w:rsid w:val="000520E1"/>
    <w:rsid w:val="00052768"/>
    <w:rsid w:val="000529AD"/>
    <w:rsid w:val="00053B79"/>
    <w:rsid w:val="000543E8"/>
    <w:rsid w:val="00054FB9"/>
    <w:rsid w:val="0005506B"/>
    <w:rsid w:val="000550B0"/>
    <w:rsid w:val="00055E78"/>
    <w:rsid w:val="00056438"/>
    <w:rsid w:val="00057589"/>
    <w:rsid w:val="00057D09"/>
    <w:rsid w:val="000716E8"/>
    <w:rsid w:val="00071B95"/>
    <w:rsid w:val="0007395B"/>
    <w:rsid w:val="000745E2"/>
    <w:rsid w:val="0007703B"/>
    <w:rsid w:val="000774FD"/>
    <w:rsid w:val="0007765C"/>
    <w:rsid w:val="00080864"/>
    <w:rsid w:val="00080AEE"/>
    <w:rsid w:val="000818C0"/>
    <w:rsid w:val="00081F4E"/>
    <w:rsid w:val="0009030A"/>
    <w:rsid w:val="000905A8"/>
    <w:rsid w:val="00091878"/>
    <w:rsid w:val="000951EF"/>
    <w:rsid w:val="000957FC"/>
    <w:rsid w:val="00095CF5"/>
    <w:rsid w:val="000965C9"/>
    <w:rsid w:val="00097469"/>
    <w:rsid w:val="000979A0"/>
    <w:rsid w:val="00097B02"/>
    <w:rsid w:val="000A1618"/>
    <w:rsid w:val="000A4247"/>
    <w:rsid w:val="000A4C91"/>
    <w:rsid w:val="000A5E1A"/>
    <w:rsid w:val="000A76A3"/>
    <w:rsid w:val="000B2A90"/>
    <w:rsid w:val="000B3121"/>
    <w:rsid w:val="000B4E4B"/>
    <w:rsid w:val="000B5708"/>
    <w:rsid w:val="000B68F6"/>
    <w:rsid w:val="000B6BE5"/>
    <w:rsid w:val="000B6FEA"/>
    <w:rsid w:val="000B75E8"/>
    <w:rsid w:val="000C0870"/>
    <w:rsid w:val="000C258A"/>
    <w:rsid w:val="000C29BF"/>
    <w:rsid w:val="000C4A7A"/>
    <w:rsid w:val="000C6080"/>
    <w:rsid w:val="000C60A8"/>
    <w:rsid w:val="000C7476"/>
    <w:rsid w:val="000D0ABC"/>
    <w:rsid w:val="000D151B"/>
    <w:rsid w:val="000D1993"/>
    <w:rsid w:val="000D3288"/>
    <w:rsid w:val="000D6CDB"/>
    <w:rsid w:val="000D733F"/>
    <w:rsid w:val="000D7952"/>
    <w:rsid w:val="000D7BE3"/>
    <w:rsid w:val="000E3DA9"/>
    <w:rsid w:val="000E4573"/>
    <w:rsid w:val="000E71B2"/>
    <w:rsid w:val="000E7297"/>
    <w:rsid w:val="000E7A8D"/>
    <w:rsid w:val="000F2D94"/>
    <w:rsid w:val="000F561A"/>
    <w:rsid w:val="00100485"/>
    <w:rsid w:val="00100AA2"/>
    <w:rsid w:val="00102D63"/>
    <w:rsid w:val="00106185"/>
    <w:rsid w:val="00106BDC"/>
    <w:rsid w:val="0010729C"/>
    <w:rsid w:val="001074F9"/>
    <w:rsid w:val="001101DE"/>
    <w:rsid w:val="00111866"/>
    <w:rsid w:val="00111BFF"/>
    <w:rsid w:val="00112E97"/>
    <w:rsid w:val="001139DE"/>
    <w:rsid w:val="00114751"/>
    <w:rsid w:val="001154CA"/>
    <w:rsid w:val="001171DE"/>
    <w:rsid w:val="00117B79"/>
    <w:rsid w:val="00120FC7"/>
    <w:rsid w:val="00121815"/>
    <w:rsid w:val="00122038"/>
    <w:rsid w:val="001227C3"/>
    <w:rsid w:val="0012429A"/>
    <w:rsid w:val="00124886"/>
    <w:rsid w:val="001258C6"/>
    <w:rsid w:val="0012793C"/>
    <w:rsid w:val="00130AAF"/>
    <w:rsid w:val="00131FF0"/>
    <w:rsid w:val="00132003"/>
    <w:rsid w:val="00133AAD"/>
    <w:rsid w:val="00135806"/>
    <w:rsid w:val="001366B4"/>
    <w:rsid w:val="001375E3"/>
    <w:rsid w:val="00141432"/>
    <w:rsid w:val="00141A30"/>
    <w:rsid w:val="00142EAC"/>
    <w:rsid w:val="00143053"/>
    <w:rsid w:val="00143648"/>
    <w:rsid w:val="0014411B"/>
    <w:rsid w:val="001448E7"/>
    <w:rsid w:val="00147846"/>
    <w:rsid w:val="0015043E"/>
    <w:rsid w:val="00152CF0"/>
    <w:rsid w:val="00152DFD"/>
    <w:rsid w:val="00154EF9"/>
    <w:rsid w:val="00157858"/>
    <w:rsid w:val="001612CE"/>
    <w:rsid w:val="001624FB"/>
    <w:rsid w:val="0016544D"/>
    <w:rsid w:val="001657F1"/>
    <w:rsid w:val="00165A7E"/>
    <w:rsid w:val="00165B95"/>
    <w:rsid w:val="00167331"/>
    <w:rsid w:val="0016740F"/>
    <w:rsid w:val="00167771"/>
    <w:rsid w:val="001707E6"/>
    <w:rsid w:val="00171BB2"/>
    <w:rsid w:val="00173C6E"/>
    <w:rsid w:val="00175E4C"/>
    <w:rsid w:val="00180B19"/>
    <w:rsid w:val="0018196F"/>
    <w:rsid w:val="001829BB"/>
    <w:rsid w:val="0018305E"/>
    <w:rsid w:val="0018353A"/>
    <w:rsid w:val="00184F2F"/>
    <w:rsid w:val="00192498"/>
    <w:rsid w:val="00192ABD"/>
    <w:rsid w:val="001943B6"/>
    <w:rsid w:val="0019453E"/>
    <w:rsid w:val="00194806"/>
    <w:rsid w:val="001A1EEA"/>
    <w:rsid w:val="001A2B46"/>
    <w:rsid w:val="001A374B"/>
    <w:rsid w:val="001A550A"/>
    <w:rsid w:val="001B00A3"/>
    <w:rsid w:val="001B1A0C"/>
    <w:rsid w:val="001B2948"/>
    <w:rsid w:val="001B41CD"/>
    <w:rsid w:val="001B714C"/>
    <w:rsid w:val="001B7722"/>
    <w:rsid w:val="001B7A2A"/>
    <w:rsid w:val="001C1EA0"/>
    <w:rsid w:val="001C31B9"/>
    <w:rsid w:val="001C507E"/>
    <w:rsid w:val="001C700E"/>
    <w:rsid w:val="001C7117"/>
    <w:rsid w:val="001C745A"/>
    <w:rsid w:val="001C7DDD"/>
    <w:rsid w:val="001D1876"/>
    <w:rsid w:val="001D20FC"/>
    <w:rsid w:val="001D210A"/>
    <w:rsid w:val="001D6059"/>
    <w:rsid w:val="001D7E98"/>
    <w:rsid w:val="001E4BDE"/>
    <w:rsid w:val="001E6635"/>
    <w:rsid w:val="001F12A2"/>
    <w:rsid w:val="001F5CB1"/>
    <w:rsid w:val="001F61A8"/>
    <w:rsid w:val="001F7480"/>
    <w:rsid w:val="00201174"/>
    <w:rsid w:val="00202880"/>
    <w:rsid w:val="00202E4E"/>
    <w:rsid w:val="00203BCC"/>
    <w:rsid w:val="00205E0B"/>
    <w:rsid w:val="00205F2B"/>
    <w:rsid w:val="002061C8"/>
    <w:rsid w:val="002115BD"/>
    <w:rsid w:val="002126BA"/>
    <w:rsid w:val="00212B27"/>
    <w:rsid w:val="002132FA"/>
    <w:rsid w:val="0021515C"/>
    <w:rsid w:val="00220CCD"/>
    <w:rsid w:val="002227A9"/>
    <w:rsid w:val="00226DEE"/>
    <w:rsid w:val="00227511"/>
    <w:rsid w:val="00231306"/>
    <w:rsid w:val="00231D45"/>
    <w:rsid w:val="002335A9"/>
    <w:rsid w:val="002343CF"/>
    <w:rsid w:val="00235D29"/>
    <w:rsid w:val="002363D9"/>
    <w:rsid w:val="00236B8C"/>
    <w:rsid w:val="00237C4B"/>
    <w:rsid w:val="00240C93"/>
    <w:rsid w:val="00240D59"/>
    <w:rsid w:val="00240F8B"/>
    <w:rsid w:val="00243CD1"/>
    <w:rsid w:val="002441D5"/>
    <w:rsid w:val="00246E5F"/>
    <w:rsid w:val="00250629"/>
    <w:rsid w:val="002526B7"/>
    <w:rsid w:val="002533B7"/>
    <w:rsid w:val="00261E78"/>
    <w:rsid w:val="00263F5F"/>
    <w:rsid w:val="00264102"/>
    <w:rsid w:val="00270898"/>
    <w:rsid w:val="002719DF"/>
    <w:rsid w:val="00272AF0"/>
    <w:rsid w:val="002737D9"/>
    <w:rsid w:val="00273C6F"/>
    <w:rsid w:val="00274A7C"/>
    <w:rsid w:val="00275C42"/>
    <w:rsid w:val="00281B85"/>
    <w:rsid w:val="002849B4"/>
    <w:rsid w:val="002857C6"/>
    <w:rsid w:val="00290182"/>
    <w:rsid w:val="002911A4"/>
    <w:rsid w:val="002915A2"/>
    <w:rsid w:val="00291F1C"/>
    <w:rsid w:val="00297FA7"/>
    <w:rsid w:val="002A15F4"/>
    <w:rsid w:val="002A1935"/>
    <w:rsid w:val="002A1A79"/>
    <w:rsid w:val="002A21D1"/>
    <w:rsid w:val="002A22F7"/>
    <w:rsid w:val="002A2536"/>
    <w:rsid w:val="002A4D70"/>
    <w:rsid w:val="002B1CB1"/>
    <w:rsid w:val="002B1DD5"/>
    <w:rsid w:val="002B1F66"/>
    <w:rsid w:val="002B20E3"/>
    <w:rsid w:val="002B2A58"/>
    <w:rsid w:val="002B31B3"/>
    <w:rsid w:val="002B433A"/>
    <w:rsid w:val="002B61A8"/>
    <w:rsid w:val="002B6EBE"/>
    <w:rsid w:val="002B79D4"/>
    <w:rsid w:val="002C1E00"/>
    <w:rsid w:val="002C2BED"/>
    <w:rsid w:val="002C33E9"/>
    <w:rsid w:val="002C639B"/>
    <w:rsid w:val="002C63A0"/>
    <w:rsid w:val="002D1328"/>
    <w:rsid w:val="002D3CD1"/>
    <w:rsid w:val="002D3E0C"/>
    <w:rsid w:val="002D4F07"/>
    <w:rsid w:val="002D5D7B"/>
    <w:rsid w:val="002D6914"/>
    <w:rsid w:val="002D6DF0"/>
    <w:rsid w:val="002D7FFA"/>
    <w:rsid w:val="002E0526"/>
    <w:rsid w:val="002E4EBF"/>
    <w:rsid w:val="002E55EA"/>
    <w:rsid w:val="002E5604"/>
    <w:rsid w:val="002E6BCC"/>
    <w:rsid w:val="002E7F1D"/>
    <w:rsid w:val="002F075F"/>
    <w:rsid w:val="002F479A"/>
    <w:rsid w:val="002F54F3"/>
    <w:rsid w:val="002F5A14"/>
    <w:rsid w:val="00300EFB"/>
    <w:rsid w:val="0030206B"/>
    <w:rsid w:val="00303038"/>
    <w:rsid w:val="0030318A"/>
    <w:rsid w:val="00303698"/>
    <w:rsid w:val="00306734"/>
    <w:rsid w:val="003076A9"/>
    <w:rsid w:val="00310426"/>
    <w:rsid w:val="00310974"/>
    <w:rsid w:val="00315135"/>
    <w:rsid w:val="00315D13"/>
    <w:rsid w:val="003167E5"/>
    <w:rsid w:val="003173BB"/>
    <w:rsid w:val="00320FCE"/>
    <w:rsid w:val="0032161F"/>
    <w:rsid w:val="00321DA1"/>
    <w:rsid w:val="003223F8"/>
    <w:rsid w:val="0032292A"/>
    <w:rsid w:val="00322D92"/>
    <w:rsid w:val="0032486D"/>
    <w:rsid w:val="003260C0"/>
    <w:rsid w:val="003266E1"/>
    <w:rsid w:val="00326B5A"/>
    <w:rsid w:val="00326C1E"/>
    <w:rsid w:val="003275D0"/>
    <w:rsid w:val="003279FD"/>
    <w:rsid w:val="003305E3"/>
    <w:rsid w:val="003326BE"/>
    <w:rsid w:val="003327F8"/>
    <w:rsid w:val="00335F19"/>
    <w:rsid w:val="003363C7"/>
    <w:rsid w:val="00336E86"/>
    <w:rsid w:val="00337059"/>
    <w:rsid w:val="003373E9"/>
    <w:rsid w:val="00340D09"/>
    <w:rsid w:val="00341177"/>
    <w:rsid w:val="00341311"/>
    <w:rsid w:val="00342BF7"/>
    <w:rsid w:val="00343B25"/>
    <w:rsid w:val="00345B8E"/>
    <w:rsid w:val="00351ACA"/>
    <w:rsid w:val="00352AE5"/>
    <w:rsid w:val="00352F4D"/>
    <w:rsid w:val="00357648"/>
    <w:rsid w:val="00357AF7"/>
    <w:rsid w:val="00357E0B"/>
    <w:rsid w:val="00360662"/>
    <w:rsid w:val="00362B0E"/>
    <w:rsid w:val="00363B8A"/>
    <w:rsid w:val="00364002"/>
    <w:rsid w:val="00367214"/>
    <w:rsid w:val="00371F53"/>
    <w:rsid w:val="00372E1B"/>
    <w:rsid w:val="003743C8"/>
    <w:rsid w:val="00375132"/>
    <w:rsid w:val="00376313"/>
    <w:rsid w:val="0038142E"/>
    <w:rsid w:val="003820C3"/>
    <w:rsid w:val="00383294"/>
    <w:rsid w:val="00383F3F"/>
    <w:rsid w:val="00384342"/>
    <w:rsid w:val="003849ED"/>
    <w:rsid w:val="00385A4C"/>
    <w:rsid w:val="00392981"/>
    <w:rsid w:val="00395CFA"/>
    <w:rsid w:val="003A0FAB"/>
    <w:rsid w:val="003A27D2"/>
    <w:rsid w:val="003A2D7B"/>
    <w:rsid w:val="003A3094"/>
    <w:rsid w:val="003A344F"/>
    <w:rsid w:val="003A74BF"/>
    <w:rsid w:val="003A76C3"/>
    <w:rsid w:val="003B122C"/>
    <w:rsid w:val="003B2756"/>
    <w:rsid w:val="003B2E9D"/>
    <w:rsid w:val="003B5F7E"/>
    <w:rsid w:val="003C1127"/>
    <w:rsid w:val="003C288C"/>
    <w:rsid w:val="003C31EE"/>
    <w:rsid w:val="003C44A0"/>
    <w:rsid w:val="003C5CE0"/>
    <w:rsid w:val="003C7721"/>
    <w:rsid w:val="003D081D"/>
    <w:rsid w:val="003D0B1B"/>
    <w:rsid w:val="003D2E2F"/>
    <w:rsid w:val="003D44F4"/>
    <w:rsid w:val="003D49BB"/>
    <w:rsid w:val="003E0E66"/>
    <w:rsid w:val="003E1D47"/>
    <w:rsid w:val="003E4982"/>
    <w:rsid w:val="003E63B3"/>
    <w:rsid w:val="003E7AA9"/>
    <w:rsid w:val="003F1E1B"/>
    <w:rsid w:val="00400776"/>
    <w:rsid w:val="00400F5D"/>
    <w:rsid w:val="00401292"/>
    <w:rsid w:val="00402B6D"/>
    <w:rsid w:val="00403152"/>
    <w:rsid w:val="00403AAA"/>
    <w:rsid w:val="0040425D"/>
    <w:rsid w:val="004043B0"/>
    <w:rsid w:val="00404A9B"/>
    <w:rsid w:val="00406000"/>
    <w:rsid w:val="004109CD"/>
    <w:rsid w:val="00410DFD"/>
    <w:rsid w:val="0041147A"/>
    <w:rsid w:val="00412707"/>
    <w:rsid w:val="00413539"/>
    <w:rsid w:val="0041396D"/>
    <w:rsid w:val="00415A92"/>
    <w:rsid w:val="0041730D"/>
    <w:rsid w:val="00420E02"/>
    <w:rsid w:val="004228CD"/>
    <w:rsid w:val="0042493C"/>
    <w:rsid w:val="0042527A"/>
    <w:rsid w:val="00426354"/>
    <w:rsid w:val="004309E9"/>
    <w:rsid w:val="0043212B"/>
    <w:rsid w:val="00434A94"/>
    <w:rsid w:val="00437C95"/>
    <w:rsid w:val="0044028F"/>
    <w:rsid w:val="004404CD"/>
    <w:rsid w:val="00441B0E"/>
    <w:rsid w:val="00441E77"/>
    <w:rsid w:val="00443639"/>
    <w:rsid w:val="004450BD"/>
    <w:rsid w:val="004453CE"/>
    <w:rsid w:val="00445A3B"/>
    <w:rsid w:val="00445C4E"/>
    <w:rsid w:val="00445E6A"/>
    <w:rsid w:val="00446742"/>
    <w:rsid w:val="0044737A"/>
    <w:rsid w:val="004513BA"/>
    <w:rsid w:val="004542E2"/>
    <w:rsid w:val="0045475F"/>
    <w:rsid w:val="00462000"/>
    <w:rsid w:val="00465744"/>
    <w:rsid w:val="00466100"/>
    <w:rsid w:val="00466C98"/>
    <w:rsid w:val="00466DE1"/>
    <w:rsid w:val="00467C3F"/>
    <w:rsid w:val="00467CE4"/>
    <w:rsid w:val="004700A9"/>
    <w:rsid w:val="0047272F"/>
    <w:rsid w:val="00473ADD"/>
    <w:rsid w:val="00473B01"/>
    <w:rsid w:val="00477004"/>
    <w:rsid w:val="0047710F"/>
    <w:rsid w:val="00481777"/>
    <w:rsid w:val="00490069"/>
    <w:rsid w:val="004903EF"/>
    <w:rsid w:val="00490BDE"/>
    <w:rsid w:val="00494504"/>
    <w:rsid w:val="004957EC"/>
    <w:rsid w:val="00496F8D"/>
    <w:rsid w:val="004A2EC3"/>
    <w:rsid w:val="004A4F05"/>
    <w:rsid w:val="004A5147"/>
    <w:rsid w:val="004A568F"/>
    <w:rsid w:val="004A6124"/>
    <w:rsid w:val="004A7400"/>
    <w:rsid w:val="004B201A"/>
    <w:rsid w:val="004B41B9"/>
    <w:rsid w:val="004B4A44"/>
    <w:rsid w:val="004B64F3"/>
    <w:rsid w:val="004C33EA"/>
    <w:rsid w:val="004C36CF"/>
    <w:rsid w:val="004C4A3E"/>
    <w:rsid w:val="004C59EA"/>
    <w:rsid w:val="004C65C6"/>
    <w:rsid w:val="004C660D"/>
    <w:rsid w:val="004C7E92"/>
    <w:rsid w:val="004D0699"/>
    <w:rsid w:val="004D1529"/>
    <w:rsid w:val="004D19CE"/>
    <w:rsid w:val="004D23F6"/>
    <w:rsid w:val="004D2ED0"/>
    <w:rsid w:val="004D4522"/>
    <w:rsid w:val="004D4625"/>
    <w:rsid w:val="004D6C69"/>
    <w:rsid w:val="004E01E9"/>
    <w:rsid w:val="004E3E40"/>
    <w:rsid w:val="004E570D"/>
    <w:rsid w:val="004E6400"/>
    <w:rsid w:val="004E642E"/>
    <w:rsid w:val="004E6924"/>
    <w:rsid w:val="004E6A61"/>
    <w:rsid w:val="004E6E33"/>
    <w:rsid w:val="004E702A"/>
    <w:rsid w:val="004E7044"/>
    <w:rsid w:val="004E70B3"/>
    <w:rsid w:val="004E7D7E"/>
    <w:rsid w:val="004F0C2D"/>
    <w:rsid w:val="004F3D7E"/>
    <w:rsid w:val="004F4630"/>
    <w:rsid w:val="004F521E"/>
    <w:rsid w:val="004F6287"/>
    <w:rsid w:val="004F6FEE"/>
    <w:rsid w:val="00500EB4"/>
    <w:rsid w:val="005011CC"/>
    <w:rsid w:val="00501CD2"/>
    <w:rsid w:val="0050329C"/>
    <w:rsid w:val="00503974"/>
    <w:rsid w:val="00503EEC"/>
    <w:rsid w:val="0050439B"/>
    <w:rsid w:val="0050529F"/>
    <w:rsid w:val="00506A51"/>
    <w:rsid w:val="005110C3"/>
    <w:rsid w:val="00512B6E"/>
    <w:rsid w:val="005130B7"/>
    <w:rsid w:val="0051374E"/>
    <w:rsid w:val="00514B5E"/>
    <w:rsid w:val="005157C1"/>
    <w:rsid w:val="00515954"/>
    <w:rsid w:val="00515E3D"/>
    <w:rsid w:val="005208AC"/>
    <w:rsid w:val="00521997"/>
    <w:rsid w:val="0052286C"/>
    <w:rsid w:val="00522AB9"/>
    <w:rsid w:val="005265B9"/>
    <w:rsid w:val="005307E8"/>
    <w:rsid w:val="0053175E"/>
    <w:rsid w:val="0053342A"/>
    <w:rsid w:val="00533533"/>
    <w:rsid w:val="00533883"/>
    <w:rsid w:val="00534CCB"/>
    <w:rsid w:val="00535C99"/>
    <w:rsid w:val="00535E24"/>
    <w:rsid w:val="0053757F"/>
    <w:rsid w:val="00537E02"/>
    <w:rsid w:val="00542718"/>
    <w:rsid w:val="00543224"/>
    <w:rsid w:val="005439F7"/>
    <w:rsid w:val="005440F6"/>
    <w:rsid w:val="0054434C"/>
    <w:rsid w:val="00544CCD"/>
    <w:rsid w:val="0054557A"/>
    <w:rsid w:val="00546DD6"/>
    <w:rsid w:val="0055172C"/>
    <w:rsid w:val="005519B2"/>
    <w:rsid w:val="00556A8D"/>
    <w:rsid w:val="0055771D"/>
    <w:rsid w:val="00557FB1"/>
    <w:rsid w:val="00560DAF"/>
    <w:rsid w:val="00562337"/>
    <w:rsid w:val="00564501"/>
    <w:rsid w:val="00564EE5"/>
    <w:rsid w:val="00565055"/>
    <w:rsid w:val="00565635"/>
    <w:rsid w:val="00567FCF"/>
    <w:rsid w:val="00570765"/>
    <w:rsid w:val="00571521"/>
    <w:rsid w:val="005729BE"/>
    <w:rsid w:val="005732BD"/>
    <w:rsid w:val="005733F9"/>
    <w:rsid w:val="00573E59"/>
    <w:rsid w:val="00575295"/>
    <w:rsid w:val="0057721D"/>
    <w:rsid w:val="00580261"/>
    <w:rsid w:val="00581659"/>
    <w:rsid w:val="00581C01"/>
    <w:rsid w:val="0058242D"/>
    <w:rsid w:val="0058363A"/>
    <w:rsid w:val="005845CB"/>
    <w:rsid w:val="0058498A"/>
    <w:rsid w:val="00584A2C"/>
    <w:rsid w:val="00586350"/>
    <w:rsid w:val="005944B0"/>
    <w:rsid w:val="0059461A"/>
    <w:rsid w:val="00597520"/>
    <w:rsid w:val="005A18C5"/>
    <w:rsid w:val="005A23C8"/>
    <w:rsid w:val="005A3ED5"/>
    <w:rsid w:val="005A511C"/>
    <w:rsid w:val="005A7CF6"/>
    <w:rsid w:val="005B026C"/>
    <w:rsid w:val="005B1A57"/>
    <w:rsid w:val="005B3947"/>
    <w:rsid w:val="005B427F"/>
    <w:rsid w:val="005B42EE"/>
    <w:rsid w:val="005B4F7A"/>
    <w:rsid w:val="005B537E"/>
    <w:rsid w:val="005B7C71"/>
    <w:rsid w:val="005C146C"/>
    <w:rsid w:val="005C4A6B"/>
    <w:rsid w:val="005C51CE"/>
    <w:rsid w:val="005C661F"/>
    <w:rsid w:val="005D2A59"/>
    <w:rsid w:val="005D3209"/>
    <w:rsid w:val="005D7A9F"/>
    <w:rsid w:val="005E0DF6"/>
    <w:rsid w:val="005E4B75"/>
    <w:rsid w:val="005E5129"/>
    <w:rsid w:val="005F0C00"/>
    <w:rsid w:val="005F15ED"/>
    <w:rsid w:val="005F33F2"/>
    <w:rsid w:val="005F382A"/>
    <w:rsid w:val="005F460C"/>
    <w:rsid w:val="005F51F6"/>
    <w:rsid w:val="005F74D0"/>
    <w:rsid w:val="005F7A12"/>
    <w:rsid w:val="00600404"/>
    <w:rsid w:val="0060117A"/>
    <w:rsid w:val="00606180"/>
    <w:rsid w:val="00612E14"/>
    <w:rsid w:val="00615666"/>
    <w:rsid w:val="006171CF"/>
    <w:rsid w:val="00617F30"/>
    <w:rsid w:val="006231CF"/>
    <w:rsid w:val="0062598A"/>
    <w:rsid w:val="00625A52"/>
    <w:rsid w:val="0062686B"/>
    <w:rsid w:val="00632F5F"/>
    <w:rsid w:val="00633A74"/>
    <w:rsid w:val="0063730D"/>
    <w:rsid w:val="00637549"/>
    <w:rsid w:val="006423FD"/>
    <w:rsid w:val="00642A6F"/>
    <w:rsid w:val="00642E50"/>
    <w:rsid w:val="0064380F"/>
    <w:rsid w:val="00643E73"/>
    <w:rsid w:val="00646049"/>
    <w:rsid w:val="006466B4"/>
    <w:rsid w:val="00647FBA"/>
    <w:rsid w:val="006523A6"/>
    <w:rsid w:val="0065268F"/>
    <w:rsid w:val="0065391A"/>
    <w:rsid w:val="0065679C"/>
    <w:rsid w:val="00657108"/>
    <w:rsid w:val="00661BB7"/>
    <w:rsid w:val="00662E17"/>
    <w:rsid w:val="00663306"/>
    <w:rsid w:val="00663909"/>
    <w:rsid w:val="00663E95"/>
    <w:rsid w:val="006659FF"/>
    <w:rsid w:val="006661AD"/>
    <w:rsid w:val="006662E9"/>
    <w:rsid w:val="006671BC"/>
    <w:rsid w:val="00670871"/>
    <w:rsid w:val="0067254A"/>
    <w:rsid w:val="0067299B"/>
    <w:rsid w:val="00672F92"/>
    <w:rsid w:val="00673287"/>
    <w:rsid w:val="00680679"/>
    <w:rsid w:val="0068146D"/>
    <w:rsid w:val="00682387"/>
    <w:rsid w:val="00682DB1"/>
    <w:rsid w:val="00683FFB"/>
    <w:rsid w:val="006848FC"/>
    <w:rsid w:val="0068768A"/>
    <w:rsid w:val="00690BEA"/>
    <w:rsid w:val="00693A99"/>
    <w:rsid w:val="00695279"/>
    <w:rsid w:val="00697C69"/>
    <w:rsid w:val="006B0F12"/>
    <w:rsid w:val="006B33A7"/>
    <w:rsid w:val="006C1260"/>
    <w:rsid w:val="006C2232"/>
    <w:rsid w:val="006C3265"/>
    <w:rsid w:val="006C47B4"/>
    <w:rsid w:val="006C6800"/>
    <w:rsid w:val="006D0BC5"/>
    <w:rsid w:val="006D2CF2"/>
    <w:rsid w:val="006D2E37"/>
    <w:rsid w:val="006D34C3"/>
    <w:rsid w:val="006D5B03"/>
    <w:rsid w:val="006E327C"/>
    <w:rsid w:val="006E7795"/>
    <w:rsid w:val="006E7E79"/>
    <w:rsid w:val="006E7E9F"/>
    <w:rsid w:val="006E7FA8"/>
    <w:rsid w:val="006F00DB"/>
    <w:rsid w:val="006F4623"/>
    <w:rsid w:val="006F4B40"/>
    <w:rsid w:val="006F5A84"/>
    <w:rsid w:val="006F70A8"/>
    <w:rsid w:val="00701FEA"/>
    <w:rsid w:val="00703E47"/>
    <w:rsid w:val="007040D1"/>
    <w:rsid w:val="00704C4D"/>
    <w:rsid w:val="00705A00"/>
    <w:rsid w:val="00705AF7"/>
    <w:rsid w:val="007069F7"/>
    <w:rsid w:val="00706DE1"/>
    <w:rsid w:val="00710059"/>
    <w:rsid w:val="00710337"/>
    <w:rsid w:val="007110C9"/>
    <w:rsid w:val="00712214"/>
    <w:rsid w:val="00712349"/>
    <w:rsid w:val="00712FCE"/>
    <w:rsid w:val="007131CA"/>
    <w:rsid w:val="00714BA3"/>
    <w:rsid w:val="00715180"/>
    <w:rsid w:val="0071537B"/>
    <w:rsid w:val="007167AE"/>
    <w:rsid w:val="00721098"/>
    <w:rsid w:val="00723AFD"/>
    <w:rsid w:val="0072495B"/>
    <w:rsid w:val="00725704"/>
    <w:rsid w:val="0072649F"/>
    <w:rsid w:val="007311E0"/>
    <w:rsid w:val="007360D3"/>
    <w:rsid w:val="0073644C"/>
    <w:rsid w:val="00736D2D"/>
    <w:rsid w:val="00737641"/>
    <w:rsid w:val="00737C72"/>
    <w:rsid w:val="00740290"/>
    <w:rsid w:val="0074228F"/>
    <w:rsid w:val="00744F8F"/>
    <w:rsid w:val="007452F9"/>
    <w:rsid w:val="00745B8F"/>
    <w:rsid w:val="0074660C"/>
    <w:rsid w:val="00747B69"/>
    <w:rsid w:val="0075089F"/>
    <w:rsid w:val="00750E77"/>
    <w:rsid w:val="00751449"/>
    <w:rsid w:val="00751A4E"/>
    <w:rsid w:val="00755D95"/>
    <w:rsid w:val="007561A0"/>
    <w:rsid w:val="00756B0E"/>
    <w:rsid w:val="00757BAA"/>
    <w:rsid w:val="0076176F"/>
    <w:rsid w:val="00762B9C"/>
    <w:rsid w:val="007660E6"/>
    <w:rsid w:val="00766491"/>
    <w:rsid w:val="00766BCF"/>
    <w:rsid w:val="00767F39"/>
    <w:rsid w:val="007705BC"/>
    <w:rsid w:val="007726E1"/>
    <w:rsid w:val="0077278F"/>
    <w:rsid w:val="00774F4B"/>
    <w:rsid w:val="00781A6E"/>
    <w:rsid w:val="00786ED7"/>
    <w:rsid w:val="0079256F"/>
    <w:rsid w:val="0079307B"/>
    <w:rsid w:val="00793A21"/>
    <w:rsid w:val="00794069"/>
    <w:rsid w:val="007941CF"/>
    <w:rsid w:val="0079655A"/>
    <w:rsid w:val="00796F48"/>
    <w:rsid w:val="007A2A5E"/>
    <w:rsid w:val="007A3C6A"/>
    <w:rsid w:val="007A5821"/>
    <w:rsid w:val="007A6B87"/>
    <w:rsid w:val="007B0EBF"/>
    <w:rsid w:val="007B12EF"/>
    <w:rsid w:val="007B21F1"/>
    <w:rsid w:val="007B49E2"/>
    <w:rsid w:val="007B51E2"/>
    <w:rsid w:val="007B6F81"/>
    <w:rsid w:val="007C08B4"/>
    <w:rsid w:val="007C224E"/>
    <w:rsid w:val="007D0A64"/>
    <w:rsid w:val="007D3228"/>
    <w:rsid w:val="007D5D8D"/>
    <w:rsid w:val="007D608D"/>
    <w:rsid w:val="007D7ABA"/>
    <w:rsid w:val="007E10A5"/>
    <w:rsid w:val="007E29B7"/>
    <w:rsid w:val="007E2A95"/>
    <w:rsid w:val="007E3D71"/>
    <w:rsid w:val="007F0036"/>
    <w:rsid w:val="007F2841"/>
    <w:rsid w:val="007F3E30"/>
    <w:rsid w:val="007F48D0"/>
    <w:rsid w:val="007F6C44"/>
    <w:rsid w:val="007F7F2B"/>
    <w:rsid w:val="0080096B"/>
    <w:rsid w:val="00800B90"/>
    <w:rsid w:val="00801DDB"/>
    <w:rsid w:val="00802A66"/>
    <w:rsid w:val="00804AFA"/>
    <w:rsid w:val="00805ADD"/>
    <w:rsid w:val="008103A0"/>
    <w:rsid w:val="00810DE3"/>
    <w:rsid w:val="00812A4D"/>
    <w:rsid w:val="00814426"/>
    <w:rsid w:val="00815F95"/>
    <w:rsid w:val="008160CB"/>
    <w:rsid w:val="00821541"/>
    <w:rsid w:val="00821A06"/>
    <w:rsid w:val="008220F3"/>
    <w:rsid w:val="00822273"/>
    <w:rsid w:val="008235DB"/>
    <w:rsid w:val="00826828"/>
    <w:rsid w:val="00826B83"/>
    <w:rsid w:val="00826FE4"/>
    <w:rsid w:val="00827512"/>
    <w:rsid w:val="00830647"/>
    <w:rsid w:val="00830E80"/>
    <w:rsid w:val="00831DC0"/>
    <w:rsid w:val="00832911"/>
    <w:rsid w:val="00833071"/>
    <w:rsid w:val="00833EB7"/>
    <w:rsid w:val="0084092F"/>
    <w:rsid w:val="00844C87"/>
    <w:rsid w:val="008470F1"/>
    <w:rsid w:val="00850A87"/>
    <w:rsid w:val="00852462"/>
    <w:rsid w:val="008532FB"/>
    <w:rsid w:val="008538BC"/>
    <w:rsid w:val="008540F0"/>
    <w:rsid w:val="00854855"/>
    <w:rsid w:val="00854FCE"/>
    <w:rsid w:val="008568C0"/>
    <w:rsid w:val="00861802"/>
    <w:rsid w:val="00864359"/>
    <w:rsid w:val="00864874"/>
    <w:rsid w:val="008676EF"/>
    <w:rsid w:val="00871CA1"/>
    <w:rsid w:val="00873B98"/>
    <w:rsid w:val="00874F47"/>
    <w:rsid w:val="00877206"/>
    <w:rsid w:val="00877D87"/>
    <w:rsid w:val="00880255"/>
    <w:rsid w:val="008810FA"/>
    <w:rsid w:val="008820C5"/>
    <w:rsid w:val="00884643"/>
    <w:rsid w:val="00884878"/>
    <w:rsid w:val="00885B9C"/>
    <w:rsid w:val="00886D18"/>
    <w:rsid w:val="00892303"/>
    <w:rsid w:val="00895916"/>
    <w:rsid w:val="00895972"/>
    <w:rsid w:val="0089686B"/>
    <w:rsid w:val="00896927"/>
    <w:rsid w:val="00897E16"/>
    <w:rsid w:val="008A144E"/>
    <w:rsid w:val="008A310A"/>
    <w:rsid w:val="008A6603"/>
    <w:rsid w:val="008A7232"/>
    <w:rsid w:val="008B22AA"/>
    <w:rsid w:val="008B5F65"/>
    <w:rsid w:val="008C0FBD"/>
    <w:rsid w:val="008C4903"/>
    <w:rsid w:val="008C541C"/>
    <w:rsid w:val="008C5617"/>
    <w:rsid w:val="008C6687"/>
    <w:rsid w:val="008C70BD"/>
    <w:rsid w:val="008C79C7"/>
    <w:rsid w:val="008C7AC8"/>
    <w:rsid w:val="008D0242"/>
    <w:rsid w:val="008D27EF"/>
    <w:rsid w:val="008D28DF"/>
    <w:rsid w:val="008D2DC8"/>
    <w:rsid w:val="008D34F9"/>
    <w:rsid w:val="008D3D46"/>
    <w:rsid w:val="008D745E"/>
    <w:rsid w:val="008D7632"/>
    <w:rsid w:val="008E1441"/>
    <w:rsid w:val="008E29AB"/>
    <w:rsid w:val="008E44A5"/>
    <w:rsid w:val="008E4EF2"/>
    <w:rsid w:val="008E799F"/>
    <w:rsid w:val="008F06F2"/>
    <w:rsid w:val="008F1E28"/>
    <w:rsid w:val="008F41B8"/>
    <w:rsid w:val="008F4C4B"/>
    <w:rsid w:val="008F5D80"/>
    <w:rsid w:val="008F7B8C"/>
    <w:rsid w:val="009006D2"/>
    <w:rsid w:val="00902DB3"/>
    <w:rsid w:val="00903037"/>
    <w:rsid w:val="00903669"/>
    <w:rsid w:val="00904F5D"/>
    <w:rsid w:val="009103F3"/>
    <w:rsid w:val="00912585"/>
    <w:rsid w:val="009126A4"/>
    <w:rsid w:val="00913DDE"/>
    <w:rsid w:val="009163AF"/>
    <w:rsid w:val="00916D52"/>
    <w:rsid w:val="00917A9B"/>
    <w:rsid w:val="00923D3D"/>
    <w:rsid w:val="00924CCB"/>
    <w:rsid w:val="0092520A"/>
    <w:rsid w:val="00927978"/>
    <w:rsid w:val="00932FAD"/>
    <w:rsid w:val="00936760"/>
    <w:rsid w:val="00936C44"/>
    <w:rsid w:val="00936ECF"/>
    <w:rsid w:val="00937307"/>
    <w:rsid w:val="0094332B"/>
    <w:rsid w:val="00944530"/>
    <w:rsid w:val="009445BA"/>
    <w:rsid w:val="00944898"/>
    <w:rsid w:val="00945130"/>
    <w:rsid w:val="00945B0A"/>
    <w:rsid w:val="00945BA1"/>
    <w:rsid w:val="009469C4"/>
    <w:rsid w:val="00946F68"/>
    <w:rsid w:val="009475F3"/>
    <w:rsid w:val="00950DD0"/>
    <w:rsid w:val="00951562"/>
    <w:rsid w:val="00951651"/>
    <w:rsid w:val="0095362F"/>
    <w:rsid w:val="00953CAB"/>
    <w:rsid w:val="00954EF3"/>
    <w:rsid w:val="0095603B"/>
    <w:rsid w:val="00957948"/>
    <w:rsid w:val="009668EF"/>
    <w:rsid w:val="009713CF"/>
    <w:rsid w:val="009729A9"/>
    <w:rsid w:val="00974FDF"/>
    <w:rsid w:val="009761F8"/>
    <w:rsid w:val="00976AF1"/>
    <w:rsid w:val="00976FB3"/>
    <w:rsid w:val="0098030D"/>
    <w:rsid w:val="00981B13"/>
    <w:rsid w:val="00981E62"/>
    <w:rsid w:val="00985F4F"/>
    <w:rsid w:val="009901DD"/>
    <w:rsid w:val="009928E1"/>
    <w:rsid w:val="009941EB"/>
    <w:rsid w:val="0099488A"/>
    <w:rsid w:val="00994D57"/>
    <w:rsid w:val="00994F26"/>
    <w:rsid w:val="00996460"/>
    <w:rsid w:val="0099677B"/>
    <w:rsid w:val="009A1E07"/>
    <w:rsid w:val="009A1E54"/>
    <w:rsid w:val="009A25EB"/>
    <w:rsid w:val="009A290D"/>
    <w:rsid w:val="009A3BD3"/>
    <w:rsid w:val="009A4199"/>
    <w:rsid w:val="009A4877"/>
    <w:rsid w:val="009A5DD4"/>
    <w:rsid w:val="009A7A0E"/>
    <w:rsid w:val="009B055A"/>
    <w:rsid w:val="009B1D7B"/>
    <w:rsid w:val="009B2AB8"/>
    <w:rsid w:val="009B33E5"/>
    <w:rsid w:val="009B5190"/>
    <w:rsid w:val="009B5381"/>
    <w:rsid w:val="009B654F"/>
    <w:rsid w:val="009C16DF"/>
    <w:rsid w:val="009C1FDC"/>
    <w:rsid w:val="009C4804"/>
    <w:rsid w:val="009C7EA9"/>
    <w:rsid w:val="009D104E"/>
    <w:rsid w:val="009D1391"/>
    <w:rsid w:val="009D1FDF"/>
    <w:rsid w:val="009D2599"/>
    <w:rsid w:val="009D3524"/>
    <w:rsid w:val="009D3F80"/>
    <w:rsid w:val="009D4643"/>
    <w:rsid w:val="009D5236"/>
    <w:rsid w:val="009E1667"/>
    <w:rsid w:val="009E1CA8"/>
    <w:rsid w:val="009E28E1"/>
    <w:rsid w:val="009E38C1"/>
    <w:rsid w:val="009E546D"/>
    <w:rsid w:val="009E5B54"/>
    <w:rsid w:val="009E6780"/>
    <w:rsid w:val="009E79EC"/>
    <w:rsid w:val="009F330A"/>
    <w:rsid w:val="009F4B8E"/>
    <w:rsid w:val="009F4D99"/>
    <w:rsid w:val="009F50F0"/>
    <w:rsid w:val="00A01327"/>
    <w:rsid w:val="00A018E7"/>
    <w:rsid w:val="00A01E2D"/>
    <w:rsid w:val="00A03911"/>
    <w:rsid w:val="00A04501"/>
    <w:rsid w:val="00A05140"/>
    <w:rsid w:val="00A05718"/>
    <w:rsid w:val="00A06FC9"/>
    <w:rsid w:val="00A10C1D"/>
    <w:rsid w:val="00A10DE1"/>
    <w:rsid w:val="00A11D59"/>
    <w:rsid w:val="00A123C7"/>
    <w:rsid w:val="00A13029"/>
    <w:rsid w:val="00A14C0A"/>
    <w:rsid w:val="00A14E44"/>
    <w:rsid w:val="00A14E66"/>
    <w:rsid w:val="00A156EB"/>
    <w:rsid w:val="00A2066A"/>
    <w:rsid w:val="00A20730"/>
    <w:rsid w:val="00A210A4"/>
    <w:rsid w:val="00A21A2F"/>
    <w:rsid w:val="00A21BC2"/>
    <w:rsid w:val="00A22538"/>
    <w:rsid w:val="00A24FC2"/>
    <w:rsid w:val="00A26B5D"/>
    <w:rsid w:val="00A27E2B"/>
    <w:rsid w:val="00A33B7B"/>
    <w:rsid w:val="00A34039"/>
    <w:rsid w:val="00A34882"/>
    <w:rsid w:val="00A3552E"/>
    <w:rsid w:val="00A35E94"/>
    <w:rsid w:val="00A36449"/>
    <w:rsid w:val="00A416D1"/>
    <w:rsid w:val="00A417FA"/>
    <w:rsid w:val="00A42760"/>
    <w:rsid w:val="00A42B37"/>
    <w:rsid w:val="00A439B1"/>
    <w:rsid w:val="00A443C7"/>
    <w:rsid w:val="00A458B3"/>
    <w:rsid w:val="00A45B60"/>
    <w:rsid w:val="00A45E73"/>
    <w:rsid w:val="00A5551F"/>
    <w:rsid w:val="00A565CD"/>
    <w:rsid w:val="00A57FAB"/>
    <w:rsid w:val="00A61B0C"/>
    <w:rsid w:val="00A62E17"/>
    <w:rsid w:val="00A65CAA"/>
    <w:rsid w:val="00A65DD1"/>
    <w:rsid w:val="00A662CF"/>
    <w:rsid w:val="00A751B4"/>
    <w:rsid w:val="00A766FD"/>
    <w:rsid w:val="00A76FAB"/>
    <w:rsid w:val="00A77BAE"/>
    <w:rsid w:val="00A80353"/>
    <w:rsid w:val="00A80F93"/>
    <w:rsid w:val="00A820E7"/>
    <w:rsid w:val="00A82DF8"/>
    <w:rsid w:val="00A91D71"/>
    <w:rsid w:val="00A9333E"/>
    <w:rsid w:val="00A94955"/>
    <w:rsid w:val="00A94EC5"/>
    <w:rsid w:val="00A9554E"/>
    <w:rsid w:val="00A96BF2"/>
    <w:rsid w:val="00AA31F2"/>
    <w:rsid w:val="00AA406C"/>
    <w:rsid w:val="00AA49B8"/>
    <w:rsid w:val="00AA4F9F"/>
    <w:rsid w:val="00AA5E1B"/>
    <w:rsid w:val="00AA7256"/>
    <w:rsid w:val="00AA74CB"/>
    <w:rsid w:val="00AB0987"/>
    <w:rsid w:val="00AB3900"/>
    <w:rsid w:val="00AB5D2B"/>
    <w:rsid w:val="00AB7215"/>
    <w:rsid w:val="00AC005D"/>
    <w:rsid w:val="00AC14DE"/>
    <w:rsid w:val="00AC56C2"/>
    <w:rsid w:val="00AC5E19"/>
    <w:rsid w:val="00AC6D63"/>
    <w:rsid w:val="00AC6F49"/>
    <w:rsid w:val="00AD20D7"/>
    <w:rsid w:val="00AD2723"/>
    <w:rsid w:val="00AD27F7"/>
    <w:rsid w:val="00AD445D"/>
    <w:rsid w:val="00AD5CA9"/>
    <w:rsid w:val="00AD6541"/>
    <w:rsid w:val="00AD6F47"/>
    <w:rsid w:val="00AE14B5"/>
    <w:rsid w:val="00AE2781"/>
    <w:rsid w:val="00AE2E89"/>
    <w:rsid w:val="00AE5C52"/>
    <w:rsid w:val="00AE6D76"/>
    <w:rsid w:val="00AE6E0A"/>
    <w:rsid w:val="00AF045F"/>
    <w:rsid w:val="00AF0FA2"/>
    <w:rsid w:val="00AF0FDD"/>
    <w:rsid w:val="00AF5A70"/>
    <w:rsid w:val="00AF5C5C"/>
    <w:rsid w:val="00AF7162"/>
    <w:rsid w:val="00AF7C70"/>
    <w:rsid w:val="00B0049F"/>
    <w:rsid w:val="00B00C23"/>
    <w:rsid w:val="00B01173"/>
    <w:rsid w:val="00B017A9"/>
    <w:rsid w:val="00B03FB1"/>
    <w:rsid w:val="00B06044"/>
    <w:rsid w:val="00B103CC"/>
    <w:rsid w:val="00B15829"/>
    <w:rsid w:val="00B16BCA"/>
    <w:rsid w:val="00B17A9D"/>
    <w:rsid w:val="00B206FA"/>
    <w:rsid w:val="00B2129E"/>
    <w:rsid w:val="00B21C2F"/>
    <w:rsid w:val="00B249B7"/>
    <w:rsid w:val="00B24FC7"/>
    <w:rsid w:val="00B26AB2"/>
    <w:rsid w:val="00B26C65"/>
    <w:rsid w:val="00B2764E"/>
    <w:rsid w:val="00B30E77"/>
    <w:rsid w:val="00B33F27"/>
    <w:rsid w:val="00B34919"/>
    <w:rsid w:val="00B34B88"/>
    <w:rsid w:val="00B34CAD"/>
    <w:rsid w:val="00B35264"/>
    <w:rsid w:val="00B3750A"/>
    <w:rsid w:val="00B37A25"/>
    <w:rsid w:val="00B4007C"/>
    <w:rsid w:val="00B406A3"/>
    <w:rsid w:val="00B44032"/>
    <w:rsid w:val="00B456CC"/>
    <w:rsid w:val="00B478EF"/>
    <w:rsid w:val="00B47DE9"/>
    <w:rsid w:val="00B513B2"/>
    <w:rsid w:val="00B51BAD"/>
    <w:rsid w:val="00B55B67"/>
    <w:rsid w:val="00B55BE4"/>
    <w:rsid w:val="00B564A3"/>
    <w:rsid w:val="00B56514"/>
    <w:rsid w:val="00B56551"/>
    <w:rsid w:val="00B57737"/>
    <w:rsid w:val="00B57AE9"/>
    <w:rsid w:val="00B57CA2"/>
    <w:rsid w:val="00B638BD"/>
    <w:rsid w:val="00B6421C"/>
    <w:rsid w:val="00B65B72"/>
    <w:rsid w:val="00B65EB5"/>
    <w:rsid w:val="00B66555"/>
    <w:rsid w:val="00B675A5"/>
    <w:rsid w:val="00B67EE7"/>
    <w:rsid w:val="00B70DE2"/>
    <w:rsid w:val="00B71672"/>
    <w:rsid w:val="00B725CE"/>
    <w:rsid w:val="00B72CEC"/>
    <w:rsid w:val="00B73156"/>
    <w:rsid w:val="00B74929"/>
    <w:rsid w:val="00B7716B"/>
    <w:rsid w:val="00B777E6"/>
    <w:rsid w:val="00B80134"/>
    <w:rsid w:val="00B80707"/>
    <w:rsid w:val="00B82D34"/>
    <w:rsid w:val="00B844FE"/>
    <w:rsid w:val="00B861D4"/>
    <w:rsid w:val="00B8737A"/>
    <w:rsid w:val="00B87675"/>
    <w:rsid w:val="00B87EE6"/>
    <w:rsid w:val="00B910DF"/>
    <w:rsid w:val="00B922B9"/>
    <w:rsid w:val="00B93069"/>
    <w:rsid w:val="00B9445E"/>
    <w:rsid w:val="00B95043"/>
    <w:rsid w:val="00B953B7"/>
    <w:rsid w:val="00B9749F"/>
    <w:rsid w:val="00BA20A0"/>
    <w:rsid w:val="00BA3026"/>
    <w:rsid w:val="00BA3EFF"/>
    <w:rsid w:val="00BA4972"/>
    <w:rsid w:val="00BA5F86"/>
    <w:rsid w:val="00BA5FE7"/>
    <w:rsid w:val="00BB1C24"/>
    <w:rsid w:val="00BB2580"/>
    <w:rsid w:val="00BB27EC"/>
    <w:rsid w:val="00BB37EE"/>
    <w:rsid w:val="00BB3AB6"/>
    <w:rsid w:val="00BB530B"/>
    <w:rsid w:val="00BB58D3"/>
    <w:rsid w:val="00BB6B24"/>
    <w:rsid w:val="00BB6CDF"/>
    <w:rsid w:val="00BC179B"/>
    <w:rsid w:val="00BC40BB"/>
    <w:rsid w:val="00BC432E"/>
    <w:rsid w:val="00BC6774"/>
    <w:rsid w:val="00BC6C8B"/>
    <w:rsid w:val="00BC6EEF"/>
    <w:rsid w:val="00BC765A"/>
    <w:rsid w:val="00BC7980"/>
    <w:rsid w:val="00BD28C5"/>
    <w:rsid w:val="00BD2FEE"/>
    <w:rsid w:val="00BD31FC"/>
    <w:rsid w:val="00BD36CF"/>
    <w:rsid w:val="00BD4D43"/>
    <w:rsid w:val="00BD7695"/>
    <w:rsid w:val="00BE0955"/>
    <w:rsid w:val="00BE0D5C"/>
    <w:rsid w:val="00BE0EE1"/>
    <w:rsid w:val="00BE242A"/>
    <w:rsid w:val="00BE3048"/>
    <w:rsid w:val="00BE3230"/>
    <w:rsid w:val="00BE4BDF"/>
    <w:rsid w:val="00BE5FED"/>
    <w:rsid w:val="00BE65E4"/>
    <w:rsid w:val="00BE7D81"/>
    <w:rsid w:val="00BF0AA7"/>
    <w:rsid w:val="00BF0DF5"/>
    <w:rsid w:val="00BF2F97"/>
    <w:rsid w:val="00BF42C4"/>
    <w:rsid w:val="00BF5617"/>
    <w:rsid w:val="00C00765"/>
    <w:rsid w:val="00C00E26"/>
    <w:rsid w:val="00C01F6E"/>
    <w:rsid w:val="00C03881"/>
    <w:rsid w:val="00C03A2E"/>
    <w:rsid w:val="00C04A4E"/>
    <w:rsid w:val="00C06287"/>
    <w:rsid w:val="00C11FE5"/>
    <w:rsid w:val="00C121C7"/>
    <w:rsid w:val="00C12309"/>
    <w:rsid w:val="00C17551"/>
    <w:rsid w:val="00C206F0"/>
    <w:rsid w:val="00C20D5E"/>
    <w:rsid w:val="00C23583"/>
    <w:rsid w:val="00C250E1"/>
    <w:rsid w:val="00C304C1"/>
    <w:rsid w:val="00C312CC"/>
    <w:rsid w:val="00C36BB8"/>
    <w:rsid w:val="00C36C67"/>
    <w:rsid w:val="00C4066A"/>
    <w:rsid w:val="00C40D0E"/>
    <w:rsid w:val="00C469FC"/>
    <w:rsid w:val="00C4780A"/>
    <w:rsid w:val="00C51DF7"/>
    <w:rsid w:val="00C5255D"/>
    <w:rsid w:val="00C54D79"/>
    <w:rsid w:val="00C56B9D"/>
    <w:rsid w:val="00C56BAB"/>
    <w:rsid w:val="00C57E14"/>
    <w:rsid w:val="00C602B7"/>
    <w:rsid w:val="00C60D92"/>
    <w:rsid w:val="00C614A5"/>
    <w:rsid w:val="00C61AD9"/>
    <w:rsid w:val="00C63CB6"/>
    <w:rsid w:val="00C64FD5"/>
    <w:rsid w:val="00C65930"/>
    <w:rsid w:val="00C75AB0"/>
    <w:rsid w:val="00C81AC2"/>
    <w:rsid w:val="00C82AA4"/>
    <w:rsid w:val="00C8305C"/>
    <w:rsid w:val="00C844D6"/>
    <w:rsid w:val="00C85E7B"/>
    <w:rsid w:val="00C85FF6"/>
    <w:rsid w:val="00C860D6"/>
    <w:rsid w:val="00C9326B"/>
    <w:rsid w:val="00C9548E"/>
    <w:rsid w:val="00C95691"/>
    <w:rsid w:val="00C96A47"/>
    <w:rsid w:val="00C970CE"/>
    <w:rsid w:val="00CA113C"/>
    <w:rsid w:val="00CA1ECD"/>
    <w:rsid w:val="00CA4C7F"/>
    <w:rsid w:val="00CB13B7"/>
    <w:rsid w:val="00CB58B8"/>
    <w:rsid w:val="00CB6308"/>
    <w:rsid w:val="00CB7087"/>
    <w:rsid w:val="00CB723D"/>
    <w:rsid w:val="00CC220F"/>
    <w:rsid w:val="00CC2D2A"/>
    <w:rsid w:val="00CC41EE"/>
    <w:rsid w:val="00CC749B"/>
    <w:rsid w:val="00CD061B"/>
    <w:rsid w:val="00CD07A1"/>
    <w:rsid w:val="00CD0BF5"/>
    <w:rsid w:val="00CD0FA4"/>
    <w:rsid w:val="00CD1089"/>
    <w:rsid w:val="00CD1BCD"/>
    <w:rsid w:val="00CD293A"/>
    <w:rsid w:val="00CD30AA"/>
    <w:rsid w:val="00CD38C9"/>
    <w:rsid w:val="00CD41F8"/>
    <w:rsid w:val="00CD6D61"/>
    <w:rsid w:val="00CD7107"/>
    <w:rsid w:val="00CD7D66"/>
    <w:rsid w:val="00CD7FFC"/>
    <w:rsid w:val="00CE1D57"/>
    <w:rsid w:val="00CE2C6E"/>
    <w:rsid w:val="00CE2D75"/>
    <w:rsid w:val="00CE56D3"/>
    <w:rsid w:val="00CE6C32"/>
    <w:rsid w:val="00CE6C66"/>
    <w:rsid w:val="00CE799B"/>
    <w:rsid w:val="00CF046A"/>
    <w:rsid w:val="00CF1001"/>
    <w:rsid w:val="00CF321C"/>
    <w:rsid w:val="00CF340F"/>
    <w:rsid w:val="00CF4FE6"/>
    <w:rsid w:val="00CF52EE"/>
    <w:rsid w:val="00CF556F"/>
    <w:rsid w:val="00CF5974"/>
    <w:rsid w:val="00D0030F"/>
    <w:rsid w:val="00D009FB"/>
    <w:rsid w:val="00D034B2"/>
    <w:rsid w:val="00D0445F"/>
    <w:rsid w:val="00D0608D"/>
    <w:rsid w:val="00D061D5"/>
    <w:rsid w:val="00D06E87"/>
    <w:rsid w:val="00D06EFC"/>
    <w:rsid w:val="00D074BF"/>
    <w:rsid w:val="00D1197E"/>
    <w:rsid w:val="00D122E5"/>
    <w:rsid w:val="00D1619E"/>
    <w:rsid w:val="00D206B3"/>
    <w:rsid w:val="00D219C1"/>
    <w:rsid w:val="00D22C33"/>
    <w:rsid w:val="00D24C09"/>
    <w:rsid w:val="00D24CDE"/>
    <w:rsid w:val="00D271B6"/>
    <w:rsid w:val="00D27373"/>
    <w:rsid w:val="00D30AFB"/>
    <w:rsid w:val="00D314AF"/>
    <w:rsid w:val="00D32833"/>
    <w:rsid w:val="00D33DA7"/>
    <w:rsid w:val="00D3507E"/>
    <w:rsid w:val="00D354D0"/>
    <w:rsid w:val="00D35776"/>
    <w:rsid w:val="00D35B57"/>
    <w:rsid w:val="00D41D9A"/>
    <w:rsid w:val="00D461E5"/>
    <w:rsid w:val="00D4675C"/>
    <w:rsid w:val="00D472D8"/>
    <w:rsid w:val="00D502DA"/>
    <w:rsid w:val="00D5255B"/>
    <w:rsid w:val="00D538F6"/>
    <w:rsid w:val="00D5457D"/>
    <w:rsid w:val="00D54EF5"/>
    <w:rsid w:val="00D555FB"/>
    <w:rsid w:val="00D56FF4"/>
    <w:rsid w:val="00D578E2"/>
    <w:rsid w:val="00D61E55"/>
    <w:rsid w:val="00D6213A"/>
    <w:rsid w:val="00D63208"/>
    <w:rsid w:val="00D63FF0"/>
    <w:rsid w:val="00D70223"/>
    <w:rsid w:val="00D71E0C"/>
    <w:rsid w:val="00D73760"/>
    <w:rsid w:val="00D74036"/>
    <w:rsid w:val="00D75477"/>
    <w:rsid w:val="00D77181"/>
    <w:rsid w:val="00D802BD"/>
    <w:rsid w:val="00D808EE"/>
    <w:rsid w:val="00D82A58"/>
    <w:rsid w:val="00D84BB3"/>
    <w:rsid w:val="00D87FE7"/>
    <w:rsid w:val="00D91326"/>
    <w:rsid w:val="00D91885"/>
    <w:rsid w:val="00D922E1"/>
    <w:rsid w:val="00D92B41"/>
    <w:rsid w:val="00D93663"/>
    <w:rsid w:val="00D94097"/>
    <w:rsid w:val="00D95DDC"/>
    <w:rsid w:val="00D96B60"/>
    <w:rsid w:val="00DA0634"/>
    <w:rsid w:val="00DA3E6F"/>
    <w:rsid w:val="00DA62C5"/>
    <w:rsid w:val="00DA7CB8"/>
    <w:rsid w:val="00DA7DA7"/>
    <w:rsid w:val="00DB0871"/>
    <w:rsid w:val="00DB0CB2"/>
    <w:rsid w:val="00DB5C5F"/>
    <w:rsid w:val="00DB72EB"/>
    <w:rsid w:val="00DC08BC"/>
    <w:rsid w:val="00DC1063"/>
    <w:rsid w:val="00DC1F63"/>
    <w:rsid w:val="00DC54BF"/>
    <w:rsid w:val="00DC7D31"/>
    <w:rsid w:val="00DD1011"/>
    <w:rsid w:val="00DD5931"/>
    <w:rsid w:val="00DD7D3D"/>
    <w:rsid w:val="00DE221F"/>
    <w:rsid w:val="00DE3A2A"/>
    <w:rsid w:val="00DE55E6"/>
    <w:rsid w:val="00DE5DBB"/>
    <w:rsid w:val="00DE6727"/>
    <w:rsid w:val="00DF0CCD"/>
    <w:rsid w:val="00DF169D"/>
    <w:rsid w:val="00DF2010"/>
    <w:rsid w:val="00DF49E8"/>
    <w:rsid w:val="00DF7AE1"/>
    <w:rsid w:val="00E0241F"/>
    <w:rsid w:val="00E04482"/>
    <w:rsid w:val="00E04D37"/>
    <w:rsid w:val="00E05840"/>
    <w:rsid w:val="00E0749C"/>
    <w:rsid w:val="00E07968"/>
    <w:rsid w:val="00E105D6"/>
    <w:rsid w:val="00E10BA8"/>
    <w:rsid w:val="00E12448"/>
    <w:rsid w:val="00E14683"/>
    <w:rsid w:val="00E160A3"/>
    <w:rsid w:val="00E207DB"/>
    <w:rsid w:val="00E21EFB"/>
    <w:rsid w:val="00E2267F"/>
    <w:rsid w:val="00E235D4"/>
    <w:rsid w:val="00E24BBD"/>
    <w:rsid w:val="00E25FBA"/>
    <w:rsid w:val="00E270B7"/>
    <w:rsid w:val="00E27C9F"/>
    <w:rsid w:val="00E36A50"/>
    <w:rsid w:val="00E40212"/>
    <w:rsid w:val="00E41B22"/>
    <w:rsid w:val="00E429E1"/>
    <w:rsid w:val="00E43C87"/>
    <w:rsid w:val="00E447CE"/>
    <w:rsid w:val="00E447FF"/>
    <w:rsid w:val="00E44BDB"/>
    <w:rsid w:val="00E45DB1"/>
    <w:rsid w:val="00E528EB"/>
    <w:rsid w:val="00E5370B"/>
    <w:rsid w:val="00E5429B"/>
    <w:rsid w:val="00E5610C"/>
    <w:rsid w:val="00E5658C"/>
    <w:rsid w:val="00E56811"/>
    <w:rsid w:val="00E56A3E"/>
    <w:rsid w:val="00E5761A"/>
    <w:rsid w:val="00E577F6"/>
    <w:rsid w:val="00E6139F"/>
    <w:rsid w:val="00E61E1E"/>
    <w:rsid w:val="00E62387"/>
    <w:rsid w:val="00E6385F"/>
    <w:rsid w:val="00E64B3B"/>
    <w:rsid w:val="00E67D97"/>
    <w:rsid w:val="00E70905"/>
    <w:rsid w:val="00E71A05"/>
    <w:rsid w:val="00E71F45"/>
    <w:rsid w:val="00E742BC"/>
    <w:rsid w:val="00E75B45"/>
    <w:rsid w:val="00E80AB0"/>
    <w:rsid w:val="00E80F0A"/>
    <w:rsid w:val="00E824AC"/>
    <w:rsid w:val="00E8435E"/>
    <w:rsid w:val="00E8467D"/>
    <w:rsid w:val="00E90B9D"/>
    <w:rsid w:val="00E923F1"/>
    <w:rsid w:val="00E93762"/>
    <w:rsid w:val="00E94490"/>
    <w:rsid w:val="00E96A6F"/>
    <w:rsid w:val="00EA1B79"/>
    <w:rsid w:val="00EA315A"/>
    <w:rsid w:val="00EA42B1"/>
    <w:rsid w:val="00EA4BDE"/>
    <w:rsid w:val="00EA6CB3"/>
    <w:rsid w:val="00EA6D03"/>
    <w:rsid w:val="00EB1D3D"/>
    <w:rsid w:val="00EB3D8A"/>
    <w:rsid w:val="00EB4AF9"/>
    <w:rsid w:val="00EB6139"/>
    <w:rsid w:val="00EB711D"/>
    <w:rsid w:val="00EC0476"/>
    <w:rsid w:val="00EC3A11"/>
    <w:rsid w:val="00EC42F0"/>
    <w:rsid w:val="00EC71ED"/>
    <w:rsid w:val="00EC7486"/>
    <w:rsid w:val="00ED04F4"/>
    <w:rsid w:val="00ED1E6A"/>
    <w:rsid w:val="00ED1FAD"/>
    <w:rsid w:val="00ED2536"/>
    <w:rsid w:val="00ED27A5"/>
    <w:rsid w:val="00ED7B38"/>
    <w:rsid w:val="00EE0057"/>
    <w:rsid w:val="00EE0E84"/>
    <w:rsid w:val="00EE120A"/>
    <w:rsid w:val="00EE208F"/>
    <w:rsid w:val="00EE308D"/>
    <w:rsid w:val="00EE3657"/>
    <w:rsid w:val="00EE44C9"/>
    <w:rsid w:val="00EF087C"/>
    <w:rsid w:val="00EF13EC"/>
    <w:rsid w:val="00EF2769"/>
    <w:rsid w:val="00EF366A"/>
    <w:rsid w:val="00EF4DF3"/>
    <w:rsid w:val="00EF5679"/>
    <w:rsid w:val="00F01763"/>
    <w:rsid w:val="00F02F28"/>
    <w:rsid w:val="00F059FF"/>
    <w:rsid w:val="00F0799D"/>
    <w:rsid w:val="00F12744"/>
    <w:rsid w:val="00F12CD7"/>
    <w:rsid w:val="00F13124"/>
    <w:rsid w:val="00F131F0"/>
    <w:rsid w:val="00F13F24"/>
    <w:rsid w:val="00F1419E"/>
    <w:rsid w:val="00F1472A"/>
    <w:rsid w:val="00F209D8"/>
    <w:rsid w:val="00F225D0"/>
    <w:rsid w:val="00F27ED1"/>
    <w:rsid w:val="00F30CF8"/>
    <w:rsid w:val="00F31315"/>
    <w:rsid w:val="00F363A4"/>
    <w:rsid w:val="00F40408"/>
    <w:rsid w:val="00F413E6"/>
    <w:rsid w:val="00F42301"/>
    <w:rsid w:val="00F42F5E"/>
    <w:rsid w:val="00F43BA3"/>
    <w:rsid w:val="00F46297"/>
    <w:rsid w:val="00F46ABC"/>
    <w:rsid w:val="00F5172B"/>
    <w:rsid w:val="00F532D4"/>
    <w:rsid w:val="00F53655"/>
    <w:rsid w:val="00F53C1E"/>
    <w:rsid w:val="00F55290"/>
    <w:rsid w:val="00F557C9"/>
    <w:rsid w:val="00F55956"/>
    <w:rsid w:val="00F56CA9"/>
    <w:rsid w:val="00F6071E"/>
    <w:rsid w:val="00F614AD"/>
    <w:rsid w:val="00F614FC"/>
    <w:rsid w:val="00F616C5"/>
    <w:rsid w:val="00F62BA1"/>
    <w:rsid w:val="00F62CFC"/>
    <w:rsid w:val="00F639E2"/>
    <w:rsid w:val="00F65284"/>
    <w:rsid w:val="00F711B0"/>
    <w:rsid w:val="00F711FF"/>
    <w:rsid w:val="00F71512"/>
    <w:rsid w:val="00F74363"/>
    <w:rsid w:val="00F74F6D"/>
    <w:rsid w:val="00F74FA5"/>
    <w:rsid w:val="00F7658C"/>
    <w:rsid w:val="00F769FF"/>
    <w:rsid w:val="00F77E6A"/>
    <w:rsid w:val="00F81D93"/>
    <w:rsid w:val="00F831FB"/>
    <w:rsid w:val="00F83464"/>
    <w:rsid w:val="00F86C62"/>
    <w:rsid w:val="00F87853"/>
    <w:rsid w:val="00F907B5"/>
    <w:rsid w:val="00F93164"/>
    <w:rsid w:val="00F93332"/>
    <w:rsid w:val="00F940A3"/>
    <w:rsid w:val="00F9413F"/>
    <w:rsid w:val="00F94A2D"/>
    <w:rsid w:val="00F94D21"/>
    <w:rsid w:val="00F95284"/>
    <w:rsid w:val="00F9572E"/>
    <w:rsid w:val="00FA11D0"/>
    <w:rsid w:val="00FA14EB"/>
    <w:rsid w:val="00FA344A"/>
    <w:rsid w:val="00FA39DE"/>
    <w:rsid w:val="00FA406D"/>
    <w:rsid w:val="00FA44DE"/>
    <w:rsid w:val="00FA4570"/>
    <w:rsid w:val="00FA67F6"/>
    <w:rsid w:val="00FA690F"/>
    <w:rsid w:val="00FB0505"/>
    <w:rsid w:val="00FB1055"/>
    <w:rsid w:val="00FB3748"/>
    <w:rsid w:val="00FB4D0E"/>
    <w:rsid w:val="00FB5056"/>
    <w:rsid w:val="00FB7D22"/>
    <w:rsid w:val="00FC015B"/>
    <w:rsid w:val="00FC019D"/>
    <w:rsid w:val="00FC19A6"/>
    <w:rsid w:val="00FC3C87"/>
    <w:rsid w:val="00FC794D"/>
    <w:rsid w:val="00FD0CB0"/>
    <w:rsid w:val="00FD1315"/>
    <w:rsid w:val="00FD19F3"/>
    <w:rsid w:val="00FD4789"/>
    <w:rsid w:val="00FD7BD8"/>
    <w:rsid w:val="00FE1536"/>
    <w:rsid w:val="00FE25EE"/>
    <w:rsid w:val="00FE4491"/>
    <w:rsid w:val="00FE5718"/>
    <w:rsid w:val="00FE68CD"/>
    <w:rsid w:val="00FF061A"/>
    <w:rsid w:val="00FF2137"/>
    <w:rsid w:val="00FF2D07"/>
    <w:rsid w:val="00FF3DA4"/>
    <w:rsid w:val="00FF48A3"/>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121815"/>
    <w:pPr>
      <w:keepNext w:val="0"/>
      <w:numPr>
        <w:ilvl w:val="2"/>
      </w:numPr>
      <w:spacing w:before="0" w:after="0"/>
      <w:outlineLvl w:val="2"/>
    </w:pPr>
    <w:rPr>
      <w:rFonts w:asciiTheme="minorHAnsi" w:hAnsiTheme="minorHAnsi" w:cstheme="minorHAnsi"/>
      <w:b/>
      <w:color w:val="124486"/>
      <w:szCs w:val="24"/>
      <w:lang w:eastAsia="zh-CN"/>
    </w:rPr>
  </w:style>
  <w:style w:type="paragraph" w:styleId="Heading4">
    <w:name w:val="heading 4"/>
    <w:basedOn w:val="Heading3"/>
    <w:next w:val="BodyText"/>
    <w:link w:val="Heading4Char"/>
    <w:qFormat/>
    <w:rsid w:val="009E79EC"/>
    <w:pPr>
      <w:numPr>
        <w:ilvl w:val="3"/>
        <w:numId w:val="1"/>
      </w:numPr>
      <w:spacing w:before="32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121815"/>
    <w:rPr>
      <w:rFonts w:eastAsia="Times New Roman" w:cstheme="minorHAnsi"/>
      <w:b/>
      <w:color w:val="124486"/>
      <w:kern w:val="28"/>
      <w:sz w:val="24"/>
      <w:szCs w:val="24"/>
      <w:lang w:eastAsia="zh-CN"/>
    </w:rPr>
  </w:style>
  <w:style w:type="character" w:customStyle="1" w:styleId="Heading4Char">
    <w:name w:val="Heading 4 Char"/>
    <w:basedOn w:val="DefaultParagraphFont"/>
    <w:link w:val="Heading4"/>
    <w:rsid w:val="009E79EC"/>
    <w:rPr>
      <w:rFonts w:eastAsia="Times New Roman" w:cstheme="minorHAnsi"/>
      <w:color w:val="124486"/>
      <w:kern w:val="28"/>
      <w:sz w:val="24"/>
      <w:szCs w:val="24"/>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C7476"/>
    <w:pPr>
      <w:framePr w:hSpace="180" w:wrap="around" w:vAnchor="text" w:hAnchor="text" w:y="1"/>
      <w:tabs>
        <w:tab w:val="left" w:pos="1185"/>
      </w:tabs>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uiPriority w:val="99"/>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nR-ANZDEC,ftref,(NECG) Footnote Reference,Fußnotenzeichen DISS,de nota al pie,Ref,fr,16 Point,Superscript 6 Point,Footnote Ref in FtNote,SUPERS,Footnote text,BVI fnr,Normal + Font:9 Point,Superscript 3 Point Times"/>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Recommendation,List Paragraph11,Bullets"/>
    <w:basedOn w:val="BodyText"/>
    <w:link w:val="ListParagraphChar"/>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0239ED"/>
    <w:pPr>
      <w:autoSpaceDE w:val="0"/>
      <w:autoSpaceDN w:val="0"/>
      <w:adjustRightInd w:val="0"/>
      <w:spacing w:after="0" w:line="240" w:lineRule="auto"/>
    </w:pPr>
    <w:rPr>
      <w:rFonts w:ascii="Arial" w:hAnsi="Arial" w:cs="Arial"/>
      <w:color w:val="000000"/>
      <w:sz w:val="24"/>
      <w:szCs w:val="24"/>
      <w:lang w:eastAsia="en-US"/>
    </w:rPr>
  </w:style>
  <w:style w:type="character" w:customStyle="1" w:styleId="ListParagraphChar">
    <w:name w:val="List Paragraph Char"/>
    <w:aliases w:val="List Paragraph1 Char,Recommendation Char,List Paragraph11 Char,Bullets Char"/>
    <w:basedOn w:val="DefaultParagraphFont"/>
    <w:link w:val="ListParagraph"/>
    <w:locked/>
    <w:rsid w:val="00512B6E"/>
    <w:rPr>
      <w:rFonts w:ascii="Times New Roman" w:eastAsia="Times New Roman" w:hAnsi="Times New Roman" w:cs="Times New Roman"/>
      <w:szCs w:val="24"/>
    </w:rPr>
  </w:style>
  <w:style w:type="table" w:customStyle="1" w:styleId="DFATTable1">
    <w:name w:val="DFAT Table1"/>
    <w:basedOn w:val="TableNormal"/>
    <w:uiPriority w:val="99"/>
    <w:rsid w:val="004E70B3"/>
    <w:pPr>
      <w:spacing w:after="0" w:line="240" w:lineRule="auto"/>
    </w:pPr>
    <w:rPr>
      <w:rFonts w:ascii="Helvetica" w:eastAsia="Calibri" w:hAnsi="Helvetica"/>
      <w:sz w:val="17"/>
      <w:lang w:eastAsia="en-US"/>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styleId="NoSpacing">
    <w:name w:val="No Spacing"/>
    <w:uiPriority w:val="1"/>
    <w:qFormat/>
    <w:rsid w:val="00CD07A1"/>
    <w:pPr>
      <w:spacing w:after="0" w:line="240" w:lineRule="auto"/>
    </w:pPr>
    <w:rPr>
      <w:rFonts w:eastAsiaTheme="minorEastAsia"/>
      <w:lang w:val="en-US" w:eastAsia="en-US"/>
    </w:rPr>
  </w:style>
  <w:style w:type="paragraph" w:customStyle="1" w:styleId="BodySingle">
    <w:name w:val="Body Single"/>
    <w:basedOn w:val="Normal"/>
    <w:rsid w:val="002132FA"/>
    <w:pPr>
      <w:spacing w:line="290" w:lineRule="atLeast"/>
    </w:pPr>
    <w:rPr>
      <w:rFonts w:eastAsia="Times New Roman"/>
      <w:sz w:val="24"/>
      <w:szCs w:val="20"/>
      <w:lang w:val="en-GB"/>
    </w:rPr>
  </w:style>
  <w:style w:type="table" w:customStyle="1" w:styleId="DFATTable2">
    <w:name w:val="DFAT Table2"/>
    <w:basedOn w:val="TableNormal"/>
    <w:uiPriority w:val="99"/>
    <w:rsid w:val="00917A9B"/>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Table3">
    <w:name w:val="DFAT Table3"/>
    <w:basedOn w:val="TableNormal"/>
    <w:uiPriority w:val="99"/>
    <w:rsid w:val="00917A9B"/>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Table4">
    <w:name w:val="DFAT Table4"/>
    <w:basedOn w:val="TableNormal"/>
    <w:uiPriority w:val="99"/>
    <w:rsid w:val="00917A9B"/>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4473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121815"/>
    <w:pPr>
      <w:keepNext w:val="0"/>
      <w:numPr>
        <w:ilvl w:val="2"/>
      </w:numPr>
      <w:spacing w:before="0" w:after="0"/>
      <w:outlineLvl w:val="2"/>
    </w:pPr>
    <w:rPr>
      <w:rFonts w:asciiTheme="minorHAnsi" w:hAnsiTheme="minorHAnsi" w:cstheme="minorHAnsi"/>
      <w:b/>
      <w:color w:val="124486"/>
      <w:szCs w:val="24"/>
      <w:lang w:eastAsia="zh-CN"/>
    </w:rPr>
  </w:style>
  <w:style w:type="paragraph" w:styleId="Heading4">
    <w:name w:val="heading 4"/>
    <w:basedOn w:val="Heading3"/>
    <w:next w:val="BodyText"/>
    <w:link w:val="Heading4Char"/>
    <w:qFormat/>
    <w:rsid w:val="009E79EC"/>
    <w:pPr>
      <w:numPr>
        <w:ilvl w:val="3"/>
        <w:numId w:val="1"/>
      </w:numPr>
      <w:spacing w:before="32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121815"/>
    <w:rPr>
      <w:rFonts w:eastAsia="Times New Roman" w:cstheme="minorHAnsi"/>
      <w:b/>
      <w:color w:val="124486"/>
      <w:kern w:val="28"/>
      <w:sz w:val="24"/>
      <w:szCs w:val="24"/>
      <w:lang w:eastAsia="zh-CN"/>
    </w:rPr>
  </w:style>
  <w:style w:type="character" w:customStyle="1" w:styleId="Heading4Char">
    <w:name w:val="Heading 4 Char"/>
    <w:basedOn w:val="DefaultParagraphFont"/>
    <w:link w:val="Heading4"/>
    <w:rsid w:val="009E79EC"/>
    <w:rPr>
      <w:rFonts w:eastAsia="Times New Roman" w:cstheme="minorHAnsi"/>
      <w:color w:val="124486"/>
      <w:kern w:val="28"/>
      <w:sz w:val="24"/>
      <w:szCs w:val="24"/>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C7476"/>
    <w:pPr>
      <w:framePr w:hSpace="180" w:wrap="around" w:vAnchor="text" w:hAnchor="text" w:y="1"/>
      <w:tabs>
        <w:tab w:val="left" w:pos="1185"/>
      </w:tabs>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uiPriority w:val="99"/>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nR-ANZDEC,ftref,(NECG) Footnote Reference,Fußnotenzeichen DISS,de nota al pie,Ref,fr,16 Point,Superscript 6 Point,Footnote Ref in FtNote,SUPERS,Footnote text,BVI fnr,Normal + Font:9 Point,Superscript 3 Point Times"/>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Recommendation,List Paragraph11,Bullets"/>
    <w:basedOn w:val="BodyText"/>
    <w:link w:val="ListParagraphChar"/>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0239ED"/>
    <w:pPr>
      <w:autoSpaceDE w:val="0"/>
      <w:autoSpaceDN w:val="0"/>
      <w:adjustRightInd w:val="0"/>
      <w:spacing w:after="0" w:line="240" w:lineRule="auto"/>
    </w:pPr>
    <w:rPr>
      <w:rFonts w:ascii="Arial" w:hAnsi="Arial" w:cs="Arial"/>
      <w:color w:val="000000"/>
      <w:sz w:val="24"/>
      <w:szCs w:val="24"/>
      <w:lang w:eastAsia="en-US"/>
    </w:rPr>
  </w:style>
  <w:style w:type="character" w:customStyle="1" w:styleId="ListParagraphChar">
    <w:name w:val="List Paragraph Char"/>
    <w:aliases w:val="List Paragraph1 Char,Recommendation Char,List Paragraph11 Char,Bullets Char"/>
    <w:basedOn w:val="DefaultParagraphFont"/>
    <w:link w:val="ListParagraph"/>
    <w:locked/>
    <w:rsid w:val="00512B6E"/>
    <w:rPr>
      <w:rFonts w:ascii="Times New Roman" w:eastAsia="Times New Roman" w:hAnsi="Times New Roman" w:cs="Times New Roman"/>
      <w:szCs w:val="24"/>
    </w:rPr>
  </w:style>
  <w:style w:type="table" w:customStyle="1" w:styleId="DFATTable1">
    <w:name w:val="DFAT Table1"/>
    <w:basedOn w:val="TableNormal"/>
    <w:uiPriority w:val="99"/>
    <w:rsid w:val="004E70B3"/>
    <w:pPr>
      <w:spacing w:after="0" w:line="240" w:lineRule="auto"/>
    </w:pPr>
    <w:rPr>
      <w:rFonts w:ascii="Helvetica" w:eastAsia="Calibri" w:hAnsi="Helvetica"/>
      <w:sz w:val="17"/>
      <w:lang w:eastAsia="en-US"/>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styleId="NoSpacing">
    <w:name w:val="No Spacing"/>
    <w:uiPriority w:val="1"/>
    <w:qFormat/>
    <w:rsid w:val="00CD07A1"/>
    <w:pPr>
      <w:spacing w:after="0" w:line="240" w:lineRule="auto"/>
    </w:pPr>
    <w:rPr>
      <w:rFonts w:eastAsiaTheme="minorEastAsia"/>
      <w:lang w:val="en-US" w:eastAsia="en-US"/>
    </w:rPr>
  </w:style>
  <w:style w:type="paragraph" w:customStyle="1" w:styleId="BodySingle">
    <w:name w:val="Body Single"/>
    <w:basedOn w:val="Normal"/>
    <w:rsid w:val="002132FA"/>
    <w:pPr>
      <w:spacing w:line="290" w:lineRule="atLeast"/>
    </w:pPr>
    <w:rPr>
      <w:rFonts w:eastAsia="Times New Roman"/>
      <w:sz w:val="24"/>
      <w:szCs w:val="20"/>
      <w:lang w:val="en-GB"/>
    </w:rPr>
  </w:style>
  <w:style w:type="table" w:customStyle="1" w:styleId="DFATTable2">
    <w:name w:val="DFAT Table2"/>
    <w:basedOn w:val="TableNormal"/>
    <w:uiPriority w:val="99"/>
    <w:rsid w:val="00917A9B"/>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Table3">
    <w:name w:val="DFAT Table3"/>
    <w:basedOn w:val="TableNormal"/>
    <w:uiPriority w:val="99"/>
    <w:rsid w:val="00917A9B"/>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Table4">
    <w:name w:val="DFAT Table4"/>
    <w:basedOn w:val="TableNormal"/>
    <w:uiPriority w:val="99"/>
    <w:rsid w:val="00917A9B"/>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4473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1344">
      <w:bodyDiv w:val="1"/>
      <w:marLeft w:val="0"/>
      <w:marRight w:val="0"/>
      <w:marTop w:val="0"/>
      <w:marBottom w:val="0"/>
      <w:divBdr>
        <w:top w:val="none" w:sz="0" w:space="0" w:color="auto"/>
        <w:left w:val="none" w:sz="0" w:space="0" w:color="auto"/>
        <w:bottom w:val="none" w:sz="0" w:space="0" w:color="auto"/>
        <w:right w:val="none" w:sz="0" w:space="0" w:color="auto"/>
      </w:divBdr>
    </w:div>
    <w:div w:id="105656482">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185487827">
      <w:bodyDiv w:val="1"/>
      <w:marLeft w:val="0"/>
      <w:marRight w:val="0"/>
      <w:marTop w:val="0"/>
      <w:marBottom w:val="0"/>
      <w:divBdr>
        <w:top w:val="none" w:sz="0" w:space="0" w:color="auto"/>
        <w:left w:val="none" w:sz="0" w:space="0" w:color="auto"/>
        <w:bottom w:val="none" w:sz="0" w:space="0" w:color="auto"/>
        <w:right w:val="none" w:sz="0" w:space="0" w:color="auto"/>
      </w:divBdr>
    </w:div>
    <w:div w:id="412316480">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524488897">
      <w:bodyDiv w:val="1"/>
      <w:marLeft w:val="0"/>
      <w:marRight w:val="0"/>
      <w:marTop w:val="0"/>
      <w:marBottom w:val="0"/>
      <w:divBdr>
        <w:top w:val="none" w:sz="0" w:space="0" w:color="auto"/>
        <w:left w:val="none" w:sz="0" w:space="0" w:color="auto"/>
        <w:bottom w:val="none" w:sz="0" w:space="0" w:color="auto"/>
        <w:right w:val="none" w:sz="0" w:space="0" w:color="auto"/>
      </w:divBdr>
    </w:div>
    <w:div w:id="606079821">
      <w:bodyDiv w:val="1"/>
      <w:marLeft w:val="0"/>
      <w:marRight w:val="0"/>
      <w:marTop w:val="0"/>
      <w:marBottom w:val="0"/>
      <w:divBdr>
        <w:top w:val="none" w:sz="0" w:space="0" w:color="auto"/>
        <w:left w:val="none" w:sz="0" w:space="0" w:color="auto"/>
        <w:bottom w:val="none" w:sz="0" w:space="0" w:color="auto"/>
        <w:right w:val="none" w:sz="0" w:space="0" w:color="auto"/>
      </w:divBdr>
    </w:div>
    <w:div w:id="684793155">
      <w:bodyDiv w:val="1"/>
      <w:marLeft w:val="0"/>
      <w:marRight w:val="0"/>
      <w:marTop w:val="0"/>
      <w:marBottom w:val="0"/>
      <w:divBdr>
        <w:top w:val="none" w:sz="0" w:space="0" w:color="auto"/>
        <w:left w:val="none" w:sz="0" w:space="0" w:color="auto"/>
        <w:bottom w:val="none" w:sz="0" w:space="0" w:color="auto"/>
        <w:right w:val="none" w:sz="0" w:space="0" w:color="auto"/>
      </w:divBdr>
    </w:div>
    <w:div w:id="707484944">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55189474">
      <w:bodyDiv w:val="1"/>
      <w:marLeft w:val="0"/>
      <w:marRight w:val="0"/>
      <w:marTop w:val="0"/>
      <w:marBottom w:val="0"/>
      <w:divBdr>
        <w:top w:val="none" w:sz="0" w:space="0" w:color="auto"/>
        <w:left w:val="none" w:sz="0" w:space="0" w:color="auto"/>
        <w:bottom w:val="none" w:sz="0" w:space="0" w:color="auto"/>
        <w:right w:val="none" w:sz="0" w:space="0" w:color="auto"/>
      </w:divBdr>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355150">
      <w:bodyDiv w:val="1"/>
      <w:marLeft w:val="0"/>
      <w:marRight w:val="0"/>
      <w:marTop w:val="0"/>
      <w:marBottom w:val="0"/>
      <w:divBdr>
        <w:top w:val="none" w:sz="0" w:space="0" w:color="auto"/>
        <w:left w:val="none" w:sz="0" w:space="0" w:color="auto"/>
        <w:bottom w:val="none" w:sz="0" w:space="0" w:color="auto"/>
        <w:right w:val="none" w:sz="0" w:space="0" w:color="auto"/>
      </w:divBdr>
    </w:div>
    <w:div w:id="1028413848">
      <w:bodyDiv w:val="1"/>
      <w:marLeft w:val="0"/>
      <w:marRight w:val="0"/>
      <w:marTop w:val="0"/>
      <w:marBottom w:val="0"/>
      <w:divBdr>
        <w:top w:val="none" w:sz="0" w:space="0" w:color="auto"/>
        <w:left w:val="none" w:sz="0" w:space="0" w:color="auto"/>
        <w:bottom w:val="none" w:sz="0" w:space="0" w:color="auto"/>
        <w:right w:val="none" w:sz="0" w:space="0" w:color="auto"/>
      </w:divBdr>
    </w:div>
    <w:div w:id="1046023352">
      <w:bodyDiv w:val="1"/>
      <w:marLeft w:val="0"/>
      <w:marRight w:val="0"/>
      <w:marTop w:val="0"/>
      <w:marBottom w:val="0"/>
      <w:divBdr>
        <w:top w:val="none" w:sz="0" w:space="0" w:color="auto"/>
        <w:left w:val="none" w:sz="0" w:space="0" w:color="auto"/>
        <w:bottom w:val="none" w:sz="0" w:space="0" w:color="auto"/>
        <w:right w:val="none" w:sz="0" w:space="0" w:color="auto"/>
      </w:divBdr>
    </w:div>
    <w:div w:id="1074666680">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69364528">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35770774">
      <w:bodyDiv w:val="1"/>
      <w:marLeft w:val="0"/>
      <w:marRight w:val="0"/>
      <w:marTop w:val="0"/>
      <w:marBottom w:val="0"/>
      <w:divBdr>
        <w:top w:val="none" w:sz="0" w:space="0" w:color="auto"/>
        <w:left w:val="none" w:sz="0" w:space="0" w:color="auto"/>
        <w:bottom w:val="none" w:sz="0" w:space="0" w:color="auto"/>
        <w:right w:val="none" w:sz="0" w:space="0" w:color="auto"/>
      </w:divBdr>
    </w:div>
    <w:div w:id="1595044416">
      <w:bodyDiv w:val="1"/>
      <w:marLeft w:val="0"/>
      <w:marRight w:val="0"/>
      <w:marTop w:val="0"/>
      <w:marBottom w:val="0"/>
      <w:divBdr>
        <w:top w:val="none" w:sz="0" w:space="0" w:color="auto"/>
        <w:left w:val="none" w:sz="0" w:space="0" w:color="auto"/>
        <w:bottom w:val="none" w:sz="0" w:space="0" w:color="auto"/>
        <w:right w:val="none" w:sz="0" w:space="0" w:color="auto"/>
      </w:divBdr>
    </w:div>
    <w:div w:id="1639921410">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934240">
      <w:bodyDiv w:val="1"/>
      <w:marLeft w:val="0"/>
      <w:marRight w:val="0"/>
      <w:marTop w:val="0"/>
      <w:marBottom w:val="0"/>
      <w:divBdr>
        <w:top w:val="none" w:sz="0" w:space="0" w:color="auto"/>
        <w:left w:val="none" w:sz="0" w:space="0" w:color="auto"/>
        <w:bottom w:val="none" w:sz="0" w:space="0" w:color="auto"/>
        <w:right w:val="none" w:sz="0" w:space="0" w:color="auto"/>
      </w:divBdr>
    </w:div>
    <w:div w:id="1770657757">
      <w:bodyDiv w:val="1"/>
      <w:marLeft w:val="0"/>
      <w:marRight w:val="0"/>
      <w:marTop w:val="0"/>
      <w:marBottom w:val="0"/>
      <w:divBdr>
        <w:top w:val="none" w:sz="0" w:space="0" w:color="auto"/>
        <w:left w:val="none" w:sz="0" w:space="0" w:color="auto"/>
        <w:bottom w:val="none" w:sz="0" w:space="0" w:color="auto"/>
        <w:right w:val="none" w:sz="0" w:space="0" w:color="auto"/>
      </w:divBdr>
    </w:div>
    <w:div w:id="1802262174">
      <w:bodyDiv w:val="1"/>
      <w:marLeft w:val="0"/>
      <w:marRight w:val="0"/>
      <w:marTop w:val="0"/>
      <w:marBottom w:val="0"/>
      <w:divBdr>
        <w:top w:val="none" w:sz="0" w:space="0" w:color="auto"/>
        <w:left w:val="none" w:sz="0" w:space="0" w:color="auto"/>
        <w:bottom w:val="none" w:sz="0" w:space="0" w:color="auto"/>
        <w:right w:val="none" w:sz="0" w:space="0" w:color="auto"/>
      </w:divBdr>
    </w:div>
    <w:div w:id="1856917469">
      <w:bodyDiv w:val="1"/>
      <w:marLeft w:val="0"/>
      <w:marRight w:val="0"/>
      <w:marTop w:val="0"/>
      <w:marBottom w:val="0"/>
      <w:divBdr>
        <w:top w:val="none" w:sz="0" w:space="0" w:color="auto"/>
        <w:left w:val="none" w:sz="0" w:space="0" w:color="auto"/>
        <w:bottom w:val="none" w:sz="0" w:space="0" w:color="auto"/>
        <w:right w:val="none" w:sz="0" w:space="0" w:color="auto"/>
      </w:divBdr>
    </w:div>
    <w:div w:id="1955093236">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14330343">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afi-global.org/maya-declaration" TargetMode="External"/><Relationship Id="rId1" Type="http://schemas.openxmlformats.org/officeDocument/2006/relationships/hyperlink" Target="http://www.oecd.org/dac/stats/documentupload/SLB.JP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Sheet1!$A$2:$A$8</c:f>
              <c:strCache>
                <c:ptCount val="7"/>
                <c:pt idx="0">
                  <c:v>Improved Service Delivery: Education</c:v>
                </c:pt>
                <c:pt idx="1">
                  <c:v>Improved Service Delivery: Health</c:v>
                </c:pt>
                <c:pt idx="2">
                  <c:v>Broadbased Growth: Livelihoods</c:v>
                </c:pt>
                <c:pt idx="3">
                  <c:v>Broadbased Growth: infrastructure</c:v>
                </c:pt>
                <c:pt idx="4">
                  <c:v>Improved Governance</c:v>
                </c:pt>
                <c:pt idx="5">
                  <c:v>Improved Justice Services</c:v>
                </c:pt>
                <c:pt idx="6">
                  <c:v>Other*</c:v>
                </c:pt>
              </c:strCache>
            </c:strRef>
          </c:cat>
          <c:val>
            <c:numRef>
              <c:f>Sheet1!$B$2:$B$8</c:f>
              <c:numCache>
                <c:formatCode>0.00</c:formatCode>
                <c:ptCount val="7"/>
                <c:pt idx="0">
                  <c:v>5.48</c:v>
                </c:pt>
                <c:pt idx="1">
                  <c:v>19.38</c:v>
                </c:pt>
                <c:pt idx="2">
                  <c:v>5.42</c:v>
                </c:pt>
                <c:pt idx="3">
                  <c:v>11.9</c:v>
                </c:pt>
                <c:pt idx="4">
                  <c:v>13.8</c:v>
                </c:pt>
                <c:pt idx="5">
                  <c:v>19.97</c:v>
                </c:pt>
                <c:pt idx="6">
                  <c:v>20.149999999999999</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090C66-3D2C-4EAC-8C93-9D948AEB7152}"/>
</file>

<file path=customXml/itemProps2.xml><?xml version="1.0" encoding="utf-8"?>
<ds:datastoreItem xmlns:ds="http://schemas.openxmlformats.org/officeDocument/2006/customXml" ds:itemID="{4FE84DFD-C63F-44FC-A020-62B93AD9C337}"/>
</file>

<file path=customXml/itemProps3.xml><?xml version="1.0" encoding="utf-8"?>
<ds:datastoreItem xmlns:ds="http://schemas.openxmlformats.org/officeDocument/2006/customXml" ds:itemID="{CE03677C-CF49-4F3C-94D3-47DA813A00E4}"/>
</file>

<file path=customXml/itemProps4.xml><?xml version="1.0" encoding="utf-8"?>
<ds:datastoreItem xmlns:ds="http://schemas.openxmlformats.org/officeDocument/2006/customXml" ds:itemID="{6A856CCF-A411-40BE-BC47-812D5A2755D4}"/>
</file>

<file path=docProps/app.xml><?xml version="1.0" encoding="utf-8"?>
<Properties xmlns="http://schemas.openxmlformats.org/officeDocument/2006/extended-properties" xmlns:vt="http://schemas.openxmlformats.org/officeDocument/2006/docPropsVTypes">
  <Template>BF06120C</Template>
  <TotalTime>0</TotalTime>
  <Pages>27</Pages>
  <Words>13470</Words>
  <Characters>76782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2014-10-29T05:10:00Z</dcterms:created>
  <dcterms:modified xsi:type="dcterms:W3CDTF">2014-10-29T05:10:00Z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